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Shift in the Balance of Risks</w:t>
      </w:r>
    </w:p>
    <w:p>
      <w:pPr>
        <w:pStyle w:val="Heading2"/>
        <w:spacing w:before="281"/>
      </w:pPr>
      <w:r>
        <w:rPr/>
        <w:t>Speech given by</w:t>
      </w:r>
    </w:p>
    <w:p>
      <w:pPr>
        <w:spacing w:line="720" w:lineRule="auto" w:before="136"/>
        <w:ind w:left="352" w:right="1494" w:firstLine="0"/>
        <w:jc w:val="left"/>
        <w:rPr>
          <w:rFonts w:ascii="Arial"/>
          <w:sz w:val="24"/>
        </w:rPr>
      </w:pPr>
      <w:r>
        <w:rPr>
          <w:rFonts w:ascii="Arial"/>
          <w:sz w:val="24"/>
        </w:rPr>
        <w:t>David Walton, Member of the Monetary Policy Committee, Bank of England 18 May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8"/>
        <w:rPr>
          <w:rFonts w:ascii="Arial"/>
          <w:sz w:val="16"/>
        </w:rPr>
      </w:pPr>
    </w:p>
    <w:p>
      <w:pPr>
        <w:pStyle w:val="BodyText"/>
        <w:spacing w:line="364" w:lineRule="auto" w:before="93"/>
        <w:ind w:left="110" w:right="109"/>
        <w:jc w:val="both"/>
      </w:pPr>
      <w:r>
        <w:rPr/>
        <w:t>For the past nine months, the Monetary Policy Committee of the Bank of England has left interest rates unchanged at 4.5%. But, as the minutes revealed yesterday, at the most recent MPC meeting on 3-4 May, I dissented from the majority view to vote for a 25 basis points interest rate increase. I  would like briefly to explain the reasons for my</w:t>
      </w:r>
      <w:r>
        <w:rPr>
          <w:spacing w:val="11"/>
        </w:rPr>
        <w:t> </w:t>
      </w:r>
      <w:r>
        <w:rPr/>
        <w:t>vote.</w:t>
      </w:r>
    </w:p>
    <w:p>
      <w:pPr>
        <w:pStyle w:val="BodyText"/>
        <w:spacing w:before="3"/>
        <w:rPr>
          <w:sz w:val="35"/>
        </w:rPr>
      </w:pPr>
    </w:p>
    <w:p>
      <w:pPr>
        <w:pStyle w:val="BodyText"/>
        <w:spacing w:line="364" w:lineRule="auto" w:before="1"/>
        <w:ind w:left="110" w:right="290"/>
      </w:pPr>
      <w:r>
        <w:rPr/>
        <w:t>The Committee’s latest projections for consumer price inflation were published in last week’s </w:t>
      </w:r>
      <w:r>
        <w:rPr>
          <w:i/>
        </w:rPr>
        <w:t>Inflation Report</w:t>
      </w:r>
      <w:r>
        <w:rPr/>
        <w:t>. When conditioned on unchanged interest rates at 4½ per cent, the Committee’s central projection was for inflation to rise above the government’s 2 per cent target in the near term and then to remain slightly above target throughout the next two years (see Chart 1). While there is no mechanical link between these projections and policy decisions, I judge that the balance of risks to this central projection for inflation lie a little to the upside; hence my vote for higher rates.</w:t>
      </w:r>
    </w:p>
    <w:p>
      <w:pPr>
        <w:spacing w:line="242" w:lineRule="auto" w:before="6"/>
        <w:ind w:left="1160" w:right="3576" w:firstLine="0"/>
        <w:jc w:val="left"/>
        <w:rPr>
          <w:b/>
          <w:sz w:val="23"/>
        </w:rPr>
      </w:pPr>
      <w:r>
        <w:rPr>
          <w:b/>
          <w:sz w:val="23"/>
        </w:rPr>
        <w:t>Chart 1. May 2006 </w:t>
      </w:r>
      <w:r>
        <w:rPr>
          <w:b/>
          <w:i/>
          <w:sz w:val="23"/>
        </w:rPr>
        <w:t>Inflation Report </w:t>
      </w:r>
      <w:r>
        <w:rPr>
          <w:b/>
          <w:sz w:val="23"/>
        </w:rPr>
        <w:t>CPI inflation projection based on constant nominal interest rates at 4.5%</w:t>
      </w:r>
    </w:p>
    <w:p>
      <w:pPr>
        <w:pStyle w:val="BodyText"/>
        <w:ind w:left="1160"/>
        <w:rPr>
          <w:sz w:val="20"/>
        </w:rPr>
      </w:pPr>
      <w:r>
        <w:rPr>
          <w:sz w:val="20"/>
        </w:rPr>
        <w:drawing>
          <wp:inline distT="0" distB="0" distL="0" distR="0">
            <wp:extent cx="2262123" cy="214226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262123" cy="2142267"/>
                    </a:xfrm>
                    <a:prstGeom prst="rect">
                      <a:avLst/>
                    </a:prstGeom>
                  </pic:spPr>
                </pic:pic>
              </a:graphicData>
            </a:graphic>
          </wp:inline>
        </w:drawing>
      </w:r>
      <w:r>
        <w:rPr>
          <w:sz w:val="20"/>
        </w:rPr>
      </w:r>
    </w:p>
    <w:p>
      <w:pPr>
        <w:spacing w:line="244" w:lineRule="auto" w:before="47"/>
        <w:ind w:left="1160" w:right="3576" w:firstLine="0"/>
        <w:jc w:val="left"/>
        <w:rPr>
          <w:i/>
          <w:sz w:val="19"/>
        </w:rPr>
      </w:pPr>
      <w:r>
        <w:rPr>
          <w:w w:val="105"/>
          <w:sz w:val="19"/>
        </w:rPr>
        <w:t>Note:</w:t>
      </w:r>
      <w:r>
        <w:rPr>
          <w:spacing w:val="-17"/>
          <w:w w:val="105"/>
          <w:sz w:val="19"/>
        </w:rPr>
        <w:t> </w:t>
      </w:r>
      <w:r>
        <w:rPr>
          <w:w w:val="105"/>
          <w:sz w:val="19"/>
        </w:rPr>
        <w:t>The</w:t>
      </w:r>
      <w:r>
        <w:rPr>
          <w:spacing w:val="-16"/>
          <w:w w:val="105"/>
          <w:sz w:val="19"/>
        </w:rPr>
        <w:t> </w:t>
      </w:r>
      <w:r>
        <w:rPr>
          <w:w w:val="105"/>
          <w:sz w:val="19"/>
        </w:rPr>
        <w:t>fan</w:t>
      </w:r>
      <w:r>
        <w:rPr>
          <w:spacing w:val="-18"/>
          <w:w w:val="105"/>
          <w:sz w:val="19"/>
        </w:rPr>
        <w:t> </w:t>
      </w:r>
      <w:r>
        <w:rPr>
          <w:w w:val="105"/>
          <w:sz w:val="19"/>
        </w:rPr>
        <w:t>chart</w:t>
      </w:r>
      <w:r>
        <w:rPr>
          <w:spacing w:val="-17"/>
          <w:w w:val="105"/>
          <w:sz w:val="19"/>
        </w:rPr>
        <w:t> </w:t>
      </w:r>
      <w:r>
        <w:rPr>
          <w:w w:val="105"/>
          <w:sz w:val="19"/>
        </w:rPr>
        <w:t>depicts</w:t>
      </w:r>
      <w:r>
        <w:rPr>
          <w:spacing w:val="-16"/>
          <w:w w:val="105"/>
          <w:sz w:val="19"/>
        </w:rPr>
        <w:t> </w:t>
      </w:r>
      <w:r>
        <w:rPr>
          <w:w w:val="105"/>
          <w:sz w:val="19"/>
        </w:rPr>
        <w:t>the</w:t>
      </w:r>
      <w:r>
        <w:rPr>
          <w:spacing w:val="-17"/>
          <w:w w:val="105"/>
          <w:sz w:val="19"/>
        </w:rPr>
        <w:t> </w:t>
      </w:r>
      <w:r>
        <w:rPr>
          <w:w w:val="105"/>
          <w:sz w:val="19"/>
        </w:rPr>
        <w:t>probability</w:t>
      </w:r>
      <w:r>
        <w:rPr>
          <w:spacing w:val="-16"/>
          <w:w w:val="105"/>
          <w:sz w:val="19"/>
        </w:rPr>
        <w:t> </w:t>
      </w:r>
      <w:r>
        <w:rPr>
          <w:w w:val="105"/>
          <w:sz w:val="19"/>
        </w:rPr>
        <w:t>of</w:t>
      </w:r>
      <w:r>
        <w:rPr>
          <w:spacing w:val="-17"/>
          <w:w w:val="105"/>
          <w:sz w:val="19"/>
        </w:rPr>
        <w:t> </w:t>
      </w:r>
      <w:r>
        <w:rPr>
          <w:w w:val="105"/>
          <w:sz w:val="19"/>
        </w:rPr>
        <w:t>various</w:t>
      </w:r>
      <w:r>
        <w:rPr>
          <w:spacing w:val="-17"/>
          <w:w w:val="105"/>
          <w:sz w:val="19"/>
        </w:rPr>
        <w:t> </w:t>
      </w:r>
      <w:r>
        <w:rPr>
          <w:w w:val="105"/>
          <w:sz w:val="19"/>
        </w:rPr>
        <w:t>outcomes for CPI inflation in the future. For a full description, see the footnote</w:t>
      </w:r>
      <w:r>
        <w:rPr>
          <w:spacing w:val="-9"/>
          <w:w w:val="105"/>
          <w:sz w:val="19"/>
        </w:rPr>
        <w:t> </w:t>
      </w:r>
      <w:r>
        <w:rPr>
          <w:w w:val="105"/>
          <w:sz w:val="19"/>
        </w:rPr>
        <w:t>to</w:t>
      </w:r>
      <w:r>
        <w:rPr>
          <w:spacing w:val="-8"/>
          <w:w w:val="105"/>
          <w:sz w:val="19"/>
        </w:rPr>
        <w:t> </w:t>
      </w:r>
      <w:r>
        <w:rPr>
          <w:w w:val="105"/>
          <w:sz w:val="19"/>
        </w:rPr>
        <w:t>Chart</w:t>
      </w:r>
      <w:r>
        <w:rPr>
          <w:spacing w:val="-9"/>
          <w:w w:val="105"/>
          <w:sz w:val="19"/>
        </w:rPr>
        <w:t> </w:t>
      </w:r>
      <w:r>
        <w:rPr>
          <w:w w:val="105"/>
          <w:sz w:val="19"/>
        </w:rPr>
        <w:t>2</w:t>
      </w:r>
      <w:r>
        <w:rPr>
          <w:spacing w:val="-9"/>
          <w:w w:val="105"/>
          <w:sz w:val="19"/>
        </w:rPr>
        <w:t> </w:t>
      </w:r>
      <w:r>
        <w:rPr>
          <w:w w:val="105"/>
          <w:sz w:val="19"/>
        </w:rPr>
        <w:t>on</w:t>
      </w:r>
      <w:r>
        <w:rPr>
          <w:spacing w:val="-9"/>
          <w:w w:val="105"/>
          <w:sz w:val="19"/>
        </w:rPr>
        <w:t> </w:t>
      </w:r>
      <w:r>
        <w:rPr>
          <w:w w:val="105"/>
          <w:sz w:val="19"/>
        </w:rPr>
        <w:t>page</w:t>
      </w:r>
      <w:r>
        <w:rPr>
          <w:spacing w:val="-9"/>
          <w:w w:val="105"/>
          <w:sz w:val="19"/>
        </w:rPr>
        <w:t> </w:t>
      </w:r>
      <w:r>
        <w:rPr>
          <w:w w:val="105"/>
          <w:sz w:val="19"/>
        </w:rPr>
        <w:t>iv</w:t>
      </w:r>
      <w:r>
        <w:rPr>
          <w:spacing w:val="-8"/>
          <w:w w:val="105"/>
          <w:sz w:val="19"/>
        </w:rPr>
        <w:t> </w:t>
      </w:r>
      <w:r>
        <w:rPr>
          <w:w w:val="105"/>
          <w:sz w:val="19"/>
        </w:rPr>
        <w:t>of</w:t>
      </w:r>
      <w:r>
        <w:rPr>
          <w:spacing w:val="-10"/>
          <w:w w:val="105"/>
          <w:sz w:val="19"/>
        </w:rPr>
        <w:t> </w:t>
      </w:r>
      <w:r>
        <w:rPr>
          <w:w w:val="105"/>
          <w:sz w:val="19"/>
        </w:rPr>
        <w:t>the</w:t>
      </w:r>
      <w:r>
        <w:rPr>
          <w:spacing w:val="-8"/>
          <w:w w:val="105"/>
          <w:sz w:val="19"/>
        </w:rPr>
        <w:t> </w:t>
      </w:r>
      <w:r>
        <w:rPr>
          <w:w w:val="105"/>
          <w:sz w:val="19"/>
        </w:rPr>
        <w:t>May</w:t>
      </w:r>
      <w:r>
        <w:rPr>
          <w:spacing w:val="-10"/>
          <w:w w:val="105"/>
          <w:sz w:val="19"/>
        </w:rPr>
        <w:t> </w:t>
      </w:r>
      <w:r>
        <w:rPr>
          <w:i/>
          <w:w w:val="105"/>
          <w:sz w:val="19"/>
        </w:rPr>
        <w:t>Inflation</w:t>
      </w:r>
      <w:r>
        <w:rPr>
          <w:i/>
          <w:spacing w:val="-8"/>
          <w:w w:val="105"/>
          <w:sz w:val="19"/>
        </w:rPr>
        <w:t> </w:t>
      </w:r>
      <w:r>
        <w:rPr>
          <w:i/>
          <w:w w:val="105"/>
          <w:sz w:val="19"/>
        </w:rPr>
        <w:t>Report.</w:t>
      </w:r>
    </w:p>
    <w:p>
      <w:pPr>
        <w:pStyle w:val="BodyText"/>
        <w:rPr>
          <w:i/>
          <w:sz w:val="22"/>
        </w:rPr>
      </w:pPr>
    </w:p>
    <w:p>
      <w:pPr>
        <w:pStyle w:val="BodyText"/>
        <w:spacing w:before="9"/>
        <w:rPr>
          <w:i/>
          <w:sz w:val="24"/>
        </w:rPr>
      </w:pPr>
    </w:p>
    <w:p>
      <w:pPr>
        <w:pStyle w:val="BodyText"/>
        <w:spacing w:line="364" w:lineRule="auto" w:before="1"/>
        <w:ind w:left="110" w:right="212"/>
      </w:pPr>
      <w:r>
        <w:rPr/>
        <w:t>What are these risks? First, I believe that there is a modest upside risk to the Committee’s central projection for GDP growth, and hence inflation. In the central projection, GDP growth picks up a little in the second quarter and then remains close to its long-run average throughout the forecast period. Growth could easily be a bit stronger than this in the rest of 2006. After a period of weakness during 2005, growth in the UK economy has been running close to trend in the past couple of quarters. But there are indications from a broad range of business surveys that the pace of output growth has now increased to an above-trend</w:t>
      </w:r>
      <w:r>
        <w:rPr>
          <w:spacing w:val="7"/>
        </w:rPr>
        <w:t> </w:t>
      </w:r>
      <w:r>
        <w:rPr/>
        <w:t>rate.</w:t>
      </w:r>
    </w:p>
    <w:p>
      <w:pPr>
        <w:spacing w:after="0" w:line="364" w:lineRule="auto"/>
        <w:sectPr>
          <w:pgSz w:w="11900" w:h="16840"/>
          <w:pgMar w:top="1600" w:bottom="280" w:left="1640" w:right="580"/>
        </w:sectPr>
      </w:pPr>
    </w:p>
    <w:p>
      <w:pPr>
        <w:pStyle w:val="BodyText"/>
        <w:rPr>
          <w:sz w:val="20"/>
        </w:rPr>
      </w:pPr>
    </w:p>
    <w:p>
      <w:pPr>
        <w:pStyle w:val="BodyText"/>
        <w:spacing w:before="8"/>
        <w:rPr>
          <w:sz w:val="16"/>
        </w:rPr>
      </w:pPr>
    </w:p>
    <w:p>
      <w:pPr>
        <w:pStyle w:val="BodyText"/>
        <w:spacing w:line="364" w:lineRule="auto" w:before="93"/>
        <w:ind w:left="110" w:right="212"/>
      </w:pPr>
      <w:r>
        <w:rPr/>
        <w:t>Looking at the expenditure components of GDP, there is still great uncertainty about the underlying strength of household spending. The Committee, though, does not expect consumer spending growth to be particularly strong in coming quarters. In the Committee’s central projection, consumer spending grows a little below its post-war average rate of increase during the next couple of</w:t>
      </w:r>
      <w:r>
        <w:rPr>
          <w:spacing w:val="1"/>
        </w:rPr>
        <w:t> </w:t>
      </w:r>
      <w:r>
        <w:rPr/>
        <w:t>years.</w:t>
      </w:r>
    </w:p>
    <w:p>
      <w:pPr>
        <w:pStyle w:val="BodyText"/>
        <w:spacing w:line="364" w:lineRule="auto" w:before="3"/>
        <w:ind w:left="110" w:right="290"/>
      </w:pPr>
      <w:r>
        <w:rPr/>
        <w:t>There are risks in both directions. Households’ real disposable incomes will be squeezed by higher energy prices and a continued rise in the effective tax rate but support for spending should come from improving employment intentions, past rises in equity prices and the upturn in the housing market seen in recent months.</w:t>
      </w:r>
    </w:p>
    <w:p>
      <w:pPr>
        <w:pStyle w:val="BodyText"/>
        <w:spacing w:before="3"/>
        <w:rPr>
          <w:sz w:val="35"/>
        </w:rPr>
      </w:pPr>
    </w:p>
    <w:p>
      <w:pPr>
        <w:pStyle w:val="BodyText"/>
        <w:spacing w:line="364" w:lineRule="auto"/>
        <w:ind w:left="110" w:right="290"/>
      </w:pPr>
      <w:r>
        <w:rPr/>
        <w:t>I see upside risks to growth in two areas: exports and investment. The world economy continues to grow at a robust rate and, of particular importance from a UK perspective, there are now indications of much greater momentum in economic activity in the euro area. This is reflected in improved export sentiment in UK business</w:t>
      </w:r>
      <w:r>
        <w:rPr>
          <w:spacing w:val="6"/>
        </w:rPr>
        <w:t> </w:t>
      </w:r>
      <w:r>
        <w:rPr/>
        <w:t>surveys.</w:t>
      </w:r>
    </w:p>
    <w:p>
      <w:pPr>
        <w:pStyle w:val="BodyText"/>
        <w:spacing w:before="2"/>
        <w:rPr>
          <w:sz w:val="35"/>
        </w:rPr>
      </w:pPr>
    </w:p>
    <w:p>
      <w:pPr>
        <w:pStyle w:val="BodyText"/>
        <w:spacing w:line="364" w:lineRule="auto"/>
        <w:ind w:left="110" w:right="212"/>
      </w:pPr>
      <w:r>
        <w:rPr/>
        <w:t>These surveys have also signalled a notable strengthening in investment intentions recently after several quarters of weak readings. Given healthy corporate cashflow and the historically low cost of capital, it would be surprising if UK companies continued to stand apart from the strengthening trend in capital spending that is evident worldwide.</w:t>
      </w:r>
    </w:p>
    <w:p>
      <w:pPr>
        <w:pStyle w:val="BodyText"/>
        <w:spacing w:before="2"/>
        <w:rPr>
          <w:sz w:val="35"/>
        </w:rPr>
      </w:pPr>
    </w:p>
    <w:p>
      <w:pPr>
        <w:pStyle w:val="BodyText"/>
        <w:spacing w:line="364" w:lineRule="auto"/>
        <w:ind w:left="110" w:right="212"/>
      </w:pPr>
      <w:r>
        <w:rPr/>
        <w:t>Second, I see a small upside risk to inflation stemming from a little less spare capacity in the  economy currently than implied by the Committee’s central projection. The UK economy has had to absorb a sizeable shock from higher energy prices since the end of 2003 and it is quite possible that this has depressed temporarily the growth of potential output.</w:t>
      </w:r>
      <w:r>
        <w:rPr>
          <w:vertAlign w:val="superscript"/>
        </w:rPr>
        <w:t>1</w:t>
      </w:r>
      <w:r>
        <w:rPr>
          <w:vertAlign w:val="baseline"/>
        </w:rPr>
        <w:t> Labour productivity growth ground to  a virtual halt in the year to 2005Q3. While this may mostly have been cyclical, it could also have reflected a slower pace of capital accumulation and a drop in measured total factor productivity growth if some capacity had been scrapped. Consistent with this, there has not been much net change in capacity utilisation over the past couple of years according to business surveys, despite below- average recorded GDP</w:t>
      </w:r>
      <w:r>
        <w:rPr>
          <w:spacing w:val="-1"/>
          <w:vertAlign w:val="baseline"/>
        </w:rPr>
        <w:t> </w:t>
      </w:r>
      <w:r>
        <w:rPr>
          <w:vertAlign w:val="baseline"/>
        </w:rPr>
        <w:t>growth.</w:t>
      </w:r>
    </w:p>
    <w:p>
      <w:pPr>
        <w:pStyle w:val="BodyText"/>
        <w:rPr>
          <w:sz w:val="20"/>
        </w:rPr>
      </w:pPr>
    </w:p>
    <w:p>
      <w:pPr>
        <w:pStyle w:val="BodyText"/>
        <w:rPr>
          <w:sz w:val="20"/>
        </w:rPr>
      </w:pPr>
    </w:p>
    <w:p>
      <w:pPr>
        <w:pStyle w:val="BodyText"/>
        <w:rPr>
          <w:sz w:val="20"/>
        </w:rPr>
      </w:pPr>
    </w:p>
    <w:p>
      <w:pPr>
        <w:pStyle w:val="BodyText"/>
        <w:spacing w:before="2"/>
        <w:rPr>
          <w:sz w:val="15"/>
        </w:rPr>
      </w:pPr>
      <w:r>
        <w:rPr/>
        <w:pict>
          <v:shape style="position:absolute;margin-left:87.540001pt;margin-top:10.97749pt;width:140.050pt;height:.1pt;mso-position-horizontal-relative:page;mso-position-vertical-relative:paragraph;z-index:-251656192;mso-wrap-distance-left:0;mso-wrap-distance-right:0" coordorigin="1751,220" coordsize="2801,0" path="m1751,220l4552,220e" filled="false" stroked="true" strokeweight=".6pt" strokecolor="#000000">
            <v:path arrowok="t"/>
            <v:stroke dashstyle="solid"/>
            <w10:wrap type="topAndBottom"/>
          </v:shape>
        </w:pict>
      </w:r>
    </w:p>
    <w:p>
      <w:pPr>
        <w:spacing w:line="244" w:lineRule="auto" w:before="49"/>
        <w:ind w:left="110" w:right="290" w:firstLine="0"/>
        <w:jc w:val="left"/>
        <w:rPr>
          <w:sz w:val="19"/>
        </w:rPr>
      </w:pPr>
      <w:r>
        <w:rPr>
          <w:w w:val="105"/>
          <w:position w:val="9"/>
          <w:sz w:val="12"/>
        </w:rPr>
        <w:t>1</w:t>
      </w:r>
      <w:r>
        <w:rPr>
          <w:spacing w:val="4"/>
          <w:w w:val="105"/>
          <w:position w:val="9"/>
          <w:sz w:val="12"/>
        </w:rPr>
        <w:t> </w:t>
      </w:r>
      <w:r>
        <w:rPr>
          <w:w w:val="105"/>
          <w:sz w:val="19"/>
        </w:rPr>
        <w:t>For</w:t>
      </w:r>
      <w:r>
        <w:rPr>
          <w:spacing w:val="-12"/>
          <w:w w:val="105"/>
          <w:sz w:val="19"/>
        </w:rPr>
        <w:t> </w:t>
      </w:r>
      <w:r>
        <w:rPr>
          <w:w w:val="105"/>
          <w:sz w:val="19"/>
        </w:rPr>
        <w:t>a</w:t>
      </w:r>
      <w:r>
        <w:rPr>
          <w:spacing w:val="-14"/>
          <w:w w:val="105"/>
          <w:sz w:val="19"/>
        </w:rPr>
        <w:t> </w:t>
      </w:r>
      <w:r>
        <w:rPr>
          <w:w w:val="105"/>
          <w:sz w:val="19"/>
        </w:rPr>
        <w:t>detailed</w:t>
      </w:r>
      <w:r>
        <w:rPr>
          <w:spacing w:val="-13"/>
          <w:w w:val="105"/>
          <w:sz w:val="19"/>
        </w:rPr>
        <w:t> </w:t>
      </w:r>
      <w:r>
        <w:rPr>
          <w:w w:val="105"/>
          <w:sz w:val="19"/>
        </w:rPr>
        <w:t>analysis</w:t>
      </w:r>
      <w:r>
        <w:rPr>
          <w:spacing w:val="-13"/>
          <w:w w:val="105"/>
          <w:sz w:val="19"/>
        </w:rPr>
        <w:t> </w:t>
      </w:r>
      <w:r>
        <w:rPr>
          <w:w w:val="105"/>
          <w:sz w:val="19"/>
        </w:rPr>
        <w:t>of</w:t>
      </w:r>
      <w:r>
        <w:rPr>
          <w:spacing w:val="-14"/>
          <w:w w:val="105"/>
          <w:sz w:val="19"/>
        </w:rPr>
        <w:t> </w:t>
      </w:r>
      <w:r>
        <w:rPr>
          <w:w w:val="105"/>
          <w:sz w:val="19"/>
        </w:rPr>
        <w:t>the</w:t>
      </w:r>
      <w:r>
        <w:rPr>
          <w:spacing w:val="-13"/>
          <w:w w:val="105"/>
          <w:sz w:val="19"/>
        </w:rPr>
        <w:t> </w:t>
      </w:r>
      <w:r>
        <w:rPr>
          <w:w w:val="105"/>
          <w:sz w:val="19"/>
        </w:rPr>
        <w:t>oil</w:t>
      </w:r>
      <w:r>
        <w:rPr>
          <w:spacing w:val="-14"/>
          <w:w w:val="105"/>
          <w:sz w:val="19"/>
        </w:rPr>
        <w:t> </w:t>
      </w:r>
      <w:r>
        <w:rPr>
          <w:w w:val="105"/>
          <w:sz w:val="19"/>
        </w:rPr>
        <w:t>shock</w:t>
      </w:r>
      <w:r>
        <w:rPr>
          <w:spacing w:val="-14"/>
          <w:w w:val="105"/>
          <w:sz w:val="19"/>
        </w:rPr>
        <w:t> </w:t>
      </w:r>
      <w:r>
        <w:rPr>
          <w:w w:val="105"/>
          <w:sz w:val="19"/>
        </w:rPr>
        <w:t>and</w:t>
      </w:r>
      <w:r>
        <w:rPr>
          <w:spacing w:val="-13"/>
          <w:w w:val="105"/>
          <w:sz w:val="19"/>
        </w:rPr>
        <w:t> </w:t>
      </w:r>
      <w:r>
        <w:rPr>
          <w:w w:val="105"/>
          <w:sz w:val="19"/>
        </w:rPr>
        <w:t>its</w:t>
      </w:r>
      <w:r>
        <w:rPr>
          <w:spacing w:val="-13"/>
          <w:w w:val="105"/>
          <w:sz w:val="19"/>
        </w:rPr>
        <w:t> </w:t>
      </w:r>
      <w:r>
        <w:rPr>
          <w:w w:val="105"/>
          <w:sz w:val="19"/>
        </w:rPr>
        <w:t>implications</w:t>
      </w:r>
      <w:r>
        <w:rPr>
          <w:spacing w:val="-13"/>
          <w:w w:val="105"/>
          <w:sz w:val="19"/>
        </w:rPr>
        <w:t> </w:t>
      </w:r>
      <w:r>
        <w:rPr>
          <w:w w:val="105"/>
          <w:sz w:val="19"/>
        </w:rPr>
        <w:t>for</w:t>
      </w:r>
      <w:r>
        <w:rPr>
          <w:spacing w:val="-11"/>
          <w:w w:val="105"/>
          <w:sz w:val="19"/>
        </w:rPr>
        <w:t> </w:t>
      </w:r>
      <w:r>
        <w:rPr>
          <w:w w:val="105"/>
          <w:sz w:val="19"/>
        </w:rPr>
        <w:t>monetary</w:t>
      </w:r>
      <w:r>
        <w:rPr>
          <w:spacing w:val="-13"/>
          <w:w w:val="105"/>
          <w:sz w:val="19"/>
        </w:rPr>
        <w:t> </w:t>
      </w:r>
      <w:r>
        <w:rPr>
          <w:w w:val="105"/>
          <w:sz w:val="19"/>
        </w:rPr>
        <w:t>policy,</w:t>
      </w:r>
      <w:r>
        <w:rPr>
          <w:spacing w:val="-13"/>
          <w:w w:val="105"/>
          <w:sz w:val="19"/>
        </w:rPr>
        <w:t> </w:t>
      </w:r>
      <w:r>
        <w:rPr>
          <w:w w:val="105"/>
          <w:sz w:val="19"/>
        </w:rPr>
        <w:t>see</w:t>
      </w:r>
      <w:r>
        <w:rPr>
          <w:spacing w:val="-13"/>
          <w:w w:val="105"/>
          <w:sz w:val="19"/>
        </w:rPr>
        <w:t> </w:t>
      </w:r>
      <w:r>
        <w:rPr>
          <w:w w:val="105"/>
          <w:sz w:val="19"/>
        </w:rPr>
        <w:t>“Has</w:t>
      </w:r>
      <w:r>
        <w:rPr>
          <w:spacing w:val="-13"/>
          <w:w w:val="105"/>
          <w:sz w:val="19"/>
        </w:rPr>
        <w:t> </w:t>
      </w:r>
      <w:r>
        <w:rPr>
          <w:w w:val="105"/>
          <w:sz w:val="19"/>
        </w:rPr>
        <w:t>oil</w:t>
      </w:r>
      <w:r>
        <w:rPr>
          <w:spacing w:val="-13"/>
          <w:w w:val="105"/>
          <w:sz w:val="19"/>
        </w:rPr>
        <w:t> </w:t>
      </w:r>
      <w:r>
        <w:rPr>
          <w:w w:val="105"/>
          <w:sz w:val="19"/>
        </w:rPr>
        <w:t>lost</w:t>
      </w:r>
      <w:r>
        <w:rPr>
          <w:spacing w:val="-14"/>
          <w:w w:val="105"/>
          <w:sz w:val="19"/>
        </w:rPr>
        <w:t> </w:t>
      </w:r>
      <w:r>
        <w:rPr>
          <w:w w:val="105"/>
          <w:sz w:val="19"/>
        </w:rPr>
        <w:t>the</w:t>
      </w:r>
      <w:r>
        <w:rPr>
          <w:spacing w:val="-13"/>
          <w:w w:val="105"/>
          <w:sz w:val="19"/>
        </w:rPr>
        <w:t> </w:t>
      </w:r>
      <w:r>
        <w:rPr>
          <w:w w:val="105"/>
          <w:sz w:val="19"/>
        </w:rPr>
        <w:t>capacity</w:t>
      </w:r>
      <w:r>
        <w:rPr>
          <w:spacing w:val="-13"/>
          <w:w w:val="105"/>
          <w:sz w:val="19"/>
        </w:rPr>
        <w:t> </w:t>
      </w:r>
      <w:r>
        <w:rPr>
          <w:w w:val="105"/>
          <w:sz w:val="19"/>
        </w:rPr>
        <w:t>to shock?” Bank of England Quarterly Bulletin, Spring</w:t>
      </w:r>
      <w:r>
        <w:rPr>
          <w:spacing w:val="-22"/>
          <w:w w:val="105"/>
          <w:sz w:val="19"/>
        </w:rPr>
        <w:t> </w:t>
      </w:r>
      <w:r>
        <w:rPr>
          <w:w w:val="105"/>
          <w:sz w:val="19"/>
        </w:rPr>
        <w:t>2006.</w:t>
      </w:r>
    </w:p>
    <w:p>
      <w:pPr>
        <w:spacing w:after="0" w:line="244" w:lineRule="auto"/>
        <w:jc w:val="left"/>
        <w:rPr>
          <w:sz w:val="19"/>
        </w:rPr>
        <w:sectPr>
          <w:pgSz w:w="11900" w:h="16840"/>
          <w:pgMar w:top="1600" w:bottom="280" w:left="1640" w:right="580"/>
        </w:sectPr>
      </w:pPr>
    </w:p>
    <w:p>
      <w:pPr>
        <w:pStyle w:val="BodyText"/>
        <w:rPr>
          <w:sz w:val="20"/>
        </w:rPr>
      </w:pPr>
    </w:p>
    <w:p>
      <w:pPr>
        <w:pStyle w:val="BodyText"/>
        <w:spacing w:before="8"/>
        <w:rPr>
          <w:sz w:val="16"/>
        </w:rPr>
      </w:pPr>
    </w:p>
    <w:p>
      <w:pPr>
        <w:pStyle w:val="BodyText"/>
        <w:spacing w:line="364" w:lineRule="auto" w:before="93"/>
        <w:ind w:left="110" w:right="244"/>
      </w:pPr>
      <w:r>
        <w:rPr/>
        <w:t>The labour market has loosened – the unemployment rate has risen by 0.5 percentage points since   last summer – and wage inflation has remained subdued, but this is not conclusive evidence of cyclical weakness. In the face of higher oil prices which raise firms’ costs, the real consumption   wage (ie the post-tax wage paid to workers deflated by consumer prices) must be lower than it would otherwise have been in the absence of the oil shock, if firms are to maintain employment. Although wage inflation has remained stable, and growth in the real consumption wage has eased (see Chart   2), this has not prevented a rise in the growth of the real product wage (ie the full cost of labour to firms divided by the price firms get for their output).</w:t>
      </w:r>
      <w:r>
        <w:rPr>
          <w:vertAlign w:val="superscript"/>
        </w:rPr>
        <w:t>2</w:t>
      </w:r>
      <w:r>
        <w:rPr>
          <w:vertAlign w:val="baseline"/>
        </w:rPr>
        <w:t> This suggests that some of the rise in unemployment might have been related to structural</w:t>
      </w:r>
      <w:r>
        <w:rPr>
          <w:spacing w:val="10"/>
          <w:vertAlign w:val="baseline"/>
        </w:rPr>
        <w:t> </w:t>
      </w:r>
      <w:r>
        <w:rPr>
          <w:vertAlign w:val="baseline"/>
        </w:rPr>
        <w:t>factors.</w:t>
      </w:r>
    </w:p>
    <w:p>
      <w:pPr>
        <w:pStyle w:val="Heading1"/>
        <w:ind w:left="1730"/>
      </w:pPr>
      <w:r>
        <w:rPr/>
        <w:t>Chart 2. Growth in real wages</w:t>
      </w:r>
    </w:p>
    <w:p>
      <w:pPr>
        <w:spacing w:before="141"/>
        <w:ind w:left="0" w:right="3426" w:firstLine="0"/>
        <w:jc w:val="right"/>
        <w:rPr>
          <w:sz w:val="16"/>
        </w:rPr>
      </w:pPr>
      <w:r>
        <w:rPr>
          <w:w w:val="110"/>
          <w:sz w:val="16"/>
        </w:rPr>
        <w:t>Percentage</w:t>
      </w:r>
      <w:r>
        <w:rPr>
          <w:spacing w:val="-26"/>
          <w:w w:val="110"/>
          <w:sz w:val="16"/>
        </w:rPr>
        <w:t> </w:t>
      </w:r>
      <w:r>
        <w:rPr>
          <w:spacing w:val="-4"/>
          <w:w w:val="110"/>
          <w:sz w:val="16"/>
        </w:rPr>
        <w:t>changes</w:t>
      </w:r>
      <w:r>
        <w:rPr>
          <w:spacing w:val="-28"/>
          <w:w w:val="110"/>
          <w:sz w:val="16"/>
        </w:rPr>
        <w:t> </w:t>
      </w:r>
      <w:r>
        <w:rPr>
          <w:w w:val="110"/>
          <w:sz w:val="16"/>
        </w:rPr>
        <w:t>on</w:t>
      </w:r>
    </w:p>
    <w:p>
      <w:pPr>
        <w:spacing w:before="34"/>
        <w:ind w:left="0" w:right="3425" w:firstLine="0"/>
        <w:jc w:val="right"/>
        <w:rPr>
          <w:sz w:val="16"/>
        </w:rPr>
      </w:pPr>
      <w:r>
        <w:rPr>
          <w:w w:val="110"/>
          <w:sz w:val="16"/>
        </w:rPr>
        <w:t>a year</w:t>
      </w:r>
      <w:r>
        <w:rPr>
          <w:spacing w:val="-30"/>
          <w:w w:val="110"/>
          <w:sz w:val="16"/>
        </w:rPr>
        <w:t> </w:t>
      </w:r>
      <w:r>
        <w:rPr>
          <w:spacing w:val="-3"/>
          <w:w w:val="110"/>
          <w:sz w:val="16"/>
        </w:rPr>
        <w:t>earlier</w:t>
      </w:r>
    </w:p>
    <w:p>
      <w:pPr>
        <w:spacing w:before="79"/>
        <w:ind w:left="0" w:right="3427" w:firstLine="0"/>
        <w:jc w:val="right"/>
        <w:rPr>
          <w:sz w:val="16"/>
        </w:rPr>
      </w:pPr>
      <w:r>
        <w:rPr/>
        <w:pict>
          <v:group style="position:absolute;margin-left:182.815506pt;margin-top:9.230152pt;width:203.8pt;height:127.3pt;mso-position-horizontal-relative:page;mso-position-vertical-relative:paragraph;z-index:251664384" coordorigin="3656,185" coordsize="4076,2546">
            <v:shape style="position:absolute;left:3663;top:185;width:4068;height:2538" coordorigin="3664,185" coordsize="4068,2538" path="m7688,185l7688,2723m7688,2723l7732,2723m7688,2402l7732,2402m7688,2096l7732,2096m7688,1775l7732,1775m7688,1454l7732,1454m7688,1133l7732,1133m7688,827l7732,827m7688,506l7732,506m7688,185l7732,185m3664,2723l7688,2723m3664,2723l3664,2679m4129,2723l4129,2679m4582,2723l4582,2679m5048,2723l5048,2679m5501,2723l5501,2679m5968,2723l5968,2679m6419,2723l6419,2679m6886,2723l6886,2679m7338,2723l7338,2679e" filled="false" stroked="true" strokeweight=".06pt" strokecolor="#000000">
              <v:path arrowok="t"/>
              <v:stroke dashstyle="solid"/>
            </v:shape>
            <v:line style="position:absolute" from="3664,2314" to="3780,1877" stroked="true" strokeweight=".729pt" strokecolor="#000080">
              <v:stroke dashstyle="solid"/>
            </v:line>
            <v:shape style="position:absolute;left:3780;top:1002;width:2990;height:1473" coordorigin="3780,1002" coordsize="2990,1473" path="m3780,1877l3896,1877,4013,1294,4129,1074,4232,1264,4349,1176,4465,1352,4582,1337,4698,1512,4816,1673,4932,1716,5048,1731,5165,1382,5267,1002,5384,1206,5501,1176,5617,1323,5734,1804,5851,1716,5968,1761,6084,1614,6186,1498,6302,1541,6419,1775,6536,2475,6653,2416,6769,2460e" filled="false" stroked="true" strokeweight=".729pt" strokecolor="#000080">
              <v:path arrowok="t"/>
              <v:stroke dashstyle="solid"/>
            </v:shape>
            <v:line style="position:absolute" from="6769,2460" to="6880,2723" stroked="true" strokeweight=".729pt" strokecolor="#000080">
              <v:stroke dashstyle="solid"/>
            </v:line>
            <v:line style="position:absolute" from="6888,2723" to="7003,1847" stroked="true" strokeweight=".729pt" strokecolor="#000080">
              <v:stroke dashstyle="solid"/>
            </v:line>
            <v:shape style="position:absolute;left:7003;top:1687;width:686;height:584" coordorigin="7003,1688" coordsize="686,584" path="m7003,1847l7120,1935,7222,1965,7338,1688,7454,2124,7572,2271,7688,1994e" filled="false" stroked="true" strokeweight=".729pt" strokecolor="#000080">
              <v:path arrowok="t"/>
              <v:stroke dashstyle="solid"/>
            </v:shape>
            <v:line style="position:absolute" from="3664,2328" to="3780,2212" stroked="true" strokeweight=".729pt" strokecolor="#ff00ff">
              <v:stroke dashstyle="solid"/>
            </v:line>
            <v:shape style="position:absolute;left:3780;top:637;width:3909;height:1940" coordorigin="3780,638" coordsize="3909,1940" path="m3780,2212l3896,1863,4013,1527,4129,1352,4232,972,4349,1382,4465,1571,4582,1323,4698,1571,4816,1410,4932,1308,5048,1294,5165,900,5267,638,5384,870,5501,1104,5617,1600,5734,1994,5851,2373,5968,2534,6084,2577,6186,2387,6302,2139,6419,2096,6536,1950,6653,1731,6769,1541,6886,1410,7003,1468,7120,2067,7222,2169,7338,1906,7454,1790,7572,1454,7688,1586e" filled="false" stroked="true" strokeweight=".729pt" strokecolor="#ff00ff">
              <v:path arrowok="t"/>
              <v:stroke dashstyle="solid"/>
            </v:shape>
            <v:line style="position:absolute" from="3664,2402" to="3780,2402" stroked="true" strokeweight=".729pt" strokecolor="#000000">
              <v:stroke dashstyle="solid"/>
            </v:line>
            <v:line style="position:absolute" from="3780,2402" to="7688,2402" stroked="true" strokeweight=".729pt" strokecolor="#000000">
              <v:stroke dashstyle="solid"/>
            </v:line>
            <v:shapetype id="_x0000_t202" o:spt="202" coordsize="21600,21600" path="m,l,21600r21600,l21600,xe">
              <v:stroke joinstyle="miter"/>
              <v:path gradientshapeok="t" o:connecttype="rect"/>
            </v:shapetype>
            <v:shape style="position:absolute;left:5647;top:289;width:1497;height:178" type="#_x0000_t202" filled="false" stroked="false">
              <v:textbox inset="0,0,0,0">
                <w:txbxContent>
                  <w:p>
                    <w:pPr>
                      <w:spacing w:line="178" w:lineRule="exact" w:before="0"/>
                      <w:ind w:left="0" w:right="0" w:firstLine="0"/>
                      <w:jc w:val="left"/>
                      <w:rPr>
                        <w:sz w:val="16"/>
                      </w:rPr>
                    </w:pPr>
                    <w:r>
                      <w:rPr>
                        <w:color w:val="FF00FF"/>
                        <w:spacing w:val="-6"/>
                        <w:w w:val="110"/>
                        <w:sz w:val="16"/>
                      </w:rPr>
                      <w:t>Real </w:t>
                    </w:r>
                    <w:r>
                      <w:rPr>
                        <w:color w:val="FF00FF"/>
                        <w:spacing w:val="-3"/>
                        <w:w w:val="110"/>
                        <w:sz w:val="16"/>
                      </w:rPr>
                      <w:t>production </w:t>
                    </w:r>
                    <w:r>
                      <w:rPr>
                        <w:color w:val="FF00FF"/>
                        <w:spacing w:val="-10"/>
                        <w:w w:val="110"/>
                        <w:sz w:val="16"/>
                      </w:rPr>
                      <w:t>wage</w:t>
                    </w:r>
                  </w:p>
                </w:txbxContent>
              </v:textbox>
              <w10:wrap type="none"/>
            </v:shape>
            <v:shape style="position:absolute;left:4218;top:1776;width:1231;height:397" type="#_x0000_t202" filled="false" stroked="false">
              <v:textbox inset="0,0,0,0">
                <w:txbxContent>
                  <w:p>
                    <w:pPr>
                      <w:spacing w:line="178" w:lineRule="exact" w:before="0"/>
                      <w:ind w:left="0" w:right="0" w:firstLine="0"/>
                      <w:jc w:val="left"/>
                      <w:rPr>
                        <w:sz w:val="16"/>
                      </w:rPr>
                    </w:pPr>
                    <w:r>
                      <w:rPr>
                        <w:color w:val="000080"/>
                        <w:spacing w:val="-6"/>
                        <w:w w:val="110"/>
                        <w:sz w:val="16"/>
                      </w:rPr>
                      <w:t>Real</w:t>
                    </w:r>
                    <w:r>
                      <w:rPr>
                        <w:color w:val="000080"/>
                        <w:spacing w:val="-31"/>
                        <w:w w:val="110"/>
                        <w:sz w:val="16"/>
                      </w:rPr>
                      <w:t> </w:t>
                    </w:r>
                    <w:r>
                      <w:rPr>
                        <w:color w:val="000080"/>
                        <w:w w:val="110"/>
                        <w:sz w:val="16"/>
                      </w:rPr>
                      <w:t>consumption</w:t>
                    </w:r>
                  </w:p>
                  <w:p>
                    <w:pPr>
                      <w:spacing w:before="34"/>
                      <w:ind w:left="0" w:right="0" w:firstLine="0"/>
                      <w:jc w:val="left"/>
                      <w:rPr>
                        <w:sz w:val="16"/>
                      </w:rPr>
                    </w:pPr>
                    <w:r>
                      <w:rPr>
                        <w:color w:val="000080"/>
                        <w:w w:val="110"/>
                        <w:sz w:val="16"/>
                      </w:rPr>
                      <w:t>wage</w:t>
                    </w:r>
                  </w:p>
                </w:txbxContent>
              </v:textbox>
              <w10:wrap type="none"/>
            </v:shape>
            <w10:wrap type="none"/>
          </v:group>
        </w:pict>
      </w:r>
      <w:r>
        <w:rPr>
          <w:w w:val="107"/>
          <w:sz w:val="16"/>
        </w:rPr>
        <w:t>7</w:t>
      </w:r>
    </w:p>
    <w:p>
      <w:pPr>
        <w:spacing w:before="137"/>
        <w:ind w:left="0" w:right="3427" w:firstLine="0"/>
        <w:jc w:val="right"/>
        <w:rPr>
          <w:sz w:val="16"/>
        </w:rPr>
      </w:pPr>
      <w:r>
        <w:rPr>
          <w:w w:val="107"/>
          <w:sz w:val="16"/>
        </w:rPr>
        <w:t>6</w:t>
      </w:r>
    </w:p>
    <w:p>
      <w:pPr>
        <w:spacing w:before="136"/>
        <w:ind w:left="0" w:right="3427" w:firstLine="0"/>
        <w:jc w:val="right"/>
        <w:rPr>
          <w:sz w:val="16"/>
        </w:rPr>
      </w:pPr>
      <w:r>
        <w:rPr>
          <w:w w:val="107"/>
          <w:sz w:val="16"/>
        </w:rPr>
        <w:t>5</w:t>
      </w:r>
    </w:p>
    <w:p>
      <w:pPr>
        <w:spacing w:before="122"/>
        <w:ind w:left="0" w:right="3427" w:firstLine="0"/>
        <w:jc w:val="right"/>
        <w:rPr>
          <w:sz w:val="16"/>
        </w:rPr>
      </w:pPr>
      <w:r>
        <w:rPr>
          <w:w w:val="107"/>
          <w:sz w:val="16"/>
        </w:rPr>
        <w:t>4</w:t>
      </w:r>
    </w:p>
    <w:p>
      <w:pPr>
        <w:spacing w:before="138"/>
        <w:ind w:left="0" w:right="3427" w:firstLine="0"/>
        <w:jc w:val="right"/>
        <w:rPr>
          <w:sz w:val="16"/>
        </w:rPr>
      </w:pPr>
      <w:r>
        <w:rPr>
          <w:w w:val="107"/>
          <w:sz w:val="16"/>
        </w:rPr>
        <w:t>3</w:t>
      </w:r>
    </w:p>
    <w:p>
      <w:pPr>
        <w:spacing w:before="136"/>
        <w:ind w:left="0" w:right="3427" w:firstLine="0"/>
        <w:jc w:val="right"/>
        <w:rPr>
          <w:sz w:val="16"/>
        </w:rPr>
      </w:pPr>
      <w:r>
        <w:rPr>
          <w:w w:val="107"/>
          <w:sz w:val="16"/>
        </w:rPr>
        <w:t>2</w:t>
      </w:r>
    </w:p>
    <w:p>
      <w:pPr>
        <w:spacing w:before="137"/>
        <w:ind w:left="0" w:right="3427" w:firstLine="0"/>
        <w:jc w:val="right"/>
        <w:rPr>
          <w:sz w:val="16"/>
        </w:rPr>
      </w:pPr>
      <w:r>
        <w:rPr>
          <w:w w:val="107"/>
          <w:sz w:val="16"/>
        </w:rPr>
        <w:t>1</w:t>
      </w:r>
    </w:p>
    <w:p>
      <w:pPr>
        <w:spacing w:before="123"/>
        <w:ind w:left="0" w:right="3427" w:firstLine="0"/>
        <w:jc w:val="right"/>
        <w:rPr>
          <w:sz w:val="16"/>
        </w:rPr>
      </w:pPr>
      <w:r>
        <w:rPr>
          <w:w w:val="107"/>
          <w:sz w:val="16"/>
        </w:rPr>
        <w:t>0</w:t>
      </w:r>
    </w:p>
    <w:p>
      <w:pPr>
        <w:spacing w:before="136"/>
        <w:ind w:left="0" w:right="3366" w:firstLine="0"/>
        <w:jc w:val="right"/>
        <w:rPr>
          <w:sz w:val="16"/>
        </w:rPr>
      </w:pPr>
      <w:r>
        <w:rPr>
          <w:w w:val="105"/>
          <w:sz w:val="16"/>
        </w:rPr>
        <w:t>-1</w:t>
      </w:r>
    </w:p>
    <w:p>
      <w:pPr>
        <w:spacing w:before="49"/>
        <w:ind w:left="1848" w:right="0" w:firstLine="0"/>
        <w:jc w:val="left"/>
        <w:rPr>
          <w:sz w:val="16"/>
        </w:rPr>
      </w:pPr>
      <w:r>
        <w:rPr>
          <w:w w:val="110"/>
          <w:sz w:val="16"/>
        </w:rPr>
        <w:t>1997 1998 1999 2000 2001 2002 2003 2004 2005</w:t>
      </w:r>
    </w:p>
    <w:p>
      <w:pPr>
        <w:spacing w:line="244" w:lineRule="auto" w:before="159"/>
        <w:ind w:left="1730" w:right="2763" w:firstLine="0"/>
        <w:jc w:val="left"/>
        <w:rPr>
          <w:sz w:val="19"/>
        </w:rPr>
      </w:pPr>
      <w:r>
        <w:rPr>
          <w:w w:val="105"/>
          <w:sz w:val="19"/>
        </w:rPr>
        <w:t>Note:</w:t>
      </w:r>
      <w:r>
        <w:rPr>
          <w:spacing w:val="-17"/>
          <w:w w:val="105"/>
          <w:sz w:val="19"/>
        </w:rPr>
        <w:t> </w:t>
      </w:r>
      <w:r>
        <w:rPr>
          <w:w w:val="105"/>
          <w:sz w:val="19"/>
        </w:rPr>
        <w:t>Real</w:t>
      </w:r>
      <w:r>
        <w:rPr>
          <w:spacing w:val="-16"/>
          <w:w w:val="105"/>
          <w:sz w:val="19"/>
        </w:rPr>
        <w:t> </w:t>
      </w:r>
      <w:r>
        <w:rPr>
          <w:w w:val="105"/>
          <w:sz w:val="19"/>
        </w:rPr>
        <w:t>production</w:t>
      </w:r>
      <w:r>
        <w:rPr>
          <w:spacing w:val="-16"/>
          <w:w w:val="105"/>
          <w:sz w:val="19"/>
        </w:rPr>
        <w:t> </w:t>
      </w:r>
      <w:r>
        <w:rPr>
          <w:w w:val="105"/>
          <w:sz w:val="19"/>
        </w:rPr>
        <w:t>wage</w:t>
      </w:r>
      <w:r>
        <w:rPr>
          <w:spacing w:val="-16"/>
          <w:w w:val="105"/>
          <w:sz w:val="19"/>
        </w:rPr>
        <w:t> </w:t>
      </w:r>
      <w:r>
        <w:rPr>
          <w:w w:val="105"/>
          <w:sz w:val="19"/>
        </w:rPr>
        <w:t>uses</w:t>
      </w:r>
      <w:r>
        <w:rPr>
          <w:spacing w:val="-16"/>
          <w:w w:val="105"/>
          <w:sz w:val="19"/>
        </w:rPr>
        <w:t> </w:t>
      </w:r>
      <w:r>
        <w:rPr>
          <w:w w:val="105"/>
          <w:sz w:val="19"/>
        </w:rPr>
        <w:t>GDP</w:t>
      </w:r>
      <w:r>
        <w:rPr>
          <w:spacing w:val="-16"/>
          <w:w w:val="105"/>
          <w:sz w:val="19"/>
        </w:rPr>
        <w:t> </w:t>
      </w:r>
      <w:r>
        <w:rPr>
          <w:w w:val="105"/>
          <w:sz w:val="19"/>
        </w:rPr>
        <w:t>deflator</w:t>
      </w:r>
      <w:r>
        <w:rPr>
          <w:spacing w:val="-16"/>
          <w:w w:val="105"/>
          <w:sz w:val="19"/>
        </w:rPr>
        <w:t> </w:t>
      </w:r>
      <w:r>
        <w:rPr>
          <w:w w:val="105"/>
          <w:sz w:val="19"/>
        </w:rPr>
        <w:t>at</w:t>
      </w:r>
      <w:r>
        <w:rPr>
          <w:spacing w:val="-16"/>
          <w:w w:val="105"/>
          <w:sz w:val="19"/>
        </w:rPr>
        <w:t> </w:t>
      </w:r>
      <w:r>
        <w:rPr>
          <w:w w:val="105"/>
          <w:sz w:val="19"/>
        </w:rPr>
        <w:t>basic</w:t>
      </w:r>
      <w:r>
        <w:rPr>
          <w:spacing w:val="-16"/>
          <w:w w:val="105"/>
          <w:sz w:val="19"/>
        </w:rPr>
        <w:t> </w:t>
      </w:r>
      <w:r>
        <w:rPr>
          <w:w w:val="105"/>
          <w:sz w:val="19"/>
        </w:rPr>
        <w:t>prices. Real consumption wage uses National Accounts household consumption</w:t>
      </w:r>
      <w:r>
        <w:rPr>
          <w:spacing w:val="-3"/>
          <w:w w:val="105"/>
          <w:sz w:val="19"/>
        </w:rPr>
        <w:t> </w:t>
      </w:r>
      <w:r>
        <w:rPr>
          <w:w w:val="105"/>
          <w:sz w:val="19"/>
        </w:rPr>
        <w:t>deflator.</w:t>
      </w:r>
    </w:p>
    <w:p>
      <w:pPr>
        <w:pStyle w:val="BodyText"/>
        <w:rPr>
          <w:sz w:val="22"/>
        </w:rPr>
      </w:pPr>
    </w:p>
    <w:p>
      <w:pPr>
        <w:pStyle w:val="BodyText"/>
        <w:spacing w:line="364" w:lineRule="auto" w:before="151"/>
        <w:ind w:left="110" w:right="290"/>
      </w:pPr>
      <w:r>
        <w:rPr/>
        <w:pict>
          <v:shape style="position:absolute;margin-left:87.540001pt;margin-top:109.846703pt;width:140.050pt;height:.1pt;mso-position-horizontal-relative:page;mso-position-vertical-relative:paragraph;z-index:-251655168;mso-wrap-distance-left:0;mso-wrap-distance-right:0" coordorigin="1751,2197" coordsize="2801,0" path="m1751,2197l4552,2197e" filled="false" stroked="true" strokeweight=".6pt" strokecolor="#000000">
            <v:path arrowok="t"/>
            <v:stroke dashstyle="solid"/>
            <w10:wrap type="topAndBottom"/>
          </v:shape>
        </w:pict>
      </w:r>
      <w:r>
        <w:rPr/>
        <w:t>A third risk relates to commodity and import prices. In framing its projections, the Committee takes the path for oil prices given by the futures market, which is currently fairly flat. The outlook is highly uncertain but in the face of continued strong global growth, and periodic worries about supply, the risks to oil prices are probably still to the upside. And there are big uncertainties too about the future path of gas</w:t>
      </w:r>
      <w:r>
        <w:rPr>
          <w:spacing w:val="3"/>
        </w:rPr>
        <w:t> </w:t>
      </w:r>
      <w:r>
        <w:rPr/>
        <w:t>prices.</w:t>
      </w:r>
    </w:p>
    <w:p>
      <w:pPr>
        <w:spacing w:line="247" w:lineRule="auto" w:before="36"/>
        <w:ind w:left="110" w:right="143" w:firstLine="0"/>
        <w:jc w:val="left"/>
        <w:rPr>
          <w:sz w:val="19"/>
        </w:rPr>
      </w:pPr>
      <w:r>
        <w:rPr>
          <w:w w:val="105"/>
          <w:position w:val="11"/>
          <w:sz w:val="15"/>
        </w:rPr>
        <w:t>2</w:t>
      </w:r>
      <w:r>
        <w:rPr>
          <w:spacing w:val="8"/>
          <w:w w:val="105"/>
          <w:position w:val="11"/>
          <w:sz w:val="15"/>
        </w:rPr>
        <w:t> </w:t>
      </w:r>
      <w:r>
        <w:rPr>
          <w:w w:val="105"/>
          <w:sz w:val="19"/>
        </w:rPr>
        <w:t>The</w:t>
      </w:r>
      <w:r>
        <w:rPr>
          <w:spacing w:val="-12"/>
          <w:w w:val="105"/>
          <w:sz w:val="19"/>
        </w:rPr>
        <w:t> </w:t>
      </w:r>
      <w:r>
        <w:rPr>
          <w:w w:val="105"/>
          <w:sz w:val="19"/>
        </w:rPr>
        <w:t>extent</w:t>
      </w:r>
      <w:r>
        <w:rPr>
          <w:spacing w:val="-11"/>
          <w:w w:val="105"/>
          <w:sz w:val="19"/>
        </w:rPr>
        <w:t> </w:t>
      </w:r>
      <w:r>
        <w:rPr>
          <w:w w:val="105"/>
          <w:sz w:val="19"/>
        </w:rPr>
        <w:t>to</w:t>
      </w:r>
      <w:r>
        <w:rPr>
          <w:spacing w:val="-11"/>
          <w:w w:val="105"/>
          <w:sz w:val="19"/>
        </w:rPr>
        <w:t> </w:t>
      </w:r>
      <w:r>
        <w:rPr>
          <w:w w:val="105"/>
          <w:sz w:val="19"/>
        </w:rPr>
        <w:t>which</w:t>
      </w:r>
      <w:r>
        <w:rPr>
          <w:spacing w:val="-11"/>
          <w:w w:val="105"/>
          <w:sz w:val="19"/>
        </w:rPr>
        <w:t> </w:t>
      </w:r>
      <w:r>
        <w:rPr>
          <w:w w:val="105"/>
          <w:sz w:val="19"/>
        </w:rPr>
        <w:t>the</w:t>
      </w:r>
      <w:r>
        <w:rPr>
          <w:spacing w:val="-10"/>
          <w:w w:val="105"/>
          <w:sz w:val="19"/>
        </w:rPr>
        <w:t> </w:t>
      </w:r>
      <w:r>
        <w:rPr>
          <w:w w:val="105"/>
          <w:sz w:val="19"/>
        </w:rPr>
        <w:t>real</w:t>
      </w:r>
      <w:r>
        <w:rPr>
          <w:spacing w:val="-12"/>
          <w:w w:val="105"/>
          <w:sz w:val="19"/>
        </w:rPr>
        <w:t> </w:t>
      </w:r>
      <w:r>
        <w:rPr>
          <w:w w:val="105"/>
          <w:sz w:val="19"/>
        </w:rPr>
        <w:t>consumption</w:t>
      </w:r>
      <w:r>
        <w:rPr>
          <w:spacing w:val="-12"/>
          <w:w w:val="105"/>
          <w:sz w:val="19"/>
        </w:rPr>
        <w:t> </w:t>
      </w:r>
      <w:r>
        <w:rPr>
          <w:w w:val="105"/>
          <w:sz w:val="19"/>
        </w:rPr>
        <w:t>wage</w:t>
      </w:r>
      <w:r>
        <w:rPr>
          <w:spacing w:val="-10"/>
          <w:w w:val="105"/>
          <w:sz w:val="19"/>
        </w:rPr>
        <w:t> </w:t>
      </w:r>
      <w:r>
        <w:rPr>
          <w:w w:val="105"/>
          <w:sz w:val="19"/>
        </w:rPr>
        <w:t>must</w:t>
      </w:r>
      <w:r>
        <w:rPr>
          <w:spacing w:val="-11"/>
          <w:w w:val="105"/>
          <w:sz w:val="19"/>
        </w:rPr>
        <w:t> </w:t>
      </w:r>
      <w:r>
        <w:rPr>
          <w:w w:val="105"/>
          <w:sz w:val="19"/>
        </w:rPr>
        <w:t>fall</w:t>
      </w:r>
      <w:r>
        <w:rPr>
          <w:spacing w:val="-11"/>
          <w:w w:val="105"/>
          <w:sz w:val="19"/>
        </w:rPr>
        <w:t> </w:t>
      </w:r>
      <w:r>
        <w:rPr>
          <w:w w:val="105"/>
          <w:sz w:val="19"/>
        </w:rPr>
        <w:t>depends</w:t>
      </w:r>
      <w:r>
        <w:rPr>
          <w:spacing w:val="-11"/>
          <w:w w:val="105"/>
          <w:sz w:val="19"/>
        </w:rPr>
        <w:t> </w:t>
      </w:r>
      <w:r>
        <w:rPr>
          <w:w w:val="105"/>
          <w:sz w:val="19"/>
        </w:rPr>
        <w:t>on</w:t>
      </w:r>
      <w:r>
        <w:rPr>
          <w:spacing w:val="-12"/>
          <w:w w:val="105"/>
          <w:sz w:val="19"/>
        </w:rPr>
        <w:t> </w:t>
      </w:r>
      <w:r>
        <w:rPr>
          <w:w w:val="105"/>
          <w:sz w:val="19"/>
        </w:rPr>
        <w:t>the</w:t>
      </w:r>
      <w:r>
        <w:rPr>
          <w:spacing w:val="-11"/>
          <w:w w:val="105"/>
          <w:sz w:val="19"/>
        </w:rPr>
        <w:t> </w:t>
      </w:r>
      <w:r>
        <w:rPr>
          <w:w w:val="105"/>
          <w:sz w:val="19"/>
        </w:rPr>
        <w:t>size</w:t>
      </w:r>
      <w:r>
        <w:rPr>
          <w:spacing w:val="-11"/>
          <w:w w:val="105"/>
          <w:sz w:val="19"/>
        </w:rPr>
        <w:t> </w:t>
      </w:r>
      <w:r>
        <w:rPr>
          <w:w w:val="105"/>
          <w:sz w:val="19"/>
        </w:rPr>
        <w:t>of</w:t>
      </w:r>
      <w:r>
        <w:rPr>
          <w:spacing w:val="-12"/>
          <w:w w:val="105"/>
          <w:sz w:val="19"/>
        </w:rPr>
        <w:t> </w:t>
      </w:r>
      <w:r>
        <w:rPr>
          <w:w w:val="105"/>
          <w:sz w:val="19"/>
        </w:rPr>
        <w:t>the</w:t>
      </w:r>
      <w:r>
        <w:rPr>
          <w:spacing w:val="-11"/>
          <w:w w:val="105"/>
          <w:sz w:val="19"/>
        </w:rPr>
        <w:t> </w:t>
      </w:r>
      <w:r>
        <w:rPr>
          <w:w w:val="105"/>
          <w:sz w:val="19"/>
        </w:rPr>
        <w:t>oil</w:t>
      </w:r>
      <w:r>
        <w:rPr>
          <w:spacing w:val="-11"/>
          <w:w w:val="105"/>
          <w:sz w:val="19"/>
        </w:rPr>
        <w:t> </w:t>
      </w:r>
      <w:r>
        <w:rPr>
          <w:w w:val="105"/>
          <w:sz w:val="19"/>
        </w:rPr>
        <w:t>price</w:t>
      </w:r>
      <w:r>
        <w:rPr>
          <w:spacing w:val="-11"/>
          <w:w w:val="105"/>
          <w:sz w:val="19"/>
        </w:rPr>
        <w:t> </w:t>
      </w:r>
      <w:r>
        <w:rPr>
          <w:w w:val="105"/>
          <w:sz w:val="19"/>
        </w:rPr>
        <w:t>change,</w:t>
      </w:r>
      <w:r>
        <w:rPr>
          <w:spacing w:val="-11"/>
          <w:w w:val="105"/>
          <w:sz w:val="19"/>
        </w:rPr>
        <w:t> </w:t>
      </w:r>
      <w:r>
        <w:rPr>
          <w:w w:val="105"/>
          <w:sz w:val="19"/>
        </w:rPr>
        <w:t>the</w:t>
      </w:r>
      <w:r>
        <w:rPr>
          <w:spacing w:val="-10"/>
          <w:w w:val="105"/>
          <w:sz w:val="19"/>
        </w:rPr>
        <w:t> </w:t>
      </w:r>
      <w:r>
        <w:rPr>
          <w:w w:val="105"/>
          <w:sz w:val="19"/>
        </w:rPr>
        <w:t>shares</w:t>
      </w:r>
      <w:r>
        <w:rPr>
          <w:spacing w:val="-10"/>
          <w:w w:val="105"/>
          <w:sz w:val="19"/>
        </w:rPr>
        <w:t> </w:t>
      </w:r>
      <w:r>
        <w:rPr>
          <w:w w:val="105"/>
          <w:sz w:val="19"/>
        </w:rPr>
        <w:t>of</w:t>
      </w:r>
      <w:r>
        <w:rPr>
          <w:spacing w:val="-12"/>
          <w:w w:val="105"/>
          <w:sz w:val="19"/>
        </w:rPr>
        <w:t> </w:t>
      </w:r>
      <w:r>
        <w:rPr>
          <w:w w:val="105"/>
          <w:sz w:val="19"/>
        </w:rPr>
        <w:t>oil and</w:t>
      </w:r>
      <w:r>
        <w:rPr>
          <w:spacing w:val="-16"/>
          <w:w w:val="105"/>
          <w:sz w:val="19"/>
        </w:rPr>
        <w:t> </w:t>
      </w:r>
      <w:r>
        <w:rPr>
          <w:w w:val="105"/>
          <w:sz w:val="19"/>
        </w:rPr>
        <w:t>labour</w:t>
      </w:r>
      <w:r>
        <w:rPr>
          <w:spacing w:val="-16"/>
          <w:w w:val="105"/>
          <w:sz w:val="19"/>
        </w:rPr>
        <w:t> </w:t>
      </w:r>
      <w:r>
        <w:rPr>
          <w:w w:val="105"/>
          <w:sz w:val="19"/>
        </w:rPr>
        <w:t>in</w:t>
      </w:r>
      <w:r>
        <w:rPr>
          <w:spacing w:val="-16"/>
          <w:w w:val="105"/>
          <w:sz w:val="19"/>
        </w:rPr>
        <w:t> </w:t>
      </w:r>
      <w:r>
        <w:rPr>
          <w:w w:val="105"/>
          <w:sz w:val="19"/>
        </w:rPr>
        <w:t>gross</w:t>
      </w:r>
      <w:r>
        <w:rPr>
          <w:spacing w:val="-16"/>
          <w:w w:val="105"/>
          <w:sz w:val="19"/>
        </w:rPr>
        <w:t> </w:t>
      </w:r>
      <w:r>
        <w:rPr>
          <w:w w:val="105"/>
          <w:sz w:val="19"/>
        </w:rPr>
        <w:t>output</w:t>
      </w:r>
      <w:r>
        <w:rPr>
          <w:spacing w:val="-15"/>
          <w:w w:val="105"/>
          <w:sz w:val="19"/>
        </w:rPr>
        <w:t> </w:t>
      </w:r>
      <w:r>
        <w:rPr>
          <w:w w:val="105"/>
          <w:sz w:val="19"/>
        </w:rPr>
        <w:t>and</w:t>
      </w:r>
      <w:r>
        <w:rPr>
          <w:spacing w:val="-15"/>
          <w:w w:val="105"/>
          <w:sz w:val="19"/>
        </w:rPr>
        <w:t> </w:t>
      </w:r>
      <w:r>
        <w:rPr>
          <w:w w:val="105"/>
          <w:sz w:val="19"/>
        </w:rPr>
        <w:t>the</w:t>
      </w:r>
      <w:r>
        <w:rPr>
          <w:spacing w:val="-16"/>
          <w:w w:val="105"/>
          <w:sz w:val="19"/>
        </w:rPr>
        <w:t> </w:t>
      </w:r>
      <w:r>
        <w:rPr>
          <w:w w:val="105"/>
          <w:sz w:val="19"/>
        </w:rPr>
        <w:t>degree</w:t>
      </w:r>
      <w:r>
        <w:rPr>
          <w:spacing w:val="-16"/>
          <w:w w:val="105"/>
          <w:sz w:val="19"/>
        </w:rPr>
        <w:t> </w:t>
      </w:r>
      <w:r>
        <w:rPr>
          <w:w w:val="105"/>
          <w:sz w:val="19"/>
        </w:rPr>
        <w:t>of</w:t>
      </w:r>
      <w:r>
        <w:rPr>
          <w:spacing w:val="-17"/>
          <w:w w:val="105"/>
          <w:sz w:val="19"/>
        </w:rPr>
        <w:t> </w:t>
      </w:r>
      <w:r>
        <w:rPr>
          <w:w w:val="105"/>
          <w:sz w:val="19"/>
        </w:rPr>
        <w:t>complementarity</w:t>
      </w:r>
      <w:r>
        <w:rPr>
          <w:spacing w:val="-15"/>
          <w:w w:val="105"/>
          <w:sz w:val="19"/>
        </w:rPr>
        <w:t> </w:t>
      </w:r>
      <w:r>
        <w:rPr>
          <w:w w:val="105"/>
          <w:sz w:val="19"/>
        </w:rPr>
        <w:t>between</w:t>
      </w:r>
      <w:r>
        <w:rPr>
          <w:spacing w:val="-15"/>
          <w:w w:val="105"/>
          <w:sz w:val="19"/>
        </w:rPr>
        <w:t> </w:t>
      </w:r>
      <w:r>
        <w:rPr>
          <w:w w:val="105"/>
          <w:sz w:val="19"/>
        </w:rPr>
        <w:t>factors</w:t>
      </w:r>
      <w:r>
        <w:rPr>
          <w:spacing w:val="-16"/>
          <w:w w:val="105"/>
          <w:sz w:val="19"/>
        </w:rPr>
        <w:t> </w:t>
      </w:r>
      <w:r>
        <w:rPr>
          <w:w w:val="105"/>
          <w:sz w:val="19"/>
        </w:rPr>
        <w:t>of</w:t>
      </w:r>
      <w:r>
        <w:rPr>
          <w:spacing w:val="-16"/>
          <w:w w:val="105"/>
          <w:sz w:val="19"/>
        </w:rPr>
        <w:t> </w:t>
      </w:r>
      <w:r>
        <w:rPr>
          <w:w w:val="105"/>
          <w:sz w:val="19"/>
        </w:rPr>
        <w:t>production.</w:t>
      </w:r>
      <w:r>
        <w:rPr>
          <w:spacing w:val="-16"/>
          <w:w w:val="105"/>
          <w:sz w:val="19"/>
        </w:rPr>
        <w:t> </w:t>
      </w:r>
      <w:r>
        <w:rPr>
          <w:w w:val="105"/>
          <w:sz w:val="19"/>
        </w:rPr>
        <w:t>Following</w:t>
      </w:r>
      <w:r>
        <w:rPr>
          <w:spacing w:val="-15"/>
          <w:w w:val="105"/>
          <w:sz w:val="19"/>
        </w:rPr>
        <w:t> </w:t>
      </w:r>
      <w:r>
        <w:rPr>
          <w:w w:val="105"/>
          <w:sz w:val="19"/>
        </w:rPr>
        <w:t>a</w:t>
      </w:r>
      <w:r>
        <w:rPr>
          <w:spacing w:val="-16"/>
          <w:w w:val="105"/>
          <w:sz w:val="19"/>
        </w:rPr>
        <w:t> </w:t>
      </w:r>
      <w:r>
        <w:rPr>
          <w:w w:val="105"/>
          <w:sz w:val="19"/>
        </w:rPr>
        <w:t>doubling</w:t>
      </w:r>
      <w:r>
        <w:rPr>
          <w:spacing w:val="-16"/>
          <w:w w:val="105"/>
          <w:sz w:val="19"/>
        </w:rPr>
        <w:t> </w:t>
      </w:r>
      <w:r>
        <w:rPr>
          <w:w w:val="105"/>
          <w:sz w:val="19"/>
        </w:rPr>
        <w:t>in</w:t>
      </w:r>
      <w:r>
        <w:rPr>
          <w:spacing w:val="-16"/>
          <w:w w:val="105"/>
          <w:sz w:val="19"/>
        </w:rPr>
        <w:t> </w:t>
      </w:r>
      <w:r>
        <w:rPr>
          <w:w w:val="105"/>
          <w:sz w:val="19"/>
        </w:rPr>
        <w:t>oil prices,</w:t>
      </w:r>
      <w:r>
        <w:rPr>
          <w:spacing w:val="-13"/>
          <w:w w:val="105"/>
          <w:sz w:val="19"/>
        </w:rPr>
        <w:t> </w:t>
      </w:r>
      <w:r>
        <w:rPr>
          <w:w w:val="105"/>
          <w:sz w:val="19"/>
        </w:rPr>
        <w:t>estimates</w:t>
      </w:r>
      <w:r>
        <w:rPr>
          <w:spacing w:val="-13"/>
          <w:w w:val="105"/>
          <w:sz w:val="19"/>
        </w:rPr>
        <w:t> </w:t>
      </w:r>
      <w:r>
        <w:rPr>
          <w:w w:val="105"/>
          <w:sz w:val="19"/>
        </w:rPr>
        <w:t>of</w:t>
      </w:r>
      <w:r>
        <w:rPr>
          <w:spacing w:val="-14"/>
          <w:w w:val="105"/>
          <w:sz w:val="19"/>
        </w:rPr>
        <w:t> </w:t>
      </w:r>
      <w:r>
        <w:rPr>
          <w:w w:val="105"/>
          <w:sz w:val="19"/>
        </w:rPr>
        <w:t>the</w:t>
      </w:r>
      <w:r>
        <w:rPr>
          <w:spacing w:val="-12"/>
          <w:w w:val="105"/>
          <w:sz w:val="19"/>
        </w:rPr>
        <w:t> </w:t>
      </w:r>
      <w:r>
        <w:rPr>
          <w:w w:val="105"/>
          <w:sz w:val="19"/>
        </w:rPr>
        <w:t>required</w:t>
      </w:r>
      <w:r>
        <w:rPr>
          <w:spacing w:val="-14"/>
          <w:w w:val="105"/>
          <w:sz w:val="19"/>
        </w:rPr>
        <w:t> </w:t>
      </w:r>
      <w:r>
        <w:rPr>
          <w:w w:val="105"/>
          <w:sz w:val="19"/>
        </w:rPr>
        <w:t>fall</w:t>
      </w:r>
      <w:r>
        <w:rPr>
          <w:spacing w:val="-12"/>
          <w:w w:val="105"/>
          <w:sz w:val="19"/>
        </w:rPr>
        <w:t> </w:t>
      </w:r>
      <w:r>
        <w:rPr>
          <w:w w:val="105"/>
          <w:sz w:val="19"/>
        </w:rPr>
        <w:t>in</w:t>
      </w:r>
      <w:r>
        <w:rPr>
          <w:spacing w:val="-14"/>
          <w:w w:val="105"/>
          <w:sz w:val="19"/>
        </w:rPr>
        <w:t> </w:t>
      </w:r>
      <w:r>
        <w:rPr>
          <w:w w:val="105"/>
          <w:sz w:val="19"/>
        </w:rPr>
        <w:t>the</w:t>
      </w:r>
      <w:r>
        <w:rPr>
          <w:spacing w:val="-12"/>
          <w:w w:val="105"/>
          <w:sz w:val="19"/>
        </w:rPr>
        <w:t> </w:t>
      </w:r>
      <w:r>
        <w:rPr>
          <w:w w:val="105"/>
          <w:sz w:val="19"/>
        </w:rPr>
        <w:t>real</w:t>
      </w:r>
      <w:r>
        <w:rPr>
          <w:spacing w:val="-14"/>
          <w:w w:val="105"/>
          <w:sz w:val="19"/>
        </w:rPr>
        <w:t> </w:t>
      </w:r>
      <w:r>
        <w:rPr>
          <w:w w:val="105"/>
          <w:sz w:val="19"/>
        </w:rPr>
        <w:t>consumption</w:t>
      </w:r>
      <w:r>
        <w:rPr>
          <w:spacing w:val="-11"/>
          <w:w w:val="105"/>
          <w:sz w:val="19"/>
        </w:rPr>
        <w:t> </w:t>
      </w:r>
      <w:r>
        <w:rPr>
          <w:w w:val="105"/>
          <w:sz w:val="19"/>
        </w:rPr>
        <w:t>wage</w:t>
      </w:r>
      <w:r>
        <w:rPr>
          <w:spacing w:val="-13"/>
          <w:w w:val="105"/>
          <w:sz w:val="19"/>
        </w:rPr>
        <w:t> </w:t>
      </w:r>
      <w:r>
        <w:rPr>
          <w:w w:val="105"/>
          <w:sz w:val="19"/>
        </w:rPr>
        <w:t>to</w:t>
      </w:r>
      <w:r>
        <w:rPr>
          <w:spacing w:val="-12"/>
          <w:w w:val="105"/>
          <w:sz w:val="19"/>
        </w:rPr>
        <w:t> </w:t>
      </w:r>
      <w:r>
        <w:rPr>
          <w:w w:val="105"/>
          <w:sz w:val="19"/>
        </w:rPr>
        <w:t>maintain</w:t>
      </w:r>
      <w:r>
        <w:rPr>
          <w:spacing w:val="-12"/>
          <w:w w:val="105"/>
          <w:sz w:val="19"/>
        </w:rPr>
        <w:t> </w:t>
      </w:r>
      <w:r>
        <w:rPr>
          <w:w w:val="105"/>
          <w:sz w:val="19"/>
        </w:rPr>
        <w:t>employment</w:t>
      </w:r>
      <w:r>
        <w:rPr>
          <w:spacing w:val="-13"/>
          <w:w w:val="105"/>
          <w:sz w:val="19"/>
        </w:rPr>
        <w:t> </w:t>
      </w:r>
      <w:r>
        <w:rPr>
          <w:w w:val="105"/>
          <w:sz w:val="19"/>
        </w:rPr>
        <w:t>range</w:t>
      </w:r>
      <w:r>
        <w:rPr>
          <w:spacing w:val="-12"/>
          <w:w w:val="105"/>
          <w:sz w:val="19"/>
        </w:rPr>
        <w:t> </w:t>
      </w:r>
      <w:r>
        <w:rPr>
          <w:w w:val="105"/>
          <w:sz w:val="19"/>
        </w:rPr>
        <w:t>from</w:t>
      </w:r>
      <w:r>
        <w:rPr>
          <w:spacing w:val="-13"/>
          <w:w w:val="105"/>
          <w:sz w:val="19"/>
        </w:rPr>
        <w:t> </w:t>
      </w:r>
      <w:r>
        <w:rPr>
          <w:w w:val="105"/>
          <w:sz w:val="19"/>
        </w:rPr>
        <w:t>1</w:t>
      </w:r>
      <w:r>
        <w:rPr>
          <w:spacing w:val="-14"/>
          <w:w w:val="105"/>
          <w:sz w:val="19"/>
        </w:rPr>
        <w:t> </w:t>
      </w:r>
      <w:r>
        <w:rPr>
          <w:w w:val="105"/>
          <w:sz w:val="19"/>
        </w:rPr>
        <w:t>per</w:t>
      </w:r>
      <w:r>
        <w:rPr>
          <w:spacing w:val="-12"/>
          <w:w w:val="105"/>
          <w:sz w:val="19"/>
        </w:rPr>
        <w:t> </w:t>
      </w:r>
      <w:r>
        <w:rPr>
          <w:w w:val="105"/>
          <w:sz w:val="19"/>
        </w:rPr>
        <w:t>cent</w:t>
      </w:r>
      <w:r>
        <w:rPr>
          <w:spacing w:val="-14"/>
          <w:w w:val="105"/>
          <w:sz w:val="19"/>
        </w:rPr>
        <w:t> </w:t>
      </w:r>
      <w:r>
        <w:rPr>
          <w:w w:val="105"/>
          <w:sz w:val="19"/>
        </w:rPr>
        <w:t>to</w:t>
      </w:r>
      <w:r>
        <w:rPr>
          <w:spacing w:val="-12"/>
          <w:w w:val="105"/>
          <w:sz w:val="19"/>
        </w:rPr>
        <w:t> </w:t>
      </w:r>
      <w:r>
        <w:rPr>
          <w:w w:val="105"/>
          <w:sz w:val="19"/>
        </w:rPr>
        <w:t>2½ per cent. The required fall in the real consumption wage depends on how easily producers can compensate for higher energy prices by substituting away from energy. The smallest fall in the real wage would be generated if energy use could be adjusted flexibly so as to keep the energy share of gross revenue unchanged. The largest fall in the real wage would</w:t>
      </w:r>
      <w:r>
        <w:rPr>
          <w:spacing w:val="-14"/>
          <w:w w:val="105"/>
          <w:sz w:val="19"/>
        </w:rPr>
        <w:t> </w:t>
      </w:r>
      <w:r>
        <w:rPr>
          <w:w w:val="105"/>
          <w:sz w:val="19"/>
        </w:rPr>
        <w:t>be</w:t>
      </w:r>
      <w:r>
        <w:rPr>
          <w:spacing w:val="-13"/>
          <w:w w:val="105"/>
          <w:sz w:val="19"/>
        </w:rPr>
        <w:t> </w:t>
      </w:r>
      <w:r>
        <w:rPr>
          <w:w w:val="105"/>
          <w:sz w:val="19"/>
        </w:rPr>
        <w:t>implied</w:t>
      </w:r>
      <w:r>
        <w:rPr>
          <w:spacing w:val="-13"/>
          <w:w w:val="105"/>
          <w:sz w:val="19"/>
        </w:rPr>
        <w:t> </w:t>
      </w:r>
      <w:r>
        <w:rPr>
          <w:w w:val="105"/>
          <w:sz w:val="19"/>
        </w:rPr>
        <w:t>if</w:t>
      </w:r>
      <w:r>
        <w:rPr>
          <w:spacing w:val="-13"/>
          <w:w w:val="105"/>
          <w:sz w:val="19"/>
        </w:rPr>
        <w:t> </w:t>
      </w:r>
      <w:r>
        <w:rPr>
          <w:w w:val="105"/>
          <w:sz w:val="19"/>
        </w:rPr>
        <w:t>instead</w:t>
      </w:r>
      <w:r>
        <w:rPr>
          <w:spacing w:val="-14"/>
          <w:w w:val="105"/>
          <w:sz w:val="19"/>
        </w:rPr>
        <w:t> </w:t>
      </w:r>
      <w:r>
        <w:rPr>
          <w:w w:val="105"/>
          <w:sz w:val="19"/>
        </w:rPr>
        <w:t>the</w:t>
      </w:r>
      <w:r>
        <w:rPr>
          <w:spacing w:val="-13"/>
          <w:w w:val="105"/>
          <w:sz w:val="19"/>
        </w:rPr>
        <w:t> </w:t>
      </w:r>
      <w:r>
        <w:rPr>
          <w:w w:val="105"/>
          <w:sz w:val="19"/>
        </w:rPr>
        <w:t>quantity</w:t>
      </w:r>
      <w:r>
        <w:rPr>
          <w:spacing w:val="-12"/>
          <w:w w:val="105"/>
          <w:sz w:val="19"/>
        </w:rPr>
        <w:t> </w:t>
      </w:r>
      <w:r>
        <w:rPr>
          <w:w w:val="105"/>
          <w:sz w:val="19"/>
        </w:rPr>
        <w:t>of</w:t>
      </w:r>
      <w:r>
        <w:rPr>
          <w:spacing w:val="-13"/>
          <w:w w:val="105"/>
          <w:sz w:val="19"/>
        </w:rPr>
        <w:t> </w:t>
      </w:r>
      <w:r>
        <w:rPr>
          <w:w w:val="105"/>
          <w:sz w:val="19"/>
        </w:rPr>
        <w:t>energy</w:t>
      </w:r>
      <w:r>
        <w:rPr>
          <w:spacing w:val="-12"/>
          <w:w w:val="105"/>
          <w:sz w:val="19"/>
        </w:rPr>
        <w:t> </w:t>
      </w:r>
      <w:r>
        <w:rPr>
          <w:w w:val="105"/>
          <w:sz w:val="19"/>
        </w:rPr>
        <w:t>inputs</w:t>
      </w:r>
      <w:r>
        <w:rPr>
          <w:spacing w:val="-13"/>
          <w:w w:val="105"/>
          <w:sz w:val="19"/>
        </w:rPr>
        <w:t> </w:t>
      </w:r>
      <w:r>
        <w:rPr>
          <w:w w:val="105"/>
          <w:sz w:val="19"/>
        </w:rPr>
        <w:t>had</w:t>
      </w:r>
      <w:r>
        <w:rPr>
          <w:spacing w:val="-13"/>
          <w:w w:val="105"/>
          <w:sz w:val="19"/>
        </w:rPr>
        <w:t> </w:t>
      </w:r>
      <w:r>
        <w:rPr>
          <w:w w:val="105"/>
          <w:sz w:val="19"/>
        </w:rPr>
        <w:t>to</w:t>
      </w:r>
      <w:r>
        <w:rPr>
          <w:spacing w:val="-14"/>
          <w:w w:val="105"/>
          <w:sz w:val="19"/>
        </w:rPr>
        <w:t> </w:t>
      </w:r>
      <w:r>
        <w:rPr>
          <w:w w:val="105"/>
          <w:sz w:val="19"/>
        </w:rPr>
        <w:t>be</w:t>
      </w:r>
      <w:r>
        <w:rPr>
          <w:spacing w:val="-12"/>
          <w:w w:val="105"/>
          <w:sz w:val="19"/>
        </w:rPr>
        <w:t> </w:t>
      </w:r>
      <w:r>
        <w:rPr>
          <w:w w:val="105"/>
          <w:sz w:val="19"/>
        </w:rPr>
        <w:t>used</w:t>
      </w:r>
      <w:r>
        <w:rPr>
          <w:spacing w:val="-14"/>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fixed</w:t>
      </w:r>
      <w:r>
        <w:rPr>
          <w:spacing w:val="-13"/>
          <w:w w:val="105"/>
          <w:sz w:val="19"/>
        </w:rPr>
        <w:t> </w:t>
      </w:r>
      <w:r>
        <w:rPr>
          <w:w w:val="105"/>
          <w:sz w:val="19"/>
        </w:rPr>
        <w:t>proportion</w:t>
      </w:r>
      <w:r>
        <w:rPr>
          <w:spacing w:val="-14"/>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output</w:t>
      </w:r>
      <w:r>
        <w:rPr>
          <w:spacing w:val="-13"/>
          <w:w w:val="105"/>
          <w:sz w:val="19"/>
        </w:rPr>
        <w:t> </w:t>
      </w:r>
      <w:r>
        <w:rPr>
          <w:w w:val="105"/>
          <w:sz w:val="19"/>
        </w:rPr>
        <w:t>produced.</w:t>
      </w:r>
      <w:r>
        <w:rPr>
          <w:spacing w:val="-13"/>
          <w:w w:val="105"/>
          <w:sz w:val="19"/>
        </w:rPr>
        <w:t> </w:t>
      </w:r>
      <w:r>
        <w:rPr>
          <w:w w:val="105"/>
          <w:sz w:val="19"/>
        </w:rPr>
        <w:t>For further details, see reference in footnote</w:t>
      </w:r>
      <w:r>
        <w:rPr>
          <w:spacing w:val="-13"/>
          <w:w w:val="105"/>
          <w:sz w:val="19"/>
        </w:rPr>
        <w:t> </w:t>
      </w:r>
      <w:r>
        <w:rPr>
          <w:w w:val="105"/>
          <w:sz w:val="19"/>
        </w:rPr>
        <w:t>1.</w:t>
      </w:r>
    </w:p>
    <w:p>
      <w:pPr>
        <w:spacing w:after="0" w:line="247" w:lineRule="auto"/>
        <w:jc w:val="left"/>
        <w:rPr>
          <w:sz w:val="19"/>
        </w:rPr>
        <w:sectPr>
          <w:pgSz w:w="11900" w:h="16840"/>
          <w:pgMar w:top="1600" w:bottom="280" w:left="1640" w:right="580"/>
        </w:sectPr>
      </w:pPr>
    </w:p>
    <w:p>
      <w:pPr>
        <w:pStyle w:val="BodyText"/>
        <w:rPr>
          <w:sz w:val="20"/>
        </w:rPr>
      </w:pPr>
    </w:p>
    <w:p>
      <w:pPr>
        <w:pStyle w:val="BodyText"/>
        <w:rPr>
          <w:sz w:val="20"/>
        </w:rPr>
      </w:pPr>
    </w:p>
    <w:p>
      <w:pPr>
        <w:pStyle w:val="BodyText"/>
        <w:rPr>
          <w:sz w:val="20"/>
        </w:rPr>
      </w:pPr>
    </w:p>
    <w:p>
      <w:pPr>
        <w:pStyle w:val="BodyText"/>
        <w:spacing w:line="364" w:lineRule="auto" w:before="227"/>
        <w:ind w:left="110" w:right="212"/>
      </w:pPr>
      <w:r>
        <w:rPr/>
        <w:t>After several years in which the level of UK import prices had been broadly stable, import price inflation has turned positive over the past eighteen months. This mirrors trends in export price inflation in the major industrialised economies, as well as China, and it is not just a reflection of higher energy prices. In making its forecasts the Committee assumed a fairly sharp deceleration in non-energy export price inflation in the major economies, and hence in UK import price inflation. I am concerned that this may not materialise to the extent assumed in the central projection, without a slowdown in the pace of global activity first.</w:t>
      </w:r>
    </w:p>
    <w:p>
      <w:pPr>
        <w:pStyle w:val="BodyText"/>
        <w:spacing w:before="6"/>
        <w:rPr>
          <w:sz w:val="35"/>
        </w:rPr>
      </w:pPr>
    </w:p>
    <w:p>
      <w:pPr>
        <w:pStyle w:val="BodyText"/>
        <w:spacing w:line="364" w:lineRule="auto"/>
        <w:ind w:left="110" w:right="290"/>
      </w:pPr>
      <w:r>
        <w:rPr/>
        <w:t>The Monetary Policy Committee has little influence over any of these external price pressures but they could nevertheless have an important bearing on the chances of meeting the inflation target.</w:t>
      </w:r>
    </w:p>
    <w:p>
      <w:pPr>
        <w:pStyle w:val="BodyText"/>
        <w:rPr>
          <w:sz w:val="35"/>
        </w:rPr>
      </w:pPr>
    </w:p>
    <w:p>
      <w:pPr>
        <w:pStyle w:val="BodyText"/>
        <w:spacing w:line="364" w:lineRule="auto" w:before="1"/>
        <w:ind w:left="110" w:right="219"/>
      </w:pPr>
      <w:r>
        <w:rPr/>
        <w:t>A fourth concern relates to the stability of inflation expectations. These have drifted upwards a little this year according to various surveys of households’ expectations. There has also been a rise of about 30 basis points over the past six months or so in 5 year forward breakeven inflation rates from the gilts market (see Chart 3). While these movements are not dramatic, they cannot be dismissed either. With growth moving above trend and a risk of higher imported inflation, there is an increased likelihood of a further shift upwards in inflation</w:t>
      </w:r>
      <w:r>
        <w:rPr>
          <w:spacing w:val="7"/>
        </w:rPr>
        <w:t> </w:t>
      </w:r>
      <w:r>
        <w:rPr/>
        <w:t>expectations.</w:t>
      </w:r>
    </w:p>
    <w:p>
      <w:pPr>
        <w:pStyle w:val="BodyText"/>
        <w:spacing w:before="7"/>
        <w:rPr>
          <w:sz w:val="27"/>
        </w:rPr>
      </w:pPr>
    </w:p>
    <w:p>
      <w:pPr>
        <w:pStyle w:val="Heading1"/>
        <w:spacing w:before="90"/>
      </w:pPr>
      <w:r>
        <w:rPr/>
        <w:t>Chart 3. Inflation expectations</w:t>
      </w:r>
    </w:p>
    <w:p>
      <w:pPr>
        <w:spacing w:line="213" w:lineRule="exact" w:before="127"/>
        <w:ind w:left="5926" w:right="0" w:firstLine="0"/>
        <w:jc w:val="left"/>
        <w:rPr>
          <w:b/>
          <w:sz w:val="19"/>
        </w:rPr>
      </w:pPr>
      <w:r>
        <w:rPr/>
        <w:pict>
          <v:group style="position:absolute;margin-left:173.348007pt;margin-top:15.656708pt;width:232.15pt;height:132.450pt;mso-position-horizontal-relative:page;mso-position-vertical-relative:paragraph;z-index:251667456" coordorigin="3467,313" coordsize="4643,2649">
            <v:shape style="position:absolute;left:3478;top:426;width:4631;height:2535" coordorigin="3479,427" coordsize="4631,2535" path="m8051,427l8051,2961m8051,2961l8110,2961m8051,2712l8110,2712m8051,2451l8110,2451m8051,2203l8110,2203m8051,1942l8110,1942m8051,1694l8110,1694m8051,1444l8110,1444m8051,1184l8110,1184m8051,936l8110,936m8051,675l8110,675m8051,427l8110,427m3479,2961l8051,2961m3479,2961l3479,2901m3965,2961l3965,2901m4462,2961l4462,2901m4948,2961l4948,2901m5434,2961l5434,2901m5918,2961l5918,2901m6416,2961l6416,2901m6901,2961l6901,2901m7387,2961l7387,2901m7885,2961l7885,2901e" filled="false" stroked="true" strokeweight=".06pt" strokecolor="#000000">
              <v:path arrowok="t"/>
              <v:stroke dashstyle="solid"/>
            </v:shape>
            <v:shape style="position:absolute;left:3466;top:592;width:4584;height:1623" type="#_x0000_t75" stroked="false">
              <v:imagedata r:id="rId8" o:title=""/>
            </v:shape>
            <v:shape style="position:absolute;left:3740;top:313;width:2852;height:210" type="#_x0000_t202" filled="false" stroked="false">
              <v:textbox inset="0,0,0,0">
                <w:txbxContent>
                  <w:p>
                    <w:pPr>
                      <w:spacing w:line="210" w:lineRule="exact" w:before="0"/>
                      <w:ind w:left="0" w:right="0" w:firstLine="0"/>
                      <w:jc w:val="left"/>
                      <w:rPr>
                        <w:b/>
                        <w:sz w:val="19"/>
                      </w:rPr>
                    </w:pPr>
                    <w:r>
                      <w:rPr>
                        <w:b/>
                        <w:color w:val="000080"/>
                        <w:spacing w:val="-11"/>
                        <w:w w:val="105"/>
                        <w:sz w:val="19"/>
                      </w:rPr>
                      <w:t>Implied </w:t>
                    </w:r>
                    <w:r>
                      <w:rPr>
                        <w:b/>
                        <w:color w:val="000080"/>
                        <w:w w:val="105"/>
                        <w:sz w:val="19"/>
                      </w:rPr>
                      <w:t>5 </w:t>
                    </w:r>
                    <w:r>
                      <w:rPr>
                        <w:b/>
                        <w:color w:val="000080"/>
                        <w:spacing w:val="-3"/>
                        <w:w w:val="105"/>
                        <w:sz w:val="19"/>
                      </w:rPr>
                      <w:t>year </w:t>
                    </w:r>
                    <w:r>
                      <w:rPr>
                        <w:b/>
                        <w:color w:val="000080"/>
                        <w:spacing w:val="-14"/>
                        <w:w w:val="105"/>
                        <w:sz w:val="19"/>
                      </w:rPr>
                      <w:t>forward </w:t>
                    </w:r>
                    <w:r>
                      <w:rPr>
                        <w:b/>
                        <w:color w:val="000080"/>
                        <w:spacing w:val="-9"/>
                        <w:w w:val="105"/>
                        <w:sz w:val="19"/>
                      </w:rPr>
                      <w:t>inflation </w:t>
                    </w:r>
                    <w:r>
                      <w:rPr>
                        <w:b/>
                        <w:color w:val="000080"/>
                        <w:spacing w:val="-11"/>
                        <w:w w:val="105"/>
                        <w:sz w:val="19"/>
                      </w:rPr>
                      <w:t>rate</w:t>
                    </w:r>
                  </w:p>
                </w:txbxContent>
              </v:textbox>
              <w10:wrap type="none"/>
            </v:shape>
            <v:shape style="position:absolute;left:6274;top:2089;width:1604;height:459" type="#_x0000_t202" filled="false" stroked="false">
              <v:textbox inset="0,0,0,0">
                <w:txbxContent>
                  <w:p>
                    <w:pPr>
                      <w:spacing w:line="210" w:lineRule="exact" w:before="0"/>
                      <w:ind w:left="0" w:right="0" w:firstLine="0"/>
                      <w:jc w:val="left"/>
                      <w:rPr>
                        <w:b/>
                        <w:sz w:val="19"/>
                      </w:rPr>
                    </w:pPr>
                    <w:r>
                      <w:rPr>
                        <w:b/>
                        <w:color w:val="FF00FF"/>
                        <w:w w:val="105"/>
                        <w:sz w:val="19"/>
                      </w:rPr>
                      <w:t>BoE/NOP public</w:t>
                    </w:r>
                  </w:p>
                  <w:p>
                    <w:pPr>
                      <w:spacing w:before="30"/>
                      <w:ind w:left="0" w:right="0" w:firstLine="0"/>
                      <w:jc w:val="left"/>
                      <w:rPr>
                        <w:b/>
                        <w:sz w:val="19"/>
                      </w:rPr>
                    </w:pPr>
                    <w:r>
                      <w:rPr>
                        <w:b/>
                        <w:color w:val="FF00FF"/>
                        <w:spacing w:val="-9"/>
                        <w:w w:val="105"/>
                        <w:sz w:val="19"/>
                      </w:rPr>
                      <w:t>attitudes </w:t>
                    </w:r>
                    <w:r>
                      <w:rPr>
                        <w:b/>
                        <w:color w:val="FF00FF"/>
                        <w:spacing w:val="-5"/>
                        <w:w w:val="105"/>
                        <w:sz w:val="19"/>
                      </w:rPr>
                      <w:t>to</w:t>
                    </w:r>
                    <w:r>
                      <w:rPr>
                        <w:b/>
                        <w:color w:val="FF00FF"/>
                        <w:spacing w:val="-10"/>
                        <w:w w:val="105"/>
                        <w:sz w:val="19"/>
                      </w:rPr>
                      <w:t> inflation</w:t>
                    </w:r>
                  </w:p>
                </w:txbxContent>
              </v:textbox>
              <w10:wrap type="none"/>
            </v:shape>
            <w10:wrap type="none"/>
          </v:group>
        </w:pict>
      </w:r>
      <w:r>
        <w:rPr>
          <w:b/>
          <w:w w:val="105"/>
          <w:sz w:val="19"/>
        </w:rPr>
        <w:t>Per cent</w:t>
      </w:r>
    </w:p>
    <w:p>
      <w:pPr>
        <w:spacing w:line="190" w:lineRule="exact" w:before="0"/>
        <w:ind w:left="0" w:right="2888" w:firstLine="0"/>
        <w:jc w:val="right"/>
        <w:rPr>
          <w:b/>
          <w:sz w:val="17"/>
        </w:rPr>
      </w:pPr>
      <w:r>
        <w:rPr>
          <w:b/>
          <w:spacing w:val="-1"/>
          <w:w w:val="110"/>
          <w:sz w:val="17"/>
        </w:rPr>
        <w:t>5.0</w:t>
      </w:r>
    </w:p>
    <w:p>
      <w:pPr>
        <w:spacing w:before="54"/>
        <w:ind w:left="0" w:right="2888" w:firstLine="0"/>
        <w:jc w:val="right"/>
        <w:rPr>
          <w:b/>
          <w:sz w:val="17"/>
        </w:rPr>
      </w:pPr>
      <w:r>
        <w:rPr>
          <w:b/>
          <w:spacing w:val="-1"/>
          <w:w w:val="110"/>
          <w:sz w:val="17"/>
        </w:rPr>
        <w:t>4.5</w:t>
      </w:r>
    </w:p>
    <w:p>
      <w:pPr>
        <w:spacing w:before="65"/>
        <w:ind w:left="0" w:right="2888" w:firstLine="0"/>
        <w:jc w:val="right"/>
        <w:rPr>
          <w:b/>
          <w:sz w:val="17"/>
        </w:rPr>
      </w:pPr>
      <w:r>
        <w:rPr>
          <w:b/>
          <w:spacing w:val="-1"/>
          <w:w w:val="110"/>
          <w:sz w:val="17"/>
        </w:rPr>
        <w:t>4.0</w:t>
      </w:r>
    </w:p>
    <w:p>
      <w:pPr>
        <w:spacing w:before="53"/>
        <w:ind w:left="0" w:right="2888" w:firstLine="0"/>
        <w:jc w:val="right"/>
        <w:rPr>
          <w:b/>
          <w:sz w:val="17"/>
        </w:rPr>
      </w:pPr>
      <w:r>
        <w:rPr>
          <w:b/>
          <w:spacing w:val="-1"/>
          <w:w w:val="110"/>
          <w:sz w:val="17"/>
        </w:rPr>
        <w:t>3.5</w:t>
      </w:r>
    </w:p>
    <w:p>
      <w:pPr>
        <w:spacing w:before="64"/>
        <w:ind w:left="0" w:right="2888" w:firstLine="0"/>
        <w:jc w:val="right"/>
        <w:rPr>
          <w:b/>
          <w:sz w:val="17"/>
        </w:rPr>
      </w:pPr>
      <w:r>
        <w:rPr>
          <w:b/>
          <w:spacing w:val="-1"/>
          <w:w w:val="110"/>
          <w:sz w:val="17"/>
        </w:rPr>
        <w:t>3.0</w:t>
      </w:r>
    </w:p>
    <w:p>
      <w:pPr>
        <w:spacing w:before="53"/>
        <w:ind w:left="0" w:right="2888" w:firstLine="0"/>
        <w:jc w:val="right"/>
        <w:rPr>
          <w:b/>
          <w:sz w:val="17"/>
        </w:rPr>
      </w:pPr>
      <w:r>
        <w:rPr>
          <w:b/>
          <w:spacing w:val="-1"/>
          <w:w w:val="110"/>
          <w:sz w:val="17"/>
        </w:rPr>
        <w:t>2.5</w:t>
      </w:r>
    </w:p>
    <w:p>
      <w:pPr>
        <w:spacing w:before="55"/>
        <w:ind w:left="0" w:right="2888" w:firstLine="0"/>
        <w:jc w:val="right"/>
        <w:rPr>
          <w:b/>
          <w:sz w:val="17"/>
        </w:rPr>
      </w:pPr>
      <w:r>
        <w:rPr>
          <w:b/>
          <w:spacing w:val="-1"/>
          <w:w w:val="110"/>
          <w:sz w:val="17"/>
        </w:rPr>
        <w:t>2.0</w:t>
      </w:r>
    </w:p>
    <w:p>
      <w:pPr>
        <w:spacing w:before="64"/>
        <w:ind w:left="0" w:right="2888" w:firstLine="0"/>
        <w:jc w:val="right"/>
        <w:rPr>
          <w:b/>
          <w:sz w:val="17"/>
        </w:rPr>
      </w:pPr>
      <w:r>
        <w:rPr>
          <w:b/>
          <w:spacing w:val="-1"/>
          <w:w w:val="110"/>
          <w:sz w:val="17"/>
        </w:rPr>
        <w:t>1.5</w:t>
      </w:r>
    </w:p>
    <w:p>
      <w:pPr>
        <w:spacing w:before="53"/>
        <w:ind w:left="0" w:right="2888" w:firstLine="0"/>
        <w:jc w:val="right"/>
        <w:rPr>
          <w:b/>
          <w:sz w:val="17"/>
        </w:rPr>
      </w:pPr>
      <w:r>
        <w:rPr>
          <w:b/>
          <w:spacing w:val="-1"/>
          <w:w w:val="110"/>
          <w:sz w:val="17"/>
        </w:rPr>
        <w:t>1.0</w:t>
      </w:r>
    </w:p>
    <w:p>
      <w:pPr>
        <w:spacing w:before="65"/>
        <w:ind w:left="0" w:right="2888" w:firstLine="0"/>
        <w:jc w:val="right"/>
        <w:rPr>
          <w:b/>
          <w:sz w:val="17"/>
        </w:rPr>
      </w:pPr>
      <w:r>
        <w:rPr>
          <w:b/>
          <w:spacing w:val="-1"/>
          <w:w w:val="110"/>
          <w:sz w:val="17"/>
        </w:rPr>
        <w:t>0.5</w:t>
      </w:r>
    </w:p>
    <w:p>
      <w:pPr>
        <w:spacing w:before="53"/>
        <w:ind w:left="0" w:right="2888" w:firstLine="0"/>
        <w:jc w:val="right"/>
        <w:rPr>
          <w:b/>
          <w:sz w:val="17"/>
        </w:rPr>
      </w:pPr>
      <w:r>
        <w:rPr>
          <w:b/>
          <w:spacing w:val="-1"/>
          <w:w w:val="110"/>
          <w:sz w:val="17"/>
        </w:rPr>
        <w:t>0.0</w:t>
      </w:r>
    </w:p>
    <w:p>
      <w:pPr>
        <w:spacing w:before="65"/>
        <w:ind w:left="1650" w:right="0" w:firstLine="0"/>
        <w:jc w:val="left"/>
        <w:rPr>
          <w:b/>
          <w:sz w:val="17"/>
        </w:rPr>
      </w:pPr>
      <w:r>
        <w:rPr>
          <w:b/>
          <w:w w:val="110"/>
          <w:sz w:val="17"/>
        </w:rPr>
        <w:t>1997 1998 1999 2000 2001 2002 2003 2004 2005 2006</w:t>
      </w:r>
    </w:p>
    <w:p>
      <w:pPr>
        <w:pStyle w:val="BodyText"/>
        <w:rPr>
          <w:b/>
          <w:sz w:val="20"/>
        </w:rPr>
      </w:pPr>
    </w:p>
    <w:p>
      <w:pPr>
        <w:pStyle w:val="BodyText"/>
        <w:rPr>
          <w:b/>
          <w:sz w:val="20"/>
        </w:rPr>
      </w:pPr>
    </w:p>
    <w:p>
      <w:pPr>
        <w:pStyle w:val="BodyText"/>
        <w:rPr>
          <w:b/>
          <w:sz w:val="16"/>
        </w:rPr>
      </w:pPr>
    </w:p>
    <w:p>
      <w:pPr>
        <w:pStyle w:val="BodyText"/>
        <w:spacing w:line="364" w:lineRule="auto" w:before="93"/>
        <w:ind w:left="110" w:right="290"/>
      </w:pPr>
      <w:r>
        <w:rPr/>
        <w:t>Fifth, although difficult to measure with any precision, I judge that the stance of monetary policy is currently somewhat accommodative. This is suggested by asset price developments, including the</w:t>
      </w:r>
    </w:p>
    <w:p>
      <w:pPr>
        <w:spacing w:after="0" w:line="364" w:lineRule="auto"/>
        <w:sectPr>
          <w:pgSz w:w="11900" w:h="16840"/>
          <w:pgMar w:top="1600" w:bottom="280" w:left="1640" w:right="580"/>
        </w:sectPr>
      </w:pPr>
    </w:p>
    <w:p>
      <w:pPr>
        <w:pStyle w:val="BodyText"/>
        <w:rPr>
          <w:sz w:val="20"/>
        </w:rPr>
      </w:pPr>
    </w:p>
    <w:p>
      <w:pPr>
        <w:pStyle w:val="BodyText"/>
        <w:spacing w:before="8"/>
        <w:rPr>
          <w:sz w:val="16"/>
        </w:rPr>
      </w:pPr>
    </w:p>
    <w:p>
      <w:pPr>
        <w:pStyle w:val="BodyText"/>
        <w:spacing w:line="364" w:lineRule="auto" w:before="93"/>
        <w:ind w:left="110" w:right="290"/>
      </w:pPr>
      <w:r>
        <w:rPr/>
        <w:t>renewed pickup in house price inflation since last autumn, rapid broad money growth, and a strengthening in the growth of nominal demand. For the reasons that I have already given, I do not believe that an accommodative policy stance is appropriate at the current time.</w:t>
      </w:r>
    </w:p>
    <w:p>
      <w:pPr>
        <w:pStyle w:val="BodyText"/>
        <w:spacing w:before="2"/>
        <w:rPr>
          <w:sz w:val="35"/>
        </w:rPr>
      </w:pPr>
    </w:p>
    <w:p>
      <w:pPr>
        <w:pStyle w:val="BodyText"/>
        <w:spacing w:line="364" w:lineRule="auto"/>
        <w:ind w:left="110" w:right="290"/>
      </w:pPr>
      <w:r>
        <w:rPr/>
        <w:t>I readily accept that there are other risks that could cause growth to disappoint and inflation to undershoot the target. These arguments were advanced by some of my colleagues on the Committee and are summarised in the latest minutes. But for me, in weighing these various arguments, the balance of risks has shifted a little too much to the upside on inflation for comfort. And that, I believe, justifies a small tightening in monetary</w:t>
      </w:r>
      <w:r>
        <w:rPr>
          <w:spacing w:val="9"/>
        </w:rPr>
        <w:t> </w:t>
      </w:r>
      <w:r>
        <w:rPr/>
        <w:t>policy.</w:t>
      </w:r>
    </w:p>
    <w:p>
      <w:pPr>
        <w:pStyle w:val="BodyText"/>
        <w:spacing w:before="3"/>
        <w:rPr>
          <w:sz w:val="35"/>
        </w:rPr>
      </w:pPr>
    </w:p>
    <w:p>
      <w:pPr>
        <w:pStyle w:val="BodyText"/>
        <w:ind w:left="110"/>
      </w:pPr>
      <w:r>
        <w:rPr/>
        <w:t>ENDS</w:t>
      </w:r>
    </w:p>
    <w:sectPr>
      <w:pgSz w:w="11900" w:h="16840"/>
      <w:pgMar w:top="1600" w:bottom="280" w:left="16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
      <w:ind w:left="1555"/>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spacing w:before="136"/>
      <w:ind w:left="352"/>
      <w:outlineLvl w:val="2"/>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Walton, MPC Member</dc:creator>
  <cp:keywords>mpc</cp:keywords>
  <dc:subject>A shift in the balance of risks</dc:subject>
  <dc:title>Speech by David Walton</dc:title>
  <dcterms:created xsi:type="dcterms:W3CDTF">2020-06-02T17:12:33Z</dcterms:created>
  <dcterms:modified xsi:type="dcterms:W3CDTF">2020-06-02T17:12:33Z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2006-05-18T00:00:00Z</vt:filetime>
  </property>
  <property fmtid="{D5CDD505-2E9C-101B-9397-08002B2CF9AE}" pid="3" name="Creator">
    <vt:lpwstr>PScript5.dll Version 5.2</vt:lpwstr>
  </property>
  <property fmtid="{D5CDD505-2E9C-101B-9397-08002B2CF9AE}" pid="4" name="LastSaved">
    <vt:filetime>2020-06-02T00:00:00Z</vt:filetime>
  </property>
</Properties>
</file>