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 Tale of Two Cycles</w:t>
      </w:r>
    </w:p>
    <w:p>
      <w:pPr>
        <w:spacing w:before="281"/>
        <w:ind w:left="352" w:right="0" w:firstLine="0"/>
        <w:jc w:val="left"/>
        <w:rPr>
          <w:rFonts w:ascii="Arial"/>
          <w:sz w:val="24"/>
        </w:rPr>
      </w:pPr>
      <w:r>
        <w:rPr>
          <w:rFonts w:ascii="Arial"/>
          <w:sz w:val="24"/>
        </w:rPr>
        <w:t>Speech given by</w:t>
      </w:r>
    </w:p>
    <w:p>
      <w:pPr>
        <w:spacing w:line="720" w:lineRule="auto" w:before="136"/>
        <w:ind w:left="352" w:right="4068" w:firstLine="0"/>
        <w:jc w:val="left"/>
        <w:rPr>
          <w:rFonts w:ascii="Arial"/>
          <w:sz w:val="24"/>
        </w:rPr>
      </w:pPr>
      <w:r>
        <w:rPr>
          <w:rFonts w:ascii="Arial"/>
          <w:sz w:val="24"/>
        </w:rPr>
        <w:t>Sir John Gieve, Deputy Governor, Bank of England 19 June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0"/>
        <w:rPr>
          <w:rFonts w:ascii="Arial"/>
          <w:sz w:val="16"/>
        </w:rPr>
      </w:pPr>
    </w:p>
    <w:p>
      <w:pPr>
        <w:pStyle w:val="Heading1"/>
        <w:spacing w:before="94"/>
      </w:pPr>
      <w:r>
        <w:rPr/>
        <w:t>Introduction</w:t>
      </w:r>
    </w:p>
    <w:p>
      <w:pPr>
        <w:pStyle w:val="BodyText"/>
        <w:spacing w:before="1"/>
        <w:rPr>
          <w:b/>
          <w:sz w:val="32"/>
        </w:rPr>
      </w:pPr>
    </w:p>
    <w:p>
      <w:pPr>
        <w:pStyle w:val="BodyText"/>
        <w:spacing w:line="364" w:lineRule="auto"/>
        <w:ind w:left="461" w:right="1122"/>
      </w:pPr>
      <w:r>
        <w:rPr/>
        <w:t>Ladies and Gentlemen, it is a great pleasure to be here this evening in what has been a busy week for the Bank, with the open letter to the Chancellor in response to the news on Tuesday that CPI inflation rose to 3.3% in May, the latest MPC minutes, and the Chancellor’s announcement last night of an enhanced role for the Bank on financial stability. Things have certainly changed in the year since your chief executive, James Ramsbotham, asked me to speak here this evening.</w:t>
      </w:r>
    </w:p>
    <w:p>
      <w:pPr>
        <w:pStyle w:val="BodyText"/>
        <w:spacing w:before="7"/>
        <w:rPr>
          <w:sz w:val="20"/>
        </w:rPr>
      </w:pPr>
    </w:p>
    <w:p>
      <w:pPr>
        <w:pStyle w:val="BodyText"/>
        <w:tabs>
          <w:tab w:pos="5704" w:val="left" w:leader="dot"/>
        </w:tabs>
        <w:spacing w:line="364" w:lineRule="auto" w:before="1"/>
        <w:ind w:left="461" w:right="1122"/>
      </w:pPr>
      <w:r>
        <w:rPr/>
        <w:t>The Bank's links with this region go back to 1828 when, in response to a crisis of confidence (this one over locally issued bank notes), we opened a branch in Newcastle. The move was not well received. The Newcastle Chamber of Commerce, wrote to the Directors of the Bank of England, saying "in the absence of any avowed motive for the establishment of a Branch of the Bank of England, in Newcastle, [we] see no prospect of good from such</w:t>
      </w:r>
      <w:r>
        <w:rPr>
          <w:spacing w:val="35"/>
        </w:rPr>
        <w:t> </w:t>
      </w:r>
      <w:r>
        <w:rPr/>
        <w:t>an</w:t>
      </w:r>
      <w:r>
        <w:rPr>
          <w:spacing w:val="5"/>
        </w:rPr>
        <w:t> </w:t>
      </w:r>
      <w:r>
        <w:rPr/>
        <w:t>establishment.</w:t>
        <w:tab/>
        <w:t>[We] most</w:t>
      </w:r>
      <w:r>
        <w:rPr>
          <w:spacing w:val="2"/>
        </w:rPr>
        <w:t> </w:t>
      </w:r>
      <w:r>
        <w:rPr/>
        <w:t>earnestly</w:t>
      </w:r>
    </w:p>
    <w:p>
      <w:pPr>
        <w:pStyle w:val="BodyText"/>
        <w:spacing w:line="364" w:lineRule="auto" w:before="3"/>
        <w:ind w:left="461" w:right="1312"/>
        <w:jc w:val="both"/>
      </w:pPr>
      <w:r>
        <w:rPr/>
        <w:t>recommend to the Directors of the Bank of England to re-consider the policy of the measure they are about to adopt and to abstain from trying such an experiment on a system of banking, the advantages of which are so generally felt and admitted."</w:t>
      </w:r>
    </w:p>
    <w:p>
      <w:pPr>
        <w:pStyle w:val="BodyText"/>
        <w:spacing w:before="5"/>
        <w:rPr>
          <w:sz w:val="20"/>
        </w:rPr>
      </w:pPr>
    </w:p>
    <w:p>
      <w:pPr>
        <w:pStyle w:val="BodyText"/>
        <w:spacing w:line="364" w:lineRule="auto"/>
        <w:ind w:left="461" w:right="1153"/>
      </w:pPr>
      <w:r>
        <w:rPr/>
        <w:t>I am pleased that our current Agents, David Buffham and Will Dowson receive a warmer welcome from Chamber members and others as they travel around the region. Our agents are the eyes and ears of the Bank. They make sure that we take account   not just of the economic statistics, which at best tell us what has just happened (and   all too frequently fail to do that), but also know what businessmen and women are saying about their own outlook and plans. The Monetary Policy Committee receives a report from each region each month and I can assure you it always receives a lot of attention. All the members of the Committee also get out to meet businesses themselves and that is why I am here in the North East for two</w:t>
      </w:r>
      <w:r>
        <w:rPr>
          <w:spacing w:val="25"/>
        </w:rPr>
        <w:t> </w:t>
      </w:r>
      <w:r>
        <w:rPr/>
        <w:t>days.</w:t>
      </w:r>
    </w:p>
    <w:p>
      <w:pPr>
        <w:spacing w:after="0" w:line="364" w:lineRule="auto"/>
        <w:sectPr>
          <w:footerReference w:type="default" r:id="rId7"/>
          <w:pgSz w:w="11900" w:h="16840"/>
          <w:pgMar w:footer="1417" w:header="0" w:top="1600" w:bottom="1600" w:left="1640" w:right="700"/>
          <w:pgNumType w:start="2"/>
        </w:sectPr>
      </w:pPr>
    </w:p>
    <w:p>
      <w:pPr>
        <w:pStyle w:val="BodyText"/>
        <w:rPr>
          <w:sz w:val="20"/>
        </w:rPr>
      </w:pPr>
    </w:p>
    <w:p>
      <w:pPr>
        <w:pStyle w:val="BodyText"/>
        <w:spacing w:before="8"/>
        <w:rPr>
          <w:sz w:val="16"/>
        </w:rPr>
      </w:pPr>
    </w:p>
    <w:p>
      <w:pPr>
        <w:pStyle w:val="BodyText"/>
        <w:spacing w:line="364" w:lineRule="auto" w:before="93"/>
        <w:ind w:left="461" w:right="1218"/>
      </w:pPr>
      <w:r>
        <w:rPr/>
        <w:t>The main subject of my speech tonight is the wider economy, and in particular the tale of two cycles – the downswing of the financial cycle and the upswing in the commodity price cycle.</w:t>
      </w:r>
    </w:p>
    <w:p>
      <w:pPr>
        <w:pStyle w:val="BodyText"/>
        <w:spacing w:before="8"/>
        <w:rPr>
          <w:sz w:val="20"/>
        </w:rPr>
      </w:pPr>
    </w:p>
    <w:p>
      <w:pPr>
        <w:pStyle w:val="Heading1"/>
      </w:pPr>
      <w:r>
        <w:rPr/>
        <w:t>The economic environment in context</w:t>
      </w:r>
    </w:p>
    <w:p>
      <w:pPr>
        <w:pStyle w:val="BodyText"/>
        <w:spacing w:before="1"/>
        <w:rPr>
          <w:b/>
          <w:sz w:val="32"/>
        </w:rPr>
      </w:pPr>
    </w:p>
    <w:p>
      <w:pPr>
        <w:pStyle w:val="BodyText"/>
        <w:spacing w:line="364" w:lineRule="auto"/>
        <w:ind w:left="461" w:right="1122"/>
      </w:pPr>
      <w:r>
        <w:rPr/>
        <w:t>But first, it is important to recognise that the last ten years have been a period of remarkable stability for the UK’s economy. It has certainly been the most stable and successful period for the economy in my lifetime. </w:t>
      </w:r>
      <w:r>
        <w:rPr>
          <w:vertAlign w:val="superscript"/>
        </w:rPr>
        <w:t>1</w:t>
      </w:r>
    </w:p>
    <w:p>
      <w:pPr>
        <w:pStyle w:val="BodyText"/>
        <w:spacing w:line="364" w:lineRule="auto" w:before="235"/>
        <w:ind w:left="461" w:right="1122"/>
      </w:pPr>
      <w:r>
        <w:rPr/>
        <w:t>When the MPC was set up, Charlie Bean – then a leading academic, soon to be my fellow Deputy Governor – estimated that inflation would be away from the target by more than 1 percentage point in nearly 5 months of every year. Yet this week the Governor’s open letter to the Chancellor to explain why inflation last month had deviated by more than a percentage point from the target was only the second written in over 10 years.</w:t>
      </w:r>
    </w:p>
    <w:p>
      <w:pPr>
        <w:pStyle w:val="BodyText"/>
        <w:spacing w:before="8"/>
        <w:rPr>
          <w:sz w:val="20"/>
        </w:rPr>
      </w:pPr>
    </w:p>
    <w:p>
      <w:pPr>
        <w:pStyle w:val="BodyText"/>
        <w:spacing w:line="364" w:lineRule="auto"/>
        <w:ind w:left="461" w:right="1126"/>
      </w:pPr>
      <w:r>
        <w:rPr/>
        <w:t>And taking the past decade as a whole, this stability of inflation has not come at a cost to growth – quite the opposite in fact.  Output growth has been high both relative to  the rates achieved on average over the preceding 30 years and in comparison with our European neighbours. It also has been remarkably</w:t>
      </w:r>
      <w:r>
        <w:rPr>
          <w:spacing w:val="7"/>
        </w:rPr>
        <w:t> </w:t>
      </w:r>
      <w:r>
        <w:rPr/>
        <w:t>stable.</w:t>
      </w:r>
      <w:r>
        <w:rPr>
          <w:vertAlign w:val="superscript"/>
        </w:rPr>
        <w:t>2</w:t>
      </w:r>
    </w:p>
    <w:p>
      <w:pPr>
        <w:pStyle w:val="BodyText"/>
        <w:spacing w:line="364" w:lineRule="auto" w:before="235"/>
        <w:ind w:left="461" w:right="1122"/>
      </w:pPr>
      <w:r>
        <w:rPr/>
        <w:t>Of course that stability at the macro level disguises some big changes in the structure of the economy. Indeed it has provided a platform for change. The North East for example is now much more diverse than it was and less reliant on a few large industries.  And, overall more people are employed in the region: the number employed in the North East has risen by more than 100,000 in the past ten years. And export growth remains relatively</w:t>
      </w:r>
      <w:r>
        <w:rPr>
          <w:spacing w:val="2"/>
        </w:rPr>
        <w:t> </w:t>
      </w:r>
      <w:r>
        <w:rPr/>
        <w:t>buoyant.</w:t>
      </w:r>
    </w:p>
    <w:p>
      <w:pPr>
        <w:pStyle w:val="BodyText"/>
        <w:rPr>
          <w:sz w:val="20"/>
        </w:rPr>
      </w:pPr>
    </w:p>
    <w:p>
      <w:pPr>
        <w:pStyle w:val="BodyText"/>
        <w:rPr>
          <w:sz w:val="20"/>
        </w:rPr>
      </w:pPr>
    </w:p>
    <w:p>
      <w:pPr>
        <w:pStyle w:val="BodyText"/>
        <w:spacing w:before="6"/>
        <w:rPr>
          <w:sz w:val="19"/>
        </w:rPr>
      </w:pPr>
      <w:r>
        <w:rPr/>
        <w:pict>
          <v:shape style="position:absolute;margin-left:87.540001pt;margin-top:13.4969pt;width:140.050pt;height:.1pt;mso-position-horizontal-relative:page;mso-position-vertical-relative:paragraph;z-index:-251656192;mso-wrap-distance-left:0;mso-wrap-distance-right:0" coordorigin="1751,270" coordsize="2801,0" path="m1751,270l4552,270e" filled="false" stroked="true" strokeweight=".600010pt" strokecolor="#000000">
            <v:path arrowok="t"/>
            <v:stroke dashstyle="solid"/>
            <w10:wrap type="topAndBottom"/>
          </v:shape>
        </w:pict>
      </w:r>
    </w:p>
    <w:p>
      <w:pPr>
        <w:spacing w:line="247" w:lineRule="auto" w:before="49"/>
        <w:ind w:left="110" w:right="1122" w:firstLine="0"/>
        <w:jc w:val="left"/>
        <w:rPr>
          <w:sz w:val="19"/>
        </w:rPr>
      </w:pPr>
      <w:r>
        <w:rPr>
          <w:w w:val="105"/>
          <w:position w:val="9"/>
          <w:sz w:val="12"/>
        </w:rPr>
        <w:t>1</w:t>
      </w:r>
      <w:r>
        <w:rPr>
          <w:spacing w:val="5"/>
          <w:w w:val="105"/>
          <w:position w:val="9"/>
          <w:sz w:val="12"/>
        </w:rPr>
        <w:t> </w:t>
      </w:r>
      <w:r>
        <w:rPr>
          <w:w w:val="105"/>
          <w:sz w:val="19"/>
        </w:rPr>
        <w:t>Indeed</w:t>
      </w:r>
      <w:r>
        <w:rPr>
          <w:spacing w:val="-12"/>
          <w:w w:val="105"/>
          <w:sz w:val="19"/>
        </w:rPr>
        <w:t> </w:t>
      </w:r>
      <w:r>
        <w:rPr>
          <w:w w:val="105"/>
          <w:sz w:val="19"/>
        </w:rPr>
        <w:t>work</w:t>
      </w:r>
      <w:r>
        <w:rPr>
          <w:spacing w:val="-12"/>
          <w:w w:val="105"/>
          <w:sz w:val="19"/>
        </w:rPr>
        <w:t> </w:t>
      </w:r>
      <w:r>
        <w:rPr>
          <w:w w:val="105"/>
          <w:sz w:val="19"/>
        </w:rPr>
        <w:t>done</w:t>
      </w:r>
      <w:r>
        <w:rPr>
          <w:spacing w:val="-13"/>
          <w:w w:val="105"/>
          <w:sz w:val="19"/>
        </w:rPr>
        <w:t> </w:t>
      </w:r>
      <w:r>
        <w:rPr>
          <w:w w:val="105"/>
          <w:sz w:val="19"/>
        </w:rPr>
        <w:t>at</w:t>
      </w:r>
      <w:r>
        <w:rPr>
          <w:spacing w:val="-13"/>
          <w:w w:val="105"/>
          <w:sz w:val="19"/>
        </w:rPr>
        <w:t> </w:t>
      </w:r>
      <w:r>
        <w:rPr>
          <w:w w:val="105"/>
          <w:sz w:val="19"/>
        </w:rPr>
        <w:t>the</w:t>
      </w:r>
      <w:r>
        <w:rPr>
          <w:spacing w:val="-12"/>
          <w:w w:val="105"/>
          <w:sz w:val="19"/>
        </w:rPr>
        <w:t> </w:t>
      </w:r>
      <w:r>
        <w:rPr>
          <w:w w:val="105"/>
          <w:sz w:val="19"/>
        </w:rPr>
        <w:t>Bank</w:t>
      </w:r>
      <w:r>
        <w:rPr>
          <w:spacing w:val="-13"/>
          <w:w w:val="105"/>
          <w:sz w:val="19"/>
        </w:rPr>
        <w:t> </w:t>
      </w:r>
      <w:r>
        <w:rPr>
          <w:w w:val="105"/>
          <w:sz w:val="19"/>
        </w:rPr>
        <w:t>suggests</w:t>
      </w:r>
      <w:r>
        <w:rPr>
          <w:spacing w:val="-12"/>
          <w:w w:val="105"/>
          <w:sz w:val="19"/>
        </w:rPr>
        <w:t> </w:t>
      </w:r>
      <w:r>
        <w:rPr>
          <w:w w:val="105"/>
          <w:sz w:val="19"/>
        </w:rPr>
        <w:t>that</w:t>
      </w:r>
      <w:r>
        <w:rPr>
          <w:spacing w:val="-12"/>
          <w:w w:val="105"/>
          <w:sz w:val="19"/>
        </w:rPr>
        <w:t> </w:t>
      </w:r>
      <w:r>
        <w:rPr>
          <w:w w:val="105"/>
          <w:sz w:val="19"/>
        </w:rPr>
        <w:t>in</w:t>
      </w:r>
      <w:r>
        <w:rPr>
          <w:spacing w:val="-13"/>
          <w:w w:val="105"/>
          <w:sz w:val="19"/>
        </w:rPr>
        <w:t> </w:t>
      </w:r>
      <w:r>
        <w:rPr>
          <w:w w:val="105"/>
          <w:sz w:val="19"/>
        </w:rPr>
        <w:t>terms</w:t>
      </w:r>
      <w:r>
        <w:rPr>
          <w:spacing w:val="-13"/>
          <w:w w:val="105"/>
          <w:sz w:val="19"/>
        </w:rPr>
        <w:t> </w:t>
      </w:r>
      <w:r>
        <w:rPr>
          <w:w w:val="105"/>
          <w:sz w:val="19"/>
        </w:rPr>
        <w:t>of</w:t>
      </w:r>
      <w:r>
        <w:rPr>
          <w:spacing w:val="-14"/>
          <w:w w:val="105"/>
          <w:sz w:val="19"/>
        </w:rPr>
        <w:t> </w:t>
      </w:r>
      <w:r>
        <w:rPr>
          <w:w w:val="105"/>
          <w:sz w:val="19"/>
        </w:rPr>
        <w:t>inflation,</w:t>
      </w:r>
      <w:r>
        <w:rPr>
          <w:spacing w:val="-13"/>
          <w:w w:val="105"/>
          <w:sz w:val="19"/>
        </w:rPr>
        <w:t> </w:t>
      </w:r>
      <w:r>
        <w:rPr>
          <w:w w:val="105"/>
          <w:sz w:val="19"/>
        </w:rPr>
        <w:t>it</w:t>
      </w:r>
      <w:r>
        <w:rPr>
          <w:spacing w:val="-12"/>
          <w:w w:val="105"/>
          <w:sz w:val="19"/>
        </w:rPr>
        <w:t> </w:t>
      </w:r>
      <w:r>
        <w:rPr>
          <w:w w:val="105"/>
          <w:sz w:val="19"/>
        </w:rPr>
        <w:t>has</w:t>
      </w:r>
      <w:r>
        <w:rPr>
          <w:spacing w:val="-12"/>
          <w:w w:val="105"/>
          <w:sz w:val="19"/>
        </w:rPr>
        <w:t> </w:t>
      </w:r>
      <w:r>
        <w:rPr>
          <w:w w:val="105"/>
          <w:sz w:val="19"/>
        </w:rPr>
        <w:t>been</w:t>
      </w:r>
      <w:r>
        <w:rPr>
          <w:spacing w:val="-13"/>
          <w:w w:val="105"/>
          <w:sz w:val="19"/>
        </w:rPr>
        <w:t> </w:t>
      </w:r>
      <w:r>
        <w:rPr>
          <w:w w:val="105"/>
          <w:sz w:val="19"/>
        </w:rPr>
        <w:t>the</w:t>
      </w:r>
      <w:r>
        <w:rPr>
          <w:spacing w:val="-10"/>
          <w:w w:val="105"/>
          <w:sz w:val="19"/>
        </w:rPr>
        <w:t> </w:t>
      </w:r>
      <w:r>
        <w:rPr>
          <w:w w:val="105"/>
          <w:sz w:val="19"/>
        </w:rPr>
        <w:t>most</w:t>
      </w:r>
      <w:r>
        <w:rPr>
          <w:spacing w:val="-12"/>
          <w:w w:val="105"/>
          <w:sz w:val="19"/>
        </w:rPr>
        <w:t> </w:t>
      </w:r>
      <w:r>
        <w:rPr>
          <w:w w:val="105"/>
          <w:sz w:val="19"/>
        </w:rPr>
        <w:t>stable</w:t>
      </w:r>
      <w:r>
        <w:rPr>
          <w:spacing w:val="-12"/>
          <w:w w:val="105"/>
          <w:sz w:val="19"/>
        </w:rPr>
        <w:t> </w:t>
      </w:r>
      <w:r>
        <w:rPr>
          <w:w w:val="105"/>
          <w:sz w:val="19"/>
        </w:rPr>
        <w:t>decade</w:t>
      </w:r>
      <w:r>
        <w:rPr>
          <w:spacing w:val="-13"/>
          <w:w w:val="105"/>
          <w:sz w:val="19"/>
        </w:rPr>
        <w:t> </w:t>
      </w:r>
      <w:r>
        <w:rPr>
          <w:w w:val="105"/>
          <w:sz w:val="19"/>
        </w:rPr>
        <w:t>in many</w:t>
      </w:r>
      <w:r>
        <w:rPr>
          <w:spacing w:val="-4"/>
          <w:w w:val="105"/>
          <w:sz w:val="19"/>
        </w:rPr>
        <w:t> </w:t>
      </w:r>
      <w:r>
        <w:rPr>
          <w:w w:val="105"/>
          <w:sz w:val="19"/>
        </w:rPr>
        <w:t>lifetimes</w:t>
      </w:r>
      <w:r>
        <w:rPr>
          <w:spacing w:val="-3"/>
          <w:w w:val="105"/>
          <w:sz w:val="19"/>
        </w:rPr>
        <w:t> </w:t>
      </w:r>
      <w:r>
        <w:rPr>
          <w:w w:val="105"/>
          <w:sz w:val="19"/>
        </w:rPr>
        <w:t>–</w:t>
      </w:r>
      <w:r>
        <w:rPr>
          <w:spacing w:val="-4"/>
          <w:w w:val="105"/>
          <w:sz w:val="19"/>
        </w:rPr>
        <w:t> </w:t>
      </w:r>
      <w:r>
        <w:rPr>
          <w:w w:val="105"/>
          <w:sz w:val="19"/>
        </w:rPr>
        <w:t>that</w:t>
      </w:r>
      <w:r>
        <w:rPr>
          <w:spacing w:val="-4"/>
          <w:w w:val="105"/>
          <w:sz w:val="19"/>
        </w:rPr>
        <w:t> </w:t>
      </w:r>
      <w:r>
        <w:rPr>
          <w:w w:val="105"/>
          <w:sz w:val="19"/>
        </w:rPr>
        <w:t>is,</w:t>
      </w:r>
      <w:r>
        <w:rPr>
          <w:spacing w:val="-5"/>
          <w:w w:val="105"/>
          <w:sz w:val="19"/>
        </w:rPr>
        <w:t> </w:t>
      </w:r>
      <w:r>
        <w:rPr>
          <w:w w:val="105"/>
          <w:sz w:val="19"/>
        </w:rPr>
        <w:t>since</w:t>
      </w:r>
      <w:r>
        <w:rPr>
          <w:spacing w:val="-4"/>
          <w:w w:val="105"/>
          <w:sz w:val="19"/>
        </w:rPr>
        <w:t> </w:t>
      </w:r>
      <w:r>
        <w:rPr>
          <w:w w:val="105"/>
          <w:sz w:val="19"/>
        </w:rPr>
        <w:t>the</w:t>
      </w:r>
      <w:r>
        <w:rPr>
          <w:spacing w:val="-4"/>
          <w:w w:val="105"/>
          <w:sz w:val="19"/>
        </w:rPr>
        <w:t> </w:t>
      </w:r>
      <w:r>
        <w:rPr>
          <w:w w:val="105"/>
          <w:sz w:val="19"/>
        </w:rPr>
        <w:t>Restoration</w:t>
      </w:r>
      <w:r>
        <w:rPr>
          <w:spacing w:val="-4"/>
          <w:w w:val="105"/>
          <w:sz w:val="19"/>
        </w:rPr>
        <w:t> </w:t>
      </w:r>
      <w:r>
        <w:rPr>
          <w:w w:val="105"/>
          <w:sz w:val="19"/>
        </w:rPr>
        <w:t>at</w:t>
      </w:r>
      <w:r>
        <w:rPr>
          <w:spacing w:val="-5"/>
          <w:w w:val="105"/>
          <w:sz w:val="19"/>
        </w:rPr>
        <w:t> </w:t>
      </w:r>
      <w:r>
        <w:rPr>
          <w:w w:val="105"/>
          <w:sz w:val="19"/>
        </w:rPr>
        <w:t>least</w:t>
      </w:r>
      <w:r>
        <w:rPr>
          <w:spacing w:val="-4"/>
          <w:w w:val="105"/>
          <w:sz w:val="19"/>
        </w:rPr>
        <w:t> </w:t>
      </w:r>
      <w:r>
        <w:rPr>
          <w:w w:val="105"/>
          <w:sz w:val="19"/>
        </w:rPr>
        <w:t>(Benati</w:t>
      </w:r>
      <w:r>
        <w:rPr>
          <w:spacing w:val="-5"/>
          <w:w w:val="105"/>
          <w:sz w:val="19"/>
        </w:rPr>
        <w:t> </w:t>
      </w:r>
      <w:r>
        <w:rPr>
          <w:w w:val="105"/>
          <w:sz w:val="19"/>
        </w:rPr>
        <w:t>(2006)).</w:t>
      </w:r>
    </w:p>
    <w:p>
      <w:pPr>
        <w:spacing w:line="216" w:lineRule="exact" w:before="0"/>
        <w:ind w:left="110" w:right="0" w:firstLine="0"/>
        <w:jc w:val="left"/>
        <w:rPr>
          <w:sz w:val="19"/>
        </w:rPr>
      </w:pPr>
      <w:r>
        <w:rPr>
          <w:w w:val="105"/>
          <w:position w:val="9"/>
          <w:sz w:val="12"/>
        </w:rPr>
        <w:t>2 </w:t>
      </w:r>
      <w:r>
        <w:rPr>
          <w:w w:val="105"/>
          <w:sz w:val="19"/>
        </w:rPr>
        <w:t>It has only deviated by more than 1 percentage point from that average on 4 occasions. To put this in</w:t>
      </w:r>
    </w:p>
    <w:p>
      <w:pPr>
        <w:spacing w:line="244" w:lineRule="auto" w:before="6"/>
        <w:ind w:left="110" w:right="1122" w:firstLine="0"/>
        <w:jc w:val="left"/>
        <w:rPr>
          <w:sz w:val="19"/>
        </w:rPr>
      </w:pPr>
      <w:r>
        <w:rPr>
          <w:w w:val="105"/>
          <w:sz w:val="19"/>
        </w:rPr>
        <w:t>context,</w:t>
      </w:r>
      <w:r>
        <w:rPr>
          <w:spacing w:val="-14"/>
          <w:w w:val="105"/>
          <w:sz w:val="19"/>
        </w:rPr>
        <w:t> </w:t>
      </w:r>
      <w:r>
        <w:rPr>
          <w:w w:val="105"/>
          <w:sz w:val="19"/>
        </w:rPr>
        <w:t>in</w:t>
      </w:r>
      <w:r>
        <w:rPr>
          <w:spacing w:val="-16"/>
          <w:w w:val="105"/>
          <w:sz w:val="19"/>
        </w:rPr>
        <w:t> </w:t>
      </w:r>
      <w:r>
        <w:rPr>
          <w:w w:val="105"/>
          <w:sz w:val="19"/>
        </w:rPr>
        <w:t>the</w:t>
      </w:r>
      <w:r>
        <w:rPr>
          <w:spacing w:val="-15"/>
          <w:w w:val="105"/>
          <w:sz w:val="19"/>
        </w:rPr>
        <w:t> </w:t>
      </w:r>
      <w:r>
        <w:rPr>
          <w:w w:val="105"/>
          <w:sz w:val="19"/>
        </w:rPr>
        <w:t>preceding</w:t>
      </w:r>
      <w:r>
        <w:rPr>
          <w:spacing w:val="-15"/>
          <w:w w:val="105"/>
          <w:sz w:val="19"/>
        </w:rPr>
        <w:t> </w:t>
      </w:r>
      <w:r>
        <w:rPr>
          <w:w w:val="105"/>
          <w:sz w:val="19"/>
        </w:rPr>
        <w:t>3</w:t>
      </w:r>
      <w:r>
        <w:rPr>
          <w:spacing w:val="-15"/>
          <w:w w:val="105"/>
          <w:sz w:val="19"/>
        </w:rPr>
        <w:t> </w:t>
      </w:r>
      <w:r>
        <w:rPr>
          <w:w w:val="105"/>
          <w:sz w:val="19"/>
        </w:rPr>
        <w:t>decades</w:t>
      </w:r>
      <w:r>
        <w:rPr>
          <w:spacing w:val="-14"/>
          <w:w w:val="105"/>
          <w:sz w:val="19"/>
        </w:rPr>
        <w:t> </w:t>
      </w:r>
      <w:r>
        <w:rPr>
          <w:w w:val="105"/>
          <w:sz w:val="19"/>
        </w:rPr>
        <w:t>stretching</w:t>
      </w:r>
      <w:r>
        <w:rPr>
          <w:spacing w:val="-15"/>
          <w:w w:val="105"/>
          <w:sz w:val="19"/>
        </w:rPr>
        <w:t> </w:t>
      </w:r>
      <w:r>
        <w:rPr>
          <w:w w:val="105"/>
          <w:sz w:val="19"/>
        </w:rPr>
        <w:t>back</w:t>
      </w:r>
      <w:r>
        <w:rPr>
          <w:spacing w:val="-16"/>
          <w:w w:val="105"/>
          <w:sz w:val="19"/>
        </w:rPr>
        <w:t> </w:t>
      </w:r>
      <w:r>
        <w:rPr>
          <w:w w:val="105"/>
          <w:sz w:val="19"/>
        </w:rPr>
        <w:t>to</w:t>
      </w:r>
      <w:r>
        <w:rPr>
          <w:spacing w:val="-14"/>
          <w:w w:val="105"/>
          <w:sz w:val="19"/>
        </w:rPr>
        <w:t> </w:t>
      </w:r>
      <w:r>
        <w:rPr>
          <w:w w:val="105"/>
          <w:sz w:val="19"/>
        </w:rPr>
        <w:t>the</w:t>
      </w:r>
      <w:r>
        <w:rPr>
          <w:spacing w:val="-15"/>
          <w:w w:val="105"/>
          <w:sz w:val="19"/>
        </w:rPr>
        <w:t> </w:t>
      </w:r>
      <w:r>
        <w:rPr>
          <w:w w:val="105"/>
          <w:sz w:val="19"/>
        </w:rPr>
        <w:t>1960s,</w:t>
      </w:r>
      <w:r>
        <w:rPr>
          <w:spacing w:val="-15"/>
          <w:w w:val="105"/>
          <w:sz w:val="19"/>
        </w:rPr>
        <w:t> </w:t>
      </w:r>
      <w:r>
        <w:rPr>
          <w:w w:val="105"/>
          <w:sz w:val="19"/>
        </w:rPr>
        <w:t>annual</w:t>
      </w:r>
      <w:r>
        <w:rPr>
          <w:spacing w:val="-15"/>
          <w:w w:val="105"/>
          <w:sz w:val="19"/>
        </w:rPr>
        <w:t> </w:t>
      </w:r>
      <w:r>
        <w:rPr>
          <w:w w:val="105"/>
          <w:sz w:val="19"/>
        </w:rPr>
        <w:t>GDP</w:t>
      </w:r>
      <w:r>
        <w:rPr>
          <w:spacing w:val="-15"/>
          <w:w w:val="105"/>
          <w:sz w:val="19"/>
        </w:rPr>
        <w:t> </w:t>
      </w:r>
      <w:r>
        <w:rPr>
          <w:w w:val="105"/>
          <w:sz w:val="19"/>
        </w:rPr>
        <w:t>growth</w:t>
      </w:r>
      <w:r>
        <w:rPr>
          <w:spacing w:val="-15"/>
          <w:w w:val="105"/>
          <w:sz w:val="19"/>
        </w:rPr>
        <w:t> </w:t>
      </w:r>
      <w:r>
        <w:rPr>
          <w:w w:val="105"/>
          <w:sz w:val="19"/>
        </w:rPr>
        <w:t>deviated</w:t>
      </w:r>
      <w:r>
        <w:rPr>
          <w:spacing w:val="-14"/>
          <w:w w:val="105"/>
          <w:sz w:val="19"/>
        </w:rPr>
        <w:t> </w:t>
      </w:r>
      <w:r>
        <w:rPr>
          <w:w w:val="105"/>
          <w:sz w:val="19"/>
        </w:rPr>
        <w:t>from</w:t>
      </w:r>
      <w:r>
        <w:rPr>
          <w:spacing w:val="-18"/>
          <w:w w:val="105"/>
          <w:sz w:val="19"/>
        </w:rPr>
        <w:t> </w:t>
      </w:r>
      <w:r>
        <w:rPr>
          <w:w w:val="105"/>
          <w:sz w:val="19"/>
        </w:rPr>
        <w:t>its</w:t>
      </w:r>
      <w:r>
        <w:rPr>
          <w:spacing w:val="-15"/>
          <w:w w:val="105"/>
          <w:sz w:val="19"/>
        </w:rPr>
        <w:t> </w:t>
      </w:r>
      <w:r>
        <w:rPr>
          <w:w w:val="105"/>
          <w:sz w:val="19"/>
        </w:rPr>
        <w:t>10 year average by more than 1 percentage point about half of the time (about 20 quarters in each 10 year period).</w:t>
      </w:r>
    </w:p>
    <w:p>
      <w:pPr>
        <w:spacing w:after="0" w:line="244" w:lineRule="auto"/>
        <w:jc w:val="left"/>
        <w:rPr>
          <w:sz w:val="19"/>
        </w:rPr>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122"/>
      </w:pPr>
      <w:r>
        <w:rPr/>
        <w:t>In contrast to this picture of stability, the preceding 3 decades were scarred by painful recessions where unemployment rose sharply, and inflation fluctuated wildly. In particular, there were three episodes between the mid-1970s and early 1990s, when inflation rose very sharply, and at around the same time output contracted.  While there are many in the room that don’t need reminding, I thought I would just give the younger members of the audience a reminder of just how desperate those times were (Chart 1).</w:t>
      </w:r>
    </w:p>
    <w:p>
      <w:pPr>
        <w:pStyle w:val="BodyText"/>
        <w:spacing w:before="8"/>
        <w:rPr>
          <w:sz w:val="20"/>
        </w:rPr>
      </w:pPr>
    </w:p>
    <w:p>
      <w:pPr>
        <w:pStyle w:val="BodyText"/>
        <w:spacing w:line="364" w:lineRule="auto"/>
        <w:ind w:left="461" w:right="1122"/>
      </w:pPr>
      <w:r>
        <w:rPr/>
        <w:t>In 1975, RPI inflation peaked just shy of a staggering 27% while at the same time output fell. It was this era that entrenched the term “stagflation” in the minds of the public. Inflation fell back sharply over the subsequent year or so, only to rear its head again in 1979-80 – this time peaking at around 22%.  Once again output contracted  and unemployment rose sharply (Chart</w:t>
      </w:r>
      <w:r>
        <w:rPr>
          <w:spacing w:val="3"/>
        </w:rPr>
        <w:t> </w:t>
      </w:r>
      <w:r>
        <w:rPr/>
        <w:t>2).</w:t>
      </w:r>
    </w:p>
    <w:p>
      <w:pPr>
        <w:pStyle w:val="BodyText"/>
        <w:spacing w:before="6"/>
        <w:rPr>
          <w:sz w:val="20"/>
        </w:rPr>
      </w:pPr>
    </w:p>
    <w:p>
      <w:pPr>
        <w:pStyle w:val="BodyText"/>
        <w:spacing w:line="364" w:lineRule="auto"/>
        <w:ind w:left="461" w:right="1677"/>
        <w:jc w:val="both"/>
      </w:pPr>
      <w:r>
        <w:rPr/>
        <w:t>A third and final bout of rising inflation and falling output occurred in the early 1990s, with the unemployment rate once again rising above 10%. On average, inflation in the 1970s was around 13% and 7.5% in the 1980s.</w:t>
      </w:r>
    </w:p>
    <w:p>
      <w:pPr>
        <w:pStyle w:val="BodyText"/>
        <w:spacing w:before="8"/>
        <w:rPr>
          <w:sz w:val="20"/>
        </w:rPr>
      </w:pPr>
    </w:p>
    <w:p>
      <w:pPr>
        <w:pStyle w:val="Heading1"/>
        <w:jc w:val="both"/>
      </w:pPr>
      <w:r>
        <w:rPr/>
        <w:t>The UK macroeconomic framework</w:t>
      </w:r>
    </w:p>
    <w:p>
      <w:pPr>
        <w:pStyle w:val="BodyText"/>
        <w:spacing w:before="1"/>
        <w:rPr>
          <w:b/>
          <w:sz w:val="32"/>
        </w:rPr>
      </w:pPr>
    </w:p>
    <w:p>
      <w:pPr>
        <w:pStyle w:val="BodyText"/>
        <w:spacing w:line="364" w:lineRule="auto"/>
        <w:ind w:left="461" w:right="1122"/>
      </w:pPr>
      <w:r>
        <w:rPr/>
        <w:t>Why was it that output and inflation were so volatile then and why has economic performance improved so much in the past 10 years? These questions are vital as we face more uncertain times ahead and to ensure that we avoid repeating the mistakes of the past. I would point to three main factors.</w:t>
      </w:r>
    </w:p>
    <w:p>
      <w:pPr>
        <w:pStyle w:val="BodyText"/>
        <w:spacing w:before="5"/>
        <w:rPr>
          <w:sz w:val="20"/>
        </w:rPr>
      </w:pPr>
    </w:p>
    <w:p>
      <w:pPr>
        <w:pStyle w:val="BodyText"/>
        <w:spacing w:line="364" w:lineRule="auto"/>
        <w:ind w:left="461" w:right="1053"/>
      </w:pPr>
      <w:r>
        <w:rPr/>
        <w:t>There have been changes to the structure of the UK economy that have made it more flexible and adaptable.  Labour market reforms enacted over the past twenty-five  years have led to a more flexible workforce. Unemployment has fallen without generating unsustainable growth in wages, and hence inflation.  And in recent years  the role of migrant labour has been important in easing the bottlenecks and skill shortages in what was otherwise an undoubtedly tight labour market. Firms have been able</w:t>
      </w:r>
      <w:r>
        <w:rPr>
          <w:spacing w:val="4"/>
        </w:rPr>
        <w:t> </w:t>
      </w:r>
      <w:r>
        <w:rPr/>
        <w:t>to</w:t>
      </w:r>
      <w:r>
        <w:rPr>
          <w:spacing w:val="5"/>
        </w:rPr>
        <w:t> </w:t>
      </w:r>
      <w:r>
        <w:rPr/>
        <w:t>adjust</w:t>
      </w:r>
      <w:r>
        <w:rPr>
          <w:spacing w:val="6"/>
        </w:rPr>
        <w:t> </w:t>
      </w:r>
      <w:r>
        <w:rPr/>
        <w:t>and</w:t>
      </w:r>
      <w:r>
        <w:rPr>
          <w:spacing w:val="5"/>
        </w:rPr>
        <w:t> </w:t>
      </w:r>
      <w:r>
        <w:rPr/>
        <w:t>adapt</w:t>
      </w:r>
      <w:r>
        <w:rPr>
          <w:spacing w:val="6"/>
        </w:rPr>
        <w:t> </w:t>
      </w:r>
      <w:r>
        <w:rPr/>
        <w:t>to</w:t>
      </w:r>
      <w:r>
        <w:rPr>
          <w:spacing w:val="6"/>
        </w:rPr>
        <w:t> </w:t>
      </w:r>
      <w:r>
        <w:rPr/>
        <w:t>events</w:t>
      </w:r>
      <w:r>
        <w:rPr>
          <w:spacing w:val="4"/>
        </w:rPr>
        <w:t> </w:t>
      </w:r>
      <w:r>
        <w:rPr/>
        <w:t>more</w:t>
      </w:r>
      <w:r>
        <w:rPr>
          <w:spacing w:val="4"/>
        </w:rPr>
        <w:t> </w:t>
      </w:r>
      <w:r>
        <w:rPr/>
        <w:t>quickly</w:t>
      </w:r>
      <w:r>
        <w:rPr>
          <w:spacing w:val="5"/>
        </w:rPr>
        <w:t> </w:t>
      </w:r>
      <w:r>
        <w:rPr/>
        <w:t>and</w:t>
      </w:r>
      <w:r>
        <w:rPr>
          <w:spacing w:val="7"/>
        </w:rPr>
        <w:t> </w:t>
      </w:r>
      <w:r>
        <w:rPr/>
        <w:t>that</w:t>
      </w:r>
      <w:r>
        <w:rPr>
          <w:spacing w:val="4"/>
        </w:rPr>
        <w:t> </w:t>
      </w:r>
      <w:r>
        <w:rPr/>
        <w:t>has</w:t>
      </w:r>
      <w:r>
        <w:rPr>
          <w:spacing w:val="4"/>
        </w:rPr>
        <w:t> </w:t>
      </w:r>
      <w:r>
        <w:rPr/>
        <w:t>produced</w:t>
      </w:r>
      <w:r>
        <w:rPr>
          <w:spacing w:val="7"/>
        </w:rPr>
        <w:t> </w:t>
      </w:r>
      <w:r>
        <w:rPr/>
        <w:t>less</w:t>
      </w:r>
      <w:r>
        <w:rPr>
          <w:spacing w:val="4"/>
        </w:rPr>
        <w:t> </w:t>
      </w:r>
      <w:r>
        <w:rPr/>
        <w:t>volatility</w:t>
      </w:r>
      <w:r>
        <w:rPr>
          <w:spacing w:val="7"/>
        </w:rPr>
        <w:t> </w:t>
      </w:r>
      <w:r>
        <w:rPr/>
        <w:t>in</w:t>
      </w:r>
    </w:p>
    <w:p>
      <w:pPr>
        <w:spacing w:after="0" w:line="364" w:lineRule="auto"/>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147"/>
      </w:pPr>
      <w:r>
        <w:rPr/>
        <w:t>output, employment and inflation for the economy as a whole. With economic growth expected to slow over the coming year pressures in the labour market are likely to ease, reducing the demand for migrant labour, and possibly beginning to reverse  recent strong</w:t>
      </w:r>
      <w:r>
        <w:rPr>
          <w:spacing w:val="2"/>
        </w:rPr>
        <w:t> </w:t>
      </w:r>
      <w:r>
        <w:rPr/>
        <w:t>inflows.</w:t>
      </w:r>
    </w:p>
    <w:p>
      <w:pPr>
        <w:pStyle w:val="BodyText"/>
        <w:spacing w:before="7"/>
        <w:rPr>
          <w:sz w:val="20"/>
        </w:rPr>
      </w:pPr>
    </w:p>
    <w:p>
      <w:pPr>
        <w:pStyle w:val="BodyText"/>
        <w:spacing w:line="364" w:lineRule="auto"/>
        <w:ind w:left="461" w:right="1145"/>
      </w:pPr>
      <w:r>
        <w:rPr/>
        <w:t>A second fundamental change has been to the monetary policy framework. The experience of those three recessions and bursts of inflation has led to a settled consensus that monetary policy should be directed at controlling inflation and that there is no long-run trade off between inflation and output growth. This consensus has been embedded by transferring interest rate decisions to an independent Bank of England, with a clearly defined inflation target of 2% measured by annual CPI inflation. That has helped build confidence that if inflation does move away from target, we on the Monetary Policy Committee will act to ensure that it returns to   target in the medium term. That confidence should ensure that employers and employees are less likely to adjust their prices and wages to a surprise movement in inflation. In other words, their expectation of inflation in the medium-term remains low, stable and anchored at the target.  And that has helped to contribute not only to the stability of inflation, but output as</w:t>
      </w:r>
      <w:r>
        <w:rPr>
          <w:spacing w:val="2"/>
        </w:rPr>
        <w:t> </w:t>
      </w:r>
      <w:r>
        <w:rPr/>
        <w:t>well.</w:t>
      </w:r>
    </w:p>
    <w:p>
      <w:pPr>
        <w:pStyle w:val="BodyText"/>
        <w:spacing w:before="11"/>
        <w:rPr>
          <w:sz w:val="20"/>
        </w:rPr>
      </w:pPr>
    </w:p>
    <w:p>
      <w:pPr>
        <w:pStyle w:val="BodyText"/>
        <w:spacing w:line="364" w:lineRule="auto"/>
        <w:ind w:left="461" w:right="1218"/>
      </w:pPr>
      <w:r>
        <w:rPr/>
        <w:t>Reforms to both the labour market and monetary policy have undoubtedly played an important role in the reduction in output volatility and emergence of a stable, low inflation environment.  But there was a third factor at play that was probably also  quite fundamental. Over the first decade of the MPC the economic cycles in the rest  of the world were generally moderate, although not without excitement. And there is good evidence to suggest that the integration of emerging economies, such as China, into the global economy was beneficial to countries like the UK.  The share of  Chinese goods in total UK goods imports has almost tripled in money terms over the past fifteen years to around 8 per cent, and it’s likely that much of the content of imports from elsewhere originated in China. This rising share of Chinese imports has reduced manufactured imported goods prices relative to other prices and</w:t>
      </w:r>
      <w:r>
        <w:rPr>
          <w:spacing w:val="38"/>
        </w:rPr>
        <w:t> </w:t>
      </w:r>
      <w:r>
        <w:rPr/>
        <w:t>wages.</w:t>
      </w:r>
    </w:p>
    <w:p>
      <w:pPr>
        <w:spacing w:after="0" w:line="364" w:lineRule="auto"/>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218"/>
      </w:pPr>
      <w:r>
        <w:rPr/>
        <w:t>Consumer goods price inflation hovered around zero for most of the last ten years, until the recent rise in oil prices</w:t>
      </w:r>
      <w:r>
        <w:rPr>
          <w:b/>
        </w:rPr>
        <w:t>. </w:t>
      </w:r>
      <w:r>
        <w:rPr/>
        <w:t>As a result, the purchasing power of UK consumers has risen with higher real wages achieved without any cost to employers. In other words, for a period the beneficial tailwind allowed the economy to run at a higher level of activity than would otherwise have been the case, without generating additional inflationary pressures</w:t>
      </w:r>
    </w:p>
    <w:p>
      <w:pPr>
        <w:pStyle w:val="BodyText"/>
        <w:spacing w:before="8"/>
        <w:rPr>
          <w:sz w:val="20"/>
        </w:rPr>
      </w:pPr>
    </w:p>
    <w:p>
      <w:pPr>
        <w:pStyle w:val="BodyText"/>
        <w:spacing w:line="364" w:lineRule="auto"/>
        <w:ind w:left="461" w:right="1122"/>
      </w:pPr>
      <w:r>
        <w:rPr/>
        <w:t>But the economic environment overseas has taken a turn for the worse. In many ways it is a tale of two</w:t>
      </w:r>
      <w:r>
        <w:rPr>
          <w:spacing w:val="2"/>
        </w:rPr>
        <w:t> </w:t>
      </w:r>
      <w:r>
        <w:rPr/>
        <w:t>cycles.</w:t>
      </w:r>
    </w:p>
    <w:p>
      <w:pPr>
        <w:pStyle w:val="BodyText"/>
        <w:spacing w:before="6"/>
        <w:rPr>
          <w:sz w:val="20"/>
        </w:rPr>
      </w:pPr>
    </w:p>
    <w:p>
      <w:pPr>
        <w:pStyle w:val="Heading1"/>
      </w:pPr>
      <w:r>
        <w:rPr/>
        <w:t>The financial cycle</w:t>
      </w:r>
    </w:p>
    <w:p>
      <w:pPr>
        <w:pStyle w:val="BodyText"/>
        <w:spacing w:before="1"/>
        <w:rPr>
          <w:b/>
          <w:sz w:val="32"/>
        </w:rPr>
      </w:pPr>
    </w:p>
    <w:p>
      <w:pPr>
        <w:pStyle w:val="BodyText"/>
        <w:spacing w:line="364" w:lineRule="auto" w:before="1"/>
        <w:ind w:left="461" w:right="1122"/>
      </w:pPr>
      <w:r>
        <w:rPr/>
        <w:t>The first cycle has been in the financial sector in the West. A banking cycle is not a new phenomenon but the scale of the expansion of cheap credit for some years and speed of the downswing in the last year has been exceptional.</w:t>
      </w:r>
    </w:p>
    <w:p>
      <w:pPr>
        <w:pStyle w:val="BodyText"/>
        <w:spacing w:before="5"/>
        <w:rPr>
          <w:sz w:val="20"/>
        </w:rPr>
      </w:pPr>
    </w:p>
    <w:p>
      <w:pPr>
        <w:pStyle w:val="BodyText"/>
        <w:spacing w:line="364" w:lineRule="auto"/>
        <w:ind w:left="461" w:right="1122"/>
      </w:pPr>
      <w:r>
        <w:rPr/>
        <w:t>It started in the US with a real downturn in the housing market and rising default rates on sub-prime mortgages in particular. That led to a freeze in the structured credit markets built on those loans as investors lost confidence in the credit ratings they depend on.</w:t>
      </w:r>
    </w:p>
    <w:p>
      <w:pPr>
        <w:pStyle w:val="BodyText"/>
        <w:spacing w:before="6"/>
        <w:rPr>
          <w:sz w:val="20"/>
        </w:rPr>
      </w:pPr>
    </w:p>
    <w:p>
      <w:pPr>
        <w:pStyle w:val="BodyText"/>
        <w:spacing w:line="364" w:lineRule="auto"/>
        <w:ind w:left="461" w:right="1122"/>
      </w:pPr>
      <w:r>
        <w:rPr/>
        <w:t>In finance at least, it is still true that when America sneezes the rest of the world catches a cold and the sub-prime crisis swiftly spread to financial institutions across the world. They became uncertain about the value of the financial positions they held, let alone what their counterparties held. This led to a wider loss of confidence in banks, the hoarding of cash and illiquidity in many financial markets which is still not over.</w:t>
      </w:r>
    </w:p>
    <w:p>
      <w:pPr>
        <w:pStyle w:val="BodyText"/>
        <w:spacing w:before="5"/>
        <w:rPr>
          <w:sz w:val="20"/>
        </w:rPr>
      </w:pPr>
    </w:p>
    <w:p>
      <w:pPr>
        <w:pStyle w:val="BodyText"/>
        <w:spacing w:line="364" w:lineRule="auto"/>
        <w:ind w:left="461" w:right="1235"/>
      </w:pPr>
      <w:r>
        <w:rPr/>
        <w:t>As financial institutions all around the world have struggled to shrink their balance sheets in the face of this storm, there has been a pronounced tightening in the supply of credit. The number of loan approvals for house purchases fell to a new low in April to – on some indicators – its lowest level in over thirty years (Chart</w:t>
      </w:r>
      <w:r>
        <w:rPr>
          <w:spacing w:val="38"/>
        </w:rPr>
        <w:t> </w:t>
      </w:r>
      <w:r>
        <w:rPr/>
        <w:t>3).</w:t>
      </w:r>
    </w:p>
    <w:p>
      <w:pPr>
        <w:spacing w:after="0" w:line="364" w:lineRule="auto"/>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172"/>
      </w:pPr>
      <w:r>
        <w:rPr/>
        <w:t>In the past, the swings in the UK economy have been home grown. Credit squeezes have typically resulted from rising domestic arrears and defaults, driven by economic downturns at home.  This time the sequence has been reversed.  The broadest measures of economic activity have continued to grow: quarterly GDP growth in the latest data for 2008Q1 was 0.4% and employment has continued to rise. The level of defaults on corporate and personal loans has been low.  So the squeeze on new lending has preceded rather than followed the slowdown in the UK. The judgement we have to make is how far that tightening will restrain the domestic economy in future.</w:t>
      </w:r>
    </w:p>
    <w:p>
      <w:pPr>
        <w:pStyle w:val="BodyText"/>
        <w:spacing w:before="9"/>
        <w:rPr>
          <w:sz w:val="20"/>
        </w:rPr>
      </w:pPr>
    </w:p>
    <w:p>
      <w:pPr>
        <w:pStyle w:val="BodyText"/>
        <w:spacing w:line="364" w:lineRule="auto"/>
        <w:ind w:left="461" w:right="1218"/>
      </w:pPr>
      <w:r>
        <w:rPr/>
        <w:t>There is no doubt it is having a material effect already (Chart 4).  This is most  obvious in the housing market, where prices have fallen by around 7% since their peak, and have further to fall. The drop in transactions and turnover is rippling through the housebuilding industry, estate agencies and mortgage brokers. Of course  a fall in house prices benefits buyers just as it hurts sellers so there is no necessary link to wider consumption. But the belief that in housing you could have your cake and eat it – that is your house would not just provide a place to live but would also provide an assured capital gain – has become widespread and the shock to expectations appears to be having a wider impact on confidence.   There are also  signs in some of the more timely survey indicators of consumer spending that weakness is spreading there</w:t>
      </w:r>
      <w:r>
        <w:rPr>
          <w:spacing w:val="3"/>
        </w:rPr>
        <w:t> </w:t>
      </w:r>
      <w:r>
        <w:rPr/>
        <w:t>too.</w:t>
      </w:r>
    </w:p>
    <w:p>
      <w:pPr>
        <w:pStyle w:val="BodyText"/>
        <w:spacing w:before="9"/>
        <w:rPr>
          <w:sz w:val="20"/>
        </w:rPr>
      </w:pPr>
    </w:p>
    <w:p>
      <w:pPr>
        <w:pStyle w:val="BodyText"/>
        <w:spacing w:line="364" w:lineRule="auto"/>
        <w:ind w:left="461" w:right="1337"/>
        <w:jc w:val="both"/>
      </w:pPr>
      <w:r>
        <w:rPr/>
        <w:t>If nothing else were going on, the MPC would expect this prospective weakness in overall demand to put downward pressure on inflation in the medium term and that would be pointing to further rate cuts.</w:t>
      </w:r>
    </w:p>
    <w:p>
      <w:pPr>
        <w:pStyle w:val="BodyText"/>
        <w:spacing w:before="7"/>
        <w:rPr>
          <w:sz w:val="20"/>
        </w:rPr>
      </w:pPr>
    </w:p>
    <w:p>
      <w:pPr>
        <w:pStyle w:val="Heading1"/>
        <w:spacing w:before="1"/>
        <w:jc w:val="both"/>
      </w:pPr>
      <w:r>
        <w:rPr/>
        <w:t>The commodity price cycle</w:t>
      </w:r>
    </w:p>
    <w:p>
      <w:pPr>
        <w:pStyle w:val="BodyText"/>
        <w:spacing w:before="1"/>
        <w:rPr>
          <w:b/>
          <w:sz w:val="32"/>
        </w:rPr>
      </w:pPr>
    </w:p>
    <w:p>
      <w:pPr>
        <w:pStyle w:val="BodyText"/>
        <w:spacing w:line="364" w:lineRule="auto"/>
        <w:ind w:left="461" w:right="1218"/>
      </w:pPr>
      <w:r>
        <w:rPr/>
        <w:t>However, there is something else going on! Because if the US still drives the financial cycle, it has become less dominant in the world economy. According to the IMF, emerging and developing countries together generated around 70% of</w:t>
      </w:r>
      <w:r>
        <w:rPr>
          <w:spacing w:val="48"/>
        </w:rPr>
        <w:t> </w:t>
      </w:r>
      <w:r>
        <w:rPr/>
        <w:t>world</w:t>
      </w:r>
    </w:p>
    <w:p>
      <w:pPr>
        <w:spacing w:after="0" w:line="364" w:lineRule="auto"/>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235"/>
      </w:pPr>
      <w:r>
        <w:rPr/>
        <w:t>growth in 2007, with China alone generating around 25%. And the world economy has been and still is growing strongly. That is what has been driving the rise in oil  and commodity prices. For example, since the start of 2005, China has accounted for almost all of the increase in world demand for key metals such as aluminium, copper and zinc. And since 2000, around one-third of the increase in world demand for oil has emanated from</w:t>
      </w:r>
      <w:r>
        <w:rPr>
          <w:spacing w:val="-1"/>
        </w:rPr>
        <w:t> </w:t>
      </w:r>
      <w:r>
        <w:rPr/>
        <w:t>China.</w:t>
      </w:r>
    </w:p>
    <w:p>
      <w:pPr>
        <w:pStyle w:val="BodyText"/>
        <w:spacing w:before="8"/>
        <w:rPr>
          <w:sz w:val="20"/>
        </w:rPr>
      </w:pPr>
    </w:p>
    <w:p>
      <w:pPr>
        <w:pStyle w:val="BodyText"/>
        <w:spacing w:line="364" w:lineRule="auto"/>
        <w:ind w:left="461" w:right="1122"/>
      </w:pPr>
      <w:r>
        <w:rPr/>
        <w:t>Between 1997 and 2004 commodity prices were largely stable.  However, since the end of 2004, sterling non-oil commodity prices have doubled, while sterling oil prices have more than trebled. And half of that rise has occurred in the last 9</w:t>
      </w:r>
      <w:r>
        <w:rPr>
          <w:spacing w:val="38"/>
        </w:rPr>
        <w:t> </w:t>
      </w:r>
      <w:r>
        <w:rPr/>
        <w:t>months.</w:t>
      </w:r>
    </w:p>
    <w:p>
      <w:pPr>
        <w:pStyle w:val="BodyText"/>
        <w:spacing w:before="5"/>
        <w:rPr>
          <w:sz w:val="20"/>
        </w:rPr>
      </w:pPr>
    </w:p>
    <w:p>
      <w:pPr>
        <w:pStyle w:val="BodyText"/>
        <w:spacing w:line="364" w:lineRule="auto"/>
        <w:ind w:left="461" w:right="1218"/>
      </w:pPr>
      <w:r>
        <w:rPr/>
        <w:t>The strength of demand for commodities in emerging markets has not been matched by supply. In both the oil and metals sector, new capacity can take many years to come on stream. And in the agricultural sector, output has been affected by adverse weather conditions in North America, Europe and Australia.</w:t>
      </w:r>
    </w:p>
    <w:p>
      <w:pPr>
        <w:pStyle w:val="BodyText"/>
        <w:spacing w:before="5"/>
        <w:rPr>
          <w:sz w:val="20"/>
        </w:rPr>
      </w:pPr>
    </w:p>
    <w:p>
      <w:pPr>
        <w:pStyle w:val="BodyText"/>
        <w:spacing w:line="364" w:lineRule="auto"/>
        <w:ind w:left="461" w:right="1122"/>
      </w:pPr>
      <w:r>
        <w:rPr/>
        <w:t>As of yesterday, oil was trading at around $130 per barrel. Relative to the rise in the prices of consumer goods and services, oil prices (in US dollars) are now higher than they were in the 1970s. The rise in oil prices has pushed up on fuel, retail gas and electricity prices. Similarly, the rising cost of agricultural commodities has driven up food prices (Chart 5). Taken together energy and food components can account</w:t>
      </w:r>
      <w:r>
        <w:rPr>
          <w:spacing w:val="53"/>
        </w:rPr>
        <w:t> </w:t>
      </w:r>
      <w:r>
        <w:rPr/>
        <w:t>for</w:t>
      </w:r>
    </w:p>
    <w:p>
      <w:pPr>
        <w:pStyle w:val="ListParagraph"/>
        <w:numPr>
          <w:ilvl w:val="1"/>
          <w:numId w:val="1"/>
        </w:numPr>
        <w:tabs>
          <w:tab w:pos="811" w:val="left" w:leader="none"/>
        </w:tabs>
        <w:spacing w:line="364" w:lineRule="auto" w:before="3" w:after="0"/>
        <w:ind w:left="461" w:right="1073" w:firstLine="0"/>
        <w:jc w:val="left"/>
        <w:rPr>
          <w:rFonts w:ascii="Times New Roman"/>
          <w:sz w:val="23"/>
        </w:rPr>
      </w:pPr>
      <w:r>
        <w:rPr>
          <w:rFonts w:ascii="Times New Roman"/>
          <w:sz w:val="23"/>
        </w:rPr>
        <w:t>percentage points of the 1.2 percentage points increase in CPI inflation from 2.1% in December last year to 3.3% in</w:t>
      </w:r>
      <w:r>
        <w:rPr>
          <w:rFonts w:ascii="Times New Roman"/>
          <w:spacing w:val="8"/>
          <w:sz w:val="23"/>
        </w:rPr>
        <w:t> </w:t>
      </w:r>
      <w:r>
        <w:rPr>
          <w:rFonts w:ascii="Times New Roman"/>
          <w:sz w:val="23"/>
        </w:rPr>
        <w:t>May.</w:t>
      </w:r>
    </w:p>
    <w:p>
      <w:pPr>
        <w:pStyle w:val="BodyText"/>
        <w:spacing w:before="4"/>
        <w:rPr>
          <w:sz w:val="20"/>
        </w:rPr>
      </w:pPr>
    </w:p>
    <w:p>
      <w:pPr>
        <w:pStyle w:val="BodyText"/>
        <w:spacing w:line="364" w:lineRule="auto"/>
        <w:ind w:left="461" w:right="1091"/>
      </w:pPr>
      <w:r>
        <w:rPr/>
        <w:t>There is no doubt that the emergence of China, India and other Asian economies in recent years is a permanent change in the structure and balance of the world   economy. But there are signs too that an element of their recent growth may be cyclical. The growing inflationary pressures and the scale of the booms in investment are typical of economies reaching the top of the cycle. The huge increase in oil and food</w:t>
      </w:r>
      <w:r>
        <w:rPr>
          <w:spacing w:val="6"/>
        </w:rPr>
        <w:t> </w:t>
      </w:r>
      <w:r>
        <w:rPr/>
        <w:t>prices</w:t>
      </w:r>
      <w:r>
        <w:rPr>
          <w:spacing w:val="6"/>
        </w:rPr>
        <w:t> </w:t>
      </w:r>
      <w:r>
        <w:rPr/>
        <w:t>will</w:t>
      </w:r>
      <w:r>
        <w:rPr>
          <w:spacing w:val="7"/>
        </w:rPr>
        <w:t> </w:t>
      </w:r>
      <w:r>
        <w:rPr/>
        <w:t>itself</w:t>
      </w:r>
      <w:r>
        <w:rPr>
          <w:spacing w:val="6"/>
        </w:rPr>
        <w:t> </w:t>
      </w:r>
      <w:r>
        <w:rPr/>
        <w:t>have</w:t>
      </w:r>
      <w:r>
        <w:rPr>
          <w:spacing w:val="7"/>
        </w:rPr>
        <w:t> </w:t>
      </w:r>
      <w:r>
        <w:rPr/>
        <w:t>a</w:t>
      </w:r>
      <w:r>
        <w:rPr>
          <w:spacing w:val="6"/>
        </w:rPr>
        <w:t> </w:t>
      </w:r>
      <w:r>
        <w:rPr/>
        <w:t>dampening</w:t>
      </w:r>
      <w:r>
        <w:rPr>
          <w:spacing w:val="6"/>
        </w:rPr>
        <w:t> </w:t>
      </w:r>
      <w:r>
        <w:rPr/>
        <w:t>effect</w:t>
      </w:r>
      <w:r>
        <w:rPr>
          <w:spacing w:val="7"/>
        </w:rPr>
        <w:t> </w:t>
      </w:r>
      <w:r>
        <w:rPr/>
        <w:t>on</w:t>
      </w:r>
      <w:r>
        <w:rPr>
          <w:spacing w:val="8"/>
        </w:rPr>
        <w:t> </w:t>
      </w:r>
      <w:r>
        <w:rPr/>
        <w:t>consumers</w:t>
      </w:r>
      <w:r>
        <w:rPr>
          <w:spacing w:val="6"/>
        </w:rPr>
        <w:t> </w:t>
      </w:r>
      <w:r>
        <w:rPr/>
        <w:t>in</w:t>
      </w:r>
      <w:r>
        <w:rPr>
          <w:spacing w:val="7"/>
        </w:rPr>
        <w:t> </w:t>
      </w:r>
      <w:r>
        <w:rPr/>
        <w:t>those</w:t>
      </w:r>
      <w:r>
        <w:rPr>
          <w:spacing w:val="7"/>
        </w:rPr>
        <w:t> </w:t>
      </w:r>
      <w:r>
        <w:rPr/>
        <w:t>countries</w:t>
      </w:r>
      <w:r>
        <w:rPr>
          <w:spacing w:val="7"/>
        </w:rPr>
        <w:t> </w:t>
      </w:r>
      <w:r>
        <w:rPr/>
        <w:t>–</w:t>
      </w:r>
      <w:r>
        <w:rPr>
          <w:spacing w:val="7"/>
        </w:rPr>
        <w:t> </w:t>
      </w:r>
      <w:r>
        <w:rPr/>
        <w:t>as</w:t>
      </w:r>
      <w:r>
        <w:rPr>
          <w:spacing w:val="6"/>
        </w:rPr>
        <w:t> </w:t>
      </w:r>
      <w:r>
        <w:rPr/>
        <w:t>it</w:t>
      </w:r>
    </w:p>
    <w:p>
      <w:pPr>
        <w:spacing w:after="0" w:line="364" w:lineRule="auto"/>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122"/>
      </w:pPr>
      <w:r>
        <w:rPr/>
        <w:t>will in the West. So we may well see the balance of supply and demand shift at some point.</w:t>
      </w:r>
    </w:p>
    <w:p>
      <w:pPr>
        <w:pStyle w:val="BodyText"/>
        <w:spacing w:before="7"/>
        <w:rPr>
          <w:sz w:val="20"/>
        </w:rPr>
      </w:pPr>
    </w:p>
    <w:p>
      <w:pPr>
        <w:pStyle w:val="Heading1"/>
      </w:pPr>
      <w:r>
        <w:rPr/>
        <w:t>UK inflation outlook</w:t>
      </w:r>
    </w:p>
    <w:p>
      <w:pPr>
        <w:pStyle w:val="BodyText"/>
        <w:spacing w:before="2"/>
        <w:rPr>
          <w:b/>
          <w:sz w:val="32"/>
        </w:rPr>
      </w:pPr>
    </w:p>
    <w:p>
      <w:pPr>
        <w:pStyle w:val="BodyText"/>
        <w:spacing w:line="364" w:lineRule="auto"/>
        <w:ind w:left="461" w:right="1122"/>
      </w:pPr>
      <w:r>
        <w:rPr/>
        <w:t>But the immediate prospect is for rising inflation. As the Governor explained in his open letter to the Chancellor, when the rise in energy prices passes through to consumers, CPI inflation is likely to rise sharply in the second half of the year, to above 4%. There is of course considerable uncertainty around this, and if energy and other import prices rise further, CPI inflation could well go even higher in the short term. That is bound to lead to a downward adjustment to real take-home pay. That cannot be avoided. Indeed, such an adjustment was seen in response to the rise in energy prices in 2004-06. Over that period, nominal wage growth was broadly stable, and there was a relatively smooth adjustment to real wages in response to the rise in energy</w:t>
      </w:r>
      <w:r>
        <w:rPr>
          <w:spacing w:val="1"/>
        </w:rPr>
        <w:t> </w:t>
      </w:r>
      <w:r>
        <w:rPr/>
        <w:t>prices.</w:t>
      </w:r>
    </w:p>
    <w:p>
      <w:pPr>
        <w:pStyle w:val="BodyText"/>
        <w:spacing w:before="9"/>
        <w:rPr>
          <w:sz w:val="20"/>
        </w:rPr>
      </w:pPr>
    </w:p>
    <w:p>
      <w:pPr>
        <w:pStyle w:val="BodyText"/>
        <w:spacing w:line="364" w:lineRule="auto"/>
        <w:ind w:left="461" w:right="1122"/>
      </w:pPr>
      <w:r>
        <w:rPr/>
        <w:t>A key risk to the outlook is whether a similar, benign adjustment will occur in response to the latest price rises. With inflation having been above target for much of the past three years, and set to rise further in the near term, there is a risk that households and businesses may start to expect CPI inflation to be persistently above 2%. If that happened, and those expectations were built into higher wages and prices, the benign adjustment would not be repeated. So we are closely monitoring developments in inflation expectations. Unfortunately inflation expectations can’t be observed directly. But a number of measures, including household surveys and financial market instruments, can act as a guide (Chart</w:t>
      </w:r>
      <w:r>
        <w:rPr>
          <w:spacing w:val="9"/>
        </w:rPr>
        <w:t> </w:t>
      </w:r>
      <w:r>
        <w:rPr/>
        <w:t>6).</w:t>
      </w:r>
    </w:p>
    <w:p>
      <w:pPr>
        <w:pStyle w:val="BodyText"/>
        <w:spacing w:before="7"/>
        <w:rPr>
          <w:sz w:val="20"/>
        </w:rPr>
      </w:pPr>
    </w:p>
    <w:p>
      <w:pPr>
        <w:pStyle w:val="BodyText"/>
        <w:spacing w:line="364" w:lineRule="auto" w:before="1"/>
        <w:ind w:left="461" w:right="1122"/>
      </w:pPr>
      <w:r>
        <w:rPr/>
        <w:t>While all these measures have their drawbacks, most have risen – in some cases markedly – over the past year. It is unclear to what extent these measures contain information about the medium-term – the horizon over which the MPC aim to bring inflation back to target. And it is comforting that other measures – such as money spending remain stable and in line with the average rate of increase since 1997. And</w:t>
      </w:r>
    </w:p>
    <w:p>
      <w:pPr>
        <w:spacing w:after="0" w:line="364" w:lineRule="auto"/>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428"/>
        <w:jc w:val="both"/>
      </w:pPr>
      <w:r>
        <w:rPr/>
        <w:t>the Committee’s commitment to ensuring inflation returns to the 2% target should give those setting prices and wages some confidence that inflation will be close to target in the future.</w:t>
      </w:r>
    </w:p>
    <w:p>
      <w:pPr>
        <w:pStyle w:val="BodyText"/>
        <w:spacing w:before="8"/>
        <w:rPr>
          <w:sz w:val="20"/>
        </w:rPr>
      </w:pPr>
    </w:p>
    <w:p>
      <w:pPr>
        <w:pStyle w:val="Heading1"/>
      </w:pPr>
      <w:r>
        <w:rPr/>
        <w:t>Conclusion</w:t>
      </w:r>
    </w:p>
    <w:p>
      <w:pPr>
        <w:pStyle w:val="BodyText"/>
        <w:spacing w:before="1"/>
        <w:rPr>
          <w:b/>
          <w:sz w:val="32"/>
        </w:rPr>
      </w:pPr>
    </w:p>
    <w:p>
      <w:pPr>
        <w:pStyle w:val="BodyText"/>
        <w:spacing w:line="364" w:lineRule="auto"/>
        <w:ind w:left="461" w:right="1218"/>
      </w:pPr>
      <w:r>
        <w:rPr/>
        <w:t>There is no doubt that the current climate is the most challenging the MPC has ever had to face. Balancing the downside risk to demand associated with tighter credit conditions against the inflationary pressures emanating from the rest of the world is an enormous challenge. And the immediate prospect is for a deterioration in both output growth and inflation.</w:t>
      </w:r>
    </w:p>
    <w:p>
      <w:pPr>
        <w:pStyle w:val="BodyText"/>
        <w:spacing w:before="6"/>
        <w:rPr>
          <w:sz w:val="20"/>
        </w:rPr>
      </w:pPr>
    </w:p>
    <w:p>
      <w:pPr>
        <w:pStyle w:val="BodyText"/>
        <w:spacing w:line="364" w:lineRule="auto" w:before="1"/>
        <w:ind w:left="461" w:right="1122"/>
      </w:pPr>
      <w:r>
        <w:rPr/>
        <w:t>Monetary policy cannot prevent the economy being buffeted by developments in the wider world economy but the experience of the past 10 years has shown that the economy is now more flexible in responding to events. Crucially we now have a credible framework for setting monetary policy to meet the inflation target in the medium term.</w:t>
      </w:r>
    </w:p>
    <w:p>
      <w:pPr>
        <w:pStyle w:val="BodyText"/>
        <w:spacing w:before="6"/>
        <w:rPr>
          <w:sz w:val="20"/>
        </w:rPr>
      </w:pPr>
    </w:p>
    <w:p>
      <w:pPr>
        <w:pStyle w:val="BodyText"/>
        <w:spacing w:line="364" w:lineRule="auto"/>
        <w:ind w:left="461" w:right="1159"/>
      </w:pPr>
      <w:r>
        <w:rPr/>
        <w:t>Monetary policy cannot prevent the short-run ups and downs of economic cycles. In the current climate, the Committee believes that, if Bank Rate were set to bring inflation back to target too quickly, the result would be unnecessary volatility in  output and employment. Instead we are focused on returning CPI inflation to the 2% target in around two years, when the present sharp rises in energy and food prices will have dropped out of the CPI inflation rate.  We judge that in order for inflation to return to target it will be necessary for economic growth to slow this year, reducing  the pressure on supply capacity of the economy and dampening increases in prices   and wages. But the risks to both the upside and downside remain large and the MPC will continue to make its judgement about the appropriate level of Bank Rate month  by</w:t>
      </w:r>
      <w:r>
        <w:rPr>
          <w:spacing w:val="2"/>
        </w:rPr>
        <w:t> </w:t>
      </w:r>
      <w:r>
        <w:rPr/>
        <w:t>month.</w:t>
      </w:r>
    </w:p>
    <w:p>
      <w:pPr>
        <w:pStyle w:val="BodyText"/>
        <w:spacing w:before="9"/>
        <w:rPr>
          <w:sz w:val="20"/>
        </w:rPr>
      </w:pPr>
    </w:p>
    <w:p>
      <w:pPr>
        <w:pStyle w:val="BodyText"/>
        <w:spacing w:line="364" w:lineRule="auto"/>
        <w:ind w:left="461" w:right="1122"/>
      </w:pPr>
      <w:r>
        <w:rPr/>
        <w:t>The next year is not going to be comfortable for anyone and we already hear calls to change the system, the target, and our focus on inflation. But the new framework and</w:t>
      </w:r>
    </w:p>
    <w:p>
      <w:pPr>
        <w:spacing w:after="0" w:line="364" w:lineRule="auto"/>
        <w:sectPr>
          <w:pgSz w:w="11900" w:h="16840"/>
          <w:pgMar w:header="0" w:footer="1417" w:top="1600" w:bottom="1600" w:left="1640" w:right="700"/>
        </w:sectPr>
      </w:pPr>
    </w:p>
    <w:p>
      <w:pPr>
        <w:pStyle w:val="BodyText"/>
        <w:rPr>
          <w:sz w:val="20"/>
        </w:rPr>
      </w:pPr>
    </w:p>
    <w:p>
      <w:pPr>
        <w:pStyle w:val="BodyText"/>
        <w:spacing w:before="8"/>
        <w:rPr>
          <w:sz w:val="16"/>
        </w:rPr>
      </w:pPr>
    </w:p>
    <w:p>
      <w:pPr>
        <w:pStyle w:val="BodyText"/>
        <w:spacing w:line="364" w:lineRule="auto" w:before="93"/>
        <w:ind w:left="461" w:right="1122"/>
      </w:pPr>
      <w:r>
        <w:rPr/>
        <w:t>the independence of the Bank was designed for difficult times as well as for plain sailing. I hope we can look to you and other businesses for support in doing what is needed to bring inflation back to target.</w:t>
      </w:r>
    </w:p>
    <w:p>
      <w:pPr>
        <w:pStyle w:val="BodyText"/>
        <w:rPr>
          <w:sz w:val="26"/>
        </w:rPr>
      </w:pPr>
    </w:p>
    <w:p>
      <w:pPr>
        <w:pStyle w:val="BodyText"/>
        <w:rPr>
          <w:sz w:val="26"/>
        </w:rPr>
      </w:pPr>
    </w:p>
    <w:p>
      <w:pPr>
        <w:pStyle w:val="Heading1"/>
        <w:tabs>
          <w:tab w:pos="5003" w:val="left" w:leader="none"/>
        </w:tabs>
        <w:spacing w:before="176"/>
        <w:ind w:left="110"/>
      </w:pPr>
      <w:r>
        <w:rPr/>
        <w:t>Chart 1: Long-run of GDP and</w:t>
      </w:r>
      <w:r>
        <w:rPr>
          <w:spacing w:val="35"/>
        </w:rPr>
        <w:t> </w:t>
      </w:r>
      <w:r>
        <w:rPr/>
        <w:t>RPI</w:t>
      </w:r>
      <w:r>
        <w:rPr>
          <w:spacing w:val="7"/>
        </w:rPr>
        <w:t> </w:t>
      </w:r>
      <w:r>
        <w:rPr/>
        <w:t>inflation</w:t>
        <w:tab/>
        <w:t>Chart 2: Unemployment</w:t>
      </w:r>
      <w:r>
        <w:rPr>
          <w:spacing w:val="4"/>
        </w:rPr>
        <w:t> </w:t>
      </w:r>
      <w:r>
        <w:rPr/>
        <w:t>rate</w:t>
      </w:r>
    </w:p>
    <w:p>
      <w:pPr>
        <w:spacing w:after="0"/>
        <w:sectPr>
          <w:pgSz w:w="11900" w:h="16840"/>
          <w:pgMar w:header="0" w:footer="1417" w:top="1600" w:bottom="1600" w:left="1640" w:right="700"/>
        </w:sectPr>
      </w:pPr>
    </w:p>
    <w:p>
      <w:pPr>
        <w:spacing w:line="285" w:lineRule="auto" w:before="99"/>
        <w:ind w:left="227" w:right="0" w:firstLine="0"/>
        <w:jc w:val="left"/>
        <w:rPr>
          <w:rFonts w:ascii="Arial"/>
          <w:sz w:val="16"/>
        </w:rPr>
      </w:pPr>
      <w:r>
        <w:rPr>
          <w:rFonts w:ascii="Arial"/>
          <w:sz w:val="16"/>
        </w:rPr>
        <w:t>Percentage change on a year earlier</w:t>
      </w:r>
    </w:p>
    <w:p>
      <w:pPr>
        <w:spacing w:line="140" w:lineRule="exact" w:before="0"/>
        <w:ind w:left="359" w:right="0" w:firstLine="0"/>
        <w:jc w:val="left"/>
        <w:rPr>
          <w:rFonts w:ascii="Arial"/>
          <w:sz w:val="16"/>
        </w:rPr>
      </w:pPr>
      <w:r>
        <w:rPr/>
        <w:pict>
          <v:group style="position:absolute;margin-left:120.7155pt;margin-top:2.825122pt;width:167.75pt;height:126.85pt;mso-position-horizontal-relative:page;mso-position-vertical-relative:paragraph;z-index:251663360" coordorigin="2414,57" coordsize="3355,2537">
            <v:shape style="position:absolute;left:2414;top:56;width:3355;height:2537" type="#_x0000_t75" stroked="false">
              <v:imagedata r:id="rId8" o:title=""/>
            </v:shape>
            <v:shape style="position:absolute;left:3487;top:500;width:255;height:180" type="#_x0000_t202" filled="false" stroked="false">
              <v:textbox inset="0,0,0,0">
                <w:txbxContent>
                  <w:p>
                    <w:pPr>
                      <w:spacing w:line="179" w:lineRule="exact" w:before="0"/>
                      <w:ind w:left="0" w:right="0" w:firstLine="0"/>
                      <w:jc w:val="left"/>
                      <w:rPr>
                        <w:rFonts w:ascii="Arial"/>
                        <w:sz w:val="16"/>
                      </w:rPr>
                    </w:pPr>
                    <w:r>
                      <w:rPr>
                        <w:rFonts w:ascii="Arial"/>
                        <w:spacing w:val="-12"/>
                        <w:sz w:val="16"/>
                      </w:rPr>
                      <w:t>RPI</w:t>
                    </w:r>
                  </w:p>
                </w:txbxContent>
              </v:textbox>
              <w10:wrap type="none"/>
            </v:shape>
            <v:shape style="position:absolute;left:4639;top:1142;width:960;height:398" type="#_x0000_t202" filled="false" stroked="false">
              <v:textbox inset="0,0,0,0">
                <w:txbxContent>
                  <w:p>
                    <w:pPr>
                      <w:spacing w:line="179" w:lineRule="exact" w:before="0"/>
                      <w:ind w:left="0" w:right="8" w:firstLine="0"/>
                      <w:jc w:val="center"/>
                      <w:rPr>
                        <w:rFonts w:ascii="Arial"/>
                        <w:sz w:val="16"/>
                      </w:rPr>
                    </w:pPr>
                    <w:r>
                      <w:rPr>
                        <w:rFonts w:ascii="Arial"/>
                        <w:sz w:val="16"/>
                      </w:rPr>
                      <w:t>GDP at</w:t>
                    </w:r>
                  </w:p>
                  <w:p>
                    <w:pPr>
                      <w:spacing w:before="34"/>
                      <w:ind w:left="0" w:right="18" w:firstLine="0"/>
                      <w:jc w:val="center"/>
                      <w:rPr>
                        <w:rFonts w:ascii="Arial"/>
                        <w:sz w:val="16"/>
                      </w:rPr>
                    </w:pPr>
                    <w:r>
                      <w:rPr>
                        <w:rFonts w:ascii="Arial"/>
                        <w:spacing w:val="-5"/>
                        <w:sz w:val="16"/>
                      </w:rPr>
                      <w:t>market </w:t>
                    </w:r>
                    <w:r>
                      <w:rPr>
                        <w:rFonts w:ascii="Arial"/>
                        <w:spacing w:val="-4"/>
                        <w:sz w:val="16"/>
                      </w:rPr>
                      <w:t>prices</w:t>
                    </w:r>
                  </w:p>
                </w:txbxContent>
              </v:textbox>
              <w10:wrap type="none"/>
            </v:shape>
            <w10:wrap type="none"/>
          </v:group>
        </w:pict>
      </w:r>
      <w:r>
        <w:rPr>
          <w:rFonts w:ascii="Arial"/>
          <w:sz w:val="16"/>
        </w:rPr>
        <w:t>30.0</w:t>
      </w:r>
    </w:p>
    <w:p>
      <w:pPr>
        <w:pStyle w:val="BodyText"/>
        <w:spacing w:before="9"/>
        <w:rPr>
          <w:rFonts w:ascii="Arial"/>
          <w:sz w:val="15"/>
        </w:rPr>
      </w:pPr>
    </w:p>
    <w:p>
      <w:pPr>
        <w:spacing w:before="0"/>
        <w:ind w:left="359" w:right="0" w:firstLine="0"/>
        <w:jc w:val="left"/>
        <w:rPr>
          <w:rFonts w:ascii="Arial"/>
          <w:sz w:val="16"/>
        </w:rPr>
      </w:pPr>
      <w:r>
        <w:rPr>
          <w:rFonts w:ascii="Arial"/>
          <w:sz w:val="16"/>
        </w:rPr>
        <w:t>25.0</w:t>
      </w:r>
    </w:p>
    <w:p>
      <w:pPr>
        <w:pStyle w:val="BodyText"/>
        <w:spacing w:before="5"/>
        <w:rPr>
          <w:rFonts w:ascii="Arial"/>
          <w:sz w:val="14"/>
        </w:rPr>
      </w:pPr>
    </w:p>
    <w:p>
      <w:pPr>
        <w:spacing w:before="0"/>
        <w:ind w:left="359" w:right="0" w:firstLine="0"/>
        <w:jc w:val="left"/>
        <w:rPr>
          <w:rFonts w:ascii="Arial"/>
          <w:sz w:val="16"/>
        </w:rPr>
      </w:pPr>
      <w:r>
        <w:rPr>
          <w:rFonts w:ascii="Arial"/>
          <w:sz w:val="16"/>
        </w:rPr>
        <w:t>20.0</w:t>
      </w:r>
    </w:p>
    <w:p>
      <w:pPr>
        <w:pStyle w:val="BodyText"/>
        <w:spacing w:before="7"/>
        <w:rPr>
          <w:rFonts w:ascii="Arial"/>
          <w:sz w:val="15"/>
        </w:rPr>
      </w:pPr>
    </w:p>
    <w:p>
      <w:pPr>
        <w:spacing w:before="0"/>
        <w:ind w:left="359" w:right="0" w:firstLine="0"/>
        <w:jc w:val="left"/>
        <w:rPr>
          <w:rFonts w:ascii="Arial"/>
          <w:sz w:val="16"/>
        </w:rPr>
      </w:pPr>
      <w:r>
        <w:rPr>
          <w:rFonts w:ascii="Arial"/>
          <w:sz w:val="16"/>
        </w:rPr>
        <w:t>15.0</w:t>
      </w:r>
    </w:p>
    <w:p>
      <w:pPr>
        <w:pStyle w:val="BodyText"/>
        <w:spacing w:before="8"/>
        <w:rPr>
          <w:rFonts w:ascii="Arial"/>
          <w:sz w:val="15"/>
        </w:rPr>
      </w:pPr>
    </w:p>
    <w:p>
      <w:pPr>
        <w:spacing w:before="1"/>
        <w:ind w:left="359" w:right="0" w:firstLine="0"/>
        <w:jc w:val="left"/>
        <w:rPr>
          <w:rFonts w:ascii="Arial"/>
          <w:sz w:val="16"/>
        </w:rPr>
      </w:pPr>
      <w:r>
        <w:rPr>
          <w:rFonts w:ascii="Arial"/>
          <w:sz w:val="16"/>
        </w:rPr>
        <w:t>10.0</w:t>
      </w:r>
    </w:p>
    <w:p>
      <w:pPr>
        <w:pStyle w:val="BodyText"/>
        <w:spacing w:before="8"/>
        <w:rPr>
          <w:rFonts w:ascii="Arial"/>
          <w:sz w:val="15"/>
        </w:rPr>
      </w:pPr>
    </w:p>
    <w:p>
      <w:pPr>
        <w:spacing w:before="0"/>
        <w:ind w:left="446" w:right="0" w:firstLine="0"/>
        <w:jc w:val="left"/>
        <w:rPr>
          <w:rFonts w:ascii="Arial"/>
          <w:sz w:val="16"/>
        </w:rPr>
      </w:pPr>
      <w:r>
        <w:rPr>
          <w:rFonts w:ascii="Arial"/>
          <w:spacing w:val="-2"/>
          <w:sz w:val="16"/>
        </w:rPr>
        <w:t>5.0</w:t>
      </w:r>
    </w:p>
    <w:p>
      <w:pPr>
        <w:pStyle w:val="BodyText"/>
        <w:spacing w:before="5"/>
        <w:rPr>
          <w:rFonts w:ascii="Arial"/>
          <w:sz w:val="14"/>
        </w:rPr>
      </w:pPr>
    </w:p>
    <w:p>
      <w:pPr>
        <w:spacing w:before="0"/>
        <w:ind w:left="446" w:right="0" w:firstLine="0"/>
        <w:jc w:val="left"/>
        <w:rPr>
          <w:rFonts w:ascii="Arial"/>
          <w:sz w:val="16"/>
        </w:rPr>
      </w:pPr>
      <w:r>
        <w:rPr>
          <w:rFonts w:ascii="Arial"/>
          <w:spacing w:val="-2"/>
          <w:sz w:val="16"/>
        </w:rPr>
        <w:t>0.0</w:t>
      </w:r>
    </w:p>
    <w:p>
      <w:pPr>
        <w:pStyle w:val="BodyText"/>
        <w:spacing w:before="9"/>
        <w:rPr>
          <w:rFonts w:ascii="Arial"/>
          <w:sz w:val="15"/>
        </w:rPr>
      </w:pPr>
    </w:p>
    <w:p>
      <w:pPr>
        <w:spacing w:before="0"/>
        <w:ind w:left="388" w:right="0" w:firstLine="0"/>
        <w:jc w:val="left"/>
        <w:rPr>
          <w:rFonts w:ascii="Arial"/>
          <w:sz w:val="16"/>
        </w:rPr>
      </w:pPr>
      <w:r>
        <w:rPr>
          <w:rFonts w:ascii="Arial"/>
          <w:sz w:val="16"/>
        </w:rPr>
        <w:t>-5.0</w:t>
      </w:r>
    </w:p>
    <w:p>
      <w:pPr>
        <w:spacing w:before="99"/>
        <w:ind w:left="0" w:right="38" w:firstLine="0"/>
        <w:jc w:val="right"/>
        <w:rPr>
          <w:rFonts w:ascii="Arial"/>
          <w:sz w:val="16"/>
        </w:rPr>
      </w:pPr>
      <w:r>
        <w:rPr/>
        <w:br w:type="column"/>
      </w:r>
      <w:r>
        <w:rPr>
          <w:rFonts w:ascii="Arial"/>
          <w:sz w:val="16"/>
        </w:rPr>
        <w:t>Percentage change on</w:t>
      </w:r>
      <w:r>
        <w:rPr>
          <w:rFonts w:ascii="Arial"/>
          <w:spacing w:val="-27"/>
          <w:sz w:val="16"/>
        </w:rPr>
        <w:t> </w:t>
      </w:r>
      <w:r>
        <w:rPr>
          <w:rFonts w:ascii="Arial"/>
          <w:sz w:val="16"/>
        </w:rPr>
        <w:t>a</w:t>
      </w:r>
    </w:p>
    <w:p>
      <w:pPr>
        <w:spacing w:line="180" w:lineRule="exact" w:before="35"/>
        <w:ind w:left="0" w:right="46" w:firstLine="0"/>
        <w:jc w:val="right"/>
        <w:rPr>
          <w:rFonts w:ascii="Arial"/>
          <w:sz w:val="16"/>
        </w:rPr>
      </w:pPr>
      <w:r>
        <w:rPr>
          <w:rFonts w:ascii="Arial"/>
          <w:sz w:val="16"/>
        </w:rPr>
        <w:t>year</w:t>
      </w:r>
      <w:r>
        <w:rPr>
          <w:rFonts w:ascii="Arial"/>
          <w:spacing w:val="12"/>
          <w:sz w:val="16"/>
        </w:rPr>
        <w:t> </w:t>
      </w:r>
      <w:r>
        <w:rPr>
          <w:rFonts w:ascii="Arial"/>
          <w:spacing w:val="-3"/>
          <w:sz w:val="16"/>
        </w:rPr>
        <w:t>earlier</w:t>
      </w:r>
    </w:p>
    <w:p>
      <w:pPr>
        <w:spacing w:line="180" w:lineRule="exact" w:before="0"/>
        <w:ind w:left="0" w:right="157" w:firstLine="0"/>
        <w:jc w:val="right"/>
        <w:rPr>
          <w:rFonts w:ascii="Arial"/>
          <w:sz w:val="16"/>
        </w:rPr>
      </w:pPr>
      <w:r>
        <w:rPr>
          <w:rFonts w:ascii="Arial"/>
          <w:spacing w:val="-3"/>
          <w:sz w:val="16"/>
        </w:rPr>
        <w:t>30.0</w:t>
      </w:r>
    </w:p>
    <w:p>
      <w:pPr>
        <w:pStyle w:val="BodyText"/>
        <w:spacing w:before="8"/>
        <w:rPr>
          <w:rFonts w:ascii="Arial"/>
          <w:sz w:val="15"/>
        </w:rPr>
      </w:pPr>
    </w:p>
    <w:p>
      <w:pPr>
        <w:spacing w:before="0"/>
        <w:ind w:left="0" w:right="157" w:firstLine="0"/>
        <w:jc w:val="right"/>
        <w:rPr>
          <w:rFonts w:ascii="Arial"/>
          <w:sz w:val="16"/>
        </w:rPr>
      </w:pPr>
      <w:r>
        <w:rPr>
          <w:rFonts w:ascii="Arial"/>
          <w:spacing w:val="-3"/>
          <w:sz w:val="16"/>
        </w:rPr>
        <w:t>25.0</w:t>
      </w:r>
    </w:p>
    <w:p>
      <w:pPr>
        <w:pStyle w:val="BodyText"/>
        <w:spacing w:before="5"/>
        <w:rPr>
          <w:rFonts w:ascii="Arial"/>
          <w:sz w:val="14"/>
        </w:rPr>
      </w:pPr>
    </w:p>
    <w:p>
      <w:pPr>
        <w:spacing w:before="1"/>
        <w:ind w:left="0" w:right="157" w:firstLine="0"/>
        <w:jc w:val="right"/>
        <w:rPr>
          <w:rFonts w:ascii="Arial"/>
          <w:sz w:val="16"/>
        </w:rPr>
      </w:pPr>
      <w:r>
        <w:rPr>
          <w:rFonts w:ascii="Arial"/>
          <w:spacing w:val="-3"/>
          <w:sz w:val="16"/>
        </w:rPr>
        <w:t>20.0</w:t>
      </w:r>
    </w:p>
    <w:p>
      <w:pPr>
        <w:pStyle w:val="BodyText"/>
        <w:spacing w:before="7"/>
        <w:rPr>
          <w:rFonts w:ascii="Arial"/>
          <w:sz w:val="15"/>
        </w:rPr>
      </w:pPr>
    </w:p>
    <w:p>
      <w:pPr>
        <w:spacing w:before="0"/>
        <w:ind w:left="0" w:right="157" w:firstLine="0"/>
        <w:jc w:val="right"/>
        <w:rPr>
          <w:rFonts w:ascii="Arial"/>
          <w:sz w:val="16"/>
        </w:rPr>
      </w:pPr>
      <w:r>
        <w:rPr>
          <w:rFonts w:ascii="Arial"/>
          <w:spacing w:val="-3"/>
          <w:sz w:val="16"/>
        </w:rPr>
        <w:t>15.0</w:t>
      </w:r>
    </w:p>
    <w:p>
      <w:pPr>
        <w:pStyle w:val="BodyText"/>
        <w:spacing w:before="8"/>
        <w:rPr>
          <w:rFonts w:ascii="Arial"/>
          <w:sz w:val="15"/>
        </w:rPr>
      </w:pPr>
    </w:p>
    <w:p>
      <w:pPr>
        <w:spacing w:before="0"/>
        <w:ind w:left="0" w:right="157" w:firstLine="0"/>
        <w:jc w:val="right"/>
        <w:rPr>
          <w:rFonts w:ascii="Arial"/>
          <w:sz w:val="16"/>
        </w:rPr>
      </w:pPr>
      <w:r>
        <w:rPr>
          <w:rFonts w:ascii="Arial"/>
          <w:spacing w:val="-3"/>
          <w:sz w:val="16"/>
        </w:rPr>
        <w:t>10.0</w:t>
      </w:r>
    </w:p>
    <w:p>
      <w:pPr>
        <w:pStyle w:val="BodyText"/>
        <w:spacing w:before="8"/>
        <w:rPr>
          <w:rFonts w:ascii="Arial"/>
          <w:sz w:val="15"/>
        </w:rPr>
      </w:pPr>
    </w:p>
    <w:p>
      <w:pPr>
        <w:spacing w:before="0"/>
        <w:ind w:left="0" w:right="242" w:firstLine="0"/>
        <w:jc w:val="right"/>
        <w:rPr>
          <w:rFonts w:ascii="Arial"/>
          <w:sz w:val="16"/>
        </w:rPr>
      </w:pPr>
      <w:r>
        <w:rPr>
          <w:rFonts w:ascii="Arial"/>
          <w:spacing w:val="-1"/>
          <w:sz w:val="16"/>
        </w:rPr>
        <w:t>5.0</w:t>
      </w:r>
    </w:p>
    <w:p>
      <w:pPr>
        <w:pStyle w:val="BodyText"/>
        <w:spacing w:before="6"/>
        <w:rPr>
          <w:rFonts w:ascii="Arial"/>
          <w:sz w:val="14"/>
        </w:rPr>
      </w:pPr>
    </w:p>
    <w:p>
      <w:pPr>
        <w:spacing w:before="0"/>
        <w:ind w:left="0" w:right="242" w:firstLine="0"/>
        <w:jc w:val="right"/>
        <w:rPr>
          <w:rFonts w:ascii="Arial"/>
          <w:sz w:val="16"/>
        </w:rPr>
      </w:pPr>
      <w:r>
        <w:rPr>
          <w:rFonts w:ascii="Arial"/>
          <w:spacing w:val="-1"/>
          <w:sz w:val="16"/>
        </w:rPr>
        <w:t>0.0</w:t>
      </w:r>
    </w:p>
    <w:p>
      <w:pPr>
        <w:pStyle w:val="BodyText"/>
        <w:spacing w:before="8"/>
        <w:rPr>
          <w:rFonts w:ascii="Arial"/>
          <w:sz w:val="15"/>
        </w:rPr>
      </w:pPr>
    </w:p>
    <w:p>
      <w:pPr>
        <w:spacing w:before="0"/>
        <w:ind w:left="0" w:right="184" w:firstLine="0"/>
        <w:jc w:val="right"/>
        <w:rPr>
          <w:rFonts w:ascii="Arial"/>
          <w:sz w:val="16"/>
        </w:rPr>
      </w:pPr>
      <w:r>
        <w:rPr>
          <w:rFonts w:ascii="Arial"/>
          <w:sz w:val="16"/>
        </w:rPr>
        <w:t>-5.0</w:t>
      </w:r>
    </w:p>
    <w:p>
      <w:pPr>
        <w:spacing w:before="82"/>
        <w:ind w:left="4007" w:right="0" w:firstLine="0"/>
        <w:jc w:val="left"/>
        <w:rPr>
          <w:rFonts w:ascii="Arial"/>
          <w:sz w:val="12"/>
        </w:rPr>
      </w:pPr>
      <w:r>
        <w:rPr/>
        <w:br w:type="column"/>
      </w:r>
      <w:r>
        <w:rPr>
          <w:rFonts w:ascii="Arial"/>
          <w:sz w:val="12"/>
        </w:rPr>
        <w:t>Per cent</w:t>
      </w:r>
    </w:p>
    <w:p>
      <w:pPr>
        <w:spacing w:before="65"/>
        <w:ind w:left="4388" w:right="0" w:firstLine="0"/>
        <w:jc w:val="left"/>
        <w:rPr>
          <w:rFonts w:ascii="Arial"/>
          <w:sz w:val="12"/>
        </w:rPr>
      </w:pPr>
      <w:r>
        <w:rPr/>
        <w:pict>
          <v:group style="position:absolute;margin-left:346.488922pt;margin-top:7.006464pt;width:198.55pt;height:124.8pt;mso-position-horizontal-relative:page;mso-position-vertical-relative:paragraph;z-index:251665408" coordorigin="6930,140" coordsize="3971,2496">
            <v:shape style="position:absolute;left:10864;top:1913;width:30;height:12" type="#_x0000_t75" stroked="false">
              <v:imagedata r:id="rId9" o:title=""/>
            </v:shape>
            <v:shape style="position:absolute;left:10864;top:1201;width:30;height:12" type="#_x0000_t75" stroked="false">
              <v:imagedata r:id="rId9" o:title=""/>
            </v:shape>
            <v:shape style="position:absolute;left:10864;top:851;width:30;height:12" type="#_x0000_t75" stroked="false">
              <v:imagedata r:id="rId10" o:title=""/>
            </v:shape>
            <v:shape style="position:absolute;left:10864;top:489;width:30;height:12" type="#_x0000_t75" stroked="false">
              <v:imagedata r:id="rId10" o:title=""/>
            </v:shape>
            <v:shape style="position:absolute;left:7041;top:512;width:3859;height:1514" type="#_x0000_t75" stroked="false">
              <v:imagedata r:id="rId11" o:title=""/>
            </v:shape>
            <v:shape style="position:absolute;left:6934;top:145;width:3960;height:2486" type="#_x0000_t202" filled="false" stroked="true" strokeweight=".502727pt" strokecolor="#000000">
              <v:textbox inset="0,0,0,0">
                <w:txbxContent>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0"/>
                      <w:rPr>
                        <w:rFonts w:ascii="Arial"/>
                        <w:sz w:val="18"/>
                      </w:rPr>
                    </w:pPr>
                  </w:p>
                  <w:p>
                    <w:pPr>
                      <w:spacing w:line="240" w:lineRule="auto" w:before="6"/>
                      <w:rPr>
                        <w:rFonts w:ascii="Arial"/>
                        <w:sz w:val="14"/>
                      </w:rPr>
                    </w:pPr>
                  </w:p>
                  <w:p>
                    <w:pPr>
                      <w:spacing w:before="0"/>
                      <w:ind w:left="638" w:right="0" w:firstLine="0"/>
                      <w:jc w:val="left"/>
                      <w:rPr>
                        <w:rFonts w:ascii="Arial"/>
                        <w:sz w:val="16"/>
                      </w:rPr>
                    </w:pPr>
                    <w:r>
                      <w:rPr>
                        <w:rFonts w:ascii="Arial"/>
                        <w:w w:val="100"/>
                        <w:sz w:val="16"/>
                        <w:u w:val="single" w:color="000080"/>
                      </w:rPr>
                      <w:t> </w:t>
                    </w:r>
                    <w:r>
                      <w:rPr>
                        <w:rFonts w:ascii="Arial"/>
                        <w:spacing w:val="-22"/>
                        <w:sz w:val="16"/>
                        <w:u w:val="single" w:color="000080"/>
                      </w:rPr>
                      <w:t> </w:t>
                    </w:r>
                  </w:p>
                </w:txbxContent>
              </v:textbox>
              <v:stroke dashstyle="solid"/>
              <w10:wrap type="none"/>
            </v:shape>
            <w10:wrap type="none"/>
          </v:group>
        </w:pict>
      </w:r>
      <w:r>
        <w:rPr>
          <w:rFonts w:ascii="Arial"/>
          <w:sz w:val="12"/>
        </w:rPr>
        <w:t>14</w:t>
      </w:r>
    </w:p>
    <w:p>
      <w:pPr>
        <w:pStyle w:val="BodyText"/>
        <w:spacing w:before="5"/>
        <w:rPr>
          <w:rFonts w:ascii="Arial"/>
          <w:sz w:val="18"/>
        </w:rPr>
      </w:pPr>
    </w:p>
    <w:p>
      <w:pPr>
        <w:spacing w:before="0"/>
        <w:ind w:left="4388" w:right="0" w:firstLine="0"/>
        <w:jc w:val="left"/>
        <w:rPr>
          <w:rFonts w:ascii="Arial"/>
          <w:sz w:val="12"/>
        </w:rPr>
      </w:pPr>
      <w:r>
        <w:rPr>
          <w:rFonts w:ascii="Arial"/>
          <w:sz w:val="12"/>
        </w:rPr>
        <w:t>12</w:t>
      </w:r>
    </w:p>
    <w:p>
      <w:pPr>
        <w:pStyle w:val="BodyText"/>
        <w:spacing w:before="6"/>
        <w:rPr>
          <w:rFonts w:ascii="Arial"/>
          <w:sz w:val="19"/>
        </w:rPr>
      </w:pPr>
    </w:p>
    <w:p>
      <w:pPr>
        <w:spacing w:before="0"/>
        <w:ind w:left="4388" w:right="0" w:firstLine="0"/>
        <w:jc w:val="left"/>
        <w:rPr>
          <w:rFonts w:ascii="Arial"/>
          <w:sz w:val="12"/>
        </w:rPr>
      </w:pPr>
      <w:r>
        <w:rPr>
          <w:rFonts w:ascii="Arial"/>
          <w:sz w:val="12"/>
        </w:rPr>
        <w:t>10</w:t>
      </w:r>
    </w:p>
    <w:p>
      <w:pPr>
        <w:pStyle w:val="BodyText"/>
        <w:spacing w:before="4"/>
        <w:rPr>
          <w:rFonts w:ascii="Arial"/>
          <w:sz w:val="18"/>
        </w:rPr>
      </w:pPr>
    </w:p>
    <w:p>
      <w:pPr>
        <w:spacing w:before="0"/>
        <w:ind w:left="4388" w:right="0" w:firstLine="0"/>
        <w:jc w:val="left"/>
        <w:rPr>
          <w:rFonts w:ascii="Arial"/>
          <w:sz w:val="12"/>
        </w:rPr>
      </w:pPr>
      <w:r>
        <w:rPr>
          <w:rFonts w:ascii="Arial"/>
          <w:w w:val="92"/>
          <w:sz w:val="12"/>
        </w:rPr>
        <w:t>8</w:t>
      </w:r>
    </w:p>
    <w:p>
      <w:pPr>
        <w:pStyle w:val="BodyText"/>
        <w:spacing w:before="6"/>
        <w:rPr>
          <w:rFonts w:ascii="Arial"/>
          <w:sz w:val="19"/>
        </w:rPr>
      </w:pPr>
    </w:p>
    <w:p>
      <w:pPr>
        <w:spacing w:before="0"/>
        <w:ind w:left="4388" w:right="0" w:firstLine="0"/>
        <w:jc w:val="left"/>
        <w:rPr>
          <w:rFonts w:ascii="Arial"/>
          <w:sz w:val="12"/>
        </w:rPr>
      </w:pPr>
      <w:r>
        <w:rPr>
          <w:rFonts w:ascii="Arial"/>
          <w:w w:val="92"/>
          <w:sz w:val="12"/>
        </w:rPr>
        <w:t>6</w:t>
      </w:r>
    </w:p>
    <w:p>
      <w:pPr>
        <w:pStyle w:val="BodyText"/>
        <w:spacing w:before="5"/>
        <w:rPr>
          <w:rFonts w:ascii="Arial"/>
          <w:sz w:val="18"/>
        </w:rPr>
      </w:pPr>
    </w:p>
    <w:p>
      <w:pPr>
        <w:spacing w:before="0"/>
        <w:ind w:left="4388" w:right="0" w:firstLine="0"/>
        <w:jc w:val="left"/>
        <w:rPr>
          <w:rFonts w:ascii="Arial"/>
          <w:sz w:val="12"/>
        </w:rPr>
      </w:pPr>
      <w:r>
        <w:rPr>
          <w:rFonts w:ascii="Arial"/>
          <w:w w:val="92"/>
          <w:sz w:val="12"/>
        </w:rPr>
        <w:t>4</w:t>
      </w:r>
    </w:p>
    <w:p>
      <w:pPr>
        <w:pStyle w:val="BodyText"/>
        <w:spacing w:before="5"/>
        <w:rPr>
          <w:rFonts w:ascii="Arial"/>
          <w:sz w:val="19"/>
        </w:rPr>
      </w:pPr>
    </w:p>
    <w:p>
      <w:pPr>
        <w:spacing w:before="0"/>
        <w:ind w:left="4388" w:right="0" w:firstLine="0"/>
        <w:jc w:val="left"/>
        <w:rPr>
          <w:rFonts w:ascii="Arial"/>
          <w:sz w:val="12"/>
        </w:rPr>
      </w:pPr>
      <w:r>
        <w:rPr>
          <w:rFonts w:ascii="Arial"/>
          <w:w w:val="92"/>
          <w:sz w:val="12"/>
        </w:rPr>
        <w:t>2</w:t>
      </w:r>
    </w:p>
    <w:p>
      <w:pPr>
        <w:pStyle w:val="BodyText"/>
        <w:spacing w:before="5"/>
        <w:rPr>
          <w:rFonts w:ascii="Arial"/>
          <w:sz w:val="18"/>
        </w:rPr>
      </w:pPr>
    </w:p>
    <w:p>
      <w:pPr>
        <w:spacing w:before="1"/>
        <w:ind w:left="4388" w:right="0" w:firstLine="0"/>
        <w:jc w:val="left"/>
        <w:rPr>
          <w:rFonts w:ascii="Arial"/>
          <w:sz w:val="12"/>
        </w:rPr>
      </w:pPr>
      <w:r>
        <w:rPr/>
        <w:drawing>
          <wp:anchor distT="0" distB="0" distL="0" distR="0" allowOverlap="1" layoutInCell="1" locked="0" behindDoc="0" simplePos="0" relativeHeight="251666432">
            <wp:simplePos x="0" y="0"/>
            <wp:positionH relativeFrom="page">
              <wp:posOffset>4732637</wp:posOffset>
            </wp:positionH>
            <wp:positionV relativeFrom="paragraph">
              <wp:posOffset>29438</wp:posOffset>
            </wp:positionV>
            <wp:extent cx="6384" cy="21328"/>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6384" cy="21328"/>
                    </a:xfrm>
                    <a:prstGeom prst="rect">
                      <a:avLst/>
                    </a:prstGeom>
                  </pic:spPr>
                </pic:pic>
              </a:graphicData>
            </a:graphic>
          </wp:anchor>
        </w:drawing>
      </w:r>
      <w:r>
        <w:rPr/>
        <w:drawing>
          <wp:anchor distT="0" distB="0" distL="0" distR="0" allowOverlap="1" layoutInCell="1" locked="0" behindDoc="0" simplePos="0" relativeHeight="251667456">
            <wp:simplePos x="0" y="0"/>
            <wp:positionH relativeFrom="page">
              <wp:posOffset>5058014</wp:posOffset>
            </wp:positionH>
            <wp:positionV relativeFrom="paragraph">
              <wp:posOffset>29438</wp:posOffset>
            </wp:positionV>
            <wp:extent cx="6384" cy="21328"/>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6384" cy="21328"/>
                    </a:xfrm>
                    <a:prstGeom prst="rect">
                      <a:avLst/>
                    </a:prstGeom>
                  </pic:spPr>
                </pic:pic>
              </a:graphicData>
            </a:graphic>
          </wp:anchor>
        </w:drawing>
      </w:r>
      <w:r>
        <w:rPr/>
        <w:drawing>
          <wp:anchor distT="0" distB="0" distL="0" distR="0" allowOverlap="1" layoutInCell="1" locked="0" behindDoc="0" simplePos="0" relativeHeight="251668480">
            <wp:simplePos x="0" y="0"/>
            <wp:positionH relativeFrom="page">
              <wp:posOffset>5390243</wp:posOffset>
            </wp:positionH>
            <wp:positionV relativeFrom="paragraph">
              <wp:posOffset>29438</wp:posOffset>
            </wp:positionV>
            <wp:extent cx="6384" cy="21328"/>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6384" cy="21328"/>
                    </a:xfrm>
                    <a:prstGeom prst="rect">
                      <a:avLst/>
                    </a:prstGeom>
                  </pic:spPr>
                </pic:pic>
              </a:graphicData>
            </a:graphic>
          </wp:anchor>
        </w:drawing>
      </w:r>
      <w:r>
        <w:rPr/>
        <w:drawing>
          <wp:anchor distT="0" distB="0" distL="0" distR="0" allowOverlap="1" layoutInCell="1" locked="0" behindDoc="0" simplePos="0" relativeHeight="251669504">
            <wp:simplePos x="0" y="0"/>
            <wp:positionH relativeFrom="page">
              <wp:posOffset>5715620</wp:posOffset>
            </wp:positionH>
            <wp:positionV relativeFrom="paragraph">
              <wp:posOffset>29438</wp:posOffset>
            </wp:positionV>
            <wp:extent cx="6384" cy="21328"/>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6384" cy="21328"/>
                    </a:xfrm>
                    <a:prstGeom prst="rect">
                      <a:avLst/>
                    </a:prstGeom>
                  </pic:spPr>
                </pic:pic>
              </a:graphicData>
            </a:graphic>
          </wp:anchor>
        </w:drawing>
      </w:r>
      <w:r>
        <w:rPr/>
        <w:drawing>
          <wp:anchor distT="0" distB="0" distL="0" distR="0" allowOverlap="1" layoutInCell="1" locked="0" behindDoc="0" simplePos="0" relativeHeight="251670528">
            <wp:simplePos x="0" y="0"/>
            <wp:positionH relativeFrom="page">
              <wp:posOffset>6047082</wp:posOffset>
            </wp:positionH>
            <wp:positionV relativeFrom="paragraph">
              <wp:posOffset>29438</wp:posOffset>
            </wp:positionV>
            <wp:extent cx="6384" cy="21328"/>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6384" cy="21328"/>
                    </a:xfrm>
                    <a:prstGeom prst="rect">
                      <a:avLst/>
                    </a:prstGeom>
                  </pic:spPr>
                </pic:pic>
              </a:graphicData>
            </a:graphic>
          </wp:anchor>
        </w:drawing>
      </w:r>
      <w:r>
        <w:rPr/>
        <w:drawing>
          <wp:anchor distT="0" distB="0" distL="0" distR="0" allowOverlap="1" layoutInCell="1" locked="0" behindDoc="0" simplePos="0" relativeHeight="251671552">
            <wp:simplePos x="0" y="0"/>
            <wp:positionH relativeFrom="page">
              <wp:posOffset>6379322</wp:posOffset>
            </wp:positionH>
            <wp:positionV relativeFrom="paragraph">
              <wp:posOffset>29438</wp:posOffset>
            </wp:positionV>
            <wp:extent cx="6384" cy="21328"/>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6384" cy="21328"/>
                    </a:xfrm>
                    <a:prstGeom prst="rect">
                      <a:avLst/>
                    </a:prstGeom>
                  </pic:spPr>
                </pic:pic>
              </a:graphicData>
            </a:graphic>
          </wp:anchor>
        </w:drawing>
      </w:r>
      <w:r>
        <w:rPr/>
        <w:drawing>
          <wp:anchor distT="0" distB="0" distL="0" distR="0" allowOverlap="1" layoutInCell="1" locked="0" behindDoc="0" simplePos="0" relativeHeight="251672576">
            <wp:simplePos x="0" y="0"/>
            <wp:positionH relativeFrom="page">
              <wp:posOffset>6704687</wp:posOffset>
            </wp:positionH>
            <wp:positionV relativeFrom="paragraph">
              <wp:posOffset>29438</wp:posOffset>
            </wp:positionV>
            <wp:extent cx="6384" cy="21328"/>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2" cstate="print"/>
                    <a:stretch>
                      <a:fillRect/>
                    </a:stretch>
                  </pic:blipFill>
                  <pic:spPr>
                    <a:xfrm>
                      <a:off x="0" y="0"/>
                      <a:ext cx="6384" cy="21328"/>
                    </a:xfrm>
                    <a:prstGeom prst="rect">
                      <a:avLst/>
                    </a:prstGeom>
                  </pic:spPr>
                </pic:pic>
              </a:graphicData>
            </a:graphic>
          </wp:anchor>
        </w:drawing>
      </w:r>
      <w:r>
        <w:rPr>
          <w:rFonts w:ascii="Arial"/>
          <w:w w:val="92"/>
          <w:sz w:val="12"/>
        </w:rPr>
        <w:t>0</w:t>
      </w:r>
    </w:p>
    <w:p>
      <w:pPr>
        <w:tabs>
          <w:tab w:pos="750" w:val="left" w:leader="none"/>
          <w:tab w:pos="1262" w:val="left" w:leader="none"/>
          <w:tab w:pos="1785" w:val="left" w:leader="none"/>
          <w:tab w:pos="2298" w:val="left" w:leader="none"/>
          <w:tab w:pos="2819" w:val="left" w:leader="none"/>
          <w:tab w:pos="3343" w:val="left" w:leader="none"/>
          <w:tab w:pos="3855" w:val="left" w:leader="none"/>
        </w:tabs>
        <w:spacing w:before="42"/>
        <w:ind w:left="227" w:right="0" w:firstLine="0"/>
        <w:jc w:val="left"/>
        <w:rPr>
          <w:rFonts w:ascii="Arial"/>
          <w:sz w:val="12"/>
        </w:rPr>
      </w:pPr>
      <w:r>
        <w:rPr>
          <w:rFonts w:ascii="Arial"/>
          <w:sz w:val="12"/>
        </w:rPr>
        <w:t>1970</w:t>
        <w:tab/>
        <w:t>1975</w:t>
        <w:tab/>
        <w:t>1980</w:t>
        <w:tab/>
        <w:t>1985</w:t>
        <w:tab/>
        <w:t>1990</w:t>
        <w:tab/>
        <w:t>1995</w:t>
        <w:tab/>
        <w:t>2000</w:t>
        <w:tab/>
        <w:t>2005</w:t>
      </w:r>
    </w:p>
    <w:p>
      <w:pPr>
        <w:spacing w:after="0"/>
        <w:jc w:val="left"/>
        <w:rPr>
          <w:rFonts w:ascii="Arial"/>
          <w:sz w:val="12"/>
        </w:rPr>
        <w:sectPr>
          <w:type w:val="continuous"/>
          <w:pgSz w:w="11900" w:h="16840"/>
          <w:pgMar w:top="1180" w:bottom="280" w:left="1640" w:right="700"/>
          <w:cols w:num="3" w:equalWidth="0">
            <w:col w:w="1991" w:space="722"/>
            <w:col w:w="1991" w:space="243"/>
            <w:col w:w="4613"/>
          </w:cols>
        </w:sectPr>
      </w:pPr>
    </w:p>
    <w:p>
      <w:pPr>
        <w:spacing w:before="49"/>
        <w:ind w:left="606" w:right="0" w:firstLine="0"/>
        <w:jc w:val="left"/>
        <w:rPr>
          <w:rFonts w:ascii="Arial"/>
          <w:sz w:val="16"/>
        </w:rPr>
      </w:pPr>
      <w:r>
        <w:rPr>
          <w:rFonts w:ascii="Arial"/>
          <w:sz w:val="16"/>
        </w:rPr>
        <w:t>1970 1975 1980 1985 1990 1995 2000 2005</w:t>
      </w:r>
    </w:p>
    <w:p>
      <w:pPr>
        <w:pStyle w:val="ListParagraph"/>
        <w:numPr>
          <w:ilvl w:val="2"/>
          <w:numId w:val="1"/>
        </w:numPr>
        <w:tabs>
          <w:tab w:pos="872" w:val="left" w:leader="none"/>
        </w:tabs>
        <w:spacing w:line="240" w:lineRule="auto" w:before="13" w:after="0"/>
        <w:ind w:left="871" w:right="0" w:hanging="266"/>
        <w:jc w:val="left"/>
        <w:rPr>
          <w:rFonts w:ascii="Times New Roman"/>
          <w:sz w:val="19"/>
        </w:rPr>
      </w:pPr>
      <w:r>
        <w:rPr>
          <w:rFonts w:ascii="Times New Roman"/>
          <w:spacing w:val="-1"/>
          <w:w w:val="102"/>
          <w:sz w:val="19"/>
        </w:rPr>
        <w:br w:type="column"/>
      </w:r>
      <w:r>
        <w:rPr>
          <w:rFonts w:ascii="Times New Roman"/>
          <w:w w:val="105"/>
          <w:sz w:val="19"/>
        </w:rPr>
        <w:t>Labour force survey</w:t>
      </w:r>
      <w:r>
        <w:rPr>
          <w:rFonts w:ascii="Times New Roman"/>
          <w:spacing w:val="-7"/>
          <w:w w:val="105"/>
          <w:sz w:val="19"/>
        </w:rPr>
        <w:t> </w:t>
      </w:r>
      <w:r>
        <w:rPr>
          <w:rFonts w:ascii="Times New Roman"/>
          <w:w w:val="105"/>
          <w:sz w:val="19"/>
        </w:rPr>
        <w:t>measure</w:t>
      </w:r>
    </w:p>
    <w:p>
      <w:pPr>
        <w:spacing w:after="0" w:line="240" w:lineRule="auto"/>
        <w:jc w:val="left"/>
        <w:rPr>
          <w:rFonts w:ascii="Times New Roman"/>
          <w:sz w:val="19"/>
        </w:rPr>
        <w:sectPr>
          <w:type w:val="continuous"/>
          <w:pgSz w:w="11900" w:h="16840"/>
          <w:pgMar w:top="1180" w:bottom="280" w:left="1640" w:right="700"/>
          <w:cols w:num="2" w:equalWidth="0">
            <w:col w:w="4060" w:space="337"/>
            <w:col w:w="5163"/>
          </w:cols>
        </w:sectPr>
      </w:pPr>
    </w:p>
    <w:p>
      <w:pPr>
        <w:pStyle w:val="BodyText"/>
        <w:rPr>
          <w:sz w:val="20"/>
        </w:rPr>
      </w:pPr>
    </w:p>
    <w:p>
      <w:pPr>
        <w:pStyle w:val="BodyText"/>
        <w:spacing w:before="9"/>
        <w:rPr>
          <w:sz w:val="21"/>
        </w:rPr>
      </w:pPr>
    </w:p>
    <w:p>
      <w:pPr>
        <w:spacing w:after="0"/>
        <w:rPr>
          <w:sz w:val="21"/>
        </w:rPr>
        <w:sectPr>
          <w:type w:val="continuous"/>
          <w:pgSz w:w="11900" w:h="16840"/>
          <w:pgMar w:top="1180" w:bottom="280" w:left="1640" w:right="700"/>
        </w:sectPr>
      </w:pPr>
    </w:p>
    <w:p>
      <w:pPr>
        <w:pStyle w:val="Heading1"/>
        <w:tabs>
          <w:tab w:pos="4873" w:val="left" w:leader="none"/>
        </w:tabs>
        <w:spacing w:before="94"/>
        <w:ind w:left="110"/>
      </w:pPr>
      <w:r>
        <w:rPr/>
        <w:t>Chart 3:</w:t>
      </w:r>
      <w:r>
        <w:rPr>
          <w:spacing w:val="11"/>
        </w:rPr>
        <w:t> </w:t>
      </w:r>
      <w:r>
        <w:rPr/>
        <w:t>Mortgage</w:t>
      </w:r>
      <w:r>
        <w:rPr>
          <w:spacing w:val="5"/>
        </w:rPr>
        <w:t> </w:t>
      </w:r>
      <w:r>
        <w:rPr/>
        <w:t>approvals</w:t>
        <w:tab/>
        <w:t>Chart 4: House</w:t>
      </w:r>
      <w:r>
        <w:rPr>
          <w:spacing w:val="18"/>
        </w:rPr>
        <w:t> </w:t>
      </w:r>
      <w:r>
        <w:rPr/>
        <w:t>prices</w:t>
      </w:r>
    </w:p>
    <w:p>
      <w:pPr>
        <w:spacing w:line="285" w:lineRule="auto" w:before="76"/>
        <w:ind w:left="1769" w:right="2544" w:hanging="893"/>
        <w:jc w:val="right"/>
        <w:rPr>
          <w:rFonts w:ascii="Arial"/>
          <w:sz w:val="9"/>
        </w:rPr>
      </w:pPr>
      <w:r>
        <w:rPr/>
        <w:drawing>
          <wp:anchor distT="0" distB="0" distL="0" distR="0" allowOverlap="1" layoutInCell="1" locked="0" behindDoc="0" simplePos="0" relativeHeight="251676672">
            <wp:simplePos x="0" y="0"/>
            <wp:positionH relativeFrom="page">
              <wp:posOffset>4317094</wp:posOffset>
            </wp:positionH>
            <wp:positionV relativeFrom="paragraph">
              <wp:posOffset>179630</wp:posOffset>
            </wp:positionV>
            <wp:extent cx="2432081" cy="1599155"/>
            <wp:effectExtent l="0" t="0" r="0" b="0"/>
            <wp:wrapNone/>
            <wp:docPr id="17" name="image8.png"/>
            <wp:cNvGraphicFramePr>
              <a:graphicFrameLocks noChangeAspect="1"/>
            </wp:cNvGraphicFramePr>
            <a:graphic>
              <a:graphicData uri="http://schemas.openxmlformats.org/drawingml/2006/picture">
                <pic:pic>
                  <pic:nvPicPr>
                    <pic:cNvPr id="18" name="image8.png"/>
                    <pic:cNvPicPr/>
                  </pic:nvPicPr>
                  <pic:blipFill>
                    <a:blip r:embed="rId14" cstate="print"/>
                    <a:stretch>
                      <a:fillRect/>
                    </a:stretch>
                  </pic:blipFill>
                  <pic:spPr>
                    <a:xfrm>
                      <a:off x="0" y="0"/>
                      <a:ext cx="2432081" cy="1599155"/>
                    </a:xfrm>
                    <a:prstGeom prst="rect">
                      <a:avLst/>
                    </a:prstGeom>
                  </pic:spPr>
                </pic:pic>
              </a:graphicData>
            </a:graphic>
          </wp:anchor>
        </w:drawing>
      </w:r>
      <w:r>
        <w:rPr>
          <w:rFonts w:ascii="Arial"/>
          <w:w w:val="105"/>
          <w:sz w:val="15"/>
        </w:rPr>
        <w:t>Quarterly </w:t>
      </w:r>
      <w:r>
        <w:rPr>
          <w:rFonts w:ascii="Arial"/>
          <w:spacing w:val="-3"/>
          <w:w w:val="105"/>
          <w:sz w:val="15"/>
        </w:rPr>
        <w:t>mortgage </w:t>
      </w:r>
      <w:r>
        <w:rPr>
          <w:rFonts w:ascii="Arial"/>
          <w:w w:val="105"/>
          <w:sz w:val="15"/>
        </w:rPr>
        <w:t>approvals/advances as</w:t>
      </w:r>
      <w:r>
        <w:rPr>
          <w:rFonts w:ascii="Arial"/>
          <w:spacing w:val="-25"/>
          <w:w w:val="105"/>
          <w:sz w:val="15"/>
        </w:rPr>
        <w:t> </w:t>
      </w:r>
      <w:r>
        <w:rPr>
          <w:rFonts w:ascii="Arial"/>
          <w:w w:val="105"/>
          <w:sz w:val="15"/>
        </w:rPr>
        <w:t>a</w:t>
      </w:r>
      <w:r>
        <w:rPr>
          <w:rFonts w:ascii="Arial"/>
          <w:spacing w:val="-11"/>
          <w:w w:val="105"/>
          <w:sz w:val="15"/>
        </w:rPr>
        <w:t> </w:t>
      </w:r>
      <w:r>
        <w:rPr>
          <w:rFonts w:ascii="Arial"/>
          <w:w w:val="105"/>
          <w:sz w:val="15"/>
        </w:rPr>
        <w:t>percent</w:t>
      </w:r>
      <w:r>
        <w:rPr>
          <w:rFonts w:ascii="Arial"/>
          <w:spacing w:val="-2"/>
          <w:w w:val="103"/>
          <w:sz w:val="15"/>
        </w:rPr>
        <w:t> </w:t>
      </w:r>
      <w:r>
        <w:rPr>
          <w:rFonts w:ascii="Arial"/>
          <w:w w:val="105"/>
          <w:sz w:val="15"/>
        </w:rPr>
        <w:t>of the </w:t>
      </w:r>
      <w:r>
        <w:rPr>
          <w:rFonts w:ascii="Arial"/>
          <w:spacing w:val="2"/>
          <w:w w:val="105"/>
          <w:sz w:val="15"/>
        </w:rPr>
        <w:t>stock </w:t>
      </w:r>
      <w:r>
        <w:rPr>
          <w:rFonts w:ascii="Arial"/>
          <w:w w:val="105"/>
          <w:sz w:val="15"/>
        </w:rPr>
        <w:t>of ow ner-occupied</w:t>
      </w:r>
      <w:r>
        <w:rPr>
          <w:rFonts w:ascii="Arial"/>
          <w:spacing w:val="-32"/>
          <w:w w:val="105"/>
          <w:sz w:val="15"/>
        </w:rPr>
        <w:t> </w:t>
      </w:r>
      <w:r>
        <w:rPr>
          <w:rFonts w:ascii="Arial"/>
          <w:spacing w:val="-3"/>
          <w:w w:val="105"/>
          <w:sz w:val="15"/>
        </w:rPr>
        <w:t>homes</w:t>
      </w:r>
      <w:r>
        <w:rPr>
          <w:rFonts w:ascii="Arial"/>
          <w:spacing w:val="-3"/>
          <w:w w:val="105"/>
          <w:position w:val="5"/>
          <w:sz w:val="9"/>
        </w:rPr>
        <w:t>(a)</w:t>
      </w:r>
    </w:p>
    <w:p>
      <w:pPr>
        <w:spacing w:before="95"/>
        <w:ind w:left="0" w:right="2532" w:firstLine="0"/>
        <w:jc w:val="right"/>
        <w:rPr>
          <w:rFonts w:ascii="Arial"/>
          <w:sz w:val="15"/>
        </w:rPr>
      </w:pPr>
      <w:r>
        <w:rPr/>
        <w:pict>
          <v:group style="position:absolute;margin-left:100.949997pt;margin-top:9.83417pt;width:195.35pt;height:119.1pt;mso-position-horizontal-relative:page;mso-position-vertical-relative:paragraph;z-index:251675648" coordorigin="2019,197" coordsize="3907,2382">
            <v:shape style="position:absolute;left:2019;top:196;width:3907;height:2382" type="#_x0000_t75" stroked="false">
              <v:imagedata r:id="rId15" o:title=""/>
            </v:shape>
            <v:shape style="position:absolute;left:3848;top:455;width:1375;height:169" type="#_x0000_t202" filled="false" stroked="false">
              <v:textbox inset="0,0,0,0">
                <w:txbxContent>
                  <w:p>
                    <w:pPr>
                      <w:spacing w:line="168" w:lineRule="exact" w:before="0"/>
                      <w:ind w:left="0" w:right="0" w:firstLine="0"/>
                      <w:jc w:val="left"/>
                      <w:rPr>
                        <w:rFonts w:ascii="Arial"/>
                        <w:sz w:val="15"/>
                      </w:rPr>
                    </w:pPr>
                    <w:r>
                      <w:rPr>
                        <w:rFonts w:ascii="Arial"/>
                        <w:color w:val="0F0080"/>
                        <w:spacing w:val="-3"/>
                        <w:w w:val="105"/>
                        <w:sz w:val="15"/>
                      </w:rPr>
                      <w:t>Mortgage </w:t>
                    </w:r>
                    <w:r>
                      <w:rPr>
                        <w:rFonts w:ascii="Arial"/>
                        <w:color w:val="0F0080"/>
                        <w:w w:val="105"/>
                        <w:sz w:val="15"/>
                      </w:rPr>
                      <w:t>approvals</w:t>
                    </w:r>
                  </w:p>
                </w:txbxContent>
              </v:textbox>
              <w10:wrap type="none"/>
            </v:shape>
            <v:shape style="position:absolute;left:2190;top:1646;width:3068;height:538" type="#_x0000_t202" filled="false" stroked="false">
              <v:textbox inset="0,0,0,0">
                <w:txbxContent>
                  <w:p>
                    <w:pPr>
                      <w:spacing w:line="168" w:lineRule="exact" w:before="0"/>
                      <w:ind w:left="0" w:right="0" w:firstLine="0"/>
                      <w:jc w:val="left"/>
                      <w:rPr>
                        <w:rFonts w:ascii="Arial"/>
                        <w:sz w:val="9"/>
                      </w:rPr>
                    </w:pPr>
                    <w:r>
                      <w:rPr>
                        <w:rFonts w:ascii="Arial"/>
                        <w:color w:val="FF01FF"/>
                        <w:w w:val="105"/>
                        <w:sz w:val="15"/>
                      </w:rPr>
                      <w:t>Mortgage advances (CML)</w:t>
                    </w:r>
                    <w:r>
                      <w:rPr>
                        <w:rFonts w:ascii="Arial"/>
                        <w:color w:val="FF01FF"/>
                        <w:w w:val="105"/>
                        <w:position w:val="5"/>
                        <w:sz w:val="9"/>
                      </w:rPr>
                      <w:t>(b)</w:t>
                    </w:r>
                  </w:p>
                  <w:p>
                    <w:pPr>
                      <w:spacing w:line="240" w:lineRule="auto" w:before="1"/>
                      <w:rPr>
                        <w:rFonts w:ascii="Arial"/>
                        <w:sz w:val="17"/>
                      </w:rPr>
                    </w:pPr>
                  </w:p>
                  <w:p>
                    <w:pPr>
                      <w:spacing w:before="0"/>
                      <w:ind w:left="538" w:right="0" w:firstLine="0"/>
                      <w:jc w:val="left"/>
                      <w:rPr>
                        <w:rFonts w:ascii="Arial"/>
                        <w:sz w:val="15"/>
                      </w:rPr>
                    </w:pPr>
                    <w:r>
                      <w:rPr>
                        <w:rFonts w:ascii="Arial"/>
                        <w:color w:val="0F0080"/>
                        <w:w w:val="105"/>
                        <w:sz w:val="15"/>
                      </w:rPr>
                      <w:t>April</w:t>
                    </w:r>
                    <w:r>
                      <w:rPr>
                        <w:rFonts w:ascii="Arial"/>
                        <w:color w:val="0F0080"/>
                        <w:spacing w:val="-15"/>
                        <w:w w:val="105"/>
                        <w:sz w:val="15"/>
                      </w:rPr>
                      <w:t> </w:t>
                    </w:r>
                    <w:r>
                      <w:rPr>
                        <w:rFonts w:ascii="Arial"/>
                        <w:color w:val="0F0080"/>
                        <w:w w:val="105"/>
                        <w:sz w:val="15"/>
                      </w:rPr>
                      <w:t>approvals</w:t>
                    </w:r>
                    <w:r>
                      <w:rPr>
                        <w:rFonts w:ascii="Arial"/>
                        <w:color w:val="0F0080"/>
                        <w:spacing w:val="-3"/>
                        <w:w w:val="105"/>
                        <w:sz w:val="15"/>
                      </w:rPr>
                      <w:t> </w:t>
                    </w:r>
                    <w:r>
                      <w:rPr>
                        <w:rFonts w:ascii="Arial"/>
                        <w:color w:val="0F0080"/>
                        <w:w w:val="105"/>
                        <w:sz w:val="15"/>
                      </w:rPr>
                      <w:t>data</w:t>
                    </w:r>
                    <w:r>
                      <w:rPr>
                        <w:rFonts w:ascii="Arial"/>
                        <w:color w:val="0F0080"/>
                        <w:spacing w:val="-11"/>
                        <w:w w:val="105"/>
                        <w:sz w:val="15"/>
                      </w:rPr>
                      <w:t> </w:t>
                    </w:r>
                    <w:r>
                      <w:rPr>
                        <w:rFonts w:ascii="Arial"/>
                        <w:color w:val="0F0080"/>
                        <w:w w:val="105"/>
                        <w:sz w:val="15"/>
                      </w:rPr>
                      <w:t>at</w:t>
                    </w:r>
                    <w:r>
                      <w:rPr>
                        <w:rFonts w:ascii="Arial"/>
                        <w:color w:val="0F0080"/>
                        <w:spacing w:val="-9"/>
                        <w:w w:val="105"/>
                        <w:sz w:val="15"/>
                      </w:rPr>
                      <w:t> </w:t>
                    </w:r>
                    <w:r>
                      <w:rPr>
                        <w:rFonts w:ascii="Arial"/>
                        <w:color w:val="0F0080"/>
                        <w:w w:val="105"/>
                        <w:sz w:val="15"/>
                      </w:rPr>
                      <w:t>quarterly</w:t>
                    </w:r>
                    <w:r>
                      <w:rPr>
                        <w:rFonts w:ascii="Arial"/>
                        <w:color w:val="0F0080"/>
                        <w:spacing w:val="-3"/>
                        <w:w w:val="105"/>
                        <w:sz w:val="15"/>
                      </w:rPr>
                      <w:t> </w:t>
                    </w:r>
                    <w:r>
                      <w:rPr>
                        <w:rFonts w:ascii="Arial"/>
                        <w:color w:val="0F0080"/>
                        <w:w w:val="105"/>
                        <w:sz w:val="15"/>
                      </w:rPr>
                      <w:t>rate</w:t>
                    </w:r>
                  </w:p>
                </w:txbxContent>
              </v:textbox>
              <w10:wrap type="none"/>
            </v:shape>
            <w10:wrap type="none"/>
          </v:group>
        </w:pict>
      </w:r>
      <w:r>
        <w:rPr>
          <w:rFonts w:ascii="Arial"/>
          <w:spacing w:val="-2"/>
          <w:w w:val="105"/>
          <w:sz w:val="15"/>
        </w:rPr>
        <w:t>3.5</w:t>
      </w:r>
    </w:p>
    <w:p>
      <w:pPr>
        <w:pStyle w:val="BodyText"/>
        <w:spacing w:before="9"/>
        <w:rPr>
          <w:rFonts w:ascii="Arial"/>
          <w:sz w:val="14"/>
        </w:rPr>
      </w:pPr>
    </w:p>
    <w:p>
      <w:pPr>
        <w:spacing w:before="0"/>
        <w:ind w:left="0" w:right="2532" w:firstLine="0"/>
        <w:jc w:val="right"/>
        <w:rPr>
          <w:rFonts w:ascii="Arial"/>
          <w:sz w:val="15"/>
        </w:rPr>
      </w:pPr>
      <w:r>
        <w:rPr>
          <w:rFonts w:ascii="Arial"/>
          <w:spacing w:val="-2"/>
          <w:w w:val="105"/>
          <w:sz w:val="15"/>
        </w:rPr>
        <w:t>3.0</w:t>
      </w:r>
    </w:p>
    <w:p>
      <w:pPr>
        <w:pStyle w:val="BodyText"/>
        <w:spacing w:before="8"/>
        <w:rPr>
          <w:rFonts w:ascii="Arial"/>
          <w:sz w:val="14"/>
        </w:rPr>
      </w:pPr>
    </w:p>
    <w:p>
      <w:pPr>
        <w:spacing w:before="1"/>
        <w:ind w:left="0" w:right="2532" w:firstLine="0"/>
        <w:jc w:val="right"/>
        <w:rPr>
          <w:rFonts w:ascii="Arial"/>
          <w:sz w:val="15"/>
        </w:rPr>
      </w:pPr>
      <w:r>
        <w:rPr>
          <w:rFonts w:ascii="Arial"/>
          <w:spacing w:val="-2"/>
          <w:w w:val="105"/>
          <w:sz w:val="15"/>
        </w:rPr>
        <w:t>2.5</w:t>
      </w:r>
    </w:p>
    <w:p>
      <w:pPr>
        <w:pStyle w:val="BodyText"/>
        <w:spacing w:before="9"/>
        <w:rPr>
          <w:rFonts w:ascii="Arial"/>
          <w:sz w:val="14"/>
        </w:rPr>
      </w:pPr>
    </w:p>
    <w:p>
      <w:pPr>
        <w:spacing w:before="0"/>
        <w:ind w:left="0" w:right="2532" w:firstLine="0"/>
        <w:jc w:val="right"/>
        <w:rPr>
          <w:rFonts w:ascii="Arial"/>
          <w:sz w:val="15"/>
        </w:rPr>
      </w:pPr>
      <w:r>
        <w:rPr>
          <w:rFonts w:ascii="Arial"/>
          <w:spacing w:val="-2"/>
          <w:w w:val="105"/>
          <w:sz w:val="15"/>
        </w:rPr>
        <w:t>2.0</w:t>
      </w:r>
    </w:p>
    <w:p>
      <w:pPr>
        <w:pStyle w:val="BodyText"/>
        <w:spacing w:before="6"/>
        <w:rPr>
          <w:rFonts w:ascii="Arial"/>
          <w:sz w:val="13"/>
        </w:rPr>
      </w:pPr>
    </w:p>
    <w:p>
      <w:pPr>
        <w:spacing w:before="0"/>
        <w:ind w:left="0" w:right="2532" w:firstLine="0"/>
        <w:jc w:val="right"/>
        <w:rPr>
          <w:rFonts w:ascii="Arial"/>
          <w:sz w:val="15"/>
        </w:rPr>
      </w:pPr>
      <w:r>
        <w:rPr>
          <w:rFonts w:ascii="Arial"/>
          <w:spacing w:val="-2"/>
          <w:w w:val="105"/>
          <w:sz w:val="15"/>
        </w:rPr>
        <w:t>1.5</w:t>
      </w:r>
    </w:p>
    <w:p>
      <w:pPr>
        <w:pStyle w:val="BodyText"/>
        <w:rPr>
          <w:rFonts w:ascii="Arial"/>
          <w:sz w:val="14"/>
        </w:rPr>
      </w:pPr>
      <w:r>
        <w:rPr/>
        <w:br w:type="column"/>
      </w:r>
      <w:r>
        <w:rPr>
          <w:rFonts w:ascii="Arial"/>
          <w:sz w:val="14"/>
        </w:rPr>
      </w:r>
    </w:p>
    <w:p>
      <w:pPr>
        <w:pStyle w:val="BodyText"/>
        <w:rPr>
          <w:rFonts w:ascii="Arial"/>
          <w:sz w:val="14"/>
        </w:rPr>
      </w:pPr>
    </w:p>
    <w:p>
      <w:pPr>
        <w:spacing w:before="109"/>
        <w:ind w:left="0" w:right="375" w:firstLine="0"/>
        <w:jc w:val="right"/>
        <w:rPr>
          <w:rFonts w:ascii="Arial"/>
          <w:sz w:val="12"/>
        </w:rPr>
      </w:pPr>
      <w:r>
        <w:rPr>
          <w:rFonts w:ascii="Arial"/>
          <w:w w:val="95"/>
          <w:sz w:val="12"/>
        </w:rPr>
        <w:t>Percentage</w:t>
      </w:r>
      <w:r>
        <w:rPr>
          <w:rFonts w:ascii="Arial"/>
          <w:spacing w:val="-19"/>
          <w:w w:val="95"/>
          <w:sz w:val="12"/>
        </w:rPr>
        <w:t> </w:t>
      </w:r>
      <w:r>
        <w:rPr>
          <w:rFonts w:ascii="Arial"/>
          <w:w w:val="95"/>
          <w:sz w:val="12"/>
        </w:rPr>
        <w:t>change</w:t>
      </w:r>
      <w:r>
        <w:rPr>
          <w:rFonts w:ascii="Arial"/>
          <w:spacing w:val="-20"/>
          <w:w w:val="95"/>
          <w:sz w:val="12"/>
        </w:rPr>
        <w:t> </w:t>
      </w:r>
      <w:r>
        <w:rPr>
          <w:rFonts w:ascii="Arial"/>
          <w:w w:val="95"/>
          <w:sz w:val="12"/>
        </w:rPr>
        <w:t>on</w:t>
      </w:r>
      <w:r>
        <w:rPr>
          <w:rFonts w:ascii="Arial"/>
          <w:spacing w:val="-19"/>
          <w:w w:val="95"/>
          <w:sz w:val="12"/>
        </w:rPr>
        <w:t> </w:t>
      </w:r>
      <w:r>
        <w:rPr>
          <w:rFonts w:ascii="Arial"/>
          <w:w w:val="95"/>
          <w:sz w:val="12"/>
        </w:rPr>
        <w:t>a</w:t>
      </w:r>
      <w:r>
        <w:rPr>
          <w:rFonts w:ascii="Arial"/>
          <w:spacing w:val="-19"/>
          <w:w w:val="95"/>
          <w:sz w:val="12"/>
        </w:rPr>
        <w:t> </w:t>
      </w:r>
      <w:r>
        <w:rPr>
          <w:rFonts w:ascii="Arial"/>
          <w:w w:val="95"/>
          <w:sz w:val="12"/>
        </w:rPr>
        <w:t>year</w:t>
      </w:r>
      <w:r>
        <w:rPr>
          <w:rFonts w:ascii="Arial"/>
          <w:spacing w:val="-18"/>
          <w:w w:val="95"/>
          <w:sz w:val="12"/>
        </w:rPr>
        <w:t> </w:t>
      </w:r>
      <w:r>
        <w:rPr>
          <w:rFonts w:ascii="Arial"/>
          <w:w w:val="95"/>
          <w:sz w:val="12"/>
        </w:rPr>
        <w:t>earlier</w:t>
      </w:r>
    </w:p>
    <w:p>
      <w:pPr>
        <w:spacing w:before="0"/>
        <w:ind w:left="0" w:right="372" w:firstLine="0"/>
        <w:jc w:val="right"/>
        <w:rPr>
          <w:rFonts w:ascii="Arial"/>
          <w:sz w:val="12"/>
        </w:rPr>
      </w:pPr>
      <w:r>
        <w:rPr>
          <w:rFonts w:ascii="Arial"/>
          <w:spacing w:val="-2"/>
          <w:w w:val="90"/>
          <w:sz w:val="12"/>
        </w:rPr>
        <w:t>50</w:t>
      </w:r>
    </w:p>
    <w:p>
      <w:pPr>
        <w:pStyle w:val="BodyText"/>
        <w:rPr>
          <w:rFonts w:ascii="Arial"/>
          <w:sz w:val="14"/>
        </w:rPr>
      </w:pPr>
    </w:p>
    <w:p>
      <w:pPr>
        <w:spacing w:before="117"/>
        <w:ind w:left="0" w:right="372" w:firstLine="0"/>
        <w:jc w:val="right"/>
        <w:rPr>
          <w:rFonts w:ascii="Arial"/>
          <w:sz w:val="12"/>
        </w:rPr>
      </w:pPr>
      <w:r>
        <w:rPr>
          <w:rFonts w:ascii="Arial"/>
          <w:spacing w:val="-2"/>
          <w:w w:val="90"/>
          <w:sz w:val="12"/>
        </w:rPr>
        <w:t>40</w:t>
      </w:r>
    </w:p>
    <w:p>
      <w:pPr>
        <w:pStyle w:val="BodyText"/>
        <w:rPr>
          <w:rFonts w:ascii="Arial"/>
          <w:sz w:val="14"/>
        </w:rPr>
      </w:pPr>
    </w:p>
    <w:p>
      <w:pPr>
        <w:spacing w:before="117"/>
        <w:ind w:left="0" w:right="372" w:firstLine="0"/>
        <w:jc w:val="right"/>
        <w:rPr>
          <w:rFonts w:ascii="Arial"/>
          <w:sz w:val="12"/>
        </w:rPr>
      </w:pPr>
      <w:r>
        <w:rPr>
          <w:rFonts w:ascii="Arial"/>
          <w:spacing w:val="-2"/>
          <w:w w:val="90"/>
          <w:sz w:val="12"/>
        </w:rPr>
        <w:t>30</w:t>
      </w:r>
    </w:p>
    <w:p>
      <w:pPr>
        <w:pStyle w:val="BodyText"/>
        <w:rPr>
          <w:rFonts w:ascii="Arial"/>
          <w:sz w:val="14"/>
        </w:rPr>
      </w:pPr>
    </w:p>
    <w:p>
      <w:pPr>
        <w:pStyle w:val="BodyText"/>
        <w:spacing w:before="2"/>
        <w:rPr>
          <w:rFonts w:ascii="Arial"/>
          <w:sz w:val="11"/>
        </w:rPr>
      </w:pPr>
    </w:p>
    <w:p>
      <w:pPr>
        <w:spacing w:before="1"/>
        <w:ind w:left="0" w:right="372" w:firstLine="0"/>
        <w:jc w:val="right"/>
        <w:rPr>
          <w:rFonts w:ascii="Arial"/>
          <w:sz w:val="12"/>
        </w:rPr>
      </w:pPr>
      <w:r>
        <w:rPr>
          <w:rFonts w:ascii="Arial"/>
          <w:spacing w:val="-2"/>
          <w:w w:val="90"/>
          <w:sz w:val="12"/>
        </w:rPr>
        <w:t>20</w:t>
      </w:r>
    </w:p>
    <w:p>
      <w:pPr>
        <w:pStyle w:val="BodyText"/>
        <w:rPr>
          <w:rFonts w:ascii="Arial"/>
          <w:sz w:val="14"/>
        </w:rPr>
      </w:pPr>
    </w:p>
    <w:p>
      <w:pPr>
        <w:spacing w:before="116"/>
        <w:ind w:left="0" w:right="372" w:firstLine="0"/>
        <w:jc w:val="right"/>
        <w:rPr>
          <w:rFonts w:ascii="Arial"/>
          <w:sz w:val="12"/>
        </w:rPr>
      </w:pPr>
      <w:r>
        <w:rPr>
          <w:rFonts w:ascii="Arial"/>
          <w:spacing w:val="-2"/>
          <w:w w:val="90"/>
          <w:sz w:val="12"/>
        </w:rPr>
        <w:t>10</w:t>
      </w:r>
    </w:p>
    <w:p>
      <w:pPr>
        <w:spacing w:after="0"/>
        <w:jc w:val="right"/>
        <w:rPr>
          <w:rFonts w:ascii="Arial"/>
          <w:sz w:val="12"/>
        </w:rPr>
        <w:sectPr>
          <w:type w:val="continuous"/>
          <w:pgSz w:w="11900" w:h="16840"/>
          <w:pgMar w:top="1180" w:bottom="280" w:left="1640" w:right="700"/>
          <w:cols w:num="2" w:equalWidth="0">
            <w:col w:w="7099" w:space="206"/>
            <w:col w:w="2255"/>
          </w:cols>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3"/>
        <w:rPr>
          <w:rFonts w:ascii="Arial"/>
          <w:sz w:val="13"/>
        </w:rPr>
      </w:pPr>
    </w:p>
    <w:p>
      <w:pPr>
        <w:spacing w:before="1"/>
        <w:ind w:left="210" w:right="0" w:firstLine="0"/>
        <w:jc w:val="left"/>
        <w:rPr>
          <w:rFonts w:ascii="Arial"/>
          <w:sz w:val="15"/>
        </w:rPr>
      </w:pPr>
      <w:r>
        <w:rPr>
          <w:rFonts w:ascii="Arial"/>
          <w:w w:val="105"/>
          <w:sz w:val="15"/>
        </w:rPr>
        <w:t>1974 1978 1982 1986 1990 1994 1998 2002 2006</w:t>
      </w:r>
    </w:p>
    <w:p>
      <w:pPr>
        <w:pStyle w:val="BodyText"/>
        <w:spacing w:before="8"/>
        <w:rPr>
          <w:rFonts w:ascii="Arial"/>
          <w:sz w:val="14"/>
        </w:rPr>
      </w:pPr>
      <w:r>
        <w:rPr/>
        <w:br w:type="column"/>
      </w:r>
      <w:r>
        <w:rPr>
          <w:rFonts w:ascii="Arial"/>
          <w:sz w:val="14"/>
        </w:rPr>
      </w:r>
    </w:p>
    <w:p>
      <w:pPr>
        <w:spacing w:before="0"/>
        <w:ind w:left="187" w:right="0" w:firstLine="0"/>
        <w:jc w:val="left"/>
        <w:rPr>
          <w:rFonts w:ascii="Arial"/>
          <w:sz w:val="15"/>
        </w:rPr>
      </w:pPr>
      <w:r>
        <w:rPr>
          <w:rFonts w:ascii="Arial"/>
          <w:w w:val="105"/>
          <w:sz w:val="15"/>
        </w:rPr>
        <w:t>1.0</w:t>
      </w:r>
    </w:p>
    <w:p>
      <w:pPr>
        <w:pStyle w:val="BodyText"/>
        <w:spacing w:before="9"/>
        <w:rPr>
          <w:rFonts w:ascii="Arial"/>
          <w:sz w:val="14"/>
        </w:rPr>
      </w:pPr>
    </w:p>
    <w:p>
      <w:pPr>
        <w:spacing w:before="0"/>
        <w:ind w:left="187" w:right="0" w:firstLine="0"/>
        <w:jc w:val="left"/>
        <w:rPr>
          <w:rFonts w:ascii="Arial"/>
          <w:sz w:val="15"/>
        </w:rPr>
      </w:pPr>
      <w:r>
        <w:rPr>
          <w:rFonts w:ascii="Arial"/>
          <w:w w:val="105"/>
          <w:sz w:val="15"/>
        </w:rPr>
        <w:t>0.5</w:t>
      </w:r>
    </w:p>
    <w:p>
      <w:pPr>
        <w:pStyle w:val="BodyText"/>
        <w:spacing w:before="8"/>
        <w:rPr>
          <w:rFonts w:ascii="Arial"/>
          <w:sz w:val="14"/>
        </w:rPr>
      </w:pPr>
    </w:p>
    <w:p>
      <w:pPr>
        <w:spacing w:before="0"/>
        <w:ind w:left="187" w:right="0" w:firstLine="0"/>
        <w:jc w:val="left"/>
        <w:rPr>
          <w:rFonts w:ascii="Arial"/>
          <w:sz w:val="15"/>
        </w:rPr>
      </w:pPr>
      <w:r>
        <w:rPr>
          <w:rFonts w:ascii="Arial"/>
          <w:w w:val="105"/>
          <w:sz w:val="15"/>
        </w:rPr>
        <w:t>0.0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1"/>
        <w:rPr>
          <w:rFonts w:ascii="Arial"/>
          <w:sz w:val="12"/>
        </w:rPr>
      </w:pPr>
    </w:p>
    <w:p>
      <w:pPr>
        <w:tabs>
          <w:tab w:pos="713" w:val="left" w:leader="none"/>
          <w:tab w:pos="1215" w:val="left" w:leader="none"/>
          <w:tab w:pos="1718" w:val="left" w:leader="none"/>
          <w:tab w:pos="2220" w:val="left" w:leader="none"/>
        </w:tabs>
        <w:spacing w:before="0"/>
        <w:ind w:left="210" w:right="0" w:firstLine="0"/>
        <w:jc w:val="left"/>
        <w:rPr>
          <w:rFonts w:ascii="Arial"/>
          <w:sz w:val="12"/>
        </w:rPr>
      </w:pPr>
      <w:r>
        <w:rPr>
          <w:rFonts w:ascii="Arial"/>
          <w:sz w:val="12"/>
        </w:rPr>
        <w:t>1970</w:t>
        <w:tab/>
        <w:t>1975</w:t>
        <w:tab/>
        <w:t>1980</w:t>
        <w:tab/>
        <w:t>1985</w:t>
        <w:tab/>
      </w:r>
      <w:r>
        <w:rPr>
          <w:rFonts w:ascii="Arial"/>
          <w:spacing w:val="-7"/>
          <w:w w:val="95"/>
          <w:sz w:val="12"/>
        </w:rPr>
        <w:t>1990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1"/>
        <w:rPr>
          <w:rFonts w:ascii="Arial"/>
          <w:sz w:val="12"/>
        </w:rPr>
      </w:pPr>
    </w:p>
    <w:p>
      <w:pPr>
        <w:tabs>
          <w:tab w:pos="713" w:val="left" w:leader="none"/>
          <w:tab w:pos="1214" w:val="left" w:leader="none"/>
        </w:tabs>
        <w:spacing w:before="0"/>
        <w:ind w:left="210" w:right="0" w:firstLine="0"/>
        <w:jc w:val="left"/>
        <w:rPr>
          <w:rFonts w:ascii="Arial"/>
          <w:sz w:val="12"/>
        </w:rPr>
      </w:pPr>
      <w:r>
        <w:rPr>
          <w:rFonts w:ascii="Arial"/>
          <w:sz w:val="12"/>
        </w:rPr>
        <w:t>1995</w:t>
        <w:tab/>
        <w:t>2000</w:t>
        <w:tab/>
      </w:r>
      <w:r>
        <w:rPr>
          <w:rFonts w:ascii="Arial"/>
          <w:spacing w:val="-7"/>
          <w:w w:val="95"/>
          <w:sz w:val="12"/>
        </w:rPr>
        <w:t>2005</w:t>
      </w:r>
    </w:p>
    <w:p>
      <w:pPr>
        <w:pStyle w:val="BodyText"/>
        <w:spacing w:before="9"/>
        <w:rPr>
          <w:rFonts w:ascii="Arial"/>
          <w:sz w:val="16"/>
        </w:rPr>
      </w:pPr>
      <w:r>
        <w:rPr/>
        <w:br w:type="column"/>
      </w:r>
      <w:r>
        <w:rPr>
          <w:rFonts w:ascii="Arial"/>
          <w:sz w:val="16"/>
        </w:rPr>
      </w:r>
    </w:p>
    <w:p>
      <w:pPr>
        <w:spacing w:before="0"/>
        <w:ind w:left="210" w:right="0" w:firstLine="0"/>
        <w:jc w:val="left"/>
        <w:rPr>
          <w:rFonts w:ascii="Arial"/>
          <w:sz w:val="12"/>
        </w:rPr>
      </w:pPr>
      <w:r>
        <w:rPr>
          <w:rFonts w:ascii="Arial"/>
          <w:w w:val="92"/>
          <w:sz w:val="12"/>
        </w:rPr>
        <w:t>0</w:t>
      </w:r>
    </w:p>
    <w:p>
      <w:pPr>
        <w:pStyle w:val="BodyText"/>
        <w:rPr>
          <w:rFonts w:ascii="Arial"/>
          <w:sz w:val="14"/>
        </w:rPr>
      </w:pPr>
    </w:p>
    <w:p>
      <w:pPr>
        <w:spacing w:before="116"/>
        <w:ind w:left="210" w:right="0" w:firstLine="0"/>
        <w:jc w:val="left"/>
        <w:rPr>
          <w:rFonts w:ascii="Arial"/>
          <w:sz w:val="12"/>
        </w:rPr>
      </w:pPr>
      <w:r>
        <w:rPr>
          <w:rFonts w:ascii="Arial"/>
          <w:sz w:val="12"/>
        </w:rPr>
        <w:t>-10</w:t>
      </w:r>
    </w:p>
    <w:p>
      <w:pPr>
        <w:spacing w:after="0"/>
        <w:jc w:val="left"/>
        <w:rPr>
          <w:rFonts w:ascii="Arial"/>
          <w:sz w:val="12"/>
        </w:rPr>
        <w:sectPr>
          <w:type w:val="continuous"/>
          <w:pgSz w:w="11900" w:h="16840"/>
          <w:pgMar w:top="1180" w:bottom="280" w:left="1640" w:right="700"/>
          <w:cols w:num="5" w:equalWidth="0">
            <w:col w:w="4122" w:space="40"/>
            <w:col w:w="443" w:space="228"/>
            <w:col w:w="2462" w:space="42"/>
            <w:col w:w="1456" w:space="62"/>
            <w:col w:w="705"/>
          </w:cols>
        </w:sectPr>
      </w:pPr>
    </w:p>
    <w:p>
      <w:pPr>
        <w:pStyle w:val="BodyText"/>
        <w:spacing w:before="3"/>
        <w:rPr>
          <w:rFonts w:ascii="Arial"/>
          <w:sz w:val="13"/>
        </w:rPr>
      </w:pPr>
    </w:p>
    <w:p>
      <w:pPr>
        <w:spacing w:line="249" w:lineRule="auto" w:before="0"/>
        <w:ind w:left="110" w:right="157" w:firstLine="0"/>
        <w:jc w:val="left"/>
        <w:rPr>
          <w:rFonts w:ascii="Arial"/>
          <w:sz w:val="15"/>
        </w:rPr>
      </w:pPr>
      <w:r>
        <w:rPr>
          <w:rFonts w:ascii="Arial"/>
          <w:w w:val="105"/>
          <w:sz w:val="15"/>
        </w:rPr>
        <w:t>Sources: Bank of England, Council of Mortgage Lenders and Department for Communities and Local Government.</w:t>
      </w:r>
    </w:p>
    <w:p>
      <w:pPr>
        <w:pStyle w:val="ListParagraph"/>
        <w:numPr>
          <w:ilvl w:val="0"/>
          <w:numId w:val="2"/>
        </w:numPr>
        <w:tabs>
          <w:tab w:pos="343" w:val="left" w:leader="none"/>
        </w:tabs>
        <w:spacing w:line="249" w:lineRule="auto" w:before="0" w:after="0"/>
        <w:ind w:left="110" w:right="38" w:firstLine="0"/>
        <w:jc w:val="left"/>
        <w:rPr>
          <w:sz w:val="15"/>
        </w:rPr>
      </w:pPr>
      <w:r>
        <w:rPr>
          <w:w w:val="105"/>
          <w:sz w:val="15"/>
        </w:rPr>
        <w:t>Lending</w:t>
      </w:r>
      <w:r>
        <w:rPr>
          <w:spacing w:val="-8"/>
          <w:w w:val="105"/>
          <w:sz w:val="15"/>
        </w:rPr>
        <w:t> </w:t>
      </w:r>
      <w:r>
        <w:rPr>
          <w:w w:val="105"/>
          <w:sz w:val="15"/>
        </w:rPr>
        <w:t>flows</w:t>
      </w:r>
      <w:r>
        <w:rPr>
          <w:spacing w:val="-5"/>
          <w:w w:val="105"/>
          <w:sz w:val="15"/>
        </w:rPr>
        <w:t> </w:t>
      </w:r>
      <w:r>
        <w:rPr>
          <w:w w:val="105"/>
          <w:sz w:val="15"/>
        </w:rPr>
        <w:t>expressed</w:t>
      </w:r>
      <w:r>
        <w:rPr>
          <w:spacing w:val="-7"/>
          <w:w w:val="105"/>
          <w:sz w:val="15"/>
        </w:rPr>
        <w:t> </w:t>
      </w:r>
      <w:r>
        <w:rPr>
          <w:w w:val="105"/>
          <w:sz w:val="15"/>
        </w:rPr>
        <w:t>as</w:t>
      </w:r>
      <w:r>
        <w:rPr>
          <w:spacing w:val="-7"/>
          <w:w w:val="105"/>
          <w:sz w:val="15"/>
        </w:rPr>
        <w:t> </w:t>
      </w:r>
      <w:r>
        <w:rPr>
          <w:w w:val="105"/>
          <w:sz w:val="15"/>
        </w:rPr>
        <w:t>a</w:t>
      </w:r>
      <w:r>
        <w:rPr>
          <w:spacing w:val="-7"/>
          <w:w w:val="105"/>
          <w:sz w:val="15"/>
        </w:rPr>
        <w:t> </w:t>
      </w:r>
      <w:r>
        <w:rPr>
          <w:w w:val="105"/>
          <w:sz w:val="15"/>
        </w:rPr>
        <w:t>percentage</w:t>
      </w:r>
      <w:r>
        <w:rPr>
          <w:spacing w:val="-7"/>
          <w:w w:val="105"/>
          <w:sz w:val="15"/>
        </w:rPr>
        <w:t> </w:t>
      </w:r>
      <w:r>
        <w:rPr>
          <w:w w:val="105"/>
          <w:sz w:val="15"/>
        </w:rPr>
        <w:t>of</w:t>
      </w:r>
      <w:r>
        <w:rPr>
          <w:spacing w:val="-7"/>
          <w:w w:val="105"/>
          <w:sz w:val="15"/>
        </w:rPr>
        <w:t> </w:t>
      </w:r>
      <w:r>
        <w:rPr>
          <w:w w:val="105"/>
          <w:sz w:val="15"/>
        </w:rPr>
        <w:t>stock</w:t>
      </w:r>
      <w:r>
        <w:rPr>
          <w:spacing w:val="-7"/>
          <w:w w:val="105"/>
          <w:sz w:val="15"/>
        </w:rPr>
        <w:t> </w:t>
      </w:r>
      <w:r>
        <w:rPr>
          <w:w w:val="105"/>
          <w:sz w:val="15"/>
        </w:rPr>
        <w:t>of</w:t>
      </w:r>
      <w:r>
        <w:rPr>
          <w:spacing w:val="-7"/>
          <w:w w:val="105"/>
          <w:sz w:val="15"/>
        </w:rPr>
        <w:t> </w:t>
      </w:r>
      <w:r>
        <w:rPr>
          <w:w w:val="105"/>
          <w:sz w:val="15"/>
        </w:rPr>
        <w:t>owner- occupied</w:t>
      </w:r>
      <w:r>
        <w:rPr>
          <w:spacing w:val="-2"/>
          <w:w w:val="105"/>
          <w:sz w:val="15"/>
        </w:rPr>
        <w:t> </w:t>
      </w:r>
      <w:r>
        <w:rPr>
          <w:w w:val="105"/>
          <w:sz w:val="15"/>
        </w:rPr>
        <w:t>homes.</w:t>
      </w:r>
    </w:p>
    <w:p>
      <w:pPr>
        <w:pStyle w:val="ListParagraph"/>
        <w:numPr>
          <w:ilvl w:val="0"/>
          <w:numId w:val="2"/>
        </w:numPr>
        <w:tabs>
          <w:tab w:pos="343" w:val="left" w:leader="none"/>
        </w:tabs>
        <w:spacing w:line="247" w:lineRule="auto" w:before="0" w:after="0"/>
        <w:ind w:left="110" w:right="529" w:firstLine="0"/>
        <w:jc w:val="left"/>
        <w:rPr>
          <w:sz w:val="15"/>
        </w:rPr>
      </w:pPr>
      <w:r>
        <w:rPr>
          <w:w w:val="105"/>
          <w:sz w:val="15"/>
        </w:rPr>
        <w:t>Data</w:t>
      </w:r>
      <w:r>
        <w:rPr>
          <w:spacing w:val="-6"/>
          <w:w w:val="105"/>
          <w:sz w:val="15"/>
        </w:rPr>
        <w:t> </w:t>
      </w:r>
      <w:r>
        <w:rPr>
          <w:w w:val="105"/>
          <w:sz w:val="15"/>
        </w:rPr>
        <w:t>prior</w:t>
      </w:r>
      <w:r>
        <w:rPr>
          <w:spacing w:val="-5"/>
          <w:w w:val="105"/>
          <w:sz w:val="15"/>
        </w:rPr>
        <w:t> </w:t>
      </w:r>
      <w:r>
        <w:rPr>
          <w:w w:val="105"/>
          <w:sz w:val="15"/>
        </w:rPr>
        <w:t>to</w:t>
      </w:r>
      <w:r>
        <w:rPr>
          <w:spacing w:val="-5"/>
          <w:w w:val="105"/>
          <w:sz w:val="15"/>
        </w:rPr>
        <w:t> </w:t>
      </w:r>
      <w:r>
        <w:rPr>
          <w:w w:val="105"/>
          <w:sz w:val="15"/>
        </w:rPr>
        <w:t>1992</w:t>
      </w:r>
      <w:r>
        <w:rPr>
          <w:spacing w:val="-5"/>
          <w:w w:val="105"/>
          <w:sz w:val="15"/>
        </w:rPr>
        <w:t> </w:t>
      </w:r>
      <w:r>
        <w:rPr>
          <w:w w:val="105"/>
          <w:sz w:val="15"/>
        </w:rPr>
        <w:t>Q2</w:t>
      </w:r>
      <w:r>
        <w:rPr>
          <w:spacing w:val="-6"/>
          <w:w w:val="105"/>
          <w:sz w:val="15"/>
        </w:rPr>
        <w:t> </w:t>
      </w:r>
      <w:r>
        <w:rPr>
          <w:w w:val="105"/>
          <w:sz w:val="15"/>
        </w:rPr>
        <w:t>are</w:t>
      </w:r>
      <w:r>
        <w:rPr>
          <w:spacing w:val="-5"/>
          <w:w w:val="105"/>
          <w:sz w:val="15"/>
        </w:rPr>
        <w:t> </w:t>
      </w:r>
      <w:r>
        <w:rPr>
          <w:w w:val="105"/>
          <w:sz w:val="15"/>
        </w:rPr>
        <w:t>based</w:t>
      </w:r>
      <w:r>
        <w:rPr>
          <w:spacing w:val="-6"/>
          <w:w w:val="105"/>
          <w:sz w:val="15"/>
        </w:rPr>
        <w:t> </w:t>
      </w:r>
      <w:r>
        <w:rPr>
          <w:w w:val="105"/>
          <w:sz w:val="15"/>
        </w:rPr>
        <w:t>on</w:t>
      </w:r>
      <w:r>
        <w:rPr>
          <w:spacing w:val="-5"/>
          <w:w w:val="105"/>
          <w:sz w:val="15"/>
        </w:rPr>
        <w:t> </w:t>
      </w:r>
      <w:r>
        <w:rPr>
          <w:w w:val="105"/>
          <w:sz w:val="15"/>
        </w:rPr>
        <w:t>loans</w:t>
      </w:r>
      <w:r>
        <w:rPr>
          <w:spacing w:val="-6"/>
          <w:w w:val="105"/>
          <w:sz w:val="15"/>
        </w:rPr>
        <w:t> </w:t>
      </w:r>
      <w:r>
        <w:rPr>
          <w:w w:val="105"/>
          <w:sz w:val="15"/>
        </w:rPr>
        <w:t>by</w:t>
      </w:r>
      <w:r>
        <w:rPr>
          <w:spacing w:val="-7"/>
          <w:w w:val="105"/>
          <w:sz w:val="15"/>
        </w:rPr>
        <w:t> </w:t>
      </w:r>
      <w:r>
        <w:rPr>
          <w:w w:val="105"/>
          <w:sz w:val="15"/>
        </w:rPr>
        <w:t>building societies.</w:t>
      </w:r>
    </w:p>
    <w:p>
      <w:pPr>
        <w:pStyle w:val="BodyText"/>
        <w:spacing w:before="2"/>
        <w:rPr>
          <w:rFonts w:ascii="Arial"/>
          <w:sz w:val="17"/>
        </w:rPr>
      </w:pPr>
      <w:r>
        <w:rPr/>
        <w:br w:type="column"/>
      </w:r>
      <w:r>
        <w:rPr>
          <w:rFonts w:ascii="Arial"/>
          <w:sz w:val="17"/>
        </w:rPr>
      </w:r>
    </w:p>
    <w:p>
      <w:pPr>
        <w:spacing w:before="0"/>
        <w:ind w:left="110" w:right="0" w:firstLine="0"/>
        <w:jc w:val="left"/>
        <w:rPr>
          <w:rFonts w:ascii="Arial"/>
          <w:sz w:val="15"/>
        </w:rPr>
      </w:pPr>
      <w:r>
        <w:rPr>
          <w:rFonts w:ascii="Arial"/>
          <w:w w:val="105"/>
          <w:sz w:val="15"/>
        </w:rPr>
        <w:t>Sources: Bank of England, Halifax and Nationwide.</w:t>
      </w:r>
    </w:p>
    <w:p>
      <w:pPr>
        <w:spacing w:line="249" w:lineRule="auto" w:before="8"/>
        <w:ind w:left="110" w:right="526" w:firstLine="0"/>
        <w:jc w:val="left"/>
        <w:rPr>
          <w:rFonts w:ascii="Arial"/>
          <w:sz w:val="15"/>
        </w:rPr>
      </w:pPr>
      <w:r>
        <w:rPr>
          <w:rFonts w:ascii="Arial"/>
          <w:w w:val="105"/>
          <w:sz w:val="15"/>
        </w:rPr>
        <w:t>(a) Average of Halifax and Nationwide measures from 1983 onwards. Prior to that, the Nationwide measure is used.</w:t>
      </w:r>
    </w:p>
    <w:p>
      <w:pPr>
        <w:spacing w:after="0" w:line="249" w:lineRule="auto"/>
        <w:jc w:val="left"/>
        <w:rPr>
          <w:rFonts w:ascii="Arial"/>
          <w:sz w:val="15"/>
        </w:rPr>
        <w:sectPr>
          <w:type w:val="continuous"/>
          <w:pgSz w:w="11900" w:h="16840"/>
          <w:pgMar w:top="1180" w:bottom="280" w:left="1640" w:right="700"/>
          <w:cols w:num="2" w:equalWidth="0">
            <w:col w:w="4525" w:space="238"/>
            <w:col w:w="4797"/>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pStyle w:val="Heading1"/>
        <w:spacing w:before="94"/>
        <w:ind w:left="110"/>
      </w:pPr>
      <w:r>
        <w:rPr/>
        <w:t>Chart 5: Contributions to CPI inflation</w:t>
      </w:r>
    </w:p>
    <w:p>
      <w:pPr>
        <w:tabs>
          <w:tab w:pos="1055" w:val="left" w:leader="none"/>
          <w:tab w:pos="1730" w:val="left" w:leader="none"/>
          <w:tab w:pos="2280" w:val="left" w:leader="none"/>
          <w:tab w:pos="3618" w:val="left" w:leader="none"/>
        </w:tabs>
        <w:spacing w:line="254" w:lineRule="auto" w:before="112"/>
        <w:ind w:left="3801" w:right="5165" w:hanging="3339"/>
        <w:jc w:val="left"/>
        <w:rPr>
          <w:rFonts w:ascii="Arial"/>
          <w:sz w:val="15"/>
        </w:rPr>
      </w:pPr>
      <w:r>
        <w:rPr/>
        <w:pict>
          <v:rect style="position:absolute;margin-left:98.099998pt;margin-top:9.9952pt;width:4.92pt;height:4.92pt;mso-position-horizontal-relative:page;mso-position-vertical-relative:paragraph;z-index:251681792" filled="true" fillcolor="#000080" stroked="false">
            <v:fill type="solid"/>
            <w10:wrap type="none"/>
          </v:rect>
        </w:pict>
      </w:r>
      <w:r>
        <w:rPr/>
        <w:pict>
          <v:rect style="position:absolute;margin-left:127.68pt;margin-top:9.9952pt;width:4.92pt;height:4.92pt;mso-position-horizontal-relative:page;mso-position-vertical-relative:paragraph;z-index:-252291072" filled="true" fillcolor="#ff00ff" stroked="false">
            <v:fill type="solid"/>
            <w10:wrap type="none"/>
          </v:rect>
        </w:pict>
      </w:r>
      <w:r>
        <w:rPr/>
        <w:pict>
          <v:rect style="position:absolute;margin-left:161.460007pt;margin-top:9.9952pt;width:4.92pt;height:4.92pt;mso-position-horizontal-relative:page;mso-position-vertical-relative:paragraph;z-index:-252290048" filled="true" fillcolor="#008000" stroked="false">
            <v:fill type="solid"/>
            <w10:wrap type="none"/>
          </v:rect>
        </w:pict>
      </w:r>
      <w:r>
        <w:rPr/>
        <w:pict>
          <v:rect style="position:absolute;margin-left:188.940002pt;margin-top:9.9952pt;width:4.92pt;height:4.92pt;mso-position-horizontal-relative:page;mso-position-vertical-relative:paragraph;z-index:-252289024" filled="true" fillcolor="#00ffff" stroked="false">
            <v:fill type="solid"/>
            <w10:wrap type="none"/>
          </v:rect>
        </w:pict>
      </w:r>
      <w:r>
        <w:rPr>
          <w:rFonts w:ascii="Arial"/>
          <w:spacing w:val="-3"/>
          <w:w w:val="105"/>
          <w:sz w:val="15"/>
        </w:rPr>
        <w:t>Other</w:t>
        <w:tab/>
      </w:r>
      <w:r>
        <w:rPr>
          <w:rFonts w:ascii="Arial"/>
          <w:spacing w:val="-5"/>
          <w:w w:val="105"/>
          <w:sz w:val="15"/>
        </w:rPr>
        <w:t>Utilities</w:t>
        <w:tab/>
      </w:r>
      <w:r>
        <w:rPr>
          <w:rFonts w:ascii="Arial"/>
          <w:spacing w:val="-4"/>
          <w:w w:val="105"/>
          <w:sz w:val="15"/>
        </w:rPr>
        <w:t>Food</w:t>
        <w:tab/>
        <w:t>Petrol</w:t>
        <w:tab/>
      </w:r>
      <w:r>
        <w:rPr>
          <w:rFonts w:ascii="Arial"/>
          <w:spacing w:val="-3"/>
          <w:position w:val="3"/>
          <w:sz w:val="15"/>
        </w:rPr>
        <w:t>Percentage </w:t>
      </w:r>
      <w:r>
        <w:rPr>
          <w:rFonts w:ascii="Arial"/>
          <w:spacing w:val="-3"/>
          <w:w w:val="105"/>
          <w:sz w:val="15"/>
        </w:rPr>
        <w:t>points</w:t>
      </w:r>
    </w:p>
    <w:p>
      <w:pPr>
        <w:spacing w:line="131" w:lineRule="exact" w:before="0"/>
        <w:ind w:left="0" w:right="783" w:firstLine="0"/>
        <w:jc w:val="center"/>
        <w:rPr>
          <w:rFonts w:ascii="Arial"/>
          <w:sz w:val="15"/>
        </w:rPr>
      </w:pPr>
      <w:r>
        <w:rPr/>
        <w:pict>
          <v:group style="position:absolute;margin-left:100.568001pt;margin-top:2.559729pt;width:191.95pt;height:131.35pt;mso-position-horizontal-relative:page;mso-position-vertical-relative:paragraph;z-index:251680768" coordorigin="2011,51" coordsize="3839,2627">
            <v:shape style="position:absolute;left:2018;top:58;width:3790;height:2578" coordorigin="2018,58" coordsize="3790,2578" path="m2018,58l5808,58m5808,58l5808,2636m5808,2636l2018,2636m2018,2636l2018,58e" filled="false" stroked="true" strokeweight=".704pt" strokecolor="#000000">
              <v:path arrowok="t"/>
              <v:stroke dashstyle="solid"/>
            </v:shape>
            <v:line style="position:absolute" from="2053,1762" to="2053,2354" stroked="true" strokeweight="2.16pt" strokecolor="#000080">
              <v:stroke dashstyle="solid"/>
            </v:line>
            <v:shape style="position:absolute;left:2123;top:1804;width:71;height:550" coordorigin="2123,1804" coordsize="71,550" path="m2123,1804l2123,2354m2194,1861l2194,2354e" filled="false" stroked="true" strokeweight="2.1pt" strokecolor="#000080">
              <v:path arrowok="t"/>
              <v:stroke dashstyle="solid"/>
            </v:shape>
            <v:line style="position:absolute" from="2264,1861" to="2264,2354" stroked="true" strokeweight="2.16pt" strokecolor="#000080">
              <v:stroke dashstyle="solid"/>
            </v:line>
            <v:shape style="position:absolute;left:2334;top:1734;width:71;height:620" coordorigin="2335,1735" coordsize="71,620" path="m2335,1790l2335,2354m2405,1735l2405,2354e" filled="false" stroked="true" strokeweight="2.1pt" strokecolor="#000080">
              <v:path arrowok="t"/>
              <v:stroke dashstyle="solid"/>
            </v:shape>
            <v:line style="position:absolute" from="2483,1762" to="2483,2354" stroked="true" strokeweight="2.76pt" strokecolor="#000080">
              <v:stroke dashstyle="solid"/>
            </v:line>
            <v:line style="position:absolute" from="2560,1804" to="2560,2354" stroked="true" strokeweight="2.1pt" strokecolor="#000080">
              <v:stroke dashstyle="solid"/>
            </v:line>
            <v:line style="position:absolute" from="2631,1903" to="2631,2354" stroked="true" strokeweight="2.1pt" strokecolor="#000080">
              <v:stroke dashstyle="solid"/>
            </v:line>
            <v:line style="position:absolute" from="2701,1889" to="2701,2354" stroked="true" strokeweight="2.16pt" strokecolor="#000080">
              <v:stroke dashstyle="solid"/>
            </v:line>
            <v:shape style="position:absolute;left:2771;top:1691;width:71;height:663" coordorigin="2771,1691" coordsize="71,663" path="m2771,1804l2771,2354m2842,1691l2842,2354e" filled="false" stroked="true" strokeweight="2.1pt" strokecolor="#000080">
              <v:path arrowok="t"/>
              <v:stroke dashstyle="solid"/>
            </v:shape>
            <v:line style="position:absolute" from="2912,1706" to="2912,2354" stroked="true" strokeweight="2.16pt" strokecolor="#000080">
              <v:stroke dashstyle="solid"/>
            </v:line>
            <v:shape style="position:absolute;left:2982;top:1452;width:353;height:902" coordorigin="2983,1453" coordsize="353,902" path="m2983,1735l2983,2354m3053,1664l3053,2354m3124,1649l3124,2354m3194,1593l3194,2354m3265,1593l3265,2354m3335,1453l3335,2354e" filled="false" stroked="true" strokeweight="2.1pt" strokecolor="#000080">
              <v:path arrowok="t"/>
              <v:stroke dashstyle="solid"/>
            </v:shape>
            <v:line style="position:absolute" from="3412,1480" to="3412,2354" stroked="true" strokeweight="2.82pt" strokecolor="#000080">
              <v:stroke dashstyle="solid"/>
            </v:line>
            <v:line style="position:absolute" from="3490,1537" to="3490,2354" stroked="true" strokeweight="2.1pt" strokecolor="#000080">
              <v:stroke dashstyle="solid"/>
            </v:line>
            <v:line style="position:absolute" from="3560,1537" to="3560,2354" stroked="true" strokeweight="2.16pt" strokecolor="#000080">
              <v:stroke dashstyle="solid"/>
            </v:line>
            <v:shape style="position:absolute;left:3630;top:1578;width:353;height:776" coordorigin="3631,1579" coordsize="353,776" path="m3631,1579l3631,2354m3701,1678l3701,2354m3772,1706l3772,2354m3842,1649l3842,2354m3913,1691l3913,2354m3983,1706l3983,2354e" filled="false" stroked="true" strokeweight="2.1pt" strokecolor="#000080">
              <v:path arrowok="t"/>
              <v:stroke dashstyle="solid"/>
            </v:shape>
            <v:line style="position:absolute" from="4054,1804" to="4054,2354" stroked="true" strokeweight="2.16pt" strokecolor="#000080">
              <v:stroke dashstyle="solid"/>
            </v:line>
            <v:shape style="position:absolute;left:4123;top:1720;width:71;height:634" coordorigin="4124,1720" coordsize="71,634" path="m4124,1720l4124,2354m4195,1875l4195,2354e" filled="false" stroked="true" strokeweight="2.1pt" strokecolor="#000080">
              <v:path arrowok="t"/>
              <v:stroke dashstyle="solid"/>
            </v:shape>
            <v:line style="position:absolute" from="4265,1790" to="4265,2354" stroked="true" strokeweight="2.16pt" strokecolor="#000080">
              <v:stroke dashstyle="solid"/>
            </v:line>
            <v:line style="position:absolute" from="4335,1649" to="4335,2354" stroked="true" strokeweight="2.1pt" strokecolor="#000080">
              <v:stroke dashstyle="solid"/>
            </v:line>
            <v:line style="position:absolute" from="4413,1622" to="4413,2354" stroked="true" strokeweight="2.82pt" strokecolor="#000080">
              <v:stroke dashstyle="solid"/>
            </v:line>
            <v:line style="position:absolute" from="4490,1551" to="4490,2354" stroked="true" strokeweight="2.16pt" strokecolor="#000080">
              <v:stroke dashstyle="solid"/>
            </v:line>
            <v:shape style="position:absolute;left:4560;top:1467;width:71;height:887" coordorigin="4561,1467" coordsize="71,887" path="m4561,1467l4561,2354m4631,1509l4631,2354e" filled="false" stroked="true" strokeweight="2.1pt" strokecolor="#000080">
              <v:path arrowok="t"/>
              <v:stroke dashstyle="solid"/>
            </v:shape>
            <v:line style="position:absolute" from="4702,1453" to="4702,2354" stroked="true" strokeweight="2.16pt" strokecolor="#000080">
              <v:stroke dashstyle="solid"/>
            </v:line>
            <v:shape style="position:absolute;left:4771;top:1367;width:71;height:987" coordorigin="4772,1367" coordsize="71,987" path="m4772,1367l4772,2354m4843,1424l4843,2354e" filled="false" stroked="true" strokeweight="2.1pt" strokecolor="#000080">
              <v:path arrowok="t"/>
              <v:stroke dashstyle="solid"/>
            </v:shape>
            <v:line style="position:absolute" from="4913,1396" to="4913,2354" stroked="true" strokeweight="2.16pt" strokecolor="#000080">
              <v:stroke dashstyle="solid"/>
            </v:line>
            <v:shape style="position:absolute;left:4983;top:1381;width:71;height:972" coordorigin="4983,1382" coordsize="71,972" path="m4983,1382l4983,2354m5054,1495l5054,2354e" filled="false" stroked="true" strokeweight="2.1pt" strokecolor="#000080">
              <v:path arrowok="t"/>
              <v:stroke dashstyle="solid"/>
            </v:shape>
            <v:shape style="position:absolute;left:5124;top:1480;width:141;height:874" coordorigin="5125,1480" coordsize="141,874" path="m5125,1480l5125,2354m5194,1622l5194,2354m5265,1593l5265,2354e" filled="false" stroked="true" strokeweight="2.1pt" strokecolor="#000080">
              <v:path arrowok="t"/>
              <v:stroke dashstyle="solid"/>
            </v:shape>
            <v:line style="position:absolute" from="5343,1649" to="5343,2354" stroked="true" strokeweight="2.82pt" strokecolor="#000080">
              <v:stroke dashstyle="solid"/>
            </v:line>
            <v:shape style="position:absolute;left:5419;top:1663;width:71;height:690" coordorigin="5420,1664" coordsize="71,690" path="m5420,1664l5420,2354m5491,1706l5491,2354e" filled="false" stroked="true" strokeweight="2.1pt" strokecolor="#000080">
              <v:path arrowok="t"/>
              <v:stroke dashstyle="solid"/>
            </v:shape>
            <v:line style="position:absolute" from="5561,1735" to="5561,2354" stroked="true" strokeweight="2.16pt" strokecolor="#000080">
              <v:stroke dashstyle="solid"/>
            </v:line>
            <v:shape style="position:absolute;left:5631;top:1551;width:142;height:803" coordorigin="5631,1551" coordsize="142,803" path="m5631,1762l5631,2354m5702,1607l5702,2354m5773,1551l5773,2354e" filled="false" stroked="true" strokeweight="2.1pt" strokecolor="#000080">
              <v:path arrowok="t"/>
              <v:stroke dashstyle="solid"/>
            </v:shape>
            <v:shape style="position:absolute;left:2031;top:1621;width:692;height:281" coordorigin="2032,1622" coordsize="692,281" path="m2075,1720l2032,1720,2032,1762,2075,1762,2075,1720m2144,1762l2102,1762,2102,1804,2144,1804,2144,1762m2215,1804l2173,1804,2173,1861,2215,1861,2215,1804m2286,1777l2243,1777,2243,1861,2286,1861,2286,1777m2356,1691l2314,1691,2314,1790,2356,1790,2356,1691m2426,1622l2384,1622,2384,1735,2426,1735,2426,1622m2510,1664l2455,1664,2455,1762,2510,1762,2510,1664m2581,1706l2539,1706,2539,1804,2581,1804,2581,1706m2652,1790l2610,1790,2610,1903,2652,1903,2652,1790m2723,1762l2680,1762,2680,1889,2723,1889,2723,1762e" filled="true" fillcolor="#ff00ff" stroked="false">
              <v:path arrowok="t"/>
              <v:fill type="solid"/>
            </v:shape>
            <v:shape style="position:absolute;left:2771;top:1509;width:71;height:296" coordorigin="2771,1509" coordsize="71,296" path="m2771,1649l2771,1804m2842,1509l2842,1691e" filled="false" stroked="true" strokeweight="2.1pt" strokecolor="#ff00ff">
              <v:path arrowok="t"/>
              <v:stroke dashstyle="solid"/>
            </v:shape>
            <v:line style="position:absolute" from="2912,1509" to="2912,1706" stroked="true" strokeweight="2.16pt" strokecolor="#ff00ff">
              <v:stroke dashstyle="solid"/>
            </v:line>
            <v:shape style="position:absolute;left:2982;top:1269;width:353;height:466" coordorigin="2983,1269" coordsize="353,466" path="m2983,1537l2983,1735m3053,1453l3053,1664m3124,1453l3124,1649m3194,1411l3194,1593m3265,1411l3265,1593m3335,1269l3335,1453e" filled="false" stroked="true" strokeweight="2.1pt" strokecolor="#ff00ff">
              <v:path arrowok="t"/>
              <v:stroke dashstyle="solid"/>
            </v:shape>
            <v:line style="position:absolute" from="3412,1298" to="3412,1480" stroked="true" strokeweight="2.82pt" strokecolor="#ff00ff">
              <v:stroke dashstyle="solid"/>
            </v:line>
            <v:line style="position:absolute" from="3490,1340" to="3490,1537" stroked="true" strokeweight="2.1pt" strokecolor="#ff00ff">
              <v:stroke dashstyle="solid"/>
            </v:line>
            <v:line style="position:absolute" from="3560,1311" to="3560,1537" stroked="true" strokeweight="2.16pt" strokecolor="#ff00ff">
              <v:stroke dashstyle="solid"/>
            </v:line>
            <v:shape style="position:absolute;left:3630;top:1354;width:353;height:352" coordorigin="3631,1354" coordsize="353,352" path="m3631,1354l3631,1579m3701,1467l3701,1678m3772,1495l3772,1706m3842,1438l3842,1649m3913,1438l3913,1691m3983,1367l3983,1706e" filled="false" stroked="true" strokeweight="2.1pt" strokecolor="#ff00ff">
              <v:path arrowok="t"/>
              <v:stroke dashstyle="solid"/>
            </v:shape>
            <v:line style="position:absolute" from="4054,1367" to="4054,1804" stroked="true" strokeweight="2.16pt" strokecolor="#ff00ff">
              <v:stroke dashstyle="solid"/>
            </v:line>
            <v:shape style="position:absolute;left:4123;top:1254;width:71;height:621" coordorigin="4124,1255" coordsize="71,621" path="m4124,1255l4124,1720m4195,1382l4195,1875e" filled="false" stroked="true" strokeweight="2.1pt" strokecolor="#ff00ff">
              <v:path arrowok="t"/>
              <v:stroke dashstyle="solid"/>
            </v:shape>
            <v:line style="position:absolute" from="4265,1298" to="4265,1790" stroked="true" strokeweight="2.16pt" strokecolor="#ff00ff">
              <v:stroke dashstyle="solid"/>
            </v:line>
            <v:line style="position:absolute" from="4335,1143" to="4335,1649" stroked="true" strokeweight="2.1pt" strokecolor="#ff00ff">
              <v:stroke dashstyle="solid"/>
            </v:line>
            <v:line style="position:absolute" from="4413,1100" to="4413,1622" stroked="true" strokeweight="2.82pt" strokecolor="#ff00ff">
              <v:stroke dashstyle="solid"/>
            </v:line>
            <v:line style="position:absolute" from="4490,1016" to="4490,1551" stroked="true" strokeweight="2.16pt" strokecolor="#ff00ff">
              <v:stroke dashstyle="solid"/>
            </v:line>
            <v:shape style="position:absolute;left:4560;top:917;width:71;height:592" coordorigin="4561,917" coordsize="71,592" path="m4561,917l4561,1467m4631,974l4631,1509e" filled="false" stroked="true" strokeweight="2.1pt" strokecolor="#ff00ff">
              <v:path arrowok="t"/>
              <v:stroke dashstyle="solid"/>
            </v:shape>
            <v:line style="position:absolute" from="4702,932" to="4702,1453" stroked="true" strokeweight="2.16pt" strokecolor="#ff00ff">
              <v:stroke dashstyle="solid"/>
            </v:line>
            <v:shape style="position:absolute;left:4771;top:903;width:71;height:521" coordorigin="4772,903" coordsize="71,521" path="m4772,903l4772,1367m4843,1087l4843,1424e" filled="false" stroked="true" strokeweight="2.1pt" strokecolor="#ff00ff">
              <v:path arrowok="t"/>
              <v:stroke dashstyle="solid"/>
            </v:shape>
            <v:line style="position:absolute" from="4913,1199" to="4913,1396" stroked="true" strokeweight="2.16pt" strokecolor="#ff00ff">
              <v:stroke dashstyle="solid"/>
            </v:line>
            <v:shape style="position:absolute;left:4962;top:1269;width:410;height:1198" coordorigin="4962,1269" coordsize="410,1198" path="m5004,1269l4962,1269,4962,1382,5004,1382,5004,1269m5075,1438l5033,1438,5033,1495,5075,1495,5075,1438m5146,1467l5104,1467,5104,1480,5146,1480,5146,1467m5215,2354l5173,2354,5173,2368,5215,2368,5215,2354m5286,2354l5244,2354,5244,2438,5286,2438,5286,2354m5371,2354l5315,2354,5315,2467,5371,2467,5371,2354e" filled="true" fillcolor="#ff00ff" stroked="false">
              <v:path arrowok="t"/>
              <v:fill type="solid"/>
            </v:shape>
            <v:shape style="position:absolute;left:5419;top:2353;width:71;height:155" coordorigin="5420,2354" coordsize="71,155" path="m5420,2354l5420,2509m5491,2354l5491,2494e" filled="false" stroked="true" strokeweight="2.1pt" strokecolor="#ff00ff">
              <v:path arrowok="t"/>
              <v:stroke dashstyle="solid"/>
            </v:shape>
            <v:shape style="position:absolute;left:5539;top:1663;width:113;height:99" coordorigin="5539,1664" coordsize="113,99" path="m5582,1664l5539,1664,5539,1735,5582,1735,5582,1664m5652,1678l5610,1678,5610,1762,5652,1762,5652,1678e" filled="true" fillcolor="#ff00ff" stroked="false">
              <v:path arrowok="t"/>
              <v:fill type="solid"/>
            </v:shape>
            <v:shape style="position:absolute;left:5701;top:1311;width:71;height:297" coordorigin="5702,1311" coordsize="71,297" path="m5702,1424l5702,1607m5773,1311l5773,1551e" filled="false" stroked="true" strokeweight="2.1pt" strokecolor="#ff00ff">
              <v:path arrowok="t"/>
              <v:stroke dashstyle="solid"/>
            </v:shape>
            <v:line style="position:absolute" from="2053,1551" to="2053,1720" stroked="true" strokeweight="2.16pt" strokecolor="#008000">
              <v:stroke dashstyle="solid"/>
            </v:line>
            <v:line style="position:absolute" from="2123,1622" to="2123,1762" stroked="true" strokeweight="2.1pt" strokecolor="#008000">
              <v:stroke dashstyle="solid"/>
            </v:line>
            <v:shape style="position:absolute;left:2173;top:1143;width:1972;height:1239" coordorigin="2173,1143" coordsize="1972,1239" path="m2215,1678l2173,1678,2173,1804,2215,1804,2215,1678m2286,1691l2243,1691,2243,1777,2286,1777,2286,1691m2356,1635l2314,1635,2314,1691,2356,1691,2356,1635m2426,1579l2384,1579,2384,1622,2426,1622,2426,1579m2652,2354l2610,2354,2610,2381,2652,2381,2652,2354m2723,2354l2680,2354,2680,2381,2723,2381,2723,2354m2792,2354l2750,2354,2750,2381,2792,2381,2792,2354m2934,1480l2891,1480,2891,1509,2934,1509,2934,1480m3004,1480l2962,1480,2962,1537,3004,1537,3004,1480m3074,1354l3032,1354,3032,1453,3074,1453,3074,1354m3145,1396l3103,1396,3103,1453,3145,1453,3145,1396m3215,1325l3173,1325,3173,1411,3215,1411,3215,1325m3286,1283l3244,1283,3244,1411,3286,1411,3286,1283m3356,1171l3314,1171,3314,1269,3356,1269,3356,1171m3440,1171l3384,1171,3384,1298,3440,1298,3440,1171m3511,1213l3469,1213,3469,1340,3511,1340,3511,1213m3582,1227l3539,1227,3539,1311,3582,1311,3582,1227m3652,1255l3610,1255,3610,1354,3652,1354,3652,1255m3722,1354l3680,1354,3680,1467,3722,1467,3722,1354m3793,1424l3751,1424,3751,1495,3793,1495,3793,1424m3863,1367l3821,1367,3821,1438,3863,1438,3863,1367m3934,2354l3892,2354,3892,2368,3934,2368,3934,2354m4004,1354l3962,1354,3962,1367,4004,1367,4004,1354m4075,1311l4032,1311,4032,1367,4075,1367,4075,1311m4145,1143l4103,1143,4103,1255,4145,1255,4145,1143e" filled="true" fillcolor="#008000" stroked="false">
              <v:path arrowok="t"/>
              <v:fill type="solid"/>
            </v:shape>
            <v:line style="position:absolute" from="4195,1199" to="4195,1382" stroked="true" strokeweight="2.1pt" strokecolor="#008000">
              <v:stroke dashstyle="solid"/>
            </v:line>
            <v:line style="position:absolute" from="4265,1100" to="4265,1298" stroked="true" strokeweight="2.16pt" strokecolor="#008000">
              <v:stroke dashstyle="solid"/>
            </v:line>
            <v:line style="position:absolute" from="4335,917" to="4335,1143" stroked="true" strokeweight="2.1pt" strokecolor="#008000">
              <v:stroke dashstyle="solid"/>
            </v:line>
            <v:line style="position:absolute" from="4413,819" to="4413,1100" stroked="true" strokeweight="2.82pt" strokecolor="#008000">
              <v:stroke dashstyle="solid"/>
            </v:line>
            <v:line style="position:absolute" from="4490,721" to="4490,1016" stroked="true" strokeweight="2.16pt" strokecolor="#008000">
              <v:stroke dashstyle="solid"/>
            </v:line>
            <v:shape style="position:absolute;left:4560;top:649;width:71;height:324" coordorigin="4561,650" coordsize="71,324" path="m4561,650l4561,917m4631,748l4631,974e" filled="false" stroked="true" strokeweight="2.1pt" strokecolor="#008000">
              <v:path arrowok="t"/>
              <v:stroke dashstyle="solid"/>
            </v:shape>
            <v:line style="position:absolute" from="4702,677" to="4702,932" stroked="true" strokeweight="2.16pt" strokecolor="#008000">
              <v:stroke dashstyle="solid"/>
            </v:line>
            <v:shape style="position:absolute;left:4771;top:579;width:71;height:508" coordorigin="4772,579" coordsize="71,508" path="m4772,579l4772,903m4843,748l4843,1087e" filled="false" stroked="true" strokeweight="2.1pt" strokecolor="#008000">
              <v:path arrowok="t"/>
              <v:stroke dashstyle="solid"/>
            </v:shape>
            <v:line style="position:absolute" from="4913,903" to="4913,1199" stroked="true" strokeweight="2.16pt" strokecolor="#008000">
              <v:stroke dashstyle="solid"/>
            </v:line>
            <v:shape style="position:absolute;left:4983;top:1001;width:71;height:437" coordorigin="4983,1001" coordsize="71,437" path="m4983,1001l4983,1269m5054,1269l5054,1438e" filled="false" stroked="true" strokeweight="2.1pt" strokecolor="#008000">
              <v:path arrowok="t"/>
              <v:stroke dashstyle="solid"/>
            </v:shape>
            <v:shape style="position:absolute;left:5124;top:1297;width:141;height:324" coordorigin="5125,1298" coordsize="141,324" path="m5125,1298l5125,1467m5194,1396l5194,1622m5265,1311l5265,1593e" filled="false" stroked="true" strokeweight="2.1pt" strokecolor="#008000">
              <v:path arrowok="t"/>
              <v:stroke dashstyle="solid"/>
            </v:shape>
            <v:line style="position:absolute" from="5343,1367" to="5343,1649" stroked="true" strokeweight="2.82pt" strokecolor="#008000">
              <v:stroke dashstyle="solid"/>
            </v:line>
            <v:shape style="position:absolute;left:5419;top:1339;width:71;height:366" coordorigin="5420,1340" coordsize="71,366" path="m5420,1340l5420,1664m5491,1340l5491,1706e" filled="false" stroked="true" strokeweight="2.1pt" strokecolor="#008000">
              <v:path arrowok="t"/>
              <v:stroke dashstyle="solid"/>
            </v:shape>
            <v:line style="position:absolute" from="5561,1340" to="5561,1664" stroked="true" strokeweight="2.16pt" strokecolor="#008000">
              <v:stroke dashstyle="solid"/>
            </v:line>
            <v:shape style="position:absolute;left:5631;top:846;width:142;height:832" coordorigin="5631,847" coordsize="142,832" path="m5631,1354l5631,1678m5702,1030l5702,1424m5773,847l5773,1311e" filled="false" stroked="true" strokeweight="2.1pt" strokecolor="#008000">
              <v:path arrowok="t"/>
              <v:stroke dashstyle="solid"/>
            </v:shape>
            <v:shape style="position:absolute;left:2031;top:1509;width:324;height:873" coordorigin="2032,1509" coordsize="324,873" path="m2075,1522l2032,1522,2032,1551,2075,1551,2075,1522m2144,1607l2102,1607,2102,1622,2144,1622,2144,1607m2215,2354l2173,2354,2173,2381,2215,2381,2215,2354m2356,1509l2314,1509,2314,1635,2356,1635,2356,1509e" filled="true" fillcolor="#00ffff" stroked="false">
              <v:path arrowok="t"/>
              <v:fill type="solid"/>
            </v:shape>
            <v:line style="position:absolute" from="2405,1438" to="2405,1579" stroked="true" strokeweight="2.1pt" strokecolor="#00ffff">
              <v:stroke dashstyle="solid"/>
            </v:line>
            <v:shape style="position:absolute;left:2455;top:1536;width:197;height:254" coordorigin="2455,1537" coordsize="197,254" path="m2510,1537l2455,1537,2455,1664,2510,1664,2510,1537m2581,1593l2539,1593,2539,1706,2581,1706,2581,1593m2652,1691l2610,1691,2610,1790,2652,1790,2652,1691e" filled="true" fillcolor="#00ffff" stroked="false">
              <v:path arrowok="t"/>
              <v:fill type="solid"/>
            </v:shape>
            <v:line style="position:absolute" from="2701,1622" to="2701,1762" stroked="true" strokeweight="2.16pt" strokecolor="#00ffff">
              <v:stroke dashstyle="solid"/>
            </v:line>
            <v:line style="position:absolute" from="2771,1495" to="2771,1649" stroked="true" strokeweight="2.1pt" strokecolor="#00ffff">
              <v:stroke dashstyle="solid"/>
            </v:line>
            <v:shape style="position:absolute;left:2821;top:1254;width:254;height:255" coordorigin="2821,1255" coordsize="254,255" path="m2863,1382l2821,1382,2821,1509,2863,1509,2863,1382m2934,1411l2891,1411,2891,1480,2934,1480,2934,1411m3004,1396l2962,1396,2962,1480,3004,1480,3004,1396m3074,1255l3032,1255,3032,1354,3074,1354,3074,1255e" filled="true" fillcolor="#00ffff" stroked="false">
              <v:path arrowok="t"/>
              <v:fill type="solid"/>
            </v:shape>
            <v:line style="position:absolute" from="3124,1241" to="3124,1396" stroked="true" strokeweight="2.1pt" strokecolor="#00ffff">
              <v:stroke dashstyle="solid"/>
            </v:line>
            <v:shape style="position:absolute;left:3172;top:1199;width:113;height:126" coordorigin="3173,1199" coordsize="113,126" path="m3215,1255l3173,1255,3173,1325,3215,1325,3215,1255m3286,1199l3244,1199,3244,1283,3286,1283,3286,1199e" filled="true" fillcolor="#00ffff" stroked="false">
              <v:path arrowok="t"/>
              <v:fill type="solid"/>
            </v:shape>
            <v:line style="position:absolute" from="3335,1016" to="3335,1171" stroked="true" strokeweight="2.1pt" strokecolor="#00ffff">
              <v:stroke dashstyle="solid"/>
            </v:line>
            <v:line style="position:absolute" from="3412,974" to="3412,1171" stroked="true" strokeweight="2.82pt" strokecolor="#00ffff">
              <v:stroke dashstyle="solid"/>
            </v:line>
            <v:line style="position:absolute" from="3490,945" to="3490,1213" stroked="true" strokeweight="2.1pt" strokecolor="#00ffff">
              <v:stroke dashstyle="solid"/>
            </v:line>
            <v:line style="position:absolute" from="3560,1001" to="3560,1227" stroked="true" strokeweight="2.16pt" strokecolor="#00ffff">
              <v:stroke dashstyle="solid"/>
            </v:line>
            <v:shape style="position:absolute;left:3609;top:1128;width:113;height:226" coordorigin="3610,1129" coordsize="113,226" path="m3652,1129l3610,1129,3610,1255,3652,1255,3652,1129m3722,1255l3680,1255,3680,1354,3722,1354,3722,1255e" filled="true" fillcolor="#00ffff" stroked="false">
              <v:path arrowok="t"/>
              <v:fill type="solid"/>
            </v:shape>
            <v:shape style="position:absolute;left:3772;top:1185;width:212;height:254" coordorigin="3772,1185" coordsize="212,254" path="m3772,1227l3772,1424m3842,1185l3842,1367m3913,1283l3913,1438m3983,1185l3983,1354e" filled="false" stroked="true" strokeweight="2.1pt" strokecolor="#00ffff">
              <v:path arrowok="t"/>
              <v:stroke dashstyle="solid"/>
            </v:shape>
            <v:line style="position:absolute" from="4054,1072" to="4054,1311" stroked="true" strokeweight="2.16pt" strokecolor="#00ffff">
              <v:stroke dashstyle="solid"/>
            </v:line>
            <v:shape style="position:absolute;left:4123;top:917;width:71;height:282" coordorigin="4124,917" coordsize="71,282" path="m4124,917l4124,1143m4195,988l4195,1199e" filled="false" stroked="true" strokeweight="2.1pt" strokecolor="#00ffff">
              <v:path arrowok="t"/>
              <v:stroke dashstyle="solid"/>
            </v:shape>
            <v:line style="position:absolute" from="4265,932" to="4265,1100" stroked="true" strokeweight="2.16pt" strokecolor="#00ffff">
              <v:stroke dashstyle="solid"/>
            </v:line>
            <v:shape style="position:absolute;left:4314;top:635;width:902;height:1846" coordorigin="4314,635" coordsize="902,1846" path="m4356,2354l4314,2354,4314,2410,4356,2410,4356,2354m4441,2354l4385,2354,4385,2481,4441,2481,4441,2354m4512,2354l4469,2354,4469,2438,4512,2438,4512,2354m4582,635l4540,635,4540,650,4582,650,4582,635m4652,2354l4610,2354,4610,2396,4652,2396,4652,2354m4723,2354l4680,2354,4680,2425,4723,2425,4723,2354m4793,2354l4751,2354,4751,2368,4793,2368,4793,2354m4864,2354l4822,2354,4822,2368,4864,2368,4864,2354m4934,2354l4891,2354,4891,2368,4934,2368,4934,2354m5004,959l4962,959,4962,1001,5004,1001,5004,959m5075,2354l5033,2354,5033,2368,5075,2368,5075,2354m5146,2354l5104,2354,5104,2381,5146,2381,5146,2354m5215,1325l5173,1325,5173,1396,5215,1396,5215,1325e" filled="true" fillcolor="#00ffff" stroked="false">
              <v:path arrowok="t"/>
              <v:fill type="solid"/>
            </v:shape>
            <v:line style="position:absolute" from="5265,1072" to="5265,1311" stroked="true" strokeweight="2.1pt" strokecolor="#00ffff">
              <v:stroke dashstyle="solid"/>
            </v:line>
            <v:line style="position:absolute" from="5343,1030" to="5343,1367" stroked="true" strokeweight="2.82pt" strokecolor="#00ffff">
              <v:stroke dashstyle="solid"/>
            </v:line>
            <v:shape style="position:absolute;left:5419;top:945;width:71;height:395" coordorigin="5420,945" coordsize="71,395" path="m5420,1001l5420,1340m5491,945l5491,1340e" filled="false" stroked="true" strokeweight="2.1pt" strokecolor="#00ffff">
              <v:path arrowok="t"/>
              <v:stroke dashstyle="solid"/>
            </v:shape>
            <v:line style="position:absolute" from="5561,932" to="5561,1340" stroked="true" strokeweight="2.16pt" strokecolor="#00ffff">
              <v:stroke dashstyle="solid"/>
            </v:line>
            <v:shape style="position:absolute;left:5631;top:438;width:142;height:916" coordorigin="5631,439" coordsize="142,916" path="m5631,945l5631,1354m5702,650l5702,1030m5773,439l5773,847e" filled="false" stroked="true" strokeweight="2.1pt" strokecolor="#00ffff">
              <v:path arrowok="t"/>
              <v:stroke dashstyle="solid"/>
            </v:shape>
            <v:shape style="position:absolute;left:2018;top:58;width:3832;height:2620" coordorigin="2018,58" coordsize="3832,2620" path="m5808,58l5808,2636m5808,2636l5850,2636m5808,2354l5850,2354m5808,2057l5850,2057m5808,1777l5850,1777m5808,1495l5850,1495m5808,1199l5850,1199m5808,917l5850,917m5808,635l5850,635m5808,340l5850,340m5808,58l5850,58m2018,2636l5808,2636m2018,2678l2018,2636m2878,2678l2878,2636m3737,2678l3737,2636m4596,2678l4596,2636m5455,2678l5455,2636e" filled="false" stroked="true" strokeweight=".704pt" strokecolor="#000000">
              <v:path arrowok="t"/>
              <v:stroke dashstyle="solid"/>
            </v:shape>
            <v:shape style="position:absolute;left:2060;top:438;width:3705;height:1296" coordorigin="2060,439" coordsize="3705,1296" path="m2060,1537l2131,1607m2131,1607l2201,1720m2201,1720l2272,1706m2272,1706l2342,1509m2342,1509l2412,1438m2412,1438l2483,1537m2483,1537l2554,1607m2554,1607l2623,1735m2623,1735l2694,1649m2694,1649l2765,1522m2765,1522l2834,1396m2834,1396l2905,1424m2905,1424l2990,1396m2990,1396l3060,1255m3060,1255l3131,1241m3131,1241l3202,1255m3202,1255l3271,1199m3271,1199l3342,1016m3342,1016l3413,974m3413,974l3484,945m3484,945l3553,1001m3553,1001l3624,1129m3624,1129l3695,1255m3695,1255l3764,1241m3764,1241l3835,1185m3835,1185l3919,1311m3919,1311l3990,1185m3990,1185l4061,1072m4061,1072l4132,917m4132,917l4201,988m4201,988l4272,932m4272,932l4343,974m4343,974l4412,959m4412,959l4483,805m4483,805l4554,635m4554,635l4624,790m4624,790l4694,748m4694,748l4765,593m4765,593l4836,763m4836,763l4920,917m4920,917l4991,959m4991,959l5060,1283m5060,1283l5131,1340m5131,1340l5202,1340m5202,1340l5272,1156m5272,1156l5342,1156,5413,1156m5413,1156l5484,1100m5484,1100l5554,932m5554,932l5624,945m5624,945l5695,650m5695,650l5765,439e" filled="false" stroked="true" strokeweight="1.408pt" strokecolor="#000000">
              <v:path arrowok="t"/>
              <v:stroke dashstyle="solid"/>
            </v:shape>
            <v:line style="position:absolute" from="2053,2354" to="5702,2354" stroked="true" strokeweight=".704pt" strokecolor="#000000">
              <v:stroke dashstyle="solid"/>
            </v:line>
            <v:line style="position:absolute" from="5695,2354" to="5765,2354" stroked="true" strokeweight=".704pt" strokecolor="#000000">
              <v:stroke dashstyle="solid"/>
            </v:line>
            <v:shape style="position:absolute;left:4075;top:1325;width:72;height:174" type="#_x0000_t202" filled="false" stroked="false">
              <v:textbox inset="0,0,0,0">
                <w:txbxContent>
                  <w:p>
                    <w:pPr>
                      <w:spacing w:line="172" w:lineRule="exact" w:before="0"/>
                      <w:ind w:left="0" w:right="0" w:firstLine="0"/>
                      <w:jc w:val="left"/>
                      <w:rPr>
                        <w:rFonts w:ascii="Arial"/>
                        <w:sz w:val="15"/>
                      </w:rPr>
                    </w:pPr>
                    <w:r>
                      <w:rPr>
                        <w:rFonts w:ascii="Arial"/>
                        <w:w w:val="103"/>
                        <w:sz w:val="15"/>
                      </w:rPr>
                      <w:t>`</w:t>
                    </w:r>
                  </w:p>
                </w:txbxContent>
              </v:textbox>
              <w10:wrap type="none"/>
            </v:shape>
            <w10:wrap type="none"/>
          </v:group>
        </w:pict>
      </w:r>
      <w:r>
        <w:rPr>
          <w:rFonts w:ascii="Arial"/>
          <w:w w:val="105"/>
          <w:sz w:val="15"/>
        </w:rPr>
        <w:t>4.0</w:t>
      </w:r>
    </w:p>
    <w:p>
      <w:pPr>
        <w:spacing w:before="109"/>
        <w:ind w:left="0" w:right="783" w:firstLine="0"/>
        <w:jc w:val="center"/>
        <w:rPr>
          <w:rFonts w:ascii="Arial"/>
          <w:sz w:val="15"/>
        </w:rPr>
      </w:pPr>
      <w:r>
        <w:rPr>
          <w:rFonts w:ascii="Arial"/>
          <w:w w:val="105"/>
          <w:sz w:val="15"/>
        </w:rPr>
        <w:t>3.5</w:t>
      </w:r>
    </w:p>
    <w:p>
      <w:pPr>
        <w:spacing w:before="123"/>
        <w:ind w:left="0" w:right="783" w:firstLine="0"/>
        <w:jc w:val="center"/>
        <w:rPr>
          <w:rFonts w:ascii="Arial"/>
          <w:sz w:val="15"/>
        </w:rPr>
      </w:pPr>
      <w:r>
        <w:rPr>
          <w:rFonts w:ascii="Arial"/>
          <w:w w:val="105"/>
          <w:sz w:val="15"/>
        </w:rPr>
        <w:t>3.0</w:t>
      </w:r>
    </w:p>
    <w:p>
      <w:pPr>
        <w:spacing w:before="109"/>
        <w:ind w:left="0" w:right="783" w:firstLine="0"/>
        <w:jc w:val="center"/>
        <w:rPr>
          <w:rFonts w:ascii="Arial"/>
          <w:sz w:val="15"/>
        </w:rPr>
      </w:pPr>
      <w:r>
        <w:rPr>
          <w:rFonts w:ascii="Arial"/>
          <w:w w:val="105"/>
          <w:sz w:val="15"/>
        </w:rPr>
        <w:t>2.5</w:t>
      </w:r>
    </w:p>
    <w:p>
      <w:pPr>
        <w:spacing w:before="110"/>
        <w:ind w:left="0" w:right="783" w:firstLine="0"/>
        <w:jc w:val="center"/>
        <w:rPr>
          <w:rFonts w:ascii="Arial"/>
          <w:sz w:val="15"/>
        </w:rPr>
      </w:pPr>
      <w:r>
        <w:rPr>
          <w:rFonts w:ascii="Arial"/>
          <w:w w:val="105"/>
          <w:sz w:val="15"/>
        </w:rPr>
        <w:t>2.0</w:t>
      </w:r>
    </w:p>
    <w:p>
      <w:pPr>
        <w:spacing w:before="123"/>
        <w:ind w:left="0" w:right="783" w:firstLine="0"/>
        <w:jc w:val="center"/>
        <w:rPr>
          <w:rFonts w:ascii="Arial"/>
          <w:sz w:val="15"/>
        </w:rPr>
      </w:pPr>
      <w:r>
        <w:rPr>
          <w:rFonts w:ascii="Arial"/>
          <w:w w:val="105"/>
          <w:sz w:val="15"/>
        </w:rPr>
        <w:t>1.5</w:t>
      </w:r>
    </w:p>
    <w:p>
      <w:pPr>
        <w:spacing w:before="109"/>
        <w:ind w:left="0" w:right="783" w:firstLine="0"/>
        <w:jc w:val="center"/>
        <w:rPr>
          <w:rFonts w:ascii="Arial"/>
          <w:sz w:val="15"/>
        </w:rPr>
      </w:pPr>
      <w:r>
        <w:rPr>
          <w:rFonts w:ascii="Arial"/>
          <w:w w:val="105"/>
          <w:sz w:val="15"/>
        </w:rPr>
        <w:t>1.0</w:t>
      </w:r>
    </w:p>
    <w:p>
      <w:pPr>
        <w:spacing w:before="110"/>
        <w:ind w:left="0" w:right="783" w:firstLine="0"/>
        <w:jc w:val="center"/>
        <w:rPr>
          <w:rFonts w:ascii="Arial"/>
          <w:sz w:val="15"/>
        </w:rPr>
      </w:pPr>
      <w:r>
        <w:rPr>
          <w:rFonts w:ascii="Arial"/>
          <w:w w:val="105"/>
          <w:sz w:val="15"/>
        </w:rPr>
        <w:t>0.5</w:t>
      </w:r>
    </w:p>
    <w:p>
      <w:pPr>
        <w:spacing w:before="122"/>
        <w:ind w:left="0" w:right="783" w:firstLine="0"/>
        <w:jc w:val="center"/>
        <w:rPr>
          <w:rFonts w:ascii="Arial"/>
          <w:sz w:val="15"/>
        </w:rPr>
      </w:pPr>
      <w:r>
        <w:rPr>
          <w:rFonts w:ascii="Arial"/>
          <w:w w:val="105"/>
          <w:sz w:val="15"/>
        </w:rPr>
        <w:t>0.0</w:t>
      </w:r>
    </w:p>
    <w:p>
      <w:pPr>
        <w:spacing w:before="110"/>
        <w:ind w:left="0" w:right="726" w:firstLine="0"/>
        <w:jc w:val="center"/>
        <w:rPr>
          <w:rFonts w:ascii="Arial"/>
          <w:sz w:val="15"/>
        </w:rPr>
      </w:pPr>
      <w:r>
        <w:rPr>
          <w:rFonts w:ascii="Arial"/>
          <w:w w:val="105"/>
          <w:sz w:val="15"/>
        </w:rPr>
        <w:t>-0.5</w:t>
      </w:r>
    </w:p>
    <w:p>
      <w:pPr>
        <w:tabs>
          <w:tab w:pos="845" w:val="left" w:leader="none"/>
          <w:tab w:pos="1704" w:val="left" w:leader="none"/>
          <w:tab w:pos="2564" w:val="left" w:leader="none"/>
          <w:tab w:pos="3423" w:val="left" w:leader="none"/>
        </w:tabs>
        <w:spacing w:before="53"/>
        <w:ind w:left="0" w:right="5295" w:firstLine="0"/>
        <w:jc w:val="center"/>
        <w:rPr>
          <w:rFonts w:ascii="Arial"/>
          <w:sz w:val="15"/>
        </w:rPr>
      </w:pPr>
      <w:r>
        <w:rPr>
          <w:rFonts w:ascii="Arial"/>
          <w:w w:val="105"/>
          <w:sz w:val="15"/>
        </w:rPr>
        <w:t>2004</w:t>
        <w:tab/>
        <w:t>2005</w:t>
        <w:tab/>
        <w:t>2006</w:t>
        <w:tab/>
        <w:t>2007</w:t>
        <w:tab/>
      </w:r>
      <w:r>
        <w:rPr>
          <w:rFonts w:ascii="Arial"/>
          <w:spacing w:val="-3"/>
          <w:w w:val="105"/>
          <w:sz w:val="15"/>
        </w:rPr>
        <w:t>2008</w:t>
      </w:r>
    </w:p>
    <w:p>
      <w:pPr>
        <w:pStyle w:val="BodyText"/>
        <w:rPr>
          <w:rFonts w:ascii="Arial"/>
          <w:sz w:val="20"/>
        </w:rPr>
      </w:pPr>
    </w:p>
    <w:p>
      <w:pPr>
        <w:pStyle w:val="BodyText"/>
        <w:spacing w:before="6"/>
        <w:rPr>
          <w:rFonts w:ascii="Arial"/>
          <w:sz w:val="20"/>
        </w:rPr>
      </w:pPr>
    </w:p>
    <w:p>
      <w:pPr>
        <w:pStyle w:val="Heading1"/>
        <w:spacing w:line="244" w:lineRule="auto"/>
        <w:ind w:left="110" w:right="3809"/>
      </w:pPr>
      <w:r>
        <w:rPr/>
        <w:t>Chart 6: Change in measures of inflation expectations since August 2007</w:t>
      </w:r>
    </w:p>
    <w:p>
      <w:pPr>
        <w:tabs>
          <w:tab w:pos="4608" w:val="left" w:leader="none"/>
        </w:tabs>
        <w:spacing w:before="82"/>
        <w:ind w:left="304" w:right="0" w:firstLine="0"/>
        <w:jc w:val="left"/>
        <w:rPr>
          <w:rFonts w:ascii="Arial"/>
          <w:sz w:val="13"/>
        </w:rPr>
      </w:pPr>
      <w:r>
        <w:rPr>
          <w:rFonts w:ascii="Arial"/>
          <w:w w:val="90"/>
          <w:sz w:val="13"/>
        </w:rPr>
        <w:t>Number of</w:t>
      </w:r>
      <w:r>
        <w:rPr>
          <w:rFonts w:ascii="Arial"/>
          <w:spacing w:val="-21"/>
          <w:w w:val="90"/>
          <w:sz w:val="13"/>
        </w:rPr>
        <w:t> </w:t>
      </w:r>
      <w:r>
        <w:rPr>
          <w:rFonts w:ascii="Arial"/>
          <w:w w:val="90"/>
          <w:sz w:val="13"/>
        </w:rPr>
        <w:t>standard</w:t>
      </w:r>
      <w:r>
        <w:rPr>
          <w:rFonts w:ascii="Arial"/>
          <w:spacing w:val="-9"/>
          <w:w w:val="90"/>
          <w:sz w:val="13"/>
        </w:rPr>
        <w:t> </w:t>
      </w:r>
      <w:r>
        <w:rPr>
          <w:rFonts w:ascii="Arial"/>
          <w:spacing w:val="-3"/>
          <w:w w:val="90"/>
          <w:sz w:val="13"/>
        </w:rPr>
        <w:t>deviations</w:t>
        <w:tab/>
      </w:r>
      <w:r>
        <w:rPr>
          <w:rFonts w:ascii="Arial"/>
          <w:position w:val="-4"/>
          <w:sz w:val="13"/>
        </w:rPr>
        <w:t>Percentage</w:t>
      </w:r>
      <w:r>
        <w:rPr>
          <w:rFonts w:ascii="Arial"/>
          <w:spacing w:val="-5"/>
          <w:position w:val="-4"/>
          <w:sz w:val="13"/>
        </w:rPr>
        <w:t> </w:t>
      </w:r>
      <w:r>
        <w:rPr>
          <w:rFonts w:ascii="Arial"/>
          <w:position w:val="-4"/>
          <w:sz w:val="13"/>
        </w:rPr>
        <w:t>points</w:t>
      </w:r>
    </w:p>
    <w:p>
      <w:pPr>
        <w:tabs>
          <w:tab w:pos="5432" w:val="left" w:leader="none"/>
        </w:tabs>
        <w:spacing w:before="41"/>
        <w:ind w:left="259" w:right="0" w:firstLine="0"/>
        <w:jc w:val="left"/>
        <w:rPr>
          <w:rFonts w:ascii="Arial"/>
          <w:sz w:val="12"/>
        </w:rPr>
      </w:pPr>
      <w:r>
        <w:rPr/>
        <w:pict>
          <v:group style="position:absolute;margin-left:105.059998pt;margin-top:6.147688pt;width:245.9pt;height:125.25pt;mso-position-horizontal-relative:page;mso-position-vertical-relative:paragraph;z-index:-252285952" coordorigin="2101,123" coordsize="4918,2505">
            <v:shape style="position:absolute;left:2136;top:123;width:4848;height:2504" coordorigin="2136,124" coordsize="4848,2504" path="m2136,124l6984,124m6984,124l6984,2627m6984,2627l2136,2627m2136,2627l2136,124e" filled="false" stroked="true" strokeweight=".06pt" strokecolor="#000000">
              <v:path arrowok="t"/>
              <v:stroke dashstyle="solid"/>
            </v:shape>
            <v:shape style="position:absolute;left:2372;top:397;width:4367;height:2230" coordorigin="2372,397" coordsize="4367,2230" path="m2698,860l2372,860,2372,2627,2698,2627,2698,860m3504,397l3179,397,3179,2627,3504,2627,3504,397m4319,397l3986,397,3986,2627,4319,2627,4319,397m5125,1954l4801,1954,4801,2627,5125,2627,5125,1954m5932,1565l5608,1565,5608,2627,5932,2627,5932,1565m6739,1932l6414,1932,6414,2627,6739,2627,6739,1932e" filled="true" fillcolor="#3365ff" stroked="false">
              <v:path arrowok="t"/>
              <v:fill type="solid"/>
            </v:shape>
            <v:shape style="position:absolute;left:2101;top:123;width:4918;height:2504" coordorigin="2101,124" coordsize="4918,2504" path="m6984,124l6984,2627m6984,2627l7019,2627m6984,2353l7019,2353m6984,2069l7019,2069m6984,1795l7019,1795m6984,1512l7019,1512m6984,1238l7019,1238m6984,954l7019,954m6984,682l7019,682m6984,397l7019,397m6984,124l7019,124m2136,2627l6984,2627m2136,2627l2136,2585m2942,2627l2942,2585m3749,2627l3749,2585m4565,2627l4565,2585m5371,2627l5371,2585m6178,2627l6178,2585m6984,2627l6984,2585m2136,124l2136,2627m2101,2627l2136,2627m2101,2353l2136,2353m2101,2069l2136,2069m2101,1795l2136,1795m2101,1512l2136,1512m2101,1238l2136,1238m2101,954l2136,954m2101,682l2136,682m2101,397l2136,397m2101,124l2136,124e" filled="false" stroked="true" strokeweight=".06pt" strokecolor="#000000">
              <v:path arrowok="t"/>
              <v:stroke dashstyle="solid"/>
            </v:shape>
            <v:line style="position:absolute" from="4535,2622" to="4535,130" stroked="true" strokeweight=".438pt" strokecolor="#010101">
              <v:stroke dashstyle="shortdot"/>
            </v:line>
            <v:shape style="position:absolute;left:5582;top:208;width:623;height:153" type="#_x0000_t202" filled="false" stroked="false">
              <v:textbox inset="0,0,0,0">
                <w:txbxContent>
                  <w:p>
                    <w:pPr>
                      <w:spacing w:before="1"/>
                      <w:ind w:left="0" w:right="0" w:firstLine="0"/>
                      <w:jc w:val="left"/>
                      <w:rPr>
                        <w:rFonts w:ascii="Arial"/>
                        <w:sz w:val="13"/>
                      </w:rPr>
                    </w:pPr>
                    <w:r>
                      <w:rPr>
                        <w:rFonts w:ascii="Arial"/>
                        <w:spacing w:val="-3"/>
                        <w:w w:val="90"/>
                        <w:sz w:val="13"/>
                      </w:rPr>
                      <w:t>Longer-term</w:t>
                    </w:r>
                  </w:p>
                </w:txbxContent>
              </v:textbox>
              <w10:wrap type="none"/>
            </v:shape>
            <v:shape style="position:absolute;left:2803;top:208;width:1004;height:153" type="#_x0000_t202" filled="false" stroked="false">
              <v:textbox inset="0,0,0,0">
                <w:txbxContent>
                  <w:p>
                    <w:pPr>
                      <w:spacing w:before="1"/>
                      <w:ind w:left="0" w:right="0" w:firstLine="0"/>
                      <w:jc w:val="left"/>
                      <w:rPr>
                        <w:rFonts w:ascii="Arial"/>
                        <w:sz w:val="13"/>
                      </w:rPr>
                    </w:pPr>
                    <w:r>
                      <w:rPr>
                        <w:rFonts w:ascii="Arial"/>
                        <w:w w:val="90"/>
                        <w:sz w:val="13"/>
                      </w:rPr>
                      <w:t>Next </w:t>
                    </w:r>
                    <w:r>
                      <w:rPr>
                        <w:rFonts w:ascii="Arial"/>
                        <w:spacing w:val="-3"/>
                        <w:w w:val="90"/>
                        <w:sz w:val="13"/>
                      </w:rPr>
                      <w:t>twelve </w:t>
                    </w:r>
                    <w:r>
                      <w:rPr>
                        <w:rFonts w:ascii="Arial"/>
                        <w:w w:val="90"/>
                        <w:sz w:val="13"/>
                      </w:rPr>
                      <w:t>months</w:t>
                    </w:r>
                  </w:p>
                </w:txbxContent>
              </v:textbox>
              <w10:wrap type="none"/>
            </v:shape>
            <w10:wrap type="none"/>
          </v:group>
        </w:pict>
      </w:r>
      <w:r>
        <w:rPr>
          <w:rFonts w:ascii="Arial"/>
          <w:sz w:val="12"/>
        </w:rPr>
        <w:t>1.8</w:t>
        <w:tab/>
        <w:t>1.8</w:t>
      </w:r>
    </w:p>
    <w:p>
      <w:pPr>
        <w:pStyle w:val="BodyText"/>
        <w:spacing w:before="8"/>
        <w:rPr>
          <w:rFonts w:ascii="Arial"/>
          <w:sz w:val="11"/>
        </w:rPr>
      </w:pPr>
    </w:p>
    <w:p>
      <w:pPr>
        <w:tabs>
          <w:tab w:pos="5432" w:val="left" w:leader="none"/>
        </w:tabs>
        <w:spacing w:before="0"/>
        <w:ind w:left="259" w:right="0" w:firstLine="0"/>
        <w:jc w:val="left"/>
        <w:rPr>
          <w:rFonts w:ascii="Arial"/>
          <w:sz w:val="12"/>
        </w:rPr>
      </w:pPr>
      <w:r>
        <w:rPr>
          <w:rFonts w:ascii="Arial"/>
          <w:sz w:val="12"/>
        </w:rPr>
        <w:t>1.6</w:t>
        <w:tab/>
        <w:t>1.6</w:t>
      </w:r>
    </w:p>
    <w:p>
      <w:pPr>
        <w:pStyle w:val="BodyText"/>
        <w:spacing w:before="8"/>
        <w:rPr>
          <w:rFonts w:ascii="Arial"/>
          <w:sz w:val="12"/>
        </w:rPr>
      </w:pPr>
    </w:p>
    <w:p>
      <w:pPr>
        <w:tabs>
          <w:tab w:pos="5432" w:val="left" w:leader="none"/>
        </w:tabs>
        <w:spacing w:before="0"/>
        <w:ind w:left="259" w:right="0" w:firstLine="0"/>
        <w:jc w:val="left"/>
        <w:rPr>
          <w:rFonts w:ascii="Arial"/>
          <w:sz w:val="12"/>
        </w:rPr>
      </w:pPr>
      <w:r>
        <w:rPr>
          <w:rFonts w:ascii="Arial"/>
          <w:sz w:val="12"/>
        </w:rPr>
        <w:t>1.4</w:t>
        <w:tab/>
        <w:t>1.4</w:t>
      </w:r>
    </w:p>
    <w:p>
      <w:pPr>
        <w:pStyle w:val="BodyText"/>
        <w:spacing w:before="9"/>
        <w:rPr>
          <w:rFonts w:ascii="Arial"/>
          <w:sz w:val="11"/>
        </w:rPr>
      </w:pPr>
    </w:p>
    <w:p>
      <w:pPr>
        <w:tabs>
          <w:tab w:pos="5432" w:val="left" w:leader="none"/>
        </w:tabs>
        <w:spacing w:before="1"/>
        <w:ind w:left="259" w:right="0" w:firstLine="0"/>
        <w:jc w:val="left"/>
        <w:rPr>
          <w:rFonts w:ascii="Arial"/>
          <w:sz w:val="12"/>
        </w:rPr>
      </w:pPr>
      <w:r>
        <w:rPr>
          <w:rFonts w:ascii="Arial"/>
          <w:sz w:val="12"/>
        </w:rPr>
        <w:t>1.2</w:t>
        <w:tab/>
        <w:t>1.2</w:t>
      </w:r>
    </w:p>
    <w:p>
      <w:pPr>
        <w:spacing w:after="0"/>
        <w:jc w:val="left"/>
        <w:rPr>
          <w:rFonts w:ascii="Arial"/>
          <w:sz w:val="12"/>
        </w:rPr>
        <w:sectPr>
          <w:pgSz w:w="11900" w:h="16840"/>
          <w:pgMar w:header="0" w:footer="1417" w:top="1600" w:bottom="1600" w:left="1640" w:right="700"/>
        </w:sectPr>
      </w:pPr>
    </w:p>
    <w:p>
      <w:pPr>
        <w:pStyle w:val="BodyText"/>
        <w:spacing w:before="7"/>
        <w:rPr>
          <w:rFonts w:ascii="Arial"/>
          <w:sz w:val="12"/>
        </w:rPr>
      </w:pPr>
    </w:p>
    <w:p>
      <w:pPr>
        <w:spacing w:before="0"/>
        <w:ind w:left="259" w:right="0" w:firstLine="0"/>
        <w:jc w:val="left"/>
        <w:rPr>
          <w:rFonts w:ascii="Arial"/>
          <w:sz w:val="12"/>
        </w:rPr>
      </w:pPr>
      <w:r>
        <w:rPr>
          <w:rFonts w:ascii="Arial"/>
          <w:sz w:val="12"/>
        </w:rPr>
        <w:t>1.0</w:t>
      </w:r>
    </w:p>
    <w:p>
      <w:pPr>
        <w:pStyle w:val="BodyText"/>
        <w:spacing w:before="9"/>
        <w:rPr>
          <w:rFonts w:ascii="Arial"/>
          <w:sz w:val="11"/>
        </w:rPr>
      </w:pPr>
    </w:p>
    <w:p>
      <w:pPr>
        <w:spacing w:before="0"/>
        <w:ind w:left="259" w:right="0" w:firstLine="0"/>
        <w:jc w:val="left"/>
        <w:rPr>
          <w:rFonts w:ascii="Arial"/>
          <w:sz w:val="12"/>
        </w:rPr>
      </w:pPr>
      <w:r>
        <w:rPr>
          <w:rFonts w:ascii="Arial"/>
          <w:sz w:val="12"/>
        </w:rPr>
        <w:t>0.8</w:t>
      </w:r>
    </w:p>
    <w:p>
      <w:pPr>
        <w:pStyle w:val="BodyText"/>
        <w:spacing w:before="7"/>
        <w:rPr>
          <w:rFonts w:ascii="Arial"/>
          <w:sz w:val="12"/>
        </w:rPr>
      </w:pPr>
      <w:r>
        <w:rPr/>
        <w:br w:type="column"/>
      </w:r>
      <w:r>
        <w:rPr>
          <w:rFonts w:ascii="Arial"/>
          <w:sz w:val="12"/>
        </w:rPr>
      </w:r>
    </w:p>
    <w:p>
      <w:pPr>
        <w:spacing w:before="0"/>
        <w:ind w:left="259" w:right="0" w:firstLine="0"/>
        <w:jc w:val="left"/>
        <w:rPr>
          <w:rFonts w:ascii="Arial"/>
          <w:sz w:val="12"/>
        </w:rPr>
      </w:pPr>
      <w:r>
        <w:rPr>
          <w:rFonts w:ascii="Arial"/>
          <w:sz w:val="12"/>
        </w:rPr>
        <w:t>1.0</w:t>
      </w:r>
    </w:p>
    <w:p>
      <w:pPr>
        <w:pStyle w:val="BodyText"/>
        <w:spacing w:before="9"/>
        <w:rPr>
          <w:rFonts w:ascii="Arial"/>
          <w:sz w:val="11"/>
        </w:rPr>
      </w:pPr>
    </w:p>
    <w:p>
      <w:pPr>
        <w:spacing w:before="0"/>
        <w:ind w:left="259" w:right="0" w:firstLine="0"/>
        <w:jc w:val="left"/>
        <w:rPr>
          <w:rFonts w:ascii="Arial"/>
          <w:sz w:val="12"/>
        </w:rPr>
      </w:pPr>
      <w:r>
        <w:rPr>
          <w:rFonts w:ascii="Arial"/>
          <w:sz w:val="12"/>
        </w:rPr>
        <w:t>0.8</w:t>
      </w:r>
    </w:p>
    <w:p>
      <w:pPr>
        <w:spacing w:after="0"/>
        <w:jc w:val="left"/>
        <w:rPr>
          <w:rFonts w:ascii="Arial"/>
          <w:sz w:val="12"/>
        </w:rPr>
        <w:sectPr>
          <w:type w:val="continuous"/>
          <w:pgSz w:w="11900" w:h="16840"/>
          <w:pgMar w:top="1180" w:bottom="280" w:left="1640" w:right="700"/>
          <w:cols w:num="2" w:equalWidth="0">
            <w:col w:w="446" w:space="4727"/>
            <w:col w:w="4387"/>
          </w:cols>
        </w:sectPr>
      </w:pPr>
    </w:p>
    <w:p>
      <w:pPr>
        <w:pStyle w:val="BodyText"/>
        <w:spacing w:before="8"/>
        <w:rPr>
          <w:rFonts w:ascii="Arial"/>
          <w:sz w:val="12"/>
        </w:rPr>
      </w:pPr>
    </w:p>
    <w:p>
      <w:pPr>
        <w:tabs>
          <w:tab w:pos="5432" w:val="left" w:leader="none"/>
        </w:tabs>
        <w:spacing w:before="0"/>
        <w:ind w:left="259" w:right="0" w:firstLine="0"/>
        <w:jc w:val="left"/>
        <w:rPr>
          <w:rFonts w:ascii="Arial"/>
          <w:sz w:val="12"/>
        </w:rPr>
      </w:pPr>
      <w:r>
        <w:rPr>
          <w:rFonts w:ascii="Arial"/>
          <w:sz w:val="12"/>
        </w:rPr>
        <w:t>0.6</w:t>
        <w:tab/>
        <w:t>0.6</w:t>
      </w:r>
    </w:p>
    <w:p>
      <w:pPr>
        <w:pStyle w:val="BodyText"/>
        <w:spacing w:before="9"/>
        <w:rPr>
          <w:rFonts w:ascii="Arial"/>
          <w:sz w:val="11"/>
        </w:rPr>
      </w:pPr>
    </w:p>
    <w:p>
      <w:pPr>
        <w:tabs>
          <w:tab w:pos="5432" w:val="left" w:leader="none"/>
        </w:tabs>
        <w:spacing w:before="0"/>
        <w:ind w:left="259" w:right="0" w:firstLine="0"/>
        <w:jc w:val="left"/>
        <w:rPr>
          <w:rFonts w:ascii="Arial"/>
          <w:sz w:val="12"/>
        </w:rPr>
      </w:pPr>
      <w:r>
        <w:rPr>
          <w:rFonts w:ascii="Arial"/>
          <w:sz w:val="12"/>
        </w:rPr>
        <w:t>0.4</w:t>
        <w:tab/>
        <w:t>0.4</w:t>
      </w:r>
    </w:p>
    <w:p>
      <w:pPr>
        <w:spacing w:after="0"/>
        <w:jc w:val="left"/>
        <w:rPr>
          <w:rFonts w:ascii="Arial"/>
          <w:sz w:val="12"/>
        </w:rPr>
        <w:sectPr>
          <w:type w:val="continuous"/>
          <w:pgSz w:w="11900" w:h="16840"/>
          <w:pgMar w:top="1180" w:bottom="280" w:left="1640" w:right="700"/>
        </w:sectPr>
      </w:pPr>
    </w:p>
    <w:p>
      <w:pPr>
        <w:pStyle w:val="BodyText"/>
        <w:spacing w:before="7"/>
        <w:rPr>
          <w:rFonts w:ascii="Arial"/>
          <w:sz w:val="12"/>
        </w:rPr>
      </w:pPr>
    </w:p>
    <w:p>
      <w:pPr>
        <w:spacing w:before="1"/>
        <w:ind w:left="259" w:right="0" w:firstLine="0"/>
        <w:jc w:val="left"/>
        <w:rPr>
          <w:rFonts w:ascii="Arial"/>
          <w:sz w:val="12"/>
        </w:rPr>
      </w:pPr>
      <w:r>
        <w:rPr>
          <w:rFonts w:ascii="Arial"/>
          <w:w w:val="85"/>
          <w:sz w:val="12"/>
        </w:rPr>
        <w:t>0.2</w:t>
      </w:r>
    </w:p>
    <w:p>
      <w:pPr>
        <w:pStyle w:val="BodyText"/>
        <w:spacing w:before="9"/>
        <w:rPr>
          <w:rFonts w:ascii="Arial"/>
          <w:sz w:val="11"/>
        </w:rPr>
      </w:pPr>
    </w:p>
    <w:p>
      <w:pPr>
        <w:spacing w:before="0"/>
        <w:ind w:left="259" w:right="0" w:firstLine="0"/>
        <w:jc w:val="left"/>
        <w:rPr>
          <w:rFonts w:ascii="Arial"/>
          <w:sz w:val="12"/>
        </w:rPr>
      </w:pPr>
      <w:r>
        <w:rPr>
          <w:rFonts w:ascii="Arial"/>
          <w:w w:val="85"/>
          <w:sz w:val="12"/>
        </w:rPr>
        <w:t>0.0</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spacing w:before="9"/>
        <w:rPr>
          <w:rFonts w:ascii="Arial"/>
          <w:sz w:val="11"/>
        </w:rPr>
      </w:pPr>
    </w:p>
    <w:p>
      <w:pPr>
        <w:tabs>
          <w:tab w:pos="1874" w:val="left" w:leader="none"/>
        </w:tabs>
        <w:spacing w:before="0"/>
        <w:ind w:left="173" w:right="0" w:firstLine="0"/>
        <w:jc w:val="left"/>
        <w:rPr>
          <w:rFonts w:ascii="Arial"/>
          <w:sz w:val="12"/>
        </w:rPr>
      </w:pPr>
      <w:r>
        <w:rPr>
          <w:rFonts w:ascii="Arial"/>
          <w:spacing w:val="-3"/>
          <w:w w:val="95"/>
          <w:sz w:val="12"/>
        </w:rPr>
        <w:t>GfK </w:t>
      </w:r>
      <w:r>
        <w:rPr>
          <w:rFonts w:ascii="Arial"/>
          <w:w w:val="95"/>
          <w:sz w:val="12"/>
        </w:rPr>
        <w:t>NOP(a)</w:t>
      </w:r>
      <w:r>
        <w:rPr>
          <w:rFonts w:ascii="Arial"/>
          <w:spacing w:val="18"/>
          <w:w w:val="95"/>
          <w:sz w:val="12"/>
        </w:rPr>
        <w:t> </w:t>
      </w:r>
      <w:r>
        <w:rPr>
          <w:rFonts w:ascii="Arial"/>
          <w:w w:val="95"/>
          <w:sz w:val="12"/>
        </w:rPr>
        <w:t>Bank/Gfk</w:t>
      </w:r>
      <w:r>
        <w:rPr>
          <w:rFonts w:ascii="Arial"/>
          <w:spacing w:val="-18"/>
          <w:w w:val="95"/>
          <w:sz w:val="12"/>
        </w:rPr>
        <w:t> </w:t>
      </w:r>
      <w:r>
        <w:rPr>
          <w:rFonts w:ascii="Arial"/>
          <w:w w:val="95"/>
          <w:sz w:val="12"/>
        </w:rPr>
        <w:t>NOP(b)</w:t>
        <w:tab/>
      </w:r>
      <w:r>
        <w:rPr>
          <w:rFonts w:ascii="Arial"/>
          <w:spacing w:val="-6"/>
          <w:w w:val="90"/>
          <w:sz w:val="12"/>
        </w:rPr>
        <w:t>YouGov/</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spacing w:before="9"/>
        <w:rPr>
          <w:rFonts w:ascii="Arial"/>
          <w:sz w:val="11"/>
        </w:rPr>
      </w:pPr>
    </w:p>
    <w:p>
      <w:pPr>
        <w:spacing w:before="0"/>
        <w:ind w:left="228" w:right="0" w:firstLine="0"/>
        <w:jc w:val="left"/>
        <w:rPr>
          <w:rFonts w:ascii="Arial"/>
          <w:sz w:val="12"/>
        </w:rPr>
      </w:pPr>
      <w:r>
        <w:rPr>
          <w:rFonts w:ascii="Arial"/>
          <w:w w:val="90"/>
          <w:sz w:val="12"/>
        </w:rPr>
        <w:t>5-year inflation 10-year inflation</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spacing w:before="9"/>
        <w:rPr>
          <w:rFonts w:ascii="Arial"/>
          <w:sz w:val="11"/>
        </w:rPr>
      </w:pPr>
    </w:p>
    <w:p>
      <w:pPr>
        <w:spacing w:before="0"/>
        <w:ind w:left="188" w:right="0" w:firstLine="0"/>
        <w:jc w:val="left"/>
        <w:rPr>
          <w:rFonts w:ascii="Arial"/>
          <w:sz w:val="12"/>
        </w:rPr>
      </w:pPr>
      <w:r>
        <w:rPr>
          <w:rFonts w:ascii="Arial"/>
          <w:w w:val="85"/>
          <w:sz w:val="12"/>
        </w:rPr>
        <w:t>YouGov/</w:t>
      </w:r>
    </w:p>
    <w:p>
      <w:pPr>
        <w:pStyle w:val="BodyText"/>
        <w:spacing w:before="7"/>
        <w:rPr>
          <w:rFonts w:ascii="Arial"/>
          <w:sz w:val="12"/>
        </w:rPr>
      </w:pPr>
      <w:r>
        <w:rPr/>
        <w:br w:type="column"/>
      </w:r>
      <w:r>
        <w:rPr>
          <w:rFonts w:ascii="Arial"/>
          <w:sz w:val="12"/>
        </w:rPr>
      </w:r>
    </w:p>
    <w:p>
      <w:pPr>
        <w:spacing w:before="1"/>
        <w:ind w:left="246" w:right="0" w:firstLine="0"/>
        <w:jc w:val="left"/>
        <w:rPr>
          <w:rFonts w:ascii="Arial"/>
          <w:sz w:val="12"/>
        </w:rPr>
      </w:pPr>
      <w:r>
        <w:rPr>
          <w:rFonts w:ascii="Arial"/>
          <w:sz w:val="12"/>
        </w:rPr>
        <w:t>0.2</w:t>
      </w:r>
    </w:p>
    <w:p>
      <w:pPr>
        <w:pStyle w:val="BodyText"/>
        <w:spacing w:before="9"/>
        <w:rPr>
          <w:rFonts w:ascii="Arial"/>
          <w:sz w:val="11"/>
        </w:rPr>
      </w:pPr>
    </w:p>
    <w:p>
      <w:pPr>
        <w:spacing w:before="0"/>
        <w:ind w:left="246" w:right="0" w:firstLine="0"/>
        <w:jc w:val="left"/>
        <w:rPr>
          <w:rFonts w:ascii="Arial"/>
          <w:sz w:val="12"/>
        </w:rPr>
      </w:pPr>
      <w:r>
        <w:rPr>
          <w:rFonts w:ascii="Arial"/>
          <w:sz w:val="12"/>
        </w:rPr>
        <w:t>0.0</w:t>
      </w:r>
    </w:p>
    <w:p>
      <w:pPr>
        <w:spacing w:after="0"/>
        <w:jc w:val="left"/>
        <w:rPr>
          <w:rFonts w:ascii="Arial"/>
          <w:sz w:val="12"/>
        </w:rPr>
        <w:sectPr>
          <w:type w:val="continuous"/>
          <w:pgSz w:w="11900" w:h="16840"/>
          <w:pgMar w:top="1180" w:bottom="280" w:left="1640" w:right="700"/>
          <w:cols w:num="5" w:equalWidth="0">
            <w:col w:w="406" w:space="40"/>
            <w:col w:w="2272" w:space="39"/>
            <w:col w:w="1763" w:space="40"/>
            <w:col w:w="586" w:space="40"/>
            <w:col w:w="4374"/>
          </w:cols>
        </w:sectPr>
      </w:pPr>
    </w:p>
    <w:p>
      <w:pPr>
        <w:spacing w:before="31"/>
        <w:ind w:left="0" w:right="0" w:firstLine="0"/>
        <w:jc w:val="right"/>
        <w:rPr>
          <w:rFonts w:ascii="Arial"/>
          <w:sz w:val="12"/>
        </w:rPr>
      </w:pPr>
      <w:r>
        <w:rPr>
          <w:rFonts w:ascii="Arial"/>
          <w:w w:val="85"/>
          <w:sz w:val="12"/>
        </w:rPr>
        <w:t>Citigroup(c)</w:t>
      </w:r>
    </w:p>
    <w:p>
      <w:pPr>
        <w:spacing w:before="31"/>
        <w:ind w:left="118" w:right="0" w:firstLine="0"/>
        <w:jc w:val="left"/>
        <w:rPr>
          <w:rFonts w:ascii="Arial"/>
          <w:sz w:val="12"/>
        </w:rPr>
      </w:pPr>
      <w:r>
        <w:rPr/>
        <w:br w:type="column"/>
      </w:r>
      <w:r>
        <w:rPr>
          <w:rFonts w:ascii="Arial"/>
          <w:sz w:val="12"/>
        </w:rPr>
        <w:t>forward rates(d) forward rates(d) Citigroup (5-10</w:t>
      </w:r>
    </w:p>
    <w:p>
      <w:pPr>
        <w:spacing w:before="30"/>
        <w:ind w:left="1897" w:right="0" w:firstLine="0"/>
        <w:jc w:val="left"/>
        <w:rPr>
          <w:rFonts w:ascii="Arial"/>
          <w:sz w:val="12"/>
        </w:rPr>
      </w:pPr>
      <w:r>
        <w:rPr>
          <w:rFonts w:ascii="Arial"/>
          <w:sz w:val="12"/>
        </w:rPr>
        <w:t>years)(c)</w:t>
      </w:r>
    </w:p>
    <w:p>
      <w:pPr>
        <w:spacing w:after="0"/>
        <w:jc w:val="left"/>
        <w:rPr>
          <w:rFonts w:ascii="Arial"/>
          <w:sz w:val="12"/>
        </w:rPr>
        <w:sectPr>
          <w:type w:val="continuous"/>
          <w:pgSz w:w="11900" w:h="16840"/>
          <w:pgMar w:top="1180" w:bottom="280" w:left="1640" w:right="700"/>
          <w:cols w:num="2" w:equalWidth="0">
            <w:col w:w="2793" w:space="40"/>
            <w:col w:w="6727"/>
          </w:cols>
        </w:sectPr>
      </w:pPr>
    </w:p>
    <w:p>
      <w:pPr>
        <w:pStyle w:val="BodyText"/>
        <w:spacing w:before="1"/>
        <w:rPr>
          <w:rFonts w:ascii="Arial"/>
          <w:sz w:val="3"/>
        </w:rPr>
      </w:pPr>
    </w:p>
    <w:p>
      <w:pPr>
        <w:tabs>
          <w:tab w:pos="1547" w:val="left" w:leader="none"/>
        </w:tabs>
        <w:spacing w:line="62" w:lineRule="exact"/>
        <w:ind w:left="646" w:right="0" w:firstLine="0"/>
        <w:rPr>
          <w:rFonts w:ascii="Arial"/>
          <w:sz w:val="6"/>
        </w:rPr>
      </w:pPr>
      <w:r>
        <w:rPr>
          <w:rFonts w:ascii="Arial"/>
          <w:position w:val="0"/>
          <w:sz w:val="6"/>
        </w:rPr>
        <w:pict>
          <v:group style="width:20.25pt;height:3.15pt;mso-position-horizontal-relative:char;mso-position-vertical-relative:line" coordorigin="0,0" coordsize="405,63">
            <v:shape style="position:absolute;left:0;top:0;width:405;height:63" coordorigin="0,0" coordsize="405,63" path="m42,0l40,2,5,28,5,35,40,61,42,62,46,61,47,59,49,55,48,50,46,49,30,37,14,37,14,25,31,25,46,14,48,12,49,7,47,5,46,1,42,0xm5,35l8,38,10,38,5,35xm402,24l32,24,22,31,32,38,402,38,404,35,404,28,402,24xm14,25l14,37,22,31,14,25xm22,31l14,37,30,37,22,31xm5,28l0,31,5,35,5,28xm31,25l14,25,22,31,31,25xm10,24l8,24,5,28,5,28,10,24xe" filled="true" fillcolor="#010101" stroked="false">
              <v:path arrowok="t"/>
              <v:fill type="solid"/>
            </v:shape>
          </v:group>
        </w:pict>
      </w:r>
      <w:r>
        <w:rPr>
          <w:rFonts w:ascii="Arial"/>
          <w:position w:val="0"/>
          <w:sz w:val="6"/>
        </w:rPr>
      </w:r>
      <w:r>
        <w:rPr>
          <w:rFonts w:ascii="Arial"/>
          <w:position w:val="0"/>
          <w:sz w:val="6"/>
        </w:rPr>
        <w:tab/>
      </w:r>
      <w:r>
        <w:rPr>
          <w:rFonts w:ascii="Arial"/>
          <w:position w:val="0"/>
          <w:sz w:val="6"/>
        </w:rPr>
        <w:pict>
          <v:group style="width:178.05pt;height:3.15pt;mso-position-horizontal-relative:char;mso-position-vertical-relative:line" coordorigin="0,0" coordsize="3561,63">
            <v:shape style="position:absolute;left:0;top:0;width:3561;height:63" coordorigin="0,0" coordsize="3561,63" path="m3538,31l3515,49,3512,50,3512,55,3514,59,3515,61,3518,62,3522,61,3553,37,3546,37,3538,31xm3528,24l2,24,0,28,0,35,2,38,3529,38,3538,31,3528,24xm3555,35l3551,38,3553,38,3555,35xm3546,25l3538,31,3546,37,3546,25xm3552,25l3546,25,3546,37,3553,37,3555,35,3556,35,3556,28,3552,25xm3556,28l3556,35,3555,35,3560,31,3556,28xm3518,0l3515,1,3514,5,3512,7,3512,12,3515,14,3538,31,3546,25,3552,25,3522,2,3518,0xm3553,24l3551,24,3556,28,3553,24xe" filled="true" fillcolor="#010101" stroked="false">
              <v:path arrowok="t"/>
              <v:fill type="solid"/>
            </v:shape>
          </v:group>
        </w:pict>
      </w:r>
      <w:r>
        <w:rPr>
          <w:rFonts w:ascii="Arial"/>
          <w:position w:val="0"/>
          <w:sz w:val="6"/>
        </w:rPr>
      </w:r>
    </w:p>
    <w:p>
      <w:pPr>
        <w:tabs>
          <w:tab w:pos="2679" w:val="left" w:leader="none"/>
        </w:tabs>
        <w:spacing w:before="0"/>
        <w:ind w:left="470" w:right="0" w:firstLine="0"/>
        <w:jc w:val="left"/>
        <w:rPr>
          <w:rFonts w:ascii="Arial"/>
          <w:sz w:val="13"/>
        </w:rPr>
      </w:pPr>
      <w:r>
        <w:rPr>
          <w:rFonts w:ascii="Arial"/>
          <w:spacing w:val="-3"/>
          <w:w w:val="95"/>
          <w:sz w:val="13"/>
        </w:rPr>
        <w:t>Left-hand</w:t>
      </w:r>
      <w:r>
        <w:rPr>
          <w:rFonts w:ascii="Arial"/>
          <w:spacing w:val="-18"/>
          <w:w w:val="95"/>
          <w:sz w:val="13"/>
        </w:rPr>
        <w:t> </w:t>
      </w:r>
      <w:r>
        <w:rPr>
          <w:rFonts w:ascii="Arial"/>
          <w:w w:val="95"/>
          <w:sz w:val="13"/>
        </w:rPr>
        <w:t>scale</w:t>
        <w:tab/>
      </w:r>
      <w:r>
        <w:rPr>
          <w:rFonts w:ascii="Arial"/>
          <w:sz w:val="13"/>
        </w:rPr>
        <w:t>Right-hand</w:t>
      </w:r>
      <w:r>
        <w:rPr>
          <w:rFonts w:ascii="Arial"/>
          <w:spacing w:val="-3"/>
          <w:sz w:val="13"/>
        </w:rPr>
        <w:t> </w:t>
      </w:r>
      <w:r>
        <w:rPr>
          <w:rFonts w:ascii="Arial"/>
          <w:sz w:val="13"/>
        </w:rPr>
        <w:t>scale</w:t>
      </w:r>
    </w:p>
    <w:p>
      <w:pPr>
        <w:spacing w:line="249" w:lineRule="auto" w:before="116"/>
        <w:ind w:left="110" w:right="3809" w:firstLine="0"/>
        <w:jc w:val="left"/>
        <w:rPr>
          <w:rFonts w:ascii="Arial"/>
          <w:sz w:val="15"/>
        </w:rPr>
      </w:pPr>
      <w:r>
        <w:rPr>
          <w:rFonts w:ascii="Arial"/>
          <w:w w:val="105"/>
          <w:sz w:val="15"/>
        </w:rPr>
        <w:t>Sources: Bank of England, Bloomberg, Citigroup, GfK NOP, research carried out by GfK NOP on behalf of the European Commission and YouGov.</w:t>
      </w:r>
    </w:p>
    <w:p>
      <w:pPr>
        <w:pStyle w:val="ListParagraph"/>
        <w:numPr>
          <w:ilvl w:val="0"/>
          <w:numId w:val="3"/>
        </w:numPr>
        <w:tabs>
          <w:tab w:pos="343" w:val="left" w:leader="none"/>
        </w:tabs>
        <w:spacing w:line="171" w:lineRule="exact" w:before="0" w:after="0"/>
        <w:ind w:left="342" w:right="0" w:hanging="233"/>
        <w:jc w:val="left"/>
        <w:rPr>
          <w:sz w:val="15"/>
        </w:rPr>
      </w:pPr>
      <w:r>
        <w:rPr>
          <w:w w:val="105"/>
          <w:sz w:val="15"/>
        </w:rPr>
        <w:t>Net balance expecting prices to</w:t>
      </w:r>
      <w:r>
        <w:rPr>
          <w:spacing w:val="-6"/>
          <w:w w:val="105"/>
          <w:sz w:val="15"/>
        </w:rPr>
        <w:t> </w:t>
      </w:r>
      <w:r>
        <w:rPr>
          <w:w w:val="105"/>
          <w:sz w:val="15"/>
        </w:rPr>
        <w:t>increase.</w:t>
      </w:r>
    </w:p>
    <w:p>
      <w:pPr>
        <w:pStyle w:val="ListParagraph"/>
        <w:numPr>
          <w:ilvl w:val="0"/>
          <w:numId w:val="3"/>
        </w:numPr>
        <w:tabs>
          <w:tab w:pos="344" w:val="left" w:leader="none"/>
        </w:tabs>
        <w:spacing w:line="240" w:lineRule="auto" w:before="7" w:after="0"/>
        <w:ind w:left="343" w:right="0" w:hanging="234"/>
        <w:jc w:val="left"/>
        <w:rPr>
          <w:sz w:val="15"/>
        </w:rPr>
      </w:pPr>
      <w:r>
        <w:rPr>
          <w:w w:val="105"/>
          <w:sz w:val="15"/>
        </w:rPr>
        <w:t>Median</w:t>
      </w:r>
      <w:r>
        <w:rPr>
          <w:spacing w:val="-8"/>
          <w:w w:val="105"/>
          <w:sz w:val="15"/>
        </w:rPr>
        <w:t> </w:t>
      </w:r>
      <w:r>
        <w:rPr>
          <w:w w:val="105"/>
          <w:sz w:val="15"/>
        </w:rPr>
        <w:t>of</w:t>
      </w:r>
      <w:r>
        <w:rPr>
          <w:spacing w:val="-9"/>
          <w:w w:val="105"/>
          <w:sz w:val="15"/>
        </w:rPr>
        <w:t> </w:t>
      </w:r>
      <w:r>
        <w:rPr>
          <w:w w:val="105"/>
          <w:sz w:val="15"/>
        </w:rPr>
        <w:t>respondents'</w:t>
      </w:r>
      <w:r>
        <w:rPr>
          <w:spacing w:val="-8"/>
          <w:w w:val="105"/>
          <w:sz w:val="15"/>
        </w:rPr>
        <w:t> </w:t>
      </w:r>
      <w:r>
        <w:rPr>
          <w:w w:val="105"/>
          <w:sz w:val="15"/>
        </w:rPr>
        <w:t>expected</w:t>
      </w:r>
      <w:r>
        <w:rPr>
          <w:spacing w:val="-8"/>
          <w:w w:val="105"/>
          <w:sz w:val="15"/>
        </w:rPr>
        <w:t> </w:t>
      </w:r>
      <w:r>
        <w:rPr>
          <w:w w:val="105"/>
          <w:sz w:val="15"/>
        </w:rPr>
        <w:t>change</w:t>
      </w:r>
      <w:r>
        <w:rPr>
          <w:spacing w:val="-8"/>
          <w:w w:val="105"/>
          <w:sz w:val="15"/>
        </w:rPr>
        <w:t> </w:t>
      </w:r>
      <w:r>
        <w:rPr>
          <w:w w:val="105"/>
          <w:sz w:val="15"/>
        </w:rPr>
        <w:t>in</w:t>
      </w:r>
      <w:r>
        <w:rPr>
          <w:spacing w:val="-8"/>
          <w:w w:val="105"/>
          <w:sz w:val="15"/>
        </w:rPr>
        <w:t> </w:t>
      </w:r>
      <w:r>
        <w:rPr>
          <w:w w:val="105"/>
          <w:sz w:val="15"/>
        </w:rPr>
        <w:t>prices</w:t>
      </w:r>
      <w:r>
        <w:rPr>
          <w:spacing w:val="-8"/>
          <w:w w:val="105"/>
          <w:sz w:val="15"/>
        </w:rPr>
        <w:t> </w:t>
      </w:r>
      <w:r>
        <w:rPr>
          <w:w w:val="105"/>
          <w:sz w:val="15"/>
        </w:rPr>
        <w:t>in</w:t>
      </w:r>
      <w:r>
        <w:rPr>
          <w:spacing w:val="-8"/>
          <w:w w:val="105"/>
          <w:sz w:val="15"/>
        </w:rPr>
        <w:t> </w:t>
      </w:r>
      <w:r>
        <w:rPr>
          <w:w w:val="105"/>
          <w:sz w:val="15"/>
        </w:rPr>
        <w:t>the</w:t>
      </w:r>
      <w:r>
        <w:rPr>
          <w:spacing w:val="-8"/>
          <w:w w:val="105"/>
          <w:sz w:val="15"/>
        </w:rPr>
        <w:t> </w:t>
      </w:r>
      <w:r>
        <w:rPr>
          <w:w w:val="105"/>
          <w:sz w:val="15"/>
        </w:rPr>
        <w:t>shops</w:t>
      </w:r>
      <w:r>
        <w:rPr>
          <w:spacing w:val="-8"/>
          <w:w w:val="105"/>
          <w:sz w:val="15"/>
        </w:rPr>
        <w:t> </w:t>
      </w:r>
      <w:r>
        <w:rPr>
          <w:w w:val="105"/>
          <w:sz w:val="15"/>
        </w:rPr>
        <w:t>generally.</w:t>
      </w:r>
    </w:p>
    <w:p>
      <w:pPr>
        <w:pStyle w:val="ListParagraph"/>
        <w:numPr>
          <w:ilvl w:val="0"/>
          <w:numId w:val="3"/>
        </w:numPr>
        <w:tabs>
          <w:tab w:pos="336" w:val="left" w:leader="none"/>
        </w:tabs>
        <w:spacing w:line="240" w:lineRule="auto" w:before="5" w:after="0"/>
        <w:ind w:left="335" w:right="0" w:hanging="226"/>
        <w:jc w:val="left"/>
        <w:rPr>
          <w:sz w:val="15"/>
        </w:rPr>
      </w:pPr>
      <w:r>
        <w:rPr>
          <w:w w:val="105"/>
          <w:sz w:val="15"/>
        </w:rPr>
        <w:t>Median</w:t>
      </w:r>
      <w:r>
        <w:rPr>
          <w:spacing w:val="-9"/>
          <w:w w:val="105"/>
          <w:sz w:val="15"/>
        </w:rPr>
        <w:t> </w:t>
      </w:r>
      <w:r>
        <w:rPr>
          <w:w w:val="105"/>
          <w:sz w:val="15"/>
        </w:rPr>
        <w:t>of</w:t>
      </w:r>
      <w:r>
        <w:rPr>
          <w:spacing w:val="-8"/>
          <w:w w:val="105"/>
          <w:sz w:val="15"/>
        </w:rPr>
        <w:t> </w:t>
      </w:r>
      <w:r>
        <w:rPr>
          <w:w w:val="105"/>
          <w:sz w:val="15"/>
        </w:rPr>
        <w:t>respondents'</w:t>
      </w:r>
      <w:r>
        <w:rPr>
          <w:spacing w:val="-8"/>
          <w:w w:val="105"/>
          <w:sz w:val="15"/>
        </w:rPr>
        <w:t> </w:t>
      </w:r>
      <w:r>
        <w:rPr>
          <w:w w:val="105"/>
          <w:sz w:val="15"/>
        </w:rPr>
        <w:t>expected</w:t>
      </w:r>
      <w:r>
        <w:rPr>
          <w:spacing w:val="-8"/>
          <w:w w:val="105"/>
          <w:sz w:val="15"/>
        </w:rPr>
        <w:t> </w:t>
      </w:r>
      <w:r>
        <w:rPr>
          <w:w w:val="105"/>
          <w:sz w:val="15"/>
        </w:rPr>
        <w:t>change</w:t>
      </w:r>
      <w:r>
        <w:rPr>
          <w:spacing w:val="-8"/>
          <w:w w:val="105"/>
          <w:sz w:val="15"/>
        </w:rPr>
        <w:t> </w:t>
      </w:r>
      <w:r>
        <w:rPr>
          <w:w w:val="105"/>
          <w:sz w:val="15"/>
        </w:rPr>
        <w:t>in</w:t>
      </w:r>
      <w:r>
        <w:rPr>
          <w:spacing w:val="-8"/>
          <w:w w:val="105"/>
          <w:sz w:val="15"/>
        </w:rPr>
        <w:t> </w:t>
      </w:r>
      <w:r>
        <w:rPr>
          <w:w w:val="105"/>
          <w:sz w:val="15"/>
        </w:rPr>
        <w:t>prices</w:t>
      </w:r>
      <w:r>
        <w:rPr>
          <w:spacing w:val="-8"/>
          <w:w w:val="105"/>
          <w:sz w:val="15"/>
        </w:rPr>
        <w:t> </w:t>
      </w:r>
      <w:r>
        <w:rPr>
          <w:w w:val="105"/>
          <w:sz w:val="15"/>
        </w:rPr>
        <w:t>of</w:t>
      </w:r>
      <w:r>
        <w:rPr>
          <w:spacing w:val="-7"/>
          <w:w w:val="105"/>
          <w:sz w:val="15"/>
        </w:rPr>
        <w:t> </w:t>
      </w:r>
      <w:r>
        <w:rPr>
          <w:w w:val="105"/>
          <w:sz w:val="15"/>
        </w:rPr>
        <w:t>goods</w:t>
      </w:r>
      <w:r>
        <w:rPr>
          <w:spacing w:val="-8"/>
          <w:w w:val="105"/>
          <w:sz w:val="15"/>
        </w:rPr>
        <w:t> </w:t>
      </w:r>
      <w:r>
        <w:rPr>
          <w:w w:val="105"/>
          <w:sz w:val="15"/>
        </w:rPr>
        <w:t>and</w:t>
      </w:r>
      <w:r>
        <w:rPr>
          <w:spacing w:val="-7"/>
          <w:w w:val="105"/>
          <w:sz w:val="15"/>
        </w:rPr>
        <w:t> </w:t>
      </w:r>
      <w:r>
        <w:rPr>
          <w:w w:val="105"/>
          <w:sz w:val="15"/>
        </w:rPr>
        <w:t>services.</w:t>
      </w:r>
    </w:p>
    <w:p>
      <w:pPr>
        <w:pStyle w:val="ListParagraph"/>
        <w:numPr>
          <w:ilvl w:val="0"/>
          <w:numId w:val="3"/>
        </w:numPr>
        <w:tabs>
          <w:tab w:pos="343" w:val="left" w:leader="none"/>
        </w:tabs>
        <w:spacing w:line="249" w:lineRule="auto" w:before="7" w:after="0"/>
        <w:ind w:left="110" w:right="4043" w:firstLine="0"/>
        <w:jc w:val="left"/>
        <w:rPr>
          <w:sz w:val="15"/>
        </w:rPr>
      </w:pPr>
      <w:r>
        <w:rPr>
          <w:w w:val="105"/>
          <w:sz w:val="15"/>
        </w:rPr>
        <w:t>Implied</w:t>
      </w:r>
      <w:r>
        <w:rPr>
          <w:spacing w:val="-8"/>
          <w:w w:val="105"/>
          <w:sz w:val="15"/>
        </w:rPr>
        <w:t> </w:t>
      </w:r>
      <w:r>
        <w:rPr>
          <w:w w:val="105"/>
          <w:sz w:val="15"/>
        </w:rPr>
        <w:t>instantaneous</w:t>
      </w:r>
      <w:r>
        <w:rPr>
          <w:spacing w:val="-6"/>
          <w:w w:val="105"/>
          <w:sz w:val="15"/>
        </w:rPr>
        <w:t> </w:t>
      </w:r>
      <w:r>
        <w:rPr>
          <w:w w:val="105"/>
          <w:sz w:val="15"/>
        </w:rPr>
        <w:t>inflation</w:t>
      </w:r>
      <w:r>
        <w:rPr>
          <w:spacing w:val="-7"/>
          <w:w w:val="105"/>
          <w:sz w:val="15"/>
        </w:rPr>
        <w:t> </w:t>
      </w:r>
      <w:r>
        <w:rPr>
          <w:w w:val="105"/>
          <w:sz w:val="15"/>
        </w:rPr>
        <w:t>rates</w:t>
      </w:r>
      <w:r>
        <w:rPr>
          <w:spacing w:val="-7"/>
          <w:w w:val="105"/>
          <w:sz w:val="15"/>
        </w:rPr>
        <w:t> </w:t>
      </w:r>
      <w:r>
        <w:rPr>
          <w:w w:val="105"/>
          <w:sz w:val="15"/>
        </w:rPr>
        <w:t>five</w:t>
      </w:r>
      <w:r>
        <w:rPr>
          <w:spacing w:val="-7"/>
          <w:w w:val="105"/>
          <w:sz w:val="15"/>
        </w:rPr>
        <w:t> </w:t>
      </w:r>
      <w:r>
        <w:rPr>
          <w:w w:val="105"/>
          <w:sz w:val="15"/>
        </w:rPr>
        <w:t>and</w:t>
      </w:r>
      <w:r>
        <w:rPr>
          <w:spacing w:val="-7"/>
          <w:w w:val="105"/>
          <w:sz w:val="15"/>
        </w:rPr>
        <w:t> </w:t>
      </w:r>
      <w:r>
        <w:rPr>
          <w:w w:val="105"/>
          <w:sz w:val="15"/>
        </w:rPr>
        <w:t>ten</w:t>
      </w:r>
      <w:r>
        <w:rPr>
          <w:spacing w:val="-5"/>
          <w:w w:val="105"/>
          <w:sz w:val="15"/>
        </w:rPr>
        <w:t> </w:t>
      </w:r>
      <w:r>
        <w:rPr>
          <w:w w:val="105"/>
          <w:sz w:val="15"/>
        </w:rPr>
        <w:t>years</w:t>
      </w:r>
      <w:r>
        <w:rPr>
          <w:spacing w:val="-7"/>
          <w:w w:val="105"/>
          <w:sz w:val="15"/>
        </w:rPr>
        <w:t> </w:t>
      </w:r>
      <w:r>
        <w:rPr>
          <w:w w:val="105"/>
          <w:sz w:val="15"/>
        </w:rPr>
        <w:t>ahead</w:t>
      </w:r>
      <w:r>
        <w:rPr>
          <w:spacing w:val="-7"/>
          <w:w w:val="105"/>
          <w:sz w:val="15"/>
        </w:rPr>
        <w:t> </w:t>
      </w:r>
      <w:r>
        <w:rPr>
          <w:w w:val="105"/>
          <w:sz w:val="15"/>
        </w:rPr>
        <w:t>based</w:t>
      </w:r>
      <w:r>
        <w:rPr>
          <w:spacing w:val="-7"/>
          <w:w w:val="105"/>
          <w:sz w:val="15"/>
        </w:rPr>
        <w:t> </w:t>
      </w:r>
      <w:r>
        <w:rPr>
          <w:w w:val="105"/>
          <w:sz w:val="15"/>
        </w:rPr>
        <w:t>on</w:t>
      </w:r>
      <w:r>
        <w:rPr>
          <w:spacing w:val="-8"/>
          <w:w w:val="105"/>
          <w:sz w:val="15"/>
        </w:rPr>
        <w:t> </w:t>
      </w:r>
      <w:r>
        <w:rPr>
          <w:w w:val="105"/>
          <w:sz w:val="15"/>
        </w:rPr>
        <w:t>the difference between the interest rates prevailing on nominal and index-linked government</w:t>
      </w:r>
      <w:r>
        <w:rPr>
          <w:spacing w:val="-2"/>
          <w:w w:val="105"/>
          <w:sz w:val="15"/>
        </w:rPr>
        <w:t> </w:t>
      </w:r>
      <w:r>
        <w:rPr>
          <w:w w:val="105"/>
          <w:sz w:val="15"/>
        </w:rPr>
        <w:t>bonds.</w:t>
      </w:r>
    </w:p>
    <w:sectPr>
      <w:type w:val="continuous"/>
      <w:pgSz w:w="11900" w:h="16840"/>
      <w:pgMar w:top="1180" w:bottom="280" w:left="16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80182pt;margin-top:760.14032pt;width:17.650pt;height:14.95pt;mso-position-horizontal-relative:page;mso-position-vertical-relative:page;z-index:-252315648"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342" w:hanging="232"/>
        <w:jc w:val="left"/>
      </w:pPr>
      <w:rPr>
        <w:rFonts w:hint="default" w:ascii="Arial" w:hAnsi="Arial" w:eastAsia="Arial" w:cs="Arial"/>
        <w:w w:val="103"/>
        <w:sz w:val="15"/>
        <w:szCs w:val="15"/>
      </w:rPr>
    </w:lvl>
    <w:lvl w:ilvl="1">
      <w:start w:val="0"/>
      <w:numFmt w:val="bullet"/>
      <w:lvlText w:val="•"/>
      <w:lvlJc w:val="left"/>
      <w:pPr>
        <w:ind w:left="1262" w:hanging="232"/>
      </w:pPr>
      <w:rPr>
        <w:rFonts w:hint="default"/>
      </w:rPr>
    </w:lvl>
    <w:lvl w:ilvl="2">
      <w:start w:val="0"/>
      <w:numFmt w:val="bullet"/>
      <w:lvlText w:val="•"/>
      <w:lvlJc w:val="left"/>
      <w:pPr>
        <w:ind w:left="2184" w:hanging="232"/>
      </w:pPr>
      <w:rPr>
        <w:rFonts w:hint="default"/>
      </w:rPr>
    </w:lvl>
    <w:lvl w:ilvl="3">
      <w:start w:val="0"/>
      <w:numFmt w:val="bullet"/>
      <w:lvlText w:val="•"/>
      <w:lvlJc w:val="left"/>
      <w:pPr>
        <w:ind w:left="3106" w:hanging="232"/>
      </w:pPr>
      <w:rPr>
        <w:rFonts w:hint="default"/>
      </w:rPr>
    </w:lvl>
    <w:lvl w:ilvl="4">
      <w:start w:val="0"/>
      <w:numFmt w:val="bullet"/>
      <w:lvlText w:val="•"/>
      <w:lvlJc w:val="left"/>
      <w:pPr>
        <w:ind w:left="4028" w:hanging="232"/>
      </w:pPr>
      <w:rPr>
        <w:rFonts w:hint="default"/>
      </w:rPr>
    </w:lvl>
    <w:lvl w:ilvl="5">
      <w:start w:val="0"/>
      <w:numFmt w:val="bullet"/>
      <w:lvlText w:val="•"/>
      <w:lvlJc w:val="left"/>
      <w:pPr>
        <w:ind w:left="4950" w:hanging="232"/>
      </w:pPr>
      <w:rPr>
        <w:rFonts w:hint="default"/>
      </w:rPr>
    </w:lvl>
    <w:lvl w:ilvl="6">
      <w:start w:val="0"/>
      <w:numFmt w:val="bullet"/>
      <w:lvlText w:val="•"/>
      <w:lvlJc w:val="left"/>
      <w:pPr>
        <w:ind w:left="5872" w:hanging="232"/>
      </w:pPr>
      <w:rPr>
        <w:rFonts w:hint="default"/>
      </w:rPr>
    </w:lvl>
    <w:lvl w:ilvl="7">
      <w:start w:val="0"/>
      <w:numFmt w:val="bullet"/>
      <w:lvlText w:val="•"/>
      <w:lvlJc w:val="left"/>
      <w:pPr>
        <w:ind w:left="6794" w:hanging="232"/>
      </w:pPr>
      <w:rPr>
        <w:rFonts w:hint="default"/>
      </w:rPr>
    </w:lvl>
    <w:lvl w:ilvl="8">
      <w:start w:val="0"/>
      <w:numFmt w:val="bullet"/>
      <w:lvlText w:val="•"/>
      <w:lvlJc w:val="left"/>
      <w:pPr>
        <w:ind w:left="7716" w:hanging="232"/>
      </w:pPr>
      <w:rPr>
        <w:rFonts w:hint="default"/>
      </w:rPr>
    </w:lvl>
  </w:abstractNum>
  <w:abstractNum w:abstractNumId="1">
    <w:multiLevelType w:val="hybridMultilevel"/>
    <w:lvl w:ilvl="0">
      <w:start w:val="1"/>
      <w:numFmt w:val="lowerLetter"/>
      <w:lvlText w:val="(%1)"/>
      <w:lvlJc w:val="left"/>
      <w:pPr>
        <w:ind w:left="110" w:hanging="232"/>
        <w:jc w:val="left"/>
      </w:pPr>
      <w:rPr>
        <w:rFonts w:hint="default" w:ascii="Arial" w:hAnsi="Arial" w:eastAsia="Arial" w:cs="Arial"/>
        <w:w w:val="103"/>
        <w:sz w:val="15"/>
        <w:szCs w:val="15"/>
      </w:rPr>
    </w:lvl>
    <w:lvl w:ilvl="1">
      <w:start w:val="0"/>
      <w:numFmt w:val="bullet"/>
      <w:lvlText w:val="•"/>
      <w:lvlJc w:val="left"/>
      <w:pPr>
        <w:ind w:left="560" w:hanging="232"/>
      </w:pPr>
      <w:rPr>
        <w:rFonts w:hint="default"/>
      </w:rPr>
    </w:lvl>
    <w:lvl w:ilvl="2">
      <w:start w:val="0"/>
      <w:numFmt w:val="bullet"/>
      <w:lvlText w:val="•"/>
      <w:lvlJc w:val="left"/>
      <w:pPr>
        <w:ind w:left="1000" w:hanging="232"/>
      </w:pPr>
      <w:rPr>
        <w:rFonts w:hint="default"/>
      </w:rPr>
    </w:lvl>
    <w:lvl w:ilvl="3">
      <w:start w:val="0"/>
      <w:numFmt w:val="bullet"/>
      <w:lvlText w:val="•"/>
      <w:lvlJc w:val="left"/>
      <w:pPr>
        <w:ind w:left="1441" w:hanging="232"/>
      </w:pPr>
      <w:rPr>
        <w:rFonts w:hint="default"/>
      </w:rPr>
    </w:lvl>
    <w:lvl w:ilvl="4">
      <w:start w:val="0"/>
      <w:numFmt w:val="bullet"/>
      <w:lvlText w:val="•"/>
      <w:lvlJc w:val="left"/>
      <w:pPr>
        <w:ind w:left="1881" w:hanging="232"/>
      </w:pPr>
      <w:rPr>
        <w:rFonts w:hint="default"/>
      </w:rPr>
    </w:lvl>
    <w:lvl w:ilvl="5">
      <w:start w:val="0"/>
      <w:numFmt w:val="bullet"/>
      <w:lvlText w:val="•"/>
      <w:lvlJc w:val="left"/>
      <w:pPr>
        <w:ind w:left="2322" w:hanging="232"/>
      </w:pPr>
      <w:rPr>
        <w:rFonts w:hint="default"/>
      </w:rPr>
    </w:lvl>
    <w:lvl w:ilvl="6">
      <w:start w:val="0"/>
      <w:numFmt w:val="bullet"/>
      <w:lvlText w:val="•"/>
      <w:lvlJc w:val="left"/>
      <w:pPr>
        <w:ind w:left="2762" w:hanging="232"/>
      </w:pPr>
      <w:rPr>
        <w:rFonts w:hint="default"/>
      </w:rPr>
    </w:lvl>
    <w:lvl w:ilvl="7">
      <w:start w:val="0"/>
      <w:numFmt w:val="bullet"/>
      <w:lvlText w:val="•"/>
      <w:lvlJc w:val="left"/>
      <w:pPr>
        <w:ind w:left="3202" w:hanging="232"/>
      </w:pPr>
      <w:rPr>
        <w:rFonts w:hint="default"/>
      </w:rPr>
    </w:lvl>
    <w:lvl w:ilvl="8">
      <w:start w:val="0"/>
      <w:numFmt w:val="bullet"/>
      <w:lvlText w:val="•"/>
      <w:lvlJc w:val="left"/>
      <w:pPr>
        <w:ind w:left="3643" w:hanging="232"/>
      </w:pPr>
      <w:rPr>
        <w:rFonts w:hint="default"/>
      </w:rPr>
    </w:lvl>
  </w:abstractNum>
  <w:abstractNum w:abstractNumId="0">
    <w:multiLevelType w:val="hybridMultilevel"/>
    <w:lvl w:ilvl="0">
      <w:start w:val="1"/>
      <w:numFmt w:val="decimal"/>
      <w:lvlText w:val="%1"/>
      <w:lvlJc w:val="left"/>
      <w:pPr>
        <w:ind w:left="461" w:hanging="349"/>
        <w:jc w:val="left"/>
      </w:pPr>
      <w:rPr>
        <w:rFonts w:hint="default"/>
      </w:rPr>
    </w:lvl>
    <w:lvl w:ilvl="1">
      <w:start w:val="1"/>
      <w:numFmt w:val="decimal"/>
      <w:lvlText w:val="%1.%2"/>
      <w:lvlJc w:val="left"/>
      <w:pPr>
        <w:ind w:left="461" w:hanging="349"/>
        <w:jc w:val="left"/>
      </w:pPr>
      <w:rPr>
        <w:rFonts w:hint="default" w:ascii="Times New Roman" w:hAnsi="Times New Roman" w:eastAsia="Times New Roman" w:cs="Times New Roman"/>
        <w:spacing w:val="-2"/>
        <w:w w:val="101"/>
        <w:sz w:val="23"/>
        <w:szCs w:val="23"/>
      </w:rPr>
    </w:lvl>
    <w:lvl w:ilvl="2">
      <w:start w:val="1"/>
      <w:numFmt w:val="lowerLetter"/>
      <w:lvlText w:val="(%3)"/>
      <w:lvlJc w:val="left"/>
      <w:pPr>
        <w:ind w:left="871" w:hanging="266"/>
        <w:jc w:val="left"/>
      </w:pPr>
      <w:rPr>
        <w:rFonts w:hint="default" w:ascii="Times New Roman" w:hAnsi="Times New Roman" w:eastAsia="Times New Roman" w:cs="Times New Roman"/>
        <w:spacing w:val="-1"/>
        <w:w w:val="102"/>
        <w:sz w:val="19"/>
        <w:szCs w:val="19"/>
      </w:rPr>
    </w:lvl>
    <w:lvl w:ilvl="3">
      <w:start w:val="0"/>
      <w:numFmt w:val="bullet"/>
      <w:lvlText w:val="•"/>
      <w:lvlJc w:val="left"/>
      <w:pPr>
        <w:ind w:left="1831" w:hanging="266"/>
      </w:pPr>
      <w:rPr>
        <w:rFonts w:hint="default"/>
      </w:rPr>
    </w:lvl>
    <w:lvl w:ilvl="4">
      <w:start w:val="0"/>
      <w:numFmt w:val="bullet"/>
      <w:lvlText w:val="•"/>
      <w:lvlJc w:val="left"/>
      <w:pPr>
        <w:ind w:left="2307" w:hanging="266"/>
      </w:pPr>
      <w:rPr>
        <w:rFonts w:hint="default"/>
      </w:rPr>
    </w:lvl>
    <w:lvl w:ilvl="5">
      <w:start w:val="0"/>
      <w:numFmt w:val="bullet"/>
      <w:lvlText w:val="•"/>
      <w:lvlJc w:val="left"/>
      <w:pPr>
        <w:ind w:left="2783" w:hanging="266"/>
      </w:pPr>
      <w:rPr>
        <w:rFonts w:hint="default"/>
      </w:rPr>
    </w:lvl>
    <w:lvl w:ilvl="6">
      <w:start w:val="0"/>
      <w:numFmt w:val="bullet"/>
      <w:lvlText w:val="•"/>
      <w:lvlJc w:val="left"/>
      <w:pPr>
        <w:ind w:left="3259" w:hanging="266"/>
      </w:pPr>
      <w:rPr>
        <w:rFonts w:hint="default"/>
      </w:rPr>
    </w:lvl>
    <w:lvl w:ilvl="7">
      <w:start w:val="0"/>
      <w:numFmt w:val="bullet"/>
      <w:lvlText w:val="•"/>
      <w:lvlJc w:val="left"/>
      <w:pPr>
        <w:ind w:left="3735" w:hanging="266"/>
      </w:pPr>
      <w:rPr>
        <w:rFonts w:hint="default"/>
      </w:rPr>
    </w:lvl>
    <w:lvl w:ilvl="8">
      <w:start w:val="0"/>
      <w:numFmt w:val="bullet"/>
      <w:lvlText w:val="•"/>
      <w:lvlJc w:val="left"/>
      <w:pPr>
        <w:ind w:left="4211" w:hanging="26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461"/>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1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Sir John Gieve</dc:subject>
  <dc:title>A Tale of Two Cycles - Speech by Sir John Gieve at the North East Chamber of Commerce Durham Tees Valley Dinner on 19 June 2008</dc:title>
  <dcterms:created xsi:type="dcterms:W3CDTF">2020-06-02T17:12:36Z</dcterms:created>
  <dcterms:modified xsi:type="dcterms:W3CDTF">2020-06-02T17:12:36Z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2008-06-19T00:00:00Z</vt:filetime>
  </property>
  <property fmtid="{D5CDD505-2E9C-101B-9397-08002B2CF9AE}" pid="3" name="Creator">
    <vt:lpwstr>PScript5.dll Version 5.2</vt:lpwstr>
  </property>
  <property fmtid="{D5CDD505-2E9C-101B-9397-08002B2CF9AE}" pid="4" name="LastSaved">
    <vt:filetime>2020-06-02T00:00:00Z</vt:filetime>
  </property>
</Properties>
</file>