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pict>
          <v:group style="position:absolute;margin-left:50.52pt;margin-top:103.459999pt;width:488.4pt;height:1.45pt;mso-position-horizontal-relative:page;mso-position-vertical-relative:paragraph;z-index:-251658240;mso-wrap-distance-left:0;mso-wrap-distance-right:0" coordorigin="1010,2069" coordsize="9768,29">
            <v:line style="position:absolute" from="1010,2084" to="8229,2084" stroked="true" strokeweight="1.44pt" strokecolor="#000000">
              <v:stroke dashstyle="solid"/>
            </v:line>
            <v:rect style="position:absolute;left:8214;top:2069;width:29;height:29" filled="true" fillcolor="#000000" stroked="false">
              <v:fill type="solid"/>
            </v:rect>
            <v:line style="position:absolute" from="8244,2084" to="10778,2084" stroked="true" strokeweight="1.44pt" strokecolor="#000000">
              <v:stroke dashstyle="solid"/>
            </v:line>
            <w10:wrap type="topAndBottom"/>
          </v:group>
        </w:pict>
      </w: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BodyText"/>
        <w:spacing w:before="2"/>
        <w:rPr>
          <w:rFonts w:ascii="Times New Roman"/>
          <w:sz w:val="25"/>
        </w:rPr>
      </w:pPr>
    </w:p>
    <w:p>
      <w:pPr>
        <w:spacing w:before="89"/>
        <w:ind w:left="233" w:right="0" w:firstLine="0"/>
        <w:jc w:val="both"/>
        <w:rPr>
          <w:b/>
          <w:sz w:val="32"/>
        </w:rPr>
      </w:pPr>
      <w:r>
        <w:rPr>
          <w:b/>
          <w:color w:val="6A709F"/>
          <w:sz w:val="32"/>
        </w:rPr>
        <w:t>A little bit of stodginess?</w:t>
      </w:r>
    </w:p>
    <w:p>
      <w:pPr>
        <w:pStyle w:val="BodyText"/>
        <w:rPr>
          <w:b/>
          <w:sz w:val="36"/>
        </w:rPr>
      </w:pPr>
    </w:p>
    <w:p>
      <w:pPr>
        <w:spacing w:before="277"/>
        <w:ind w:left="233" w:right="0" w:firstLine="0"/>
        <w:jc w:val="both"/>
        <w:rPr>
          <w:sz w:val="24"/>
        </w:rPr>
      </w:pPr>
      <w:r>
        <w:rPr>
          <w:sz w:val="24"/>
        </w:rPr>
        <w:t>Speech given by</w:t>
      </w:r>
    </w:p>
    <w:p>
      <w:pPr>
        <w:spacing w:line="360" w:lineRule="auto" w:before="140"/>
        <w:ind w:left="233" w:right="1745" w:firstLine="0"/>
        <w:jc w:val="both"/>
        <w:rPr>
          <w:sz w:val="24"/>
        </w:rPr>
      </w:pPr>
      <w:r>
        <w:rPr>
          <w:sz w:val="24"/>
        </w:rPr>
        <w:t>Sir Jon Cunliffe, Deputy Governor Financial Stability, Member of the Monetary Policy Committee, Member of the Financial Policy Committee and Member of the Prudential Regulation Committee</w:t>
      </w:r>
    </w:p>
    <w:p>
      <w:pPr>
        <w:pStyle w:val="BodyText"/>
        <w:rPr>
          <w:sz w:val="26"/>
        </w:rPr>
      </w:pPr>
    </w:p>
    <w:p>
      <w:pPr>
        <w:pStyle w:val="BodyText"/>
        <w:rPr>
          <w:sz w:val="26"/>
        </w:rPr>
      </w:pPr>
    </w:p>
    <w:p>
      <w:pPr>
        <w:pStyle w:val="BodyText"/>
        <w:rPr>
          <w:sz w:val="26"/>
        </w:rPr>
      </w:pPr>
    </w:p>
    <w:p>
      <w:pPr>
        <w:pStyle w:val="BodyText"/>
        <w:rPr>
          <w:sz w:val="30"/>
        </w:rPr>
      </w:pPr>
    </w:p>
    <w:p>
      <w:pPr>
        <w:spacing w:line="360" w:lineRule="auto" w:before="0"/>
        <w:ind w:left="233" w:right="6288" w:firstLine="0"/>
        <w:jc w:val="left"/>
        <w:rPr>
          <w:sz w:val="24"/>
        </w:rPr>
      </w:pPr>
      <w:r>
        <w:rPr>
          <w:sz w:val="24"/>
        </w:rPr>
        <w:t>Cumbria Chambers of Commerce, Kendal Friday 13 July 2018</w:t>
      </w:r>
    </w:p>
    <w:p>
      <w:pPr>
        <w:spacing w:after="0" w:line="360" w:lineRule="auto"/>
        <w:jc w:val="left"/>
        <w:rPr>
          <w:sz w:val="24"/>
        </w:rPr>
        <w:sectPr>
          <w:footerReference w:type="default" r:id="rId5"/>
          <w:type w:val="continuous"/>
          <w:pgSz w:w="11910" w:h="16840"/>
          <w:pgMar w:footer="1338" w:top="1180" w:bottom="1520" w:left="900" w:right="0"/>
        </w:sectPr>
      </w:pPr>
    </w:p>
    <w:p>
      <w:pPr>
        <w:spacing w:line="357" w:lineRule="auto" w:before="76"/>
        <w:ind w:left="233" w:right="1207" w:firstLine="0"/>
        <w:jc w:val="left"/>
        <w:rPr>
          <w:i/>
          <w:sz w:val="20"/>
        </w:rPr>
      </w:pPr>
      <w:r>
        <w:rPr>
          <w:sz w:val="20"/>
        </w:rPr>
        <w:t>“</w:t>
      </w:r>
      <w:r>
        <w:rPr>
          <w:i/>
          <w:sz w:val="20"/>
        </w:rPr>
        <w:t>In my view both as a citizen and as a policymaker, a little stodginess at the central bank is entirely </w:t>
      </w:r>
      <w:r>
        <w:rPr>
          <w:i/>
          <w:sz w:val="20"/>
        </w:rPr>
        <w:t>appropriate”</w:t>
      </w:r>
      <w:r>
        <w:rPr>
          <w:i/>
          <w:sz w:val="20"/>
          <w:vertAlign w:val="superscript"/>
        </w:rPr>
        <w:t>1</w:t>
      </w:r>
    </w:p>
    <w:p>
      <w:pPr>
        <w:pStyle w:val="BodyText"/>
        <w:spacing w:before="7"/>
        <w:rPr>
          <w:i/>
          <w:sz w:val="30"/>
        </w:rPr>
      </w:pPr>
    </w:p>
    <w:p>
      <w:pPr>
        <w:pStyle w:val="BodyText"/>
        <w:spacing w:line="360" w:lineRule="auto"/>
        <w:ind w:left="233" w:right="1207"/>
      </w:pPr>
      <w:r>
        <w:rPr/>
        <w:t>Alan Blinder’s 1999 advice to central bankers, quoted above, was not, I am pleased to say in these fitness conscious times, an injunction on the appropriate nutrition for monetary policy makers.</w:t>
      </w:r>
    </w:p>
    <w:p>
      <w:pPr>
        <w:pStyle w:val="BodyText"/>
        <w:spacing w:before="11"/>
        <w:rPr>
          <w:sz w:val="29"/>
        </w:rPr>
      </w:pPr>
    </w:p>
    <w:p>
      <w:pPr>
        <w:pStyle w:val="BodyText"/>
        <w:spacing w:line="360" w:lineRule="auto"/>
        <w:ind w:left="233" w:right="1207"/>
      </w:pPr>
      <w:r>
        <w:rPr/>
        <w:t>Rather, it was advice on how to respond to uncertainty or, to be precise, the need for caution when faced with a particular type of uncertainty – uncertainty about the impact of monetary policy on the key variables in the economy it seeks to influence.</w:t>
      </w:r>
    </w:p>
    <w:p>
      <w:pPr>
        <w:pStyle w:val="BodyText"/>
        <w:rPr>
          <w:sz w:val="30"/>
        </w:rPr>
      </w:pPr>
    </w:p>
    <w:p>
      <w:pPr>
        <w:pStyle w:val="BodyText"/>
        <w:spacing w:line="360" w:lineRule="auto"/>
        <w:ind w:left="233" w:right="1309"/>
        <w:jc w:val="both"/>
      </w:pPr>
      <w:r>
        <w:rPr/>
        <w:t>But I would like today to look at the case for ‘stodginess’ when faced with uncertainty more generally about possible changes in how the economy works and the ‘model’ of the economy that policymakers necessarily have in their minds.</w:t>
      </w:r>
    </w:p>
    <w:p>
      <w:pPr>
        <w:pStyle w:val="BodyText"/>
        <w:spacing w:before="1"/>
        <w:rPr>
          <w:sz w:val="30"/>
        </w:rPr>
      </w:pPr>
    </w:p>
    <w:p>
      <w:pPr>
        <w:pStyle w:val="BodyText"/>
        <w:spacing w:line="360" w:lineRule="auto"/>
        <w:ind w:left="233" w:right="1162"/>
      </w:pPr>
      <w:r>
        <w:rPr/>
        <w:t>Uncertainty, as I have noted before is the natural environment of monetary policy. There is a large academic literature on the optimal way for policy to deal with different types of uncertainty. But I would like to look at these issues first in the context of my time on the MPC and then in relation UK monetary policy going forward.</w:t>
      </w:r>
    </w:p>
    <w:p>
      <w:pPr>
        <w:pStyle w:val="BodyText"/>
        <w:rPr>
          <w:sz w:val="30"/>
        </w:rPr>
      </w:pPr>
    </w:p>
    <w:p>
      <w:pPr>
        <w:pStyle w:val="BodyText"/>
        <w:spacing w:line="360" w:lineRule="auto" w:before="1"/>
        <w:ind w:left="233" w:right="1207"/>
      </w:pPr>
      <w:r>
        <w:rPr/>
        <w:t>The MPC since I joined it at the end of 2013 certainly appears to have been pretty consistently stodgy in the sense of slow moving. We have moved policy twice over that period. And one of those moves was a response to an exceptional and unprecedented exogenous event – the Brexit referendum. Only one move, the rate increase last November can be thought of as usual, ‘bread and butter’ monetary policy. There has been one or more votes for changing policy in only 22 of the 49 meetings.</w:t>
      </w:r>
    </w:p>
    <w:p>
      <w:pPr>
        <w:pStyle w:val="BodyText"/>
        <w:spacing w:before="10"/>
        <w:rPr>
          <w:sz w:val="29"/>
        </w:rPr>
      </w:pPr>
    </w:p>
    <w:p>
      <w:pPr>
        <w:pStyle w:val="BodyText"/>
        <w:spacing w:line="360" w:lineRule="auto"/>
        <w:ind w:left="233" w:right="1427"/>
        <w:jc w:val="both"/>
      </w:pPr>
      <w:r>
        <w:rPr/>
        <w:t>When I compare this to 2002 to 2007 -- my period on the Committee as the Treasury representative -- the contrast is striking. Over that period, the Committee moved policy 12 times and with one or more votes for changing policy in 41 of the 56 meetings.</w:t>
      </w:r>
    </w:p>
    <w:p>
      <w:pPr>
        <w:pStyle w:val="BodyText"/>
        <w:rPr>
          <w:sz w:val="30"/>
        </w:rPr>
      </w:pPr>
    </w:p>
    <w:p>
      <w:pPr>
        <w:pStyle w:val="BodyText"/>
        <w:spacing w:line="360" w:lineRule="auto" w:before="1"/>
        <w:ind w:left="233" w:right="1140"/>
      </w:pPr>
      <w:r>
        <w:rPr/>
        <w:t>This lack of action from the Committee since I joined it as a member in 2013 was certainly not the reflection of lack of developments in the UK economy. From mid 2013 to early 2015, unemployment dropped like a stone – by 2pp in the space of 18 months, the fastest rate for 25 years. At the same time, growth was picking up from close to 1% to about 3%.</w:t>
      </w: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22"/>
        </w:rPr>
      </w:pPr>
      <w:r>
        <w:rPr/>
        <w:pict>
          <v:shape style="position:absolute;margin-left:56.664001pt;margin-top:14.934092pt;width:144.050pt;height:.1pt;mso-position-horizontal-relative:page;mso-position-vertical-relative:paragraph;z-index:-251657216;mso-wrap-distance-left:0;mso-wrap-distance-right:0" coordorigin="1133,299" coordsize="2881,0" path="m1133,299l4014,299e" filled="false" stroked="true" strokeweight=".47998pt" strokecolor="#000000">
            <v:path arrowok="t"/>
            <v:stroke dashstyle="solid"/>
            <w10:wrap type="topAndBottom"/>
          </v:shape>
        </w:pict>
      </w:r>
    </w:p>
    <w:p>
      <w:pPr>
        <w:spacing w:before="23"/>
        <w:ind w:left="233" w:right="0" w:firstLine="0"/>
        <w:jc w:val="left"/>
        <w:rPr>
          <w:sz w:val="18"/>
        </w:rPr>
      </w:pPr>
      <w:r>
        <w:rPr>
          <w:rFonts w:ascii="Calibri"/>
          <w:position w:val="9"/>
          <w:sz w:val="12"/>
        </w:rPr>
        <w:t>1 </w:t>
      </w:r>
      <w:r>
        <w:rPr>
          <w:sz w:val="18"/>
        </w:rPr>
        <w:t>Blinder (1999)</w:t>
      </w:r>
    </w:p>
    <w:p>
      <w:pPr>
        <w:spacing w:after="0"/>
        <w:jc w:val="left"/>
        <w:rPr>
          <w:sz w:val="18"/>
        </w:rPr>
        <w:sectPr>
          <w:footerReference w:type="default" r:id="rId7"/>
          <w:pgSz w:w="11910" w:h="16840"/>
          <w:pgMar w:footer="1338" w:header="0" w:top="1520" w:bottom="1520" w:left="900" w:right="0"/>
        </w:sectPr>
      </w:pPr>
    </w:p>
    <w:p>
      <w:pPr>
        <w:pStyle w:val="BodyText"/>
        <w:spacing w:line="360" w:lineRule="auto" w:before="79"/>
        <w:ind w:left="233" w:right="1307"/>
      </w:pPr>
      <w:r>
        <w:rPr/>
        <w:t>Nor was it the result of lack of advice. As Mark Carney has recently pointed out, the pre-crisis MPC had always tightened policy in response to accelerating growth and firming business confidence. With pre-crisis rules of thumb and the BoE’s pre-crisis reaction function in mind, there were many and loud calls for</w:t>
      </w:r>
    </w:p>
    <w:p>
      <w:pPr>
        <w:pStyle w:val="BodyText"/>
        <w:spacing w:line="227" w:lineRule="exact"/>
        <w:ind w:left="233"/>
      </w:pPr>
      <w:r>
        <w:rPr/>
        <w:t>pre-emptive tightening to prevent the build up of inflation pressure</w:t>
      </w:r>
      <w:r>
        <w:rPr>
          <w:i/>
        </w:rPr>
        <w:t>.</w:t>
      </w:r>
      <w:r>
        <w:rPr>
          <w:vertAlign w:val="superscript"/>
        </w:rPr>
        <w:t>2</w:t>
      </w:r>
    </w:p>
    <w:p>
      <w:pPr>
        <w:pStyle w:val="BodyText"/>
        <w:rPr>
          <w:sz w:val="26"/>
        </w:rPr>
      </w:pPr>
    </w:p>
    <w:p>
      <w:pPr>
        <w:pStyle w:val="BodyText"/>
        <w:spacing w:line="360" w:lineRule="auto" w:before="162"/>
        <w:ind w:left="233" w:right="1197"/>
      </w:pPr>
      <w:r>
        <w:rPr/>
        <w:t>The Committee’s reluctance to tighten was of course motivated by the sizeable output gap and the need to allow a stimulative policy stance more time to squeeze out slack in the labour market – or as one Committee member put it at the time “don’t just do something, stand there…(and think)”.</w:t>
      </w:r>
      <w:r>
        <w:rPr>
          <w:vertAlign w:val="superscript"/>
        </w:rPr>
        <w:t>3</w:t>
      </w:r>
    </w:p>
    <w:p>
      <w:pPr>
        <w:pStyle w:val="BodyText"/>
        <w:rPr>
          <w:sz w:val="30"/>
        </w:rPr>
      </w:pPr>
    </w:p>
    <w:p>
      <w:pPr>
        <w:pStyle w:val="BodyText"/>
        <w:spacing w:line="360" w:lineRule="auto"/>
        <w:ind w:left="233" w:right="1162"/>
      </w:pPr>
      <w:r>
        <w:rPr/>
        <w:t>But underlying this, there were more fundamental doubts about what had happened to the supply side of the economy during the crisis, particularly around the labour market and around the collapse of productivity growth.</w:t>
      </w:r>
    </w:p>
    <w:p>
      <w:pPr>
        <w:pStyle w:val="BodyText"/>
        <w:rPr>
          <w:sz w:val="30"/>
        </w:rPr>
      </w:pPr>
    </w:p>
    <w:p>
      <w:pPr>
        <w:pStyle w:val="BodyText"/>
        <w:spacing w:line="360" w:lineRule="auto" w:before="1"/>
        <w:ind w:left="233" w:right="1207"/>
      </w:pPr>
      <w:r>
        <w:rPr/>
        <w:t>It was these concerns that underlay the Committee’s decision, shortly before I joined, to give forward guidance that it would not consider changing policy until unemployment fell to a certain level.</w:t>
      </w:r>
    </w:p>
    <w:p>
      <w:pPr>
        <w:pStyle w:val="BodyText"/>
        <w:spacing w:line="360" w:lineRule="auto" w:before="1"/>
        <w:ind w:left="233" w:right="1162"/>
      </w:pPr>
      <w:r>
        <w:rPr/>
        <w:t>As the expansion progressed from mid 2013 towards the Brexit referendum in 2016, evidence grew that the supply side was not returning to pre-crisis norms. Unemployment reached 5% - the pre-crisis estimate of the natural rate - in early 2016 without any hint of upward pressure on pay. Pay growth serially undershot the MPC’s forecasts (</w:t>
      </w:r>
      <w:r>
        <w:rPr>
          <w:b/>
        </w:rPr>
        <w:t>Chart 1</w:t>
      </w:r>
      <w:r>
        <w:rPr/>
        <w:t>).</w:t>
      </w:r>
    </w:p>
    <w:p>
      <w:pPr>
        <w:pStyle w:val="BodyText"/>
        <w:spacing w:before="9"/>
        <w:rPr>
          <w:sz w:val="29"/>
        </w:rPr>
      </w:pPr>
    </w:p>
    <w:p>
      <w:pPr>
        <w:pStyle w:val="BodyText"/>
        <w:spacing w:line="360" w:lineRule="auto" w:before="1"/>
        <w:ind w:left="233" w:right="1207"/>
      </w:pPr>
      <w:r>
        <w:rPr/>
        <w:t>At the same time, as the expansion progressed, it became disappointingly clear first that the UK would not recover any of the productivity growth lost in the crisis and ensuing recession and then that it would not recover anything like the pre-crisis rate of productivity growth (</w:t>
      </w:r>
      <w:r>
        <w:rPr>
          <w:b/>
        </w:rPr>
        <w:t>Chart 2</w:t>
      </w:r>
      <w:r>
        <w:rPr/>
        <w:t>).</w:t>
      </w:r>
    </w:p>
    <w:p>
      <w:pPr>
        <w:pStyle w:val="BodyText"/>
        <w:rPr>
          <w:sz w:val="30"/>
        </w:rPr>
      </w:pPr>
    </w:p>
    <w:p>
      <w:pPr>
        <w:pStyle w:val="BodyText"/>
        <w:spacing w:line="360" w:lineRule="auto"/>
        <w:ind w:left="233" w:right="1207"/>
      </w:pPr>
      <w:r>
        <w:rPr/>
        <w:t>I have noted before the much greater degree of attention to the supply side given by the post-crisis MPC relative to its pre-crisis predecessors.</w:t>
      </w:r>
      <w:r>
        <w:rPr>
          <w:vertAlign w:val="superscript"/>
        </w:rPr>
        <w:t>4</w:t>
      </w:r>
      <w:r>
        <w:rPr>
          <w:vertAlign w:val="baseline"/>
        </w:rPr>
        <w:t> This is clearly accounted for by the much greater inability to forecast the evolution of supply and its impact on inflation (</w:t>
      </w:r>
      <w:r>
        <w:rPr>
          <w:b/>
          <w:vertAlign w:val="baseline"/>
        </w:rPr>
        <w:t>Charts 3 &amp; 4</w:t>
      </w:r>
      <w:r>
        <w:rPr>
          <w:vertAlign w:val="baseline"/>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25"/>
        </w:rPr>
      </w:pPr>
      <w:r>
        <w:rPr/>
        <w:pict>
          <v:shape style="position:absolute;margin-left:56.664001pt;margin-top:16.840181pt;width:144.050pt;height:.1pt;mso-position-horizontal-relative:page;mso-position-vertical-relative:paragraph;z-index:-251656192;mso-wrap-distance-left:0;mso-wrap-distance-right:0" coordorigin="1133,337" coordsize="2881,0" path="m1133,337l4014,337e" filled="false" stroked="true" strokeweight=".47998pt" strokecolor="#000000">
            <v:path arrowok="t"/>
            <v:stroke dashstyle="solid"/>
            <w10:wrap type="topAndBottom"/>
          </v:shape>
        </w:pict>
      </w:r>
    </w:p>
    <w:p>
      <w:pPr>
        <w:spacing w:before="27"/>
        <w:ind w:left="233" w:right="1162" w:firstLine="0"/>
        <w:jc w:val="left"/>
        <w:rPr>
          <w:sz w:val="16"/>
        </w:rPr>
      </w:pPr>
      <w:r>
        <w:rPr>
          <w:position w:val="8"/>
          <w:sz w:val="10"/>
        </w:rPr>
        <w:t>2 </w:t>
      </w:r>
      <w:r>
        <w:rPr>
          <w:sz w:val="16"/>
        </w:rPr>
        <w:t>Mark Carney’s recent speech illustrates that bank rate might have risen by 2-3 percentage points between August 2013 and the end of 2014 if the post crisis MPC’s had followed the reaction function of its pre-crisis predecessors. And the important role that forward guidance played in preventing financial markets and real economy agents acting in expectation of such tightening.</w:t>
      </w:r>
    </w:p>
    <w:p>
      <w:pPr>
        <w:spacing w:line="173" w:lineRule="exact" w:before="0"/>
        <w:ind w:left="233" w:right="0" w:firstLine="0"/>
        <w:jc w:val="left"/>
        <w:rPr>
          <w:sz w:val="16"/>
        </w:rPr>
      </w:pPr>
      <w:r>
        <w:rPr>
          <w:position w:val="8"/>
          <w:sz w:val="10"/>
        </w:rPr>
        <w:t>3 </w:t>
      </w:r>
      <w:r>
        <w:rPr>
          <w:sz w:val="16"/>
        </w:rPr>
        <w:t>Miles (2015)</w:t>
      </w:r>
    </w:p>
    <w:p>
      <w:pPr>
        <w:spacing w:line="184" w:lineRule="exact" w:before="15"/>
        <w:ind w:left="233" w:right="1207" w:firstLine="0"/>
        <w:jc w:val="left"/>
        <w:rPr>
          <w:sz w:val="16"/>
        </w:rPr>
      </w:pPr>
      <w:r>
        <w:rPr>
          <w:position w:val="8"/>
          <w:sz w:val="10"/>
        </w:rPr>
        <w:t>4 </w:t>
      </w:r>
      <w:r>
        <w:rPr>
          <w:sz w:val="16"/>
        </w:rPr>
        <w:t>The rate of mentions of ‘supply’ and ‘productivity’ in the minutes of MPC meetings in the past decade has been about twice that in the decade prior to the crisis. (Cunliffe 2017)</w:t>
      </w:r>
    </w:p>
    <w:p>
      <w:pPr>
        <w:spacing w:after="0" w:line="184" w:lineRule="exact"/>
        <w:jc w:val="left"/>
        <w:rPr>
          <w:sz w:val="16"/>
        </w:rPr>
        <w:sectPr>
          <w:footerReference w:type="default" r:id="rId8"/>
          <w:pgSz w:w="11910" w:h="16840"/>
          <w:pgMar w:footer="1338" w:header="0" w:top="1520" w:bottom="1520" w:left="900" w:right="0"/>
        </w:sectPr>
      </w:pPr>
    </w:p>
    <w:p>
      <w:pPr>
        <w:pStyle w:val="BodyText"/>
      </w:pPr>
      <w:r>
        <w:rPr/>
        <w:pict>
          <v:group style="position:absolute;margin-left:65.75676pt;margin-top:151.340668pt;width:226.45pt;height:204.5pt;mso-position-horizontal-relative:page;mso-position-vertical-relative:page;z-index:-253320192" coordorigin="1315,3027" coordsize="4529,4090">
            <v:rect style="position:absolute;left:1322;top:3045;width:4516;height:4041" filled="false" stroked="true" strokeweight=".128636pt" strokecolor="#000000">
              <v:stroke dashstyle="solid"/>
            </v:rect>
            <v:shape style="position:absolute;left:204;top:11942;width:4906;height:4407" coordorigin="204,11942" coordsize="4906,4407" path="m5837,7088l5837,3044m5782,7088l5837,7088m5782,6077l5837,6077m5782,5066l5837,5066m5782,4055l5837,4055m5782,3044l5837,3044m1322,6077l5837,6077m1322,6022l1322,6077m1498,6022l1498,6077m1675,6022l1675,6077m1854,6022l1854,6077m2031,6022l2031,6077m2208,6022l2208,6077m2384,6022l2384,6077m2561,6022l2561,6077m2738,6022l2738,6077m2917,6022l2917,6077m3093,6022l3093,6077m3270,6022l3270,6077m3447,6022l3447,6077m3624,6022l3624,6077m3800,6022l3800,6077m3979,6022l3979,6077m4156,6022l4156,6077m4333,6022l4333,6077m4509,6022l4509,6077m4686,6022l4686,6077m4863,6022l4863,6077m5039,6022l5039,6077m5218,6022l5218,6077m5395,6022l5395,6077m5572,6022l5572,6077m5749,6022l5749,6077e" filled="false" stroked="true" strokeweight=".661669pt" strokecolor="#858585">
              <v:path arrowok="t"/>
              <v:stroke dashstyle="solid"/>
            </v:shape>
            <v:shape style="position:absolute;left:3499;top:12873;width:1203;height:2489" coordorigin="3499,12873" coordsize="1203,2489" path="m4355,5881l4399,5995,4443,5989,4487,5652,4531,4859,4576,4982,4620,4758,4664,4641,4708,4615,4752,4619,4796,4612,4841,4559,4885,4511,4929,4467,4973,4441m4355,5751l4399,4905,4443,5716,4487,5357,4531,4676,4576,5480,4620,4522,4664,4388,4708,4412,4752,4458,4796,4482,4841,4421,4885,4337,4929,4297,4973,4278,5017,4229m4355,5751l4399,4925,4443,5705,4487,5495,4531,4903,4576,5617,4620,4729,4664,4416,4708,4392,4752,4436,4796,4511,4841,4496,4885,4469,4929,4449,4973,4388,5017,4333m4355,5751l4399,4960,4443,5683,4487,5570,4531,5114,4576,5846,4620,5064,4664,4663,4708,4390,4752,4227,4796,4183,4841,4187,4885,4190,4929,4190,4973,4190,5017,4176,5064,4159,5108,4159m4355,5751l4399,4960,4443,5683,4487,5469,4531,4978,4576,5753,4620,5051,4664,4852,4708,4637,4752,4474,4796,4372,4841,4313,4885,4258,4929,4220,4973,4172,5017,4145,5064,4112,5108,4086,5152,4088m4355,5788l4399,4890,4443,5683,4487,5469,4531,5106,4576,6121,4620,5528,4664,5465,4708,5167,4752,4912,4796,4643,4841,4463,4885,4311,4929,4205,4973,4130,5017,4075,5064,4035,5108,4002,5152,3985m4355,5824l4399,4927,4443,5683,4487,5467,4531,5141,4576,6147,4620,5663,4664,5429,4708,5121,4752,4993,4796,4504,4841,4397,4885,4313,4929,4264,4973,4229,5017,4201,5064,4183,5108,4152,5152,4137m4355,5824l4399,4927,4443,5683,4487,5467,4531,5141,4576,6147,4620,5579,4664,5222,4708,4914,4752,4760,4796,4341,4841,4352,4885,4260,4929,4214,4973,4168,5017,4115,5064,4073,5108,4040,5152,4011,5196,3994,5240,3985m4355,5824l4399,4927,4443,5683,4487,5504,4531,5106,4576,6147,4620,5579,4664,5015,4708,5174,4752,5007,4796,4672,4841,4852,4885,4352,4929,4275,4973,4148,5017,4112,5064,4075,5108,4055,5152,4029,5196,3994,5240,3985,5285,3967m4355,5824l4399,4927,4443,5683,4487,5504,4531,5141,4576,6183,4620,5579,4664,5015,4708,4910,4752,4659,4796,4403,4841,4608,4885,4344,4929,4357,4973,4183,5017,4126,5064,4079,5108,4040,5152,4011,5196,3974,5240,3965,5285,3963,5329,3945m4355,5786l4399,4925,4443,5683,4487,5504,4531,5139,4576,6077,4620,5544,4664,4978,4708,4910,4752,4775,4796,4438,4841,4766,4885,4456,4929,4408,4973,4335,5017,4190,5064,4137,5108,4090,5152,4038,5196,3994,5240,3952,5285,3930,5329,3914,5373,3914m4355,5786l4399,4925,4443,5683,4487,5504,4531,5139,4576,6077,4620,5544,4664,4978,4708,4910,4752,4775,4796,4566,4841,5150,4885,4971,4929,5044,4973,4914,5017,4599,5064,4467,5108,4346,5152,4269,5196,4143,5240,4051,5285,3978,5329,3919,5373,3905,5417,3899m4355,5786l4399,4925,4443,5683,4487,5504,4531,5139,4576,6077,4620,5544,4664,5013,4708,4874,4752,4775,4796,4566,4841,5070,4885,5244,4929,4974,4973,4830,5017,4531,5064,4082,5108,4286,5152,4247,5196,4190,5240,4165,5285,4121,5329,4071,5373,4046,5417,4035,5461,4018e" filled="false" stroked="true" strokeweight="1.323338pt" strokecolor="#bebebe">
              <v:path arrowok="t"/>
              <v:stroke dashstyle="solid"/>
            </v:shape>
            <v:shape style="position:absolute;left:228;top:11942;width:4234;height:4419" coordorigin="228,11942" coordsize="4234,4419" path="m1344,4502l1388,4403,1432,4029,1476,4040,1521,3934,1565,3974,1609,3787,1653,3696,1697,3300,1744,3170,1788,3476,1832,3828,1876,3760,1920,3980,1965,3956,2009,3368,2053,4449,2097,3831,2141,3564,2185,3624,2223,3044m2242,3044l2274,3298,2318,3657,2362,4007,2406,4515,2451,4212,2495,4383,2539,4727,2583,4537,2627,4725,2671,4496,2716,4115,2760,4190,2804,3923,2850,3745,2895,3663,2939,3613,2983,3833,3027,3650,3071,3899,3115,3386,3160,3643,3204,4086,3248,3738,3285,3044m3299,3044l3336,3894,3381,3522,3425,4108,3469,3778,3513,4042,3557,4604,3601,4711,3641,7099m3653,7099l3690,5592,3734,5799,3778,5700,3822,4630,3866,5275,3911,5092,3957,4967,4001,4670,4045,4879,4090,4987,4134,5103,4178,5705,4222,5321,4266,5176,4310,5454,4355,5775,4399,4996,4443,5729,4487,5568,4531,5169,4576,6218,4620,5608,4664,4991,4708,4841,4752,4722,4796,4529,4841,5059,4885,4982,4929,4826,4973,4850,5017,4815,5064,4872,5108,5026,5152,4916,5196,4740,5240,4791e" filled="false" stroked="true" strokeweight="1.76445pt" strokecolor="#001f5f">
              <v:path arrowok="t"/>
              <v:stroke dashstyle="solid"/>
            </v:shape>
            <v:line style="position:absolute" from="1331,3864" to="5254,3864" stroked="true" strokeweight="1.321296pt" strokecolor="#ff0000">
              <v:stroke dashstyle="dot"/>
            </v:line>
            <v:line style="position:absolute" from="1403,5299" to="1867,5299" stroked="true" strokeweight="1.321296pt" strokecolor="#bebebe">
              <v:stroke dashstyle="solid"/>
            </v:line>
            <v:line style="position:absolute" from="1403,5581" to="1867,5581" stroked="true" strokeweight="1.761728pt" strokecolor="#001f5f">
              <v:stroke dashstyle="solid"/>
            </v:line>
            <w10:wrap type="none"/>
          </v:group>
        </w:pict>
      </w:r>
      <w:r>
        <w:rPr/>
        <w:pict>
          <v:group style="position:absolute;margin-left:329.649414pt;margin-top:153.338898pt;width:224.25pt;height:202.6pt;mso-position-horizontal-relative:page;mso-position-vertical-relative:page;z-index:-253319168" coordorigin="6593,3067" coordsize="4485,4052">
            <v:rect style="position:absolute;left:6598;top:3072;width:4474;height:4016" filled="false" stroked="true" strokeweight=".129086pt" strokecolor="#000000">
              <v:stroke dashstyle="solid"/>
            </v:rect>
            <v:shape style="position:absolute;left:206;top:11836;width:4664;height:4498" coordorigin="206,11837" coordsize="4664,4498" path="m11071,7087l11071,3073m11013,7087l11071,7087m11013,6586l11071,6586m11013,6085l11071,6085m11013,5583l11071,5583m11013,5080l11071,5080m11013,4579l11071,4579m11013,4078l11071,4078m11013,3574l11071,3574m11013,3073l11071,3073m6600,5080l11071,5080m6600,5027l6600,5080m6775,5027l6775,5080m6950,5027l6950,5080m7125,5027l7125,5080m7299,5027l7299,5080m7477,5027l7477,5080m7651,5027l7651,5080m7826,5027l7826,5080m8001,5027l8001,5080m8178,5027l8178,5080m8353,5027l8353,5080m8528,5027l8528,5080m8703,5027l8703,5080m8878,5027l8878,5080m9055,5027l9055,5080m9230,5027l9230,5080m9405,5027l9405,5080m9580,5027l9580,5080m9757,5027l9757,5080m9932,5027l9932,5080m10107,5027l10107,5080m10282,5027l10282,5080m10456,5027l10456,5080m10634,5027l10634,5080m10809,5027l10809,5080m10983,5027l10983,5080e" filled="false" stroked="true" strokeweight=".666435pt" strokecolor="#858585">
              <v:path arrowok="t"/>
              <v:stroke dashstyle="solid"/>
            </v:shape>
            <v:shape style="position:absolute;left:3338;top:12667;width:1143;height:1937" coordorigin="3338,12667" coordsize="1143,1937" path="m9603,5316l9646,4791,9690,5153,9734,4688,9778,4819,9821,4673,9865,4470,9909,4352,9953,4277,9996,4255,10040,4253,10084,4236,10130,4213,10173,4176,10217,4133m9603,5543l9646,4746,9690,4695,9734,4127,9778,4159,9821,4348,9865,4324,9909,4397,9953,4408,9996,4354,10040,4262,10084,4187,10130,4127,10173,4050,10217,3983,10261,3889m9603,5543l9646,4894,9690,4746,9734,4116,9778,4176,9821,4232,9865,4300,9909,4420,9953,4418,9996,4360,10040,4270,10084,4198,10130,4168,10173,4125,10217,4073,10261,3986m9603,5316l9646,4635,9690,4600,9734,4273,9778,4313,9821,4388,9865,4382,9909,4251,9953,4300,9996,4262,10040,4204,10084,4155,10130,4106,10173,4063,10217,4003,10261,3930,10305,3874,10348,3814m9603,5395l9646,4722,9690,4690,9734,4249,9778,4557,9821,4543,9865,4502,9909,4420,9953,4170,9996,4228,10040,4202,10084,4168,10130,4123,10173,4084,10217,4039,10261,4001,10305,3951,10348,3917,10392,3909m9603,5339l9646,4690,9690,4667,9734,4243,9778,4562,9821,4808,9865,4787,9909,4710,9953,4489,9996,4283,10040,4258,10084,4247,10130,4245,10173,4219,10217,4198,10261,4181,10305,4168,10348,4163,10392,4161m9603,5204l9646,4669,9690,4652,9734,4266,9778,4575,9821,4540,9865,4575,9909,4587,9953,4429,9996,4478,10040,4506,10084,4401,10130,4399,10173,4388,10217,4294,10261,4277,10305,4253,10348,4241,10392,4223m9603,5174l9646,4658,9690,4712,9734,4425,9778,4812,9821,4793,9865,4665,9909,4480,9953,4309,9996,4371,10040,4453,10084,4420,10130,4339,10173,4275,10217,4221,10261,4223,10305,4232,10348,4217,10392,4204,10436,4208,10479,4206m9603,5179l9646,4667,9690,4722,9734,4416,9778,4737,9821,4735,9865,4680,9909,4585,9953,4735,9996,4765,10040,4742,10084,4660,10130,4339,10173,4279,10217,4255,10261,4253,10305,4266,10348,4281,10392,4292,10436,4296,10479,4283,10523,4266m9603,5179l9646,4665,9690,4725,9734,4416,9778,4725,9821,4695,9865,4598,9909,4423,9953,4560,9996,4292,10040,4358,10084,4390,10130,4116,10173,4399,10217,4350,10261,4330,10305,4339,10348,4343,10392,4335,10436,4328,10479,4307,10523,4279,10567,4258m9603,5080l9646,4442,9690,4613,9734,4264,9778,4697,9821,4705,9865,4722,9909,4605,9953,4630,9996,4403,10040,4478,10084,4575,10130,4281,10173,4487,10217,4360,10261,4223,10305,4238,10348,4251,10392,4258,10436,4262,10479,4228,10523,4211,10567,4206,10611,4185m9603,5063l9646,4418,9690,4596,9734,4245,9778,4684,9821,4727,9865,4748,9909,4669,9953,4722,9996,4517,10040,4701,10084,4945,10130,4697,10173,4896,10217,4682,10261,4382,10305,4324,10348,4275,10392,4243,10436,4213,10479,4196,10523,4187,10567,4174,10611,4168,10654,4161m9603,5063l9646,4420,9690,4598,9734,4247,9778,4688,9821,4731,9865,4750,9909,4662,9953,4686,9996,4455,10040,4630,10084,4817,10130,4570,10173,4915,10217,4727,10261,4483,10305,4463,10348,4309,10392,4281,10436,4290,10479,4283,10523,4279,10567,4277,10611,4266,10654,4255,10698,4253e" filled="false" stroked="true" strokeweight="1.33287pt" strokecolor="#bebebe">
              <v:path arrowok="t"/>
              <v:stroke dashstyle="solid"/>
            </v:shape>
            <v:shape style="position:absolute;left:228;top:11954;width:4025;height:4395" coordorigin="228,11954" coordsize="4025,4395" path="m6621,4390l6664,4292,6708,4388,6752,4065,6795,4172,6839,3968,6883,4018,6929,3729,6973,3904,7016,3966,7060,4013,7104,4215,7148,4264,7191,4566,7235,4054,7279,3829,7322,3581,7366,3335,7410,4007,7454,4412,7497,4435,7541,4337,7585,4013,7628,4127,7672,4247,7718,4397,7762,4305,7806,4148,7849,4069,7893,3953,7937,3906,7981,3759,8024,4112,8068,4146,8112,4566,8155,4962,8199,4727,8243,4390,8287,4110,8330,3178,8374,3572,8418,4106,8461,4515,8505,5202,8551,4555,8595,4416,8639,4155,8682,4148,8726,4686,8770,5232,8814,5958,8857,7076,8859,7100m8927,7100l8945,6802,8988,6142,9032,5061,9076,4097,9120,4326,9163,4536,9207,4472,9251,4804,9294,4881,9340,4294,9384,4450,9428,4425,9472,4892,9515,4960,9559,5269,9603,4960,9646,4453,9690,4720,9734,4442,9778,4851,9821,4812,9865,4778,9909,4530,9953,4671,9996,4446,10040,4703,10084,4902,10130,4665,10173,5061,10217,4772,10261,4502,10305,4605,10348,4590,10392,4540,10436,4720,10479,4851e" filled="false" stroked="true" strokeweight="1.777161pt" strokecolor="#001f5f">
              <v:path arrowok="t"/>
              <v:stroke dashstyle="solid"/>
            </v:shape>
            <v:line style="position:absolute" from="6683,6254" to="7166,6254" stroked="true" strokeweight="1.713473pt" strokecolor="#001f5f">
              <v:stroke dashstyle="solid"/>
            </v:line>
            <w10:wrap type="none"/>
          </v:group>
        </w:pict>
      </w:r>
      <w:r>
        <w:rPr/>
        <w:pict>
          <v:group style="position:absolute;margin-left:65.885742pt;margin-top:474.419342pt;width:204.85pt;height:178.4pt;mso-position-horizontal-relative:page;mso-position-vertical-relative:page;z-index:-253318144" coordorigin="1318,9488" coordsize="4097,3568">
            <v:rect style="position:absolute;left:1318;top:9496;width:4088;height:3555" filled="false" stroked="true" strokeweight=".127507pt" strokecolor="#000000">
              <v:stroke dashstyle="solid"/>
            </v:rect>
            <v:shape style="position:absolute;left:201;top:12487;width:4484;height:3908" coordorigin="202,12487" coordsize="4484,3908" path="m5407,13049l5407,9495m5350,13049l5407,13049m5350,12458l5407,12458m5350,11866l5407,11866m5350,11272l5407,11272m5350,10680l5407,10680m5350,10089l5407,10089m5350,9495l5407,9495m1318,10089l5407,10089e" filled="false" stroked="true" strokeweight=".655874pt" strokecolor="#858585">
              <v:path arrowok="t"/>
              <v:stroke dashstyle="solid"/>
            </v:shape>
            <v:shape style="position:absolute;left:1341;top:9949;width:4042;height:2195" coordorigin="1342,9949" coordsize="4042,2195" path="m1342,10130l1388,10165,1434,10165,1480,10170,1526,10137,1572,10124,1618,10135,1664,10074,1710,10080,1756,10082,1802,10104,1848,10089,1891,10106,1937,10178,1983,10082,2029,10015,2075,9977,2121,9993,2167,10049,2213,10076,2259,10043,2305,10036,2351,10017,2397,10071,2443,10067,2489,10093,2535,10054,2581,10071,2627,10047,2673,10049,2719,9997,2765,9982,2811,10039,2857,10047,2903,10095,2949,10172,2995,10174,3041,10104,3087,10087,3133,9949,3179,10041,3225,10095,3271,10172,3317,10196,3363,10135,3409,10156,3501,10196,3547,10261,3593,10410,3638,10600,3684,10894,3730,11073,3776,11043,3822,11071,3868,11108,3914,11063,3960,11082,4006,11161,4052,11183,4098,11215,4144,11255,4190,11196,4236,11252,4282,11279,4328,11427,4374,11386,4420,11514,4464,11469,4510,11497,4556,11519,4602,11582,4648,11632,4694,11652,4740,11665,4786,11672,4832,11755,4878,11722,4924,11794,4970,11849,5016,11875,5061,11936,5107,11940,5153,11929,5199,11980,5245,12038,5291,12030,5337,12063,5383,12143e" filled="false" stroked="true" strokeweight="1.7477pt" strokecolor="#ff0000">
              <v:path arrowok="t"/>
              <v:stroke dashstyle="solid"/>
            </v:shape>
            <v:shape style="position:absolute;left:1341;top:9789;width:4042;height:3140" coordorigin="1342,9790" coordsize="4042,3140" path="m1342,10141l1388,10191,1434,10183,1480,10161,1526,10146,1572,10204,1618,10156,1664,10113,1710,10010,1756,10039,1802,10058,1848,10095,1891,9977,1937,10056,1983,10069,2029,9973,2075,10100,2121,10039,2167,9993,2213,9910,2259,9886,2305,9901,2351,9936,2397,9932,2443,10023,2489,9969,2535,10043,2581,10117,2627,10165,2673,10154,2719,10174,2765,10163,2811,10229,2857,10156,2903,10137,2949,10108,2995,10161,3041,10139,3087,10080,3133,10106,3179,10043,3225,10080,3271,10119,3317,10067,3363,9818,3409,10078,3455,10032,3501,10111,3547,9790,3593,10106,3638,10189,3684,10294,3730,10595,3776,10491,3822,10622,3868,10702,3914,10759,3960,10803,4006,10892,4052,10942,4098,10932,4144,11023,4190,11137,4236,11215,4282,11342,4328,11344,4374,11425,4420,11567,4464,11770,4510,11591,4556,11842,4602,11947,4648,12056,4694,12121,4740,12228,4786,12191,4832,12268,4878,12307,4924,12368,4970,12453,5016,12512,5061,12514,5107,12582,5153,12659,5199,12731,5245,12768,5291,12811,5337,12848,5383,12929e" filled="false" stroked="true" strokeweight="1.748409pt" strokecolor="#001f5f">
              <v:path arrowok="t"/>
              <v:stroke dashstyle="solid"/>
            </v:shape>
            <v:line style="position:absolute" from="1631,11761" to="1981,11761" stroked="true" strokeweight="1.746614pt" strokecolor="#ff0000">
              <v:stroke dashstyle="solid"/>
            </v:line>
            <v:line style="position:absolute" from="1631,12056" to="1981,12056" stroked="true" strokeweight="1.746614pt" strokecolor="#001f5f">
              <v:stroke dashstyle="solid"/>
            </v:line>
            <w10:wrap type="none"/>
          </v:group>
        </w:pict>
      </w:r>
      <w:r>
        <w:rPr/>
        <w:pict>
          <v:group style="position:absolute;margin-left:310.335175pt;margin-top:471.068115pt;width:203.75pt;height:224.5pt;mso-position-horizontal-relative:page;mso-position-vertical-relative:page;z-index:-253317120" coordorigin="6207,9421" coordsize="4075,4490">
            <v:rect style="position:absolute;left:6212;top:9427;width:4063;height:3537" filled="false" stroked="true" strokeweight=".139798pt" strokecolor="#000000">
              <v:stroke dashstyle="solid"/>
            </v:rect>
            <v:shape style="position:absolute;left:6290;top:11654;width:3578;height:1310" coordorigin="6291,11654" coordsize="3578,1310" path="m6620,12343l6291,12343,6291,12963,6620,12963,6620,12343m7431,11654l7105,11654,7105,12963,7431,12963,7431,11654m9057,12386l8728,12386,8728,12963,9057,12963,9057,12386m9868,11946l9542,11946,9542,12963,9868,12963,9868,11946e" filled="true" fillcolor="#002599" stroked="false">
              <v:path arrowok="t"/>
              <v:fill type="solid"/>
            </v:shape>
            <v:shape style="position:absolute;left:6619;top:9811;width:3578;height:3152" coordorigin="6620,9811" coordsize="3578,3152" path="m6946,11922l6620,11922,6620,12963,6946,12963,6946,11922m7760,9811l7431,9811,7431,12963,7760,12963,7760,9811m9383,12286l9057,12286,9057,12963,9383,12963,9383,12286m10197,10393l9868,10393,9868,12963,10197,12963,10197,10393e" filled="true" fillcolor="#cc0099" stroked="false">
              <v:path arrowok="t"/>
              <v:fill type="solid"/>
            </v:shape>
            <v:shape style="position:absolute;left:220;top:12244;width:4059;height:4496" coordorigin="221,12245" coordsize="4059,4496" path="m10274,12963l10274,9429m10214,12963l10274,12963m10214,12611l10274,12611m10214,12257l10274,12257m10214,11903l10274,11903m10214,11549l10274,11549m10214,11197l10274,11197m10214,10843l10274,10843m10214,10489l10274,10489m10214,10134l10274,10134m10214,9780l10274,9780m10214,9429l10274,9429m6214,12963l10274,12963m6214,12903l6214,12963,6214,13552m7026,12903l7026,12963,7026,13552m7837,12903l7837,12963,7837,13552m8651,12903l8651,12963,8651,13552m9463,12903l9463,12963,9463,13552m10274,12903l10274,12963,10274,13552m6214,13552l6214,13911m8651,13552l8651,13911m10274,13552l10274,13911e" filled="false" stroked="true" strokeweight=".719129pt" strokecolor="#858585">
              <v:path arrowok="t"/>
              <v:stroke dashstyle="solid"/>
            </v:shape>
            <v:rect style="position:absolute;left:8178;top:9816;width:92;height:91" filled="true" fillcolor="#002599" stroked="false">
              <v:fill type="solid"/>
            </v:rect>
            <v:rect style="position:absolute;left:8178;top:10045;width:92;height:91" filled="true" fillcolor="#cc0099" stroked="false">
              <v:fill type="solid"/>
            </v:rect>
            <w10:wrap type="none"/>
          </v:group>
        </w:pict>
      </w:r>
    </w:p>
    <w:p>
      <w:pPr>
        <w:pStyle w:val="BodyText"/>
        <w:spacing w:before="8"/>
        <w:rPr>
          <w:sz w:val="11"/>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69"/>
        <w:gridCol w:w="5293"/>
      </w:tblGrid>
      <w:tr>
        <w:trPr>
          <w:trHeight w:val="707" w:hRule="atLeast"/>
        </w:trPr>
        <w:tc>
          <w:tcPr>
            <w:tcW w:w="5269" w:type="dxa"/>
          </w:tcPr>
          <w:p>
            <w:pPr>
              <w:pStyle w:val="TableParagraph"/>
              <w:spacing w:line="225" w:lineRule="exact"/>
              <w:ind w:left="108"/>
              <w:rPr>
                <w:b/>
                <w:sz w:val="20"/>
              </w:rPr>
            </w:pPr>
            <w:r>
              <w:rPr>
                <w:b/>
                <w:sz w:val="20"/>
              </w:rPr>
              <w:t>Chart 1: Inflation Report pay growth forecasts</w:t>
            </w:r>
          </w:p>
        </w:tc>
        <w:tc>
          <w:tcPr>
            <w:tcW w:w="5293" w:type="dxa"/>
          </w:tcPr>
          <w:p>
            <w:pPr>
              <w:pStyle w:val="TableParagraph"/>
              <w:spacing w:line="360" w:lineRule="auto"/>
              <w:ind w:left="108"/>
              <w:rPr>
                <w:b/>
                <w:sz w:val="20"/>
              </w:rPr>
            </w:pPr>
            <w:r>
              <w:rPr>
                <w:b/>
                <w:sz w:val="20"/>
              </w:rPr>
              <w:t>Chart 2: Inflation Report productivity per head forecasts</w:t>
            </w:r>
          </w:p>
        </w:tc>
      </w:tr>
      <w:tr>
        <w:trPr>
          <w:trHeight w:val="4970" w:hRule="atLeast"/>
        </w:trPr>
        <w:tc>
          <w:tcPr>
            <w:tcW w:w="5269" w:type="dxa"/>
          </w:tcPr>
          <w:p>
            <w:pPr>
              <w:pStyle w:val="TableParagraph"/>
              <w:spacing w:line="140" w:lineRule="exact" w:before="123"/>
              <w:ind w:left="2492"/>
              <w:rPr>
                <w:sz w:val="14"/>
              </w:rPr>
            </w:pPr>
            <w:r>
              <w:rPr>
                <w:w w:val="105"/>
                <w:sz w:val="14"/>
              </w:rPr>
              <w:t>Percentage change on a year earlier</w:t>
            </w:r>
          </w:p>
          <w:p>
            <w:pPr>
              <w:pStyle w:val="TableParagraph"/>
              <w:spacing w:line="186" w:lineRule="exact"/>
              <w:ind w:left="4972"/>
              <w:rPr>
                <w:sz w:val="18"/>
              </w:rPr>
            </w:pPr>
            <w:r>
              <w:rPr>
                <w:w w:val="101"/>
                <w:sz w:val="18"/>
              </w:rPr>
              <w:t>6</w:t>
            </w:r>
          </w:p>
          <w:p>
            <w:pPr>
              <w:pStyle w:val="TableParagraph"/>
              <w:rPr>
                <w:sz w:val="20"/>
              </w:rPr>
            </w:pPr>
          </w:p>
          <w:p>
            <w:pPr>
              <w:pStyle w:val="TableParagraph"/>
              <w:rPr>
                <w:sz w:val="20"/>
              </w:rPr>
            </w:pPr>
          </w:p>
          <w:p>
            <w:pPr>
              <w:pStyle w:val="TableParagraph"/>
              <w:spacing w:before="10"/>
              <w:rPr>
                <w:sz w:val="29"/>
              </w:rPr>
            </w:pPr>
          </w:p>
          <w:p>
            <w:pPr>
              <w:pStyle w:val="TableParagraph"/>
              <w:ind w:left="4972"/>
              <w:rPr>
                <w:sz w:val="18"/>
              </w:rPr>
            </w:pPr>
            <w:r>
              <w:rPr>
                <w:w w:val="101"/>
                <w:sz w:val="18"/>
              </w:rPr>
              <w:t>4</w:t>
            </w:r>
          </w:p>
          <w:p>
            <w:pPr>
              <w:pStyle w:val="TableParagraph"/>
              <w:rPr>
                <w:sz w:val="20"/>
              </w:rPr>
            </w:pPr>
          </w:p>
          <w:p>
            <w:pPr>
              <w:pStyle w:val="TableParagraph"/>
              <w:rPr>
                <w:sz w:val="20"/>
              </w:rPr>
            </w:pPr>
          </w:p>
          <w:p>
            <w:pPr>
              <w:pStyle w:val="TableParagraph"/>
              <w:spacing w:before="10"/>
              <w:rPr>
                <w:sz w:val="29"/>
              </w:rPr>
            </w:pPr>
          </w:p>
          <w:p>
            <w:pPr>
              <w:pStyle w:val="TableParagraph"/>
              <w:ind w:left="4972"/>
              <w:rPr>
                <w:sz w:val="18"/>
              </w:rPr>
            </w:pPr>
            <w:r>
              <w:rPr>
                <w:w w:val="101"/>
                <w:sz w:val="18"/>
              </w:rPr>
              <w:t>2</w:t>
            </w:r>
          </w:p>
          <w:p>
            <w:pPr>
              <w:pStyle w:val="TableParagraph"/>
              <w:spacing w:before="54"/>
              <w:ind w:left="893"/>
              <w:rPr>
                <w:sz w:val="14"/>
              </w:rPr>
            </w:pPr>
            <w:r>
              <w:rPr>
                <w:w w:val="105"/>
                <w:sz w:val="14"/>
              </w:rPr>
              <w:t>May 2013 - May 2016 IRs</w:t>
            </w:r>
          </w:p>
          <w:p>
            <w:pPr>
              <w:pStyle w:val="TableParagraph"/>
              <w:spacing w:before="119"/>
              <w:ind w:left="893"/>
              <w:rPr>
                <w:sz w:val="14"/>
              </w:rPr>
            </w:pPr>
            <w:r>
              <w:rPr>
                <w:w w:val="105"/>
                <w:sz w:val="14"/>
              </w:rPr>
              <w:t>Pay growth</w:t>
            </w:r>
          </w:p>
          <w:p>
            <w:pPr>
              <w:pStyle w:val="TableParagraph"/>
              <w:tabs>
                <w:tab w:pos="878" w:val="left" w:leader="none"/>
              </w:tabs>
              <w:spacing w:before="120"/>
              <w:ind w:left="378"/>
              <w:rPr>
                <w:sz w:val="14"/>
              </w:rPr>
            </w:pPr>
            <w:r>
              <w:rPr>
                <w:w w:val="105"/>
                <w:sz w:val="14"/>
                <w:u w:val="thick" w:color="FF0000"/>
              </w:rPr>
              <w:t> </w:t>
            </w:r>
            <w:r>
              <w:rPr>
                <w:sz w:val="14"/>
                <w:u w:val="thick" w:color="FF0000"/>
              </w:rPr>
              <w:tab/>
            </w:r>
            <w:r>
              <w:rPr>
                <w:spacing w:val="-24"/>
                <w:sz w:val="14"/>
              </w:rPr>
              <w:t> </w:t>
            </w:r>
            <w:r>
              <w:rPr>
                <w:w w:val="105"/>
                <w:sz w:val="14"/>
              </w:rPr>
              <w:t>1996-2007</w:t>
            </w:r>
            <w:r>
              <w:rPr>
                <w:spacing w:val="-2"/>
                <w:w w:val="105"/>
                <w:sz w:val="14"/>
              </w:rPr>
              <w:t> </w:t>
            </w:r>
            <w:r>
              <w:rPr>
                <w:w w:val="105"/>
                <w:sz w:val="14"/>
              </w:rPr>
              <w:t>average</w:t>
            </w:r>
          </w:p>
          <w:p>
            <w:pPr>
              <w:pStyle w:val="TableParagraph"/>
              <w:spacing w:before="29"/>
              <w:ind w:left="4972"/>
              <w:rPr>
                <w:sz w:val="18"/>
              </w:rPr>
            </w:pPr>
            <w:r>
              <w:rPr>
                <w:w w:val="102"/>
                <w:sz w:val="18"/>
              </w:rPr>
              <w:t>0</w:t>
            </w:r>
          </w:p>
          <w:p>
            <w:pPr>
              <w:pStyle w:val="TableParagraph"/>
              <w:rPr>
                <w:sz w:val="20"/>
              </w:rPr>
            </w:pPr>
          </w:p>
          <w:p>
            <w:pPr>
              <w:pStyle w:val="TableParagraph"/>
              <w:rPr>
                <w:sz w:val="20"/>
              </w:rPr>
            </w:pPr>
          </w:p>
          <w:p>
            <w:pPr>
              <w:pStyle w:val="TableParagraph"/>
              <w:spacing w:before="10"/>
              <w:rPr>
                <w:sz w:val="29"/>
              </w:rPr>
            </w:pPr>
          </w:p>
          <w:p>
            <w:pPr>
              <w:pStyle w:val="TableParagraph"/>
              <w:ind w:left="4972"/>
              <w:rPr>
                <w:sz w:val="18"/>
              </w:rPr>
            </w:pPr>
            <w:r>
              <w:rPr>
                <w:sz w:val="18"/>
              </w:rPr>
              <w:t>-2</w:t>
            </w:r>
          </w:p>
          <w:p>
            <w:pPr>
              <w:pStyle w:val="TableParagraph"/>
              <w:spacing w:before="12"/>
              <w:ind w:left="216"/>
              <w:rPr>
                <w:sz w:val="18"/>
              </w:rPr>
            </w:pPr>
            <w:r>
              <w:rPr>
                <w:sz w:val="18"/>
              </w:rPr>
              <w:t>96 98 00 02 04 06 08 10 12 14 16 18</w:t>
            </w:r>
          </w:p>
        </w:tc>
        <w:tc>
          <w:tcPr>
            <w:tcW w:w="5293" w:type="dxa"/>
          </w:tcPr>
          <w:p>
            <w:pPr>
              <w:pStyle w:val="TableParagraph"/>
              <w:spacing w:before="69"/>
              <w:ind w:left="2451"/>
              <w:rPr>
                <w:sz w:val="14"/>
              </w:rPr>
            </w:pPr>
            <w:r>
              <w:rPr>
                <w:w w:val="110"/>
                <w:sz w:val="14"/>
              </w:rPr>
              <w:t>Percentage change on a year earlier</w:t>
            </w:r>
          </w:p>
          <w:p>
            <w:pPr>
              <w:pStyle w:val="TableParagraph"/>
              <w:spacing w:before="48"/>
              <w:ind w:right="229"/>
              <w:jc w:val="right"/>
              <w:rPr>
                <w:sz w:val="17"/>
              </w:rPr>
            </w:pPr>
            <w:r>
              <w:rPr>
                <w:w w:val="112"/>
                <w:sz w:val="17"/>
              </w:rPr>
              <w:t>4</w:t>
            </w:r>
          </w:p>
          <w:p>
            <w:pPr>
              <w:pStyle w:val="TableParagraph"/>
              <w:spacing w:before="7"/>
              <w:rPr>
                <w:sz w:val="26"/>
              </w:rPr>
            </w:pPr>
          </w:p>
          <w:p>
            <w:pPr>
              <w:pStyle w:val="TableParagraph"/>
              <w:spacing w:before="1"/>
              <w:ind w:right="229"/>
              <w:jc w:val="right"/>
              <w:rPr>
                <w:sz w:val="17"/>
              </w:rPr>
            </w:pPr>
            <w:r>
              <w:rPr>
                <w:w w:val="112"/>
                <w:sz w:val="17"/>
              </w:rPr>
              <w:t>3</w:t>
            </w:r>
          </w:p>
          <w:p>
            <w:pPr>
              <w:pStyle w:val="TableParagraph"/>
              <w:spacing w:before="7"/>
              <w:rPr>
                <w:sz w:val="26"/>
              </w:rPr>
            </w:pPr>
          </w:p>
          <w:p>
            <w:pPr>
              <w:pStyle w:val="TableParagraph"/>
              <w:tabs>
                <w:tab w:pos="4475" w:val="left" w:leader="none"/>
              </w:tabs>
              <w:ind w:right="229"/>
              <w:jc w:val="right"/>
              <w:rPr>
                <w:sz w:val="17"/>
              </w:rPr>
            </w:pPr>
            <w:r>
              <w:rPr>
                <w:w w:val="101"/>
                <w:position w:val="2"/>
                <w:sz w:val="18"/>
                <w:u w:val="thick" w:color="FF0000"/>
              </w:rPr>
              <w:t> </w:t>
            </w:r>
            <w:r>
              <w:rPr>
                <w:position w:val="2"/>
                <w:sz w:val="18"/>
                <w:u w:val="thick" w:color="FF0000"/>
              </w:rPr>
              <w:tab/>
            </w:r>
            <w:r>
              <w:rPr>
                <w:position w:val="2"/>
                <w:sz w:val="18"/>
              </w:rPr>
              <w:t>  </w:t>
            </w:r>
            <w:r>
              <w:rPr>
                <w:spacing w:val="-8"/>
                <w:position w:val="2"/>
                <w:sz w:val="18"/>
              </w:rPr>
              <w:t> </w:t>
            </w:r>
            <w:r>
              <w:rPr>
                <w:spacing w:val="-1"/>
                <w:w w:val="110"/>
                <w:sz w:val="17"/>
              </w:rPr>
              <w:t>2</w:t>
            </w:r>
          </w:p>
          <w:p>
            <w:pPr>
              <w:pStyle w:val="TableParagraph"/>
              <w:spacing w:before="8"/>
              <w:rPr>
                <w:sz w:val="26"/>
              </w:rPr>
            </w:pPr>
          </w:p>
          <w:p>
            <w:pPr>
              <w:pStyle w:val="TableParagraph"/>
              <w:ind w:right="229"/>
              <w:jc w:val="right"/>
              <w:rPr>
                <w:sz w:val="17"/>
              </w:rPr>
            </w:pPr>
            <w:r>
              <w:rPr>
                <w:w w:val="112"/>
                <w:sz w:val="17"/>
              </w:rPr>
              <w:t>1</w:t>
            </w:r>
          </w:p>
          <w:p>
            <w:pPr>
              <w:pStyle w:val="TableParagraph"/>
              <w:spacing w:before="7"/>
              <w:rPr>
                <w:sz w:val="26"/>
              </w:rPr>
            </w:pPr>
          </w:p>
          <w:p>
            <w:pPr>
              <w:pStyle w:val="TableParagraph"/>
              <w:ind w:right="229"/>
              <w:jc w:val="right"/>
              <w:rPr>
                <w:sz w:val="17"/>
              </w:rPr>
            </w:pPr>
            <w:r>
              <w:rPr>
                <w:w w:val="112"/>
                <w:sz w:val="17"/>
              </w:rPr>
              <w:t>0</w:t>
            </w:r>
          </w:p>
          <w:p>
            <w:pPr>
              <w:pStyle w:val="TableParagraph"/>
              <w:spacing w:before="10"/>
              <w:rPr>
                <w:sz w:val="25"/>
              </w:rPr>
            </w:pPr>
          </w:p>
          <w:p>
            <w:pPr>
              <w:pStyle w:val="TableParagraph"/>
              <w:spacing w:before="1"/>
              <w:ind w:right="164"/>
              <w:jc w:val="right"/>
              <w:rPr>
                <w:sz w:val="18"/>
              </w:rPr>
            </w:pPr>
            <w:r>
              <w:rPr>
                <w:w w:val="105"/>
                <w:sz w:val="18"/>
              </w:rPr>
              <w:t>-1</w:t>
            </w:r>
          </w:p>
          <w:p>
            <w:pPr>
              <w:pStyle w:val="TableParagraph"/>
              <w:tabs>
                <w:tab w:pos="909" w:val="left" w:leader="none"/>
              </w:tabs>
              <w:spacing w:before="106"/>
              <w:ind w:left="388"/>
              <w:rPr>
                <w:sz w:val="14"/>
              </w:rPr>
            </w:pPr>
            <w:r>
              <w:rPr>
                <w:w w:val="110"/>
                <w:sz w:val="14"/>
                <w:u w:val="thick" w:color="BEBEBE"/>
              </w:rPr>
              <w:t> </w:t>
            </w:r>
            <w:r>
              <w:rPr>
                <w:sz w:val="14"/>
                <w:u w:val="thick" w:color="BEBEBE"/>
              </w:rPr>
              <w:tab/>
            </w:r>
            <w:r>
              <w:rPr>
                <w:spacing w:val="-22"/>
                <w:sz w:val="14"/>
              </w:rPr>
              <w:t> </w:t>
            </w:r>
            <w:r>
              <w:rPr>
                <w:w w:val="110"/>
                <w:sz w:val="14"/>
              </w:rPr>
              <w:t>May 2013 - May</w:t>
            </w:r>
            <w:r>
              <w:rPr>
                <w:spacing w:val="-6"/>
                <w:w w:val="110"/>
                <w:sz w:val="14"/>
              </w:rPr>
              <w:t> </w:t>
            </w:r>
            <w:r>
              <w:rPr>
                <w:w w:val="110"/>
                <w:sz w:val="14"/>
              </w:rPr>
              <w:t>2016</w:t>
            </w:r>
          </w:p>
          <w:p>
            <w:pPr>
              <w:pStyle w:val="TableParagraph"/>
              <w:tabs>
                <w:tab w:pos="4944" w:val="left" w:leader="none"/>
              </w:tabs>
              <w:spacing w:line="184" w:lineRule="auto" w:before="28"/>
              <w:ind w:left="926"/>
              <w:rPr>
                <w:sz w:val="18"/>
              </w:rPr>
            </w:pPr>
            <w:r>
              <w:rPr>
                <w:w w:val="110"/>
                <w:sz w:val="14"/>
              </w:rPr>
              <w:t>IRs</w:t>
              <w:tab/>
            </w:r>
            <w:r>
              <w:rPr>
                <w:w w:val="110"/>
                <w:position w:val="-5"/>
                <w:sz w:val="18"/>
              </w:rPr>
              <w:t>-2</w:t>
            </w:r>
          </w:p>
          <w:p>
            <w:pPr>
              <w:pStyle w:val="TableParagraph"/>
              <w:spacing w:before="11"/>
              <w:ind w:left="926"/>
              <w:rPr>
                <w:sz w:val="14"/>
              </w:rPr>
            </w:pPr>
            <w:r>
              <w:rPr>
                <w:w w:val="110"/>
                <w:sz w:val="14"/>
              </w:rPr>
              <w:t>Productivity growth</w:t>
            </w:r>
          </w:p>
          <w:p>
            <w:pPr>
              <w:pStyle w:val="TableParagraph"/>
              <w:spacing w:before="5"/>
              <w:rPr>
                <w:sz w:val="13"/>
              </w:rPr>
            </w:pPr>
          </w:p>
          <w:p>
            <w:pPr>
              <w:pStyle w:val="TableParagraph"/>
              <w:tabs>
                <w:tab w:pos="520" w:val="left" w:leader="none"/>
                <w:tab w:pos="4556" w:val="left" w:leader="none"/>
              </w:tabs>
              <w:spacing w:before="1"/>
              <w:ind w:right="164"/>
              <w:jc w:val="right"/>
              <w:rPr>
                <w:sz w:val="17"/>
              </w:rPr>
            </w:pPr>
            <w:r>
              <w:rPr>
                <w:w w:val="110"/>
                <w:sz w:val="14"/>
                <w:u w:val="thick" w:color="FF0000"/>
              </w:rPr>
              <w:t> </w:t>
            </w:r>
            <w:r>
              <w:rPr>
                <w:sz w:val="14"/>
                <w:u w:val="thick" w:color="FF0000"/>
              </w:rPr>
              <w:tab/>
            </w:r>
            <w:r>
              <w:rPr>
                <w:spacing w:val="-22"/>
                <w:sz w:val="14"/>
              </w:rPr>
              <w:t> </w:t>
            </w:r>
            <w:r>
              <w:rPr>
                <w:w w:val="110"/>
                <w:sz w:val="14"/>
              </w:rPr>
              <w:t>1996-2007</w:t>
            </w:r>
            <w:r>
              <w:rPr>
                <w:spacing w:val="-6"/>
                <w:w w:val="110"/>
                <w:sz w:val="14"/>
              </w:rPr>
              <w:t> </w:t>
            </w:r>
            <w:r>
              <w:rPr>
                <w:w w:val="110"/>
                <w:sz w:val="14"/>
              </w:rPr>
              <w:t>average</w:t>
              <w:tab/>
            </w:r>
            <w:r>
              <w:rPr>
                <w:spacing w:val="-1"/>
                <w:w w:val="110"/>
                <w:position w:val="4"/>
                <w:sz w:val="17"/>
              </w:rPr>
              <w:t>-3</w:t>
            </w:r>
          </w:p>
          <w:p>
            <w:pPr>
              <w:pStyle w:val="TableParagraph"/>
              <w:spacing w:before="8"/>
              <w:rPr>
                <w:sz w:val="23"/>
              </w:rPr>
            </w:pPr>
          </w:p>
          <w:p>
            <w:pPr>
              <w:pStyle w:val="TableParagraph"/>
              <w:ind w:left="4944"/>
              <w:rPr>
                <w:sz w:val="17"/>
              </w:rPr>
            </w:pPr>
            <w:r>
              <w:rPr>
                <w:w w:val="110"/>
                <w:sz w:val="17"/>
              </w:rPr>
              <w:t>-4</w:t>
            </w:r>
          </w:p>
          <w:p>
            <w:pPr>
              <w:pStyle w:val="TableParagraph"/>
              <w:spacing w:before="8"/>
              <w:ind w:left="220"/>
              <w:rPr>
                <w:sz w:val="18"/>
              </w:rPr>
            </w:pPr>
            <w:r>
              <w:rPr>
                <w:w w:val="105"/>
                <w:sz w:val="18"/>
              </w:rPr>
              <w:t>96 98 00 02 04 06 08 10 12 14 16 18</w:t>
            </w:r>
          </w:p>
        </w:tc>
      </w:tr>
      <w:tr>
        <w:trPr>
          <w:trHeight w:val="352" w:hRule="atLeast"/>
        </w:trPr>
        <w:tc>
          <w:tcPr>
            <w:tcW w:w="5269" w:type="dxa"/>
          </w:tcPr>
          <w:p>
            <w:pPr>
              <w:pStyle w:val="TableParagraph"/>
              <w:spacing w:line="227" w:lineRule="exact"/>
              <w:ind w:left="108"/>
              <w:rPr>
                <w:sz w:val="20"/>
              </w:rPr>
            </w:pPr>
            <w:r>
              <w:rPr>
                <w:sz w:val="20"/>
              </w:rPr>
              <w:t>Source: ONS and Bank calculations</w:t>
            </w:r>
          </w:p>
        </w:tc>
        <w:tc>
          <w:tcPr>
            <w:tcW w:w="5293" w:type="dxa"/>
          </w:tcPr>
          <w:p>
            <w:pPr>
              <w:pStyle w:val="TableParagraph"/>
              <w:spacing w:line="227" w:lineRule="exact"/>
              <w:ind w:left="108"/>
              <w:rPr>
                <w:sz w:val="20"/>
              </w:rPr>
            </w:pPr>
            <w:r>
              <w:rPr>
                <w:sz w:val="20"/>
              </w:rPr>
              <w:t>Source: ONS and Bank calculations</w:t>
            </w:r>
          </w:p>
        </w:tc>
      </w:tr>
    </w:tbl>
    <w:p>
      <w:pPr>
        <w:pStyle w:val="BodyText"/>
      </w:pPr>
    </w:p>
    <w:p>
      <w:pPr>
        <w:pStyle w:val="BodyText"/>
        <w:rPr>
          <w:sz w:val="10"/>
        </w:rPr>
      </w:pPr>
    </w:p>
    <w:tbl>
      <w:tblPr>
        <w:tblW w:w="0" w:type="auto"/>
        <w:jc w:val="left"/>
        <w:tblInd w:w="1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0"/>
        <w:gridCol w:w="368"/>
        <w:gridCol w:w="1526"/>
        <w:gridCol w:w="314"/>
        <w:gridCol w:w="369"/>
        <w:gridCol w:w="369"/>
        <w:gridCol w:w="369"/>
        <w:gridCol w:w="1054"/>
        <w:gridCol w:w="1115"/>
        <w:gridCol w:w="1035"/>
        <w:gridCol w:w="2370"/>
        <w:gridCol w:w="483"/>
      </w:tblGrid>
      <w:tr>
        <w:trPr>
          <w:trHeight w:val="690" w:hRule="atLeast"/>
        </w:trPr>
        <w:tc>
          <w:tcPr>
            <w:tcW w:w="4869" w:type="dxa"/>
            <w:gridSpan w:val="8"/>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8"/>
              <w:rPr>
                <w:b/>
                <w:sz w:val="20"/>
              </w:rPr>
            </w:pPr>
            <w:r>
              <w:rPr>
                <w:b/>
                <w:sz w:val="20"/>
              </w:rPr>
              <w:t>Chart 3: Deviations from pre-crisis trends (%)</w:t>
            </w:r>
          </w:p>
        </w:tc>
        <w:tc>
          <w:tcPr>
            <w:tcW w:w="5003" w:type="dxa"/>
            <w:gridSpan w:val="4"/>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Pr>
                <w:b/>
                <w:sz w:val="20"/>
              </w:rPr>
            </w:pPr>
            <w:r>
              <w:rPr>
                <w:b/>
                <w:sz w:val="20"/>
              </w:rPr>
              <w:t>Chart 4: Average absolute error of cumulative</w:t>
            </w:r>
          </w:p>
          <w:p>
            <w:pPr>
              <w:pStyle w:val="TableParagraph"/>
              <w:spacing w:before="115"/>
              <w:ind w:left="100"/>
              <w:rPr>
                <w:b/>
                <w:sz w:val="20"/>
              </w:rPr>
            </w:pPr>
            <w:r>
              <w:rPr>
                <w:b/>
                <w:sz w:val="20"/>
              </w:rPr>
              <w:t>growth in forecasts</w:t>
            </w:r>
          </w:p>
        </w:tc>
      </w:tr>
      <w:tr>
        <w:trPr>
          <w:trHeight w:val="532" w:hRule="atLeast"/>
        </w:trPr>
        <w:tc>
          <w:tcPr>
            <w:tcW w:w="500" w:type="dxa"/>
            <w:tcBorders>
              <w:top w:val="single" w:sz="4" w:space="0" w:color="000000"/>
              <w:left w:val="single" w:sz="4" w:space="0" w:color="000000"/>
            </w:tcBorders>
          </w:tcPr>
          <w:p>
            <w:pPr>
              <w:pStyle w:val="TableParagraph"/>
              <w:rPr>
                <w:rFonts w:ascii="Times New Roman"/>
                <w:sz w:val="18"/>
              </w:rPr>
            </w:pPr>
          </w:p>
        </w:tc>
        <w:tc>
          <w:tcPr>
            <w:tcW w:w="368" w:type="dxa"/>
            <w:tcBorders>
              <w:top w:val="single" w:sz="4" w:space="0" w:color="000000"/>
            </w:tcBorders>
          </w:tcPr>
          <w:p>
            <w:pPr>
              <w:pStyle w:val="TableParagraph"/>
              <w:rPr>
                <w:rFonts w:ascii="Times New Roman"/>
                <w:sz w:val="18"/>
              </w:rPr>
            </w:pPr>
          </w:p>
        </w:tc>
        <w:tc>
          <w:tcPr>
            <w:tcW w:w="1526" w:type="dxa"/>
            <w:vMerge w:val="restart"/>
            <w:tcBorders>
              <w:top w:val="single" w:sz="4" w:space="0" w:color="000000"/>
              <w:bottom w:val="single" w:sz="4" w:space="0" w:color="000000"/>
            </w:tcBorders>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9"/>
              <w:rPr>
                <w:sz w:val="16"/>
              </w:rPr>
            </w:pPr>
          </w:p>
          <w:p>
            <w:pPr>
              <w:pStyle w:val="TableParagraph"/>
              <w:spacing w:before="1"/>
              <w:ind w:left="130"/>
              <w:rPr>
                <w:sz w:val="14"/>
              </w:rPr>
            </w:pPr>
            <w:r>
              <w:rPr>
                <w:w w:val="105"/>
                <w:sz w:val="14"/>
              </w:rPr>
              <w:t>Productivity per head</w:t>
            </w:r>
          </w:p>
          <w:p>
            <w:pPr>
              <w:pStyle w:val="TableParagraph"/>
              <w:spacing w:before="133"/>
              <w:ind w:left="130"/>
              <w:rPr>
                <w:sz w:val="14"/>
              </w:rPr>
            </w:pPr>
            <w:r>
              <w:rPr>
                <w:w w:val="105"/>
                <w:sz w:val="14"/>
              </w:rPr>
              <w:t>Pay per head</w:t>
            </w: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105"/>
              <w:ind w:left="87"/>
              <w:rPr>
                <w:sz w:val="18"/>
              </w:rPr>
            </w:pPr>
            <w:r>
              <w:rPr>
                <w:sz w:val="18"/>
              </w:rPr>
              <w:t>00 02 04 06</w:t>
            </w:r>
          </w:p>
        </w:tc>
        <w:tc>
          <w:tcPr>
            <w:tcW w:w="314" w:type="dxa"/>
            <w:tcBorders>
              <w:top w:val="single" w:sz="4" w:space="0" w:color="000000"/>
            </w:tcBorders>
          </w:tcPr>
          <w:p>
            <w:pPr>
              <w:pStyle w:val="TableParagraph"/>
              <w:rPr>
                <w:rFonts w:ascii="Times New Roman"/>
                <w:sz w:val="18"/>
              </w:rPr>
            </w:pPr>
          </w:p>
        </w:tc>
        <w:tc>
          <w:tcPr>
            <w:tcW w:w="369" w:type="dxa"/>
            <w:tcBorders>
              <w:top w:val="single" w:sz="4" w:space="0" w:color="000000"/>
            </w:tcBorders>
          </w:tcPr>
          <w:p>
            <w:pPr>
              <w:pStyle w:val="TableParagraph"/>
              <w:rPr>
                <w:rFonts w:ascii="Times New Roman"/>
                <w:sz w:val="18"/>
              </w:rPr>
            </w:pPr>
          </w:p>
        </w:tc>
        <w:tc>
          <w:tcPr>
            <w:tcW w:w="369" w:type="dxa"/>
            <w:tcBorders>
              <w:top w:val="single" w:sz="4" w:space="0" w:color="000000"/>
            </w:tcBorders>
          </w:tcPr>
          <w:p>
            <w:pPr>
              <w:pStyle w:val="TableParagraph"/>
              <w:rPr>
                <w:rFonts w:ascii="Times New Roman"/>
                <w:sz w:val="18"/>
              </w:rPr>
            </w:pPr>
          </w:p>
        </w:tc>
        <w:tc>
          <w:tcPr>
            <w:tcW w:w="369" w:type="dxa"/>
            <w:tcBorders>
              <w:top w:val="single" w:sz="4" w:space="0" w:color="000000"/>
            </w:tcBorders>
          </w:tcPr>
          <w:p>
            <w:pPr>
              <w:pStyle w:val="TableParagraph"/>
              <w:rPr>
                <w:rFonts w:ascii="Times New Roman"/>
                <w:sz w:val="18"/>
              </w:rPr>
            </w:pPr>
          </w:p>
        </w:tc>
        <w:tc>
          <w:tcPr>
            <w:tcW w:w="1054" w:type="dxa"/>
            <w:tcBorders>
              <w:top w:val="single" w:sz="4" w:space="0" w:color="000000"/>
              <w:right w:val="single" w:sz="4" w:space="0" w:color="000000"/>
            </w:tcBorders>
          </w:tcPr>
          <w:p>
            <w:pPr>
              <w:pStyle w:val="TableParagraph"/>
              <w:spacing w:before="69"/>
              <w:ind w:left="222"/>
              <w:rPr>
                <w:sz w:val="14"/>
              </w:rPr>
            </w:pPr>
            <w:r>
              <w:rPr>
                <w:w w:val="105"/>
                <w:sz w:val="14"/>
              </w:rPr>
              <w:t>Per cent</w:t>
            </w:r>
          </w:p>
          <w:p>
            <w:pPr>
              <w:pStyle w:val="TableParagraph"/>
              <w:spacing w:before="62"/>
              <w:ind w:right="215"/>
              <w:jc w:val="right"/>
              <w:rPr>
                <w:sz w:val="18"/>
              </w:rPr>
            </w:pPr>
            <w:r>
              <w:rPr>
                <w:w w:val="100"/>
                <w:sz w:val="18"/>
              </w:rPr>
              <w:t>5</w:t>
            </w:r>
          </w:p>
        </w:tc>
        <w:tc>
          <w:tcPr>
            <w:tcW w:w="1115" w:type="dxa"/>
            <w:tcBorders>
              <w:top w:val="single" w:sz="4" w:space="0" w:color="000000"/>
              <w:left w:val="single" w:sz="4" w:space="0" w:color="000000"/>
            </w:tcBorders>
          </w:tcPr>
          <w:p>
            <w:pPr>
              <w:pStyle w:val="TableParagraph"/>
              <w:rPr>
                <w:rFonts w:ascii="Times New Roman"/>
                <w:sz w:val="18"/>
              </w:rPr>
            </w:pPr>
          </w:p>
        </w:tc>
        <w:tc>
          <w:tcPr>
            <w:tcW w:w="1035" w:type="dxa"/>
            <w:tcBorders>
              <w:top w:val="single" w:sz="4" w:space="0" w:color="000000"/>
            </w:tcBorders>
          </w:tcPr>
          <w:p>
            <w:pPr>
              <w:pStyle w:val="TableParagraph"/>
              <w:rPr>
                <w:rFonts w:ascii="Times New Roman"/>
                <w:sz w:val="18"/>
              </w:rPr>
            </w:pPr>
          </w:p>
        </w:tc>
        <w:tc>
          <w:tcPr>
            <w:tcW w:w="2370" w:type="dxa"/>
            <w:vMerge w:val="restart"/>
            <w:tcBorders>
              <w:top w:val="single" w:sz="4" w:space="0" w:color="000000"/>
              <w:bottom w:val="single" w:sz="4" w:space="0" w:color="000000"/>
            </w:tcBorders>
          </w:tcPr>
          <w:p>
            <w:pPr>
              <w:pStyle w:val="TableParagraph"/>
              <w:spacing w:before="69"/>
              <w:ind w:right="54"/>
              <w:jc w:val="right"/>
              <w:rPr>
                <w:sz w:val="18"/>
              </w:rPr>
            </w:pPr>
            <w:r>
              <w:rPr>
                <w:sz w:val="18"/>
              </w:rPr>
              <w:t>Per cent</w:t>
            </w:r>
          </w:p>
          <w:p>
            <w:pPr>
              <w:pStyle w:val="TableParagraph"/>
              <w:rPr>
                <w:sz w:val="20"/>
              </w:rPr>
            </w:pPr>
          </w:p>
          <w:p>
            <w:pPr>
              <w:pStyle w:val="TableParagraph"/>
              <w:spacing w:before="155"/>
              <w:ind w:left="267"/>
              <w:rPr>
                <w:sz w:val="18"/>
              </w:rPr>
            </w:pPr>
            <w:r>
              <w:rPr>
                <w:sz w:val="18"/>
              </w:rPr>
              <w:t>1999-2004</w:t>
            </w:r>
            <w:r>
              <w:rPr>
                <w:spacing w:val="-7"/>
                <w:sz w:val="18"/>
              </w:rPr>
              <w:t> </w:t>
            </w:r>
            <w:r>
              <w:rPr>
                <w:sz w:val="18"/>
              </w:rPr>
              <w:t>average</w:t>
            </w:r>
          </w:p>
          <w:p>
            <w:pPr>
              <w:pStyle w:val="TableParagraph"/>
              <w:spacing w:before="23"/>
              <w:ind w:left="267"/>
              <w:rPr>
                <w:sz w:val="18"/>
              </w:rPr>
            </w:pPr>
            <w:r>
              <w:rPr>
                <w:sz w:val="18"/>
              </w:rPr>
              <w:t>2010-2015</w:t>
            </w:r>
            <w:r>
              <w:rPr>
                <w:spacing w:val="-7"/>
                <w:sz w:val="18"/>
              </w:rPr>
              <w:t> </w:t>
            </w:r>
            <w:r>
              <w:rPr>
                <w:sz w:val="18"/>
              </w:rPr>
              <w:t>average</w:t>
            </w: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tabs>
                <w:tab w:pos="1502" w:val="left" w:leader="none"/>
                <w:tab w:pos="1552" w:val="left" w:leader="none"/>
              </w:tabs>
              <w:spacing w:before="131"/>
              <w:ind w:left="739" w:right="209"/>
              <w:jc w:val="center"/>
              <w:rPr>
                <w:sz w:val="20"/>
              </w:rPr>
            </w:pPr>
            <w:r>
              <w:rPr>
                <w:sz w:val="20"/>
              </w:rPr>
              <w:t>1 year</w:t>
              <w:tab/>
              <w:t>3 </w:t>
            </w:r>
            <w:r>
              <w:rPr>
                <w:spacing w:val="-4"/>
                <w:sz w:val="20"/>
              </w:rPr>
              <w:t>years </w:t>
            </w:r>
            <w:r>
              <w:rPr>
                <w:sz w:val="20"/>
              </w:rPr>
              <w:t>ahead</w:t>
              <w:tab/>
              <w:tab/>
              <w:t>ahead</w:t>
            </w:r>
          </w:p>
          <w:p>
            <w:pPr>
              <w:pStyle w:val="TableParagraph"/>
              <w:spacing w:before="128"/>
              <w:ind w:left="685" w:right="209"/>
              <w:jc w:val="center"/>
              <w:rPr>
                <w:sz w:val="20"/>
              </w:rPr>
            </w:pPr>
            <w:r>
              <w:rPr>
                <w:sz w:val="20"/>
              </w:rPr>
              <w:t>Productivity</w:t>
            </w:r>
          </w:p>
        </w:tc>
        <w:tc>
          <w:tcPr>
            <w:tcW w:w="483" w:type="dxa"/>
            <w:tcBorders>
              <w:top w:val="single" w:sz="4" w:space="0" w:color="000000"/>
              <w:right w:val="single" w:sz="4" w:space="0" w:color="000000"/>
            </w:tcBorders>
          </w:tcPr>
          <w:p>
            <w:pPr>
              <w:pStyle w:val="TableParagraph"/>
              <w:spacing w:before="6"/>
              <w:rPr>
                <w:sz w:val="18"/>
              </w:rPr>
            </w:pPr>
          </w:p>
          <w:p>
            <w:pPr>
              <w:pStyle w:val="TableParagraph"/>
              <w:ind w:left="39"/>
              <w:rPr>
                <w:sz w:val="20"/>
              </w:rPr>
            </w:pPr>
            <w:r>
              <w:rPr>
                <w:sz w:val="20"/>
              </w:rPr>
              <w:t>5.0</w:t>
            </w:r>
          </w:p>
        </w:tc>
      </w:tr>
      <w:tr>
        <w:trPr>
          <w:trHeight w:val="296" w:hRule="atLeast"/>
        </w:trPr>
        <w:tc>
          <w:tcPr>
            <w:tcW w:w="500" w:type="dxa"/>
            <w:tcBorders>
              <w:left w:val="single" w:sz="4" w:space="0" w:color="000000"/>
            </w:tcBorders>
          </w:tcPr>
          <w:p>
            <w:pPr>
              <w:pStyle w:val="TableParagraph"/>
              <w:rPr>
                <w:rFonts w:ascii="Times New Roman"/>
                <w:sz w:val="18"/>
              </w:rPr>
            </w:pPr>
          </w:p>
        </w:tc>
        <w:tc>
          <w:tcPr>
            <w:tcW w:w="368" w:type="dxa"/>
          </w:tcPr>
          <w:p>
            <w:pPr>
              <w:pStyle w:val="TableParagraph"/>
              <w:rPr>
                <w:rFonts w:ascii="Times New Roman"/>
                <w:sz w:val="18"/>
              </w:rPr>
            </w:pPr>
          </w:p>
        </w:tc>
        <w:tc>
          <w:tcPr>
            <w:tcW w:w="1526" w:type="dxa"/>
            <w:vMerge/>
            <w:tcBorders>
              <w:top w:val="nil"/>
              <w:bottom w:val="single" w:sz="4" w:space="0" w:color="000000"/>
            </w:tcBorders>
          </w:tcPr>
          <w:p>
            <w:pPr>
              <w:rPr>
                <w:sz w:val="2"/>
                <w:szCs w:val="2"/>
              </w:rPr>
            </w:pPr>
          </w:p>
        </w:tc>
        <w:tc>
          <w:tcPr>
            <w:tcW w:w="314" w:type="dxa"/>
          </w:tcPr>
          <w:p>
            <w:pPr>
              <w:pStyle w:val="TableParagraph"/>
              <w:rPr>
                <w:rFonts w:ascii="Times New Roman"/>
                <w:sz w:val="18"/>
              </w:rPr>
            </w:pPr>
          </w:p>
        </w:tc>
        <w:tc>
          <w:tcPr>
            <w:tcW w:w="369" w:type="dxa"/>
          </w:tcPr>
          <w:p>
            <w:pPr>
              <w:pStyle w:val="TableParagraph"/>
              <w:rPr>
                <w:rFonts w:ascii="Times New Roman"/>
                <w:sz w:val="18"/>
              </w:rPr>
            </w:pPr>
          </w:p>
        </w:tc>
        <w:tc>
          <w:tcPr>
            <w:tcW w:w="369" w:type="dxa"/>
          </w:tcPr>
          <w:p>
            <w:pPr>
              <w:pStyle w:val="TableParagraph"/>
              <w:rPr>
                <w:rFonts w:ascii="Times New Roman"/>
                <w:sz w:val="18"/>
              </w:rPr>
            </w:pPr>
          </w:p>
        </w:tc>
        <w:tc>
          <w:tcPr>
            <w:tcW w:w="369" w:type="dxa"/>
          </w:tcPr>
          <w:p>
            <w:pPr>
              <w:pStyle w:val="TableParagraph"/>
              <w:rPr>
                <w:rFonts w:ascii="Times New Roman"/>
                <w:sz w:val="18"/>
              </w:rPr>
            </w:pPr>
          </w:p>
        </w:tc>
        <w:tc>
          <w:tcPr>
            <w:tcW w:w="1054" w:type="dxa"/>
            <w:tcBorders>
              <w:right w:val="single" w:sz="4" w:space="0" w:color="000000"/>
            </w:tcBorders>
          </w:tcPr>
          <w:p>
            <w:pPr>
              <w:pStyle w:val="TableParagraph"/>
              <w:rPr>
                <w:rFonts w:ascii="Times New Roman"/>
                <w:sz w:val="18"/>
              </w:rPr>
            </w:pPr>
          </w:p>
        </w:tc>
        <w:tc>
          <w:tcPr>
            <w:tcW w:w="1115" w:type="dxa"/>
            <w:tcBorders>
              <w:left w:val="single" w:sz="4" w:space="0" w:color="000000"/>
            </w:tcBorders>
          </w:tcPr>
          <w:p>
            <w:pPr>
              <w:pStyle w:val="TableParagraph"/>
              <w:rPr>
                <w:rFonts w:ascii="Times New Roman"/>
                <w:sz w:val="18"/>
              </w:rPr>
            </w:pPr>
          </w:p>
        </w:tc>
        <w:tc>
          <w:tcPr>
            <w:tcW w:w="1035" w:type="dxa"/>
          </w:tcPr>
          <w:p>
            <w:pPr>
              <w:pStyle w:val="TableParagraph"/>
              <w:rPr>
                <w:rFonts w:ascii="Times New Roman"/>
                <w:sz w:val="18"/>
              </w:rPr>
            </w:pPr>
          </w:p>
        </w:tc>
        <w:tc>
          <w:tcPr>
            <w:tcW w:w="2370" w:type="dxa"/>
            <w:vMerge/>
            <w:tcBorders>
              <w:top w:val="nil"/>
              <w:bottom w:val="single" w:sz="4" w:space="0" w:color="000000"/>
            </w:tcBorders>
          </w:tcPr>
          <w:p>
            <w:pPr>
              <w:rPr>
                <w:sz w:val="2"/>
                <w:szCs w:val="2"/>
              </w:rPr>
            </w:pPr>
          </w:p>
        </w:tc>
        <w:tc>
          <w:tcPr>
            <w:tcW w:w="483" w:type="dxa"/>
            <w:tcBorders>
              <w:right w:val="single" w:sz="4" w:space="0" w:color="000000"/>
            </w:tcBorders>
          </w:tcPr>
          <w:p>
            <w:pPr>
              <w:pStyle w:val="TableParagraph"/>
              <w:spacing w:before="24"/>
              <w:ind w:left="39"/>
              <w:rPr>
                <w:sz w:val="20"/>
              </w:rPr>
            </w:pPr>
            <w:r>
              <w:rPr>
                <w:sz w:val="20"/>
              </w:rPr>
              <w:t>4.5</w:t>
            </w:r>
          </w:p>
        </w:tc>
      </w:tr>
      <w:tr>
        <w:trPr>
          <w:trHeight w:val="363" w:hRule="atLeast"/>
        </w:trPr>
        <w:tc>
          <w:tcPr>
            <w:tcW w:w="500" w:type="dxa"/>
            <w:tcBorders>
              <w:left w:val="single" w:sz="4" w:space="0" w:color="000000"/>
            </w:tcBorders>
          </w:tcPr>
          <w:p>
            <w:pPr>
              <w:pStyle w:val="TableParagraph"/>
              <w:rPr>
                <w:rFonts w:ascii="Times New Roman"/>
                <w:sz w:val="18"/>
              </w:rPr>
            </w:pPr>
          </w:p>
        </w:tc>
        <w:tc>
          <w:tcPr>
            <w:tcW w:w="368" w:type="dxa"/>
          </w:tcPr>
          <w:p>
            <w:pPr>
              <w:pStyle w:val="TableParagraph"/>
              <w:rPr>
                <w:rFonts w:ascii="Times New Roman"/>
                <w:sz w:val="18"/>
              </w:rPr>
            </w:pPr>
          </w:p>
        </w:tc>
        <w:tc>
          <w:tcPr>
            <w:tcW w:w="1526" w:type="dxa"/>
            <w:vMerge/>
            <w:tcBorders>
              <w:top w:val="nil"/>
              <w:bottom w:val="single" w:sz="4" w:space="0" w:color="000000"/>
            </w:tcBorders>
          </w:tcPr>
          <w:p>
            <w:pPr>
              <w:rPr>
                <w:sz w:val="2"/>
                <w:szCs w:val="2"/>
              </w:rPr>
            </w:pPr>
          </w:p>
        </w:tc>
        <w:tc>
          <w:tcPr>
            <w:tcW w:w="314" w:type="dxa"/>
          </w:tcPr>
          <w:p>
            <w:pPr>
              <w:pStyle w:val="TableParagraph"/>
              <w:rPr>
                <w:rFonts w:ascii="Times New Roman"/>
                <w:sz w:val="18"/>
              </w:rPr>
            </w:pPr>
          </w:p>
        </w:tc>
        <w:tc>
          <w:tcPr>
            <w:tcW w:w="369" w:type="dxa"/>
          </w:tcPr>
          <w:p>
            <w:pPr>
              <w:pStyle w:val="TableParagraph"/>
              <w:rPr>
                <w:rFonts w:ascii="Times New Roman"/>
                <w:sz w:val="18"/>
              </w:rPr>
            </w:pPr>
          </w:p>
        </w:tc>
        <w:tc>
          <w:tcPr>
            <w:tcW w:w="369" w:type="dxa"/>
          </w:tcPr>
          <w:p>
            <w:pPr>
              <w:pStyle w:val="TableParagraph"/>
              <w:rPr>
                <w:rFonts w:ascii="Times New Roman"/>
                <w:sz w:val="18"/>
              </w:rPr>
            </w:pPr>
          </w:p>
        </w:tc>
        <w:tc>
          <w:tcPr>
            <w:tcW w:w="369" w:type="dxa"/>
          </w:tcPr>
          <w:p>
            <w:pPr>
              <w:pStyle w:val="TableParagraph"/>
              <w:rPr>
                <w:rFonts w:ascii="Times New Roman"/>
                <w:sz w:val="18"/>
              </w:rPr>
            </w:pPr>
          </w:p>
        </w:tc>
        <w:tc>
          <w:tcPr>
            <w:tcW w:w="1054" w:type="dxa"/>
            <w:tcBorders>
              <w:right w:val="single" w:sz="4" w:space="0" w:color="000000"/>
            </w:tcBorders>
          </w:tcPr>
          <w:p>
            <w:pPr>
              <w:pStyle w:val="TableParagraph"/>
              <w:spacing w:before="37"/>
              <w:ind w:left="730"/>
              <w:rPr>
                <w:sz w:val="18"/>
              </w:rPr>
            </w:pPr>
            <w:r>
              <w:rPr>
                <w:w w:val="100"/>
                <w:sz w:val="18"/>
              </w:rPr>
              <w:t>0</w:t>
            </w:r>
          </w:p>
        </w:tc>
        <w:tc>
          <w:tcPr>
            <w:tcW w:w="1115" w:type="dxa"/>
            <w:tcBorders>
              <w:left w:val="single" w:sz="4" w:space="0" w:color="000000"/>
            </w:tcBorders>
          </w:tcPr>
          <w:p>
            <w:pPr>
              <w:pStyle w:val="TableParagraph"/>
              <w:rPr>
                <w:rFonts w:ascii="Times New Roman"/>
                <w:sz w:val="18"/>
              </w:rPr>
            </w:pPr>
          </w:p>
        </w:tc>
        <w:tc>
          <w:tcPr>
            <w:tcW w:w="1035" w:type="dxa"/>
          </w:tcPr>
          <w:p>
            <w:pPr>
              <w:pStyle w:val="TableParagraph"/>
              <w:rPr>
                <w:rFonts w:ascii="Times New Roman"/>
                <w:sz w:val="18"/>
              </w:rPr>
            </w:pPr>
          </w:p>
        </w:tc>
        <w:tc>
          <w:tcPr>
            <w:tcW w:w="2370" w:type="dxa"/>
            <w:vMerge/>
            <w:tcBorders>
              <w:top w:val="nil"/>
              <w:bottom w:val="single" w:sz="4" w:space="0" w:color="000000"/>
            </w:tcBorders>
          </w:tcPr>
          <w:p>
            <w:pPr>
              <w:rPr>
                <w:sz w:val="2"/>
                <w:szCs w:val="2"/>
              </w:rPr>
            </w:pPr>
          </w:p>
        </w:tc>
        <w:tc>
          <w:tcPr>
            <w:tcW w:w="483" w:type="dxa"/>
            <w:tcBorders>
              <w:right w:val="single" w:sz="4" w:space="0" w:color="000000"/>
            </w:tcBorders>
          </w:tcPr>
          <w:p>
            <w:pPr>
              <w:pStyle w:val="TableParagraph"/>
              <w:spacing w:before="72"/>
              <w:ind w:left="39"/>
              <w:rPr>
                <w:sz w:val="20"/>
              </w:rPr>
            </w:pPr>
            <w:r>
              <w:rPr>
                <w:sz w:val="20"/>
              </w:rPr>
              <w:t>4.0</w:t>
            </w:r>
          </w:p>
        </w:tc>
      </w:tr>
      <w:tr>
        <w:trPr>
          <w:trHeight w:val="697" w:hRule="atLeast"/>
        </w:trPr>
        <w:tc>
          <w:tcPr>
            <w:tcW w:w="500" w:type="dxa"/>
            <w:tcBorders>
              <w:left w:val="single" w:sz="4" w:space="0" w:color="000000"/>
            </w:tcBorders>
          </w:tcPr>
          <w:p>
            <w:pPr>
              <w:pStyle w:val="TableParagraph"/>
              <w:rPr>
                <w:rFonts w:ascii="Times New Roman"/>
                <w:sz w:val="18"/>
              </w:rPr>
            </w:pPr>
          </w:p>
        </w:tc>
        <w:tc>
          <w:tcPr>
            <w:tcW w:w="368" w:type="dxa"/>
          </w:tcPr>
          <w:p>
            <w:pPr>
              <w:pStyle w:val="TableParagraph"/>
              <w:rPr>
                <w:rFonts w:ascii="Times New Roman"/>
                <w:sz w:val="18"/>
              </w:rPr>
            </w:pPr>
          </w:p>
        </w:tc>
        <w:tc>
          <w:tcPr>
            <w:tcW w:w="1526" w:type="dxa"/>
            <w:vMerge/>
            <w:tcBorders>
              <w:top w:val="nil"/>
              <w:bottom w:val="single" w:sz="4" w:space="0" w:color="000000"/>
            </w:tcBorders>
          </w:tcPr>
          <w:p>
            <w:pPr>
              <w:rPr>
                <w:sz w:val="2"/>
                <w:szCs w:val="2"/>
              </w:rPr>
            </w:pPr>
          </w:p>
        </w:tc>
        <w:tc>
          <w:tcPr>
            <w:tcW w:w="314" w:type="dxa"/>
          </w:tcPr>
          <w:p>
            <w:pPr>
              <w:pStyle w:val="TableParagraph"/>
              <w:rPr>
                <w:rFonts w:ascii="Times New Roman"/>
                <w:sz w:val="18"/>
              </w:rPr>
            </w:pPr>
          </w:p>
        </w:tc>
        <w:tc>
          <w:tcPr>
            <w:tcW w:w="369" w:type="dxa"/>
          </w:tcPr>
          <w:p>
            <w:pPr>
              <w:pStyle w:val="TableParagraph"/>
              <w:rPr>
                <w:rFonts w:ascii="Times New Roman"/>
                <w:sz w:val="18"/>
              </w:rPr>
            </w:pPr>
          </w:p>
        </w:tc>
        <w:tc>
          <w:tcPr>
            <w:tcW w:w="369" w:type="dxa"/>
          </w:tcPr>
          <w:p>
            <w:pPr>
              <w:pStyle w:val="TableParagraph"/>
              <w:rPr>
                <w:rFonts w:ascii="Times New Roman"/>
                <w:sz w:val="18"/>
              </w:rPr>
            </w:pPr>
          </w:p>
        </w:tc>
        <w:tc>
          <w:tcPr>
            <w:tcW w:w="369" w:type="dxa"/>
          </w:tcPr>
          <w:p>
            <w:pPr>
              <w:pStyle w:val="TableParagraph"/>
              <w:rPr>
                <w:rFonts w:ascii="Times New Roman"/>
                <w:sz w:val="18"/>
              </w:rPr>
            </w:pPr>
          </w:p>
        </w:tc>
        <w:tc>
          <w:tcPr>
            <w:tcW w:w="1054" w:type="dxa"/>
            <w:tcBorders>
              <w:right w:val="single" w:sz="4" w:space="0" w:color="000000"/>
            </w:tcBorders>
          </w:tcPr>
          <w:p>
            <w:pPr>
              <w:pStyle w:val="TableParagraph"/>
              <w:spacing w:before="3"/>
              <w:rPr>
                <w:sz w:val="22"/>
              </w:rPr>
            </w:pPr>
          </w:p>
          <w:p>
            <w:pPr>
              <w:pStyle w:val="TableParagraph"/>
              <w:ind w:left="730"/>
              <w:rPr>
                <w:sz w:val="18"/>
              </w:rPr>
            </w:pPr>
            <w:r>
              <w:rPr>
                <w:sz w:val="18"/>
              </w:rPr>
              <w:t>-5</w:t>
            </w:r>
          </w:p>
        </w:tc>
        <w:tc>
          <w:tcPr>
            <w:tcW w:w="1115" w:type="dxa"/>
            <w:tcBorders>
              <w:left w:val="single" w:sz="4" w:space="0" w:color="000000"/>
            </w:tcBorders>
          </w:tcPr>
          <w:p>
            <w:pPr>
              <w:pStyle w:val="TableParagraph"/>
              <w:rPr>
                <w:rFonts w:ascii="Times New Roman"/>
                <w:sz w:val="18"/>
              </w:rPr>
            </w:pPr>
          </w:p>
        </w:tc>
        <w:tc>
          <w:tcPr>
            <w:tcW w:w="1035" w:type="dxa"/>
          </w:tcPr>
          <w:p>
            <w:pPr>
              <w:pStyle w:val="TableParagraph"/>
              <w:rPr>
                <w:rFonts w:ascii="Times New Roman"/>
                <w:sz w:val="18"/>
              </w:rPr>
            </w:pPr>
          </w:p>
        </w:tc>
        <w:tc>
          <w:tcPr>
            <w:tcW w:w="2370" w:type="dxa"/>
            <w:vMerge/>
            <w:tcBorders>
              <w:top w:val="nil"/>
              <w:bottom w:val="single" w:sz="4" w:space="0" w:color="000000"/>
            </w:tcBorders>
          </w:tcPr>
          <w:p>
            <w:pPr>
              <w:rPr>
                <w:sz w:val="2"/>
                <w:szCs w:val="2"/>
              </w:rPr>
            </w:pPr>
          </w:p>
        </w:tc>
        <w:tc>
          <w:tcPr>
            <w:tcW w:w="483" w:type="dxa"/>
            <w:tcBorders>
              <w:right w:val="single" w:sz="4" w:space="0" w:color="000000"/>
            </w:tcBorders>
          </w:tcPr>
          <w:p>
            <w:pPr>
              <w:pStyle w:val="TableParagraph"/>
              <w:spacing w:before="53"/>
              <w:ind w:left="39"/>
              <w:rPr>
                <w:sz w:val="20"/>
              </w:rPr>
            </w:pPr>
            <w:r>
              <w:rPr>
                <w:sz w:val="20"/>
              </w:rPr>
              <w:t>3.5</w:t>
            </w:r>
          </w:p>
          <w:p>
            <w:pPr>
              <w:pStyle w:val="TableParagraph"/>
              <w:spacing w:before="124"/>
              <w:ind w:left="39"/>
              <w:rPr>
                <w:sz w:val="20"/>
              </w:rPr>
            </w:pPr>
            <w:r>
              <w:rPr>
                <w:sz w:val="20"/>
              </w:rPr>
              <w:t>3.0</w:t>
            </w:r>
          </w:p>
        </w:tc>
      </w:tr>
      <w:tr>
        <w:trPr>
          <w:trHeight w:val="376" w:hRule="atLeast"/>
        </w:trPr>
        <w:tc>
          <w:tcPr>
            <w:tcW w:w="500" w:type="dxa"/>
            <w:tcBorders>
              <w:left w:val="single" w:sz="4" w:space="0" w:color="000000"/>
            </w:tcBorders>
          </w:tcPr>
          <w:p>
            <w:pPr>
              <w:pStyle w:val="TableParagraph"/>
              <w:rPr>
                <w:rFonts w:ascii="Times New Roman"/>
                <w:sz w:val="18"/>
              </w:rPr>
            </w:pPr>
          </w:p>
        </w:tc>
        <w:tc>
          <w:tcPr>
            <w:tcW w:w="368" w:type="dxa"/>
          </w:tcPr>
          <w:p>
            <w:pPr>
              <w:pStyle w:val="TableParagraph"/>
              <w:rPr>
                <w:rFonts w:ascii="Times New Roman"/>
                <w:sz w:val="18"/>
              </w:rPr>
            </w:pPr>
          </w:p>
        </w:tc>
        <w:tc>
          <w:tcPr>
            <w:tcW w:w="1526" w:type="dxa"/>
            <w:vMerge/>
            <w:tcBorders>
              <w:top w:val="nil"/>
              <w:bottom w:val="single" w:sz="4" w:space="0" w:color="000000"/>
            </w:tcBorders>
          </w:tcPr>
          <w:p>
            <w:pPr>
              <w:rPr>
                <w:sz w:val="2"/>
                <w:szCs w:val="2"/>
              </w:rPr>
            </w:pPr>
          </w:p>
        </w:tc>
        <w:tc>
          <w:tcPr>
            <w:tcW w:w="314" w:type="dxa"/>
          </w:tcPr>
          <w:p>
            <w:pPr>
              <w:pStyle w:val="TableParagraph"/>
              <w:rPr>
                <w:rFonts w:ascii="Times New Roman"/>
                <w:sz w:val="18"/>
              </w:rPr>
            </w:pPr>
          </w:p>
        </w:tc>
        <w:tc>
          <w:tcPr>
            <w:tcW w:w="369" w:type="dxa"/>
          </w:tcPr>
          <w:p>
            <w:pPr>
              <w:pStyle w:val="TableParagraph"/>
              <w:rPr>
                <w:rFonts w:ascii="Times New Roman"/>
                <w:sz w:val="18"/>
              </w:rPr>
            </w:pPr>
          </w:p>
        </w:tc>
        <w:tc>
          <w:tcPr>
            <w:tcW w:w="369" w:type="dxa"/>
          </w:tcPr>
          <w:p>
            <w:pPr>
              <w:pStyle w:val="TableParagraph"/>
              <w:rPr>
                <w:rFonts w:ascii="Times New Roman"/>
                <w:sz w:val="18"/>
              </w:rPr>
            </w:pPr>
          </w:p>
        </w:tc>
        <w:tc>
          <w:tcPr>
            <w:tcW w:w="369" w:type="dxa"/>
          </w:tcPr>
          <w:p>
            <w:pPr>
              <w:pStyle w:val="TableParagraph"/>
              <w:rPr>
                <w:rFonts w:ascii="Times New Roman"/>
                <w:sz w:val="18"/>
              </w:rPr>
            </w:pPr>
          </w:p>
        </w:tc>
        <w:tc>
          <w:tcPr>
            <w:tcW w:w="1054" w:type="dxa"/>
            <w:tcBorders>
              <w:right w:val="single" w:sz="4" w:space="0" w:color="000000"/>
            </w:tcBorders>
          </w:tcPr>
          <w:p>
            <w:pPr>
              <w:pStyle w:val="TableParagraph"/>
              <w:spacing w:before="141"/>
              <w:ind w:left="730"/>
              <w:rPr>
                <w:sz w:val="18"/>
              </w:rPr>
            </w:pPr>
            <w:r>
              <w:rPr>
                <w:sz w:val="18"/>
              </w:rPr>
              <w:t>-10</w:t>
            </w:r>
          </w:p>
        </w:tc>
        <w:tc>
          <w:tcPr>
            <w:tcW w:w="1115" w:type="dxa"/>
            <w:tcBorders>
              <w:left w:val="single" w:sz="4" w:space="0" w:color="000000"/>
            </w:tcBorders>
          </w:tcPr>
          <w:p>
            <w:pPr>
              <w:pStyle w:val="TableParagraph"/>
              <w:rPr>
                <w:rFonts w:ascii="Times New Roman"/>
                <w:sz w:val="18"/>
              </w:rPr>
            </w:pPr>
          </w:p>
        </w:tc>
        <w:tc>
          <w:tcPr>
            <w:tcW w:w="1035" w:type="dxa"/>
          </w:tcPr>
          <w:p>
            <w:pPr>
              <w:pStyle w:val="TableParagraph"/>
              <w:rPr>
                <w:rFonts w:ascii="Times New Roman"/>
                <w:sz w:val="18"/>
              </w:rPr>
            </w:pPr>
          </w:p>
        </w:tc>
        <w:tc>
          <w:tcPr>
            <w:tcW w:w="2370" w:type="dxa"/>
            <w:vMerge/>
            <w:tcBorders>
              <w:top w:val="nil"/>
              <w:bottom w:val="single" w:sz="4" w:space="0" w:color="000000"/>
            </w:tcBorders>
          </w:tcPr>
          <w:p>
            <w:pPr>
              <w:rPr>
                <w:sz w:val="2"/>
                <w:szCs w:val="2"/>
              </w:rPr>
            </w:pPr>
          </w:p>
        </w:tc>
        <w:tc>
          <w:tcPr>
            <w:tcW w:w="483" w:type="dxa"/>
            <w:tcBorders>
              <w:right w:val="single" w:sz="4" w:space="0" w:color="000000"/>
            </w:tcBorders>
          </w:tcPr>
          <w:p>
            <w:pPr>
              <w:pStyle w:val="TableParagraph"/>
              <w:spacing w:before="53"/>
              <w:ind w:left="39"/>
              <w:rPr>
                <w:sz w:val="20"/>
              </w:rPr>
            </w:pPr>
            <w:r>
              <w:rPr>
                <w:sz w:val="20"/>
              </w:rPr>
              <w:t>2.5</w:t>
            </w:r>
          </w:p>
        </w:tc>
      </w:tr>
      <w:tr>
        <w:trPr>
          <w:trHeight w:val="296" w:hRule="atLeast"/>
        </w:trPr>
        <w:tc>
          <w:tcPr>
            <w:tcW w:w="500" w:type="dxa"/>
            <w:tcBorders>
              <w:left w:val="single" w:sz="4" w:space="0" w:color="000000"/>
            </w:tcBorders>
          </w:tcPr>
          <w:p>
            <w:pPr>
              <w:pStyle w:val="TableParagraph"/>
              <w:rPr>
                <w:rFonts w:ascii="Times New Roman"/>
                <w:sz w:val="18"/>
              </w:rPr>
            </w:pPr>
          </w:p>
        </w:tc>
        <w:tc>
          <w:tcPr>
            <w:tcW w:w="368" w:type="dxa"/>
          </w:tcPr>
          <w:p>
            <w:pPr>
              <w:pStyle w:val="TableParagraph"/>
              <w:rPr>
                <w:rFonts w:ascii="Times New Roman"/>
                <w:sz w:val="18"/>
              </w:rPr>
            </w:pPr>
          </w:p>
        </w:tc>
        <w:tc>
          <w:tcPr>
            <w:tcW w:w="1526" w:type="dxa"/>
            <w:vMerge/>
            <w:tcBorders>
              <w:top w:val="nil"/>
              <w:bottom w:val="single" w:sz="4" w:space="0" w:color="000000"/>
            </w:tcBorders>
          </w:tcPr>
          <w:p>
            <w:pPr>
              <w:rPr>
                <w:sz w:val="2"/>
                <w:szCs w:val="2"/>
              </w:rPr>
            </w:pPr>
          </w:p>
        </w:tc>
        <w:tc>
          <w:tcPr>
            <w:tcW w:w="314" w:type="dxa"/>
          </w:tcPr>
          <w:p>
            <w:pPr>
              <w:pStyle w:val="TableParagraph"/>
              <w:rPr>
                <w:rFonts w:ascii="Times New Roman"/>
                <w:sz w:val="18"/>
              </w:rPr>
            </w:pPr>
          </w:p>
        </w:tc>
        <w:tc>
          <w:tcPr>
            <w:tcW w:w="369" w:type="dxa"/>
          </w:tcPr>
          <w:p>
            <w:pPr>
              <w:pStyle w:val="TableParagraph"/>
              <w:rPr>
                <w:rFonts w:ascii="Times New Roman"/>
                <w:sz w:val="18"/>
              </w:rPr>
            </w:pPr>
          </w:p>
        </w:tc>
        <w:tc>
          <w:tcPr>
            <w:tcW w:w="369" w:type="dxa"/>
          </w:tcPr>
          <w:p>
            <w:pPr>
              <w:pStyle w:val="TableParagraph"/>
              <w:rPr>
                <w:rFonts w:ascii="Times New Roman"/>
                <w:sz w:val="18"/>
              </w:rPr>
            </w:pPr>
          </w:p>
        </w:tc>
        <w:tc>
          <w:tcPr>
            <w:tcW w:w="369" w:type="dxa"/>
          </w:tcPr>
          <w:p>
            <w:pPr>
              <w:pStyle w:val="TableParagraph"/>
              <w:rPr>
                <w:rFonts w:ascii="Times New Roman"/>
                <w:sz w:val="18"/>
              </w:rPr>
            </w:pPr>
          </w:p>
        </w:tc>
        <w:tc>
          <w:tcPr>
            <w:tcW w:w="1054" w:type="dxa"/>
            <w:tcBorders>
              <w:right w:val="single" w:sz="4" w:space="0" w:color="000000"/>
            </w:tcBorders>
          </w:tcPr>
          <w:p>
            <w:pPr>
              <w:pStyle w:val="TableParagraph"/>
              <w:rPr>
                <w:rFonts w:ascii="Times New Roman"/>
                <w:sz w:val="18"/>
              </w:rPr>
            </w:pPr>
          </w:p>
        </w:tc>
        <w:tc>
          <w:tcPr>
            <w:tcW w:w="1115" w:type="dxa"/>
            <w:tcBorders>
              <w:left w:val="single" w:sz="4" w:space="0" w:color="000000"/>
            </w:tcBorders>
          </w:tcPr>
          <w:p>
            <w:pPr>
              <w:pStyle w:val="TableParagraph"/>
              <w:rPr>
                <w:rFonts w:ascii="Times New Roman"/>
                <w:sz w:val="18"/>
              </w:rPr>
            </w:pPr>
          </w:p>
        </w:tc>
        <w:tc>
          <w:tcPr>
            <w:tcW w:w="1035" w:type="dxa"/>
          </w:tcPr>
          <w:p>
            <w:pPr>
              <w:pStyle w:val="TableParagraph"/>
              <w:rPr>
                <w:rFonts w:ascii="Times New Roman"/>
                <w:sz w:val="18"/>
              </w:rPr>
            </w:pPr>
          </w:p>
        </w:tc>
        <w:tc>
          <w:tcPr>
            <w:tcW w:w="2370" w:type="dxa"/>
            <w:vMerge/>
            <w:tcBorders>
              <w:top w:val="nil"/>
              <w:bottom w:val="single" w:sz="4" w:space="0" w:color="000000"/>
            </w:tcBorders>
          </w:tcPr>
          <w:p>
            <w:pPr>
              <w:rPr>
                <w:sz w:val="2"/>
                <w:szCs w:val="2"/>
              </w:rPr>
            </w:pPr>
          </w:p>
        </w:tc>
        <w:tc>
          <w:tcPr>
            <w:tcW w:w="483" w:type="dxa"/>
            <w:tcBorders>
              <w:right w:val="single" w:sz="4" w:space="0" w:color="000000"/>
            </w:tcBorders>
          </w:tcPr>
          <w:p>
            <w:pPr>
              <w:pStyle w:val="TableParagraph"/>
              <w:spacing w:before="20"/>
              <w:ind w:left="39"/>
              <w:rPr>
                <w:sz w:val="20"/>
              </w:rPr>
            </w:pPr>
            <w:r>
              <w:rPr>
                <w:sz w:val="20"/>
              </w:rPr>
              <w:t>2.0</w:t>
            </w:r>
          </w:p>
        </w:tc>
      </w:tr>
      <w:tr>
        <w:trPr>
          <w:trHeight w:val="358" w:hRule="atLeast"/>
        </w:trPr>
        <w:tc>
          <w:tcPr>
            <w:tcW w:w="500" w:type="dxa"/>
            <w:tcBorders>
              <w:left w:val="single" w:sz="4" w:space="0" w:color="000000"/>
            </w:tcBorders>
          </w:tcPr>
          <w:p>
            <w:pPr>
              <w:pStyle w:val="TableParagraph"/>
              <w:rPr>
                <w:rFonts w:ascii="Times New Roman"/>
                <w:sz w:val="18"/>
              </w:rPr>
            </w:pPr>
          </w:p>
        </w:tc>
        <w:tc>
          <w:tcPr>
            <w:tcW w:w="368" w:type="dxa"/>
          </w:tcPr>
          <w:p>
            <w:pPr>
              <w:pStyle w:val="TableParagraph"/>
              <w:rPr>
                <w:rFonts w:ascii="Times New Roman"/>
                <w:sz w:val="18"/>
              </w:rPr>
            </w:pPr>
          </w:p>
        </w:tc>
        <w:tc>
          <w:tcPr>
            <w:tcW w:w="1526" w:type="dxa"/>
            <w:vMerge/>
            <w:tcBorders>
              <w:top w:val="nil"/>
              <w:bottom w:val="single" w:sz="4" w:space="0" w:color="000000"/>
            </w:tcBorders>
          </w:tcPr>
          <w:p>
            <w:pPr>
              <w:rPr>
                <w:sz w:val="2"/>
                <w:szCs w:val="2"/>
              </w:rPr>
            </w:pPr>
          </w:p>
        </w:tc>
        <w:tc>
          <w:tcPr>
            <w:tcW w:w="314" w:type="dxa"/>
          </w:tcPr>
          <w:p>
            <w:pPr>
              <w:pStyle w:val="TableParagraph"/>
              <w:rPr>
                <w:rFonts w:ascii="Times New Roman"/>
                <w:sz w:val="18"/>
              </w:rPr>
            </w:pPr>
          </w:p>
        </w:tc>
        <w:tc>
          <w:tcPr>
            <w:tcW w:w="369" w:type="dxa"/>
          </w:tcPr>
          <w:p>
            <w:pPr>
              <w:pStyle w:val="TableParagraph"/>
              <w:rPr>
                <w:rFonts w:ascii="Times New Roman"/>
                <w:sz w:val="18"/>
              </w:rPr>
            </w:pPr>
          </w:p>
        </w:tc>
        <w:tc>
          <w:tcPr>
            <w:tcW w:w="369" w:type="dxa"/>
          </w:tcPr>
          <w:p>
            <w:pPr>
              <w:pStyle w:val="TableParagraph"/>
              <w:rPr>
                <w:rFonts w:ascii="Times New Roman"/>
                <w:sz w:val="18"/>
              </w:rPr>
            </w:pPr>
          </w:p>
        </w:tc>
        <w:tc>
          <w:tcPr>
            <w:tcW w:w="369" w:type="dxa"/>
          </w:tcPr>
          <w:p>
            <w:pPr>
              <w:pStyle w:val="TableParagraph"/>
              <w:rPr>
                <w:rFonts w:ascii="Times New Roman"/>
                <w:sz w:val="18"/>
              </w:rPr>
            </w:pPr>
          </w:p>
        </w:tc>
        <w:tc>
          <w:tcPr>
            <w:tcW w:w="1054" w:type="dxa"/>
            <w:tcBorders>
              <w:right w:val="single" w:sz="4" w:space="0" w:color="000000"/>
            </w:tcBorders>
          </w:tcPr>
          <w:p>
            <w:pPr>
              <w:pStyle w:val="TableParagraph"/>
              <w:spacing w:before="41"/>
              <w:ind w:left="730"/>
              <w:rPr>
                <w:sz w:val="18"/>
              </w:rPr>
            </w:pPr>
            <w:r>
              <w:rPr>
                <w:sz w:val="18"/>
              </w:rPr>
              <w:t>-15</w:t>
            </w:r>
          </w:p>
        </w:tc>
        <w:tc>
          <w:tcPr>
            <w:tcW w:w="1115" w:type="dxa"/>
            <w:tcBorders>
              <w:left w:val="single" w:sz="4" w:space="0" w:color="000000"/>
            </w:tcBorders>
          </w:tcPr>
          <w:p>
            <w:pPr>
              <w:pStyle w:val="TableParagraph"/>
              <w:rPr>
                <w:rFonts w:ascii="Times New Roman"/>
                <w:sz w:val="18"/>
              </w:rPr>
            </w:pPr>
          </w:p>
        </w:tc>
        <w:tc>
          <w:tcPr>
            <w:tcW w:w="1035" w:type="dxa"/>
          </w:tcPr>
          <w:p>
            <w:pPr>
              <w:pStyle w:val="TableParagraph"/>
              <w:rPr>
                <w:rFonts w:ascii="Times New Roman"/>
                <w:sz w:val="18"/>
              </w:rPr>
            </w:pPr>
          </w:p>
        </w:tc>
        <w:tc>
          <w:tcPr>
            <w:tcW w:w="2370" w:type="dxa"/>
            <w:vMerge/>
            <w:tcBorders>
              <w:top w:val="nil"/>
              <w:bottom w:val="single" w:sz="4" w:space="0" w:color="000000"/>
            </w:tcBorders>
          </w:tcPr>
          <w:p>
            <w:pPr>
              <w:rPr>
                <w:sz w:val="2"/>
                <w:szCs w:val="2"/>
              </w:rPr>
            </w:pPr>
          </w:p>
        </w:tc>
        <w:tc>
          <w:tcPr>
            <w:tcW w:w="483" w:type="dxa"/>
            <w:tcBorders>
              <w:right w:val="single" w:sz="4" w:space="0" w:color="000000"/>
            </w:tcBorders>
          </w:tcPr>
          <w:p>
            <w:pPr>
              <w:pStyle w:val="TableParagraph"/>
              <w:spacing w:before="68"/>
              <w:ind w:left="39"/>
              <w:rPr>
                <w:sz w:val="20"/>
              </w:rPr>
            </w:pPr>
            <w:r>
              <w:rPr>
                <w:sz w:val="20"/>
              </w:rPr>
              <w:t>1.5</w:t>
            </w:r>
          </w:p>
        </w:tc>
      </w:tr>
      <w:tr>
        <w:trPr>
          <w:trHeight w:val="271" w:hRule="atLeast"/>
        </w:trPr>
        <w:tc>
          <w:tcPr>
            <w:tcW w:w="500" w:type="dxa"/>
            <w:tcBorders>
              <w:left w:val="single" w:sz="4" w:space="0" w:color="000000"/>
            </w:tcBorders>
          </w:tcPr>
          <w:p>
            <w:pPr>
              <w:pStyle w:val="TableParagraph"/>
              <w:rPr>
                <w:rFonts w:ascii="Times New Roman"/>
                <w:sz w:val="18"/>
              </w:rPr>
            </w:pPr>
          </w:p>
        </w:tc>
        <w:tc>
          <w:tcPr>
            <w:tcW w:w="368" w:type="dxa"/>
          </w:tcPr>
          <w:p>
            <w:pPr>
              <w:pStyle w:val="TableParagraph"/>
              <w:rPr>
                <w:rFonts w:ascii="Times New Roman"/>
                <w:sz w:val="18"/>
              </w:rPr>
            </w:pPr>
          </w:p>
        </w:tc>
        <w:tc>
          <w:tcPr>
            <w:tcW w:w="1526" w:type="dxa"/>
            <w:vMerge/>
            <w:tcBorders>
              <w:top w:val="nil"/>
              <w:bottom w:val="single" w:sz="4" w:space="0" w:color="000000"/>
            </w:tcBorders>
          </w:tcPr>
          <w:p>
            <w:pPr>
              <w:rPr>
                <w:sz w:val="2"/>
                <w:szCs w:val="2"/>
              </w:rPr>
            </w:pPr>
          </w:p>
        </w:tc>
        <w:tc>
          <w:tcPr>
            <w:tcW w:w="314" w:type="dxa"/>
          </w:tcPr>
          <w:p>
            <w:pPr>
              <w:pStyle w:val="TableParagraph"/>
              <w:rPr>
                <w:rFonts w:ascii="Times New Roman"/>
                <w:sz w:val="18"/>
              </w:rPr>
            </w:pPr>
          </w:p>
        </w:tc>
        <w:tc>
          <w:tcPr>
            <w:tcW w:w="369" w:type="dxa"/>
          </w:tcPr>
          <w:p>
            <w:pPr>
              <w:pStyle w:val="TableParagraph"/>
              <w:rPr>
                <w:rFonts w:ascii="Times New Roman"/>
                <w:sz w:val="18"/>
              </w:rPr>
            </w:pPr>
          </w:p>
        </w:tc>
        <w:tc>
          <w:tcPr>
            <w:tcW w:w="369" w:type="dxa"/>
          </w:tcPr>
          <w:p>
            <w:pPr>
              <w:pStyle w:val="TableParagraph"/>
              <w:rPr>
                <w:rFonts w:ascii="Times New Roman"/>
                <w:sz w:val="18"/>
              </w:rPr>
            </w:pPr>
          </w:p>
        </w:tc>
        <w:tc>
          <w:tcPr>
            <w:tcW w:w="369" w:type="dxa"/>
          </w:tcPr>
          <w:p>
            <w:pPr>
              <w:pStyle w:val="TableParagraph"/>
              <w:rPr>
                <w:rFonts w:ascii="Times New Roman"/>
                <w:sz w:val="18"/>
              </w:rPr>
            </w:pPr>
          </w:p>
        </w:tc>
        <w:tc>
          <w:tcPr>
            <w:tcW w:w="1054" w:type="dxa"/>
            <w:tcBorders>
              <w:right w:val="single" w:sz="4" w:space="0" w:color="000000"/>
            </w:tcBorders>
          </w:tcPr>
          <w:p>
            <w:pPr>
              <w:pStyle w:val="TableParagraph"/>
              <w:rPr>
                <w:rFonts w:ascii="Times New Roman"/>
                <w:sz w:val="18"/>
              </w:rPr>
            </w:pPr>
          </w:p>
        </w:tc>
        <w:tc>
          <w:tcPr>
            <w:tcW w:w="1115" w:type="dxa"/>
            <w:tcBorders>
              <w:left w:val="single" w:sz="4" w:space="0" w:color="000000"/>
            </w:tcBorders>
          </w:tcPr>
          <w:p>
            <w:pPr>
              <w:pStyle w:val="TableParagraph"/>
              <w:rPr>
                <w:rFonts w:ascii="Times New Roman"/>
                <w:sz w:val="18"/>
              </w:rPr>
            </w:pPr>
          </w:p>
        </w:tc>
        <w:tc>
          <w:tcPr>
            <w:tcW w:w="1035" w:type="dxa"/>
          </w:tcPr>
          <w:p>
            <w:pPr>
              <w:pStyle w:val="TableParagraph"/>
              <w:rPr>
                <w:rFonts w:ascii="Times New Roman"/>
                <w:sz w:val="18"/>
              </w:rPr>
            </w:pPr>
          </w:p>
        </w:tc>
        <w:tc>
          <w:tcPr>
            <w:tcW w:w="2370" w:type="dxa"/>
            <w:vMerge/>
            <w:tcBorders>
              <w:top w:val="nil"/>
              <w:bottom w:val="single" w:sz="4" w:space="0" w:color="000000"/>
            </w:tcBorders>
          </w:tcPr>
          <w:p>
            <w:pPr>
              <w:rPr>
                <w:sz w:val="2"/>
                <w:szCs w:val="2"/>
              </w:rPr>
            </w:pPr>
          </w:p>
        </w:tc>
        <w:tc>
          <w:tcPr>
            <w:tcW w:w="483" w:type="dxa"/>
            <w:tcBorders>
              <w:right w:val="single" w:sz="4" w:space="0" w:color="000000"/>
            </w:tcBorders>
          </w:tcPr>
          <w:p>
            <w:pPr>
              <w:pStyle w:val="TableParagraph"/>
              <w:spacing w:line="198" w:lineRule="exact" w:before="53"/>
              <w:ind w:left="39"/>
              <w:rPr>
                <w:sz w:val="20"/>
              </w:rPr>
            </w:pPr>
            <w:r>
              <w:rPr>
                <w:sz w:val="20"/>
              </w:rPr>
              <w:t>1.0</w:t>
            </w:r>
          </w:p>
        </w:tc>
      </w:tr>
      <w:tr>
        <w:trPr>
          <w:trHeight w:val="415" w:hRule="atLeast"/>
        </w:trPr>
        <w:tc>
          <w:tcPr>
            <w:tcW w:w="500" w:type="dxa"/>
            <w:tcBorders>
              <w:left w:val="single" w:sz="4" w:space="0" w:color="000000"/>
            </w:tcBorders>
          </w:tcPr>
          <w:p>
            <w:pPr>
              <w:pStyle w:val="TableParagraph"/>
              <w:rPr>
                <w:rFonts w:ascii="Times New Roman"/>
                <w:sz w:val="18"/>
              </w:rPr>
            </w:pPr>
          </w:p>
        </w:tc>
        <w:tc>
          <w:tcPr>
            <w:tcW w:w="368" w:type="dxa"/>
          </w:tcPr>
          <w:p>
            <w:pPr>
              <w:pStyle w:val="TableParagraph"/>
              <w:rPr>
                <w:rFonts w:ascii="Times New Roman"/>
                <w:sz w:val="18"/>
              </w:rPr>
            </w:pPr>
          </w:p>
        </w:tc>
        <w:tc>
          <w:tcPr>
            <w:tcW w:w="1526" w:type="dxa"/>
            <w:vMerge/>
            <w:tcBorders>
              <w:top w:val="nil"/>
              <w:bottom w:val="single" w:sz="4" w:space="0" w:color="000000"/>
            </w:tcBorders>
          </w:tcPr>
          <w:p>
            <w:pPr>
              <w:rPr>
                <w:sz w:val="2"/>
                <w:szCs w:val="2"/>
              </w:rPr>
            </w:pPr>
          </w:p>
        </w:tc>
        <w:tc>
          <w:tcPr>
            <w:tcW w:w="314" w:type="dxa"/>
          </w:tcPr>
          <w:p>
            <w:pPr>
              <w:pStyle w:val="TableParagraph"/>
              <w:rPr>
                <w:rFonts w:ascii="Times New Roman"/>
                <w:sz w:val="18"/>
              </w:rPr>
            </w:pPr>
          </w:p>
        </w:tc>
        <w:tc>
          <w:tcPr>
            <w:tcW w:w="369" w:type="dxa"/>
          </w:tcPr>
          <w:p>
            <w:pPr>
              <w:pStyle w:val="TableParagraph"/>
              <w:rPr>
                <w:rFonts w:ascii="Times New Roman"/>
                <w:sz w:val="18"/>
              </w:rPr>
            </w:pPr>
          </w:p>
        </w:tc>
        <w:tc>
          <w:tcPr>
            <w:tcW w:w="369" w:type="dxa"/>
          </w:tcPr>
          <w:p>
            <w:pPr>
              <w:pStyle w:val="TableParagraph"/>
              <w:rPr>
                <w:rFonts w:ascii="Times New Roman"/>
                <w:sz w:val="18"/>
              </w:rPr>
            </w:pPr>
          </w:p>
        </w:tc>
        <w:tc>
          <w:tcPr>
            <w:tcW w:w="369" w:type="dxa"/>
          </w:tcPr>
          <w:p>
            <w:pPr>
              <w:pStyle w:val="TableParagraph"/>
              <w:rPr>
                <w:rFonts w:ascii="Times New Roman"/>
                <w:sz w:val="18"/>
              </w:rPr>
            </w:pPr>
          </w:p>
        </w:tc>
        <w:tc>
          <w:tcPr>
            <w:tcW w:w="1054" w:type="dxa"/>
            <w:tcBorders>
              <w:right w:val="single" w:sz="4" w:space="0" w:color="000000"/>
            </w:tcBorders>
          </w:tcPr>
          <w:p>
            <w:pPr>
              <w:pStyle w:val="TableParagraph"/>
              <w:spacing w:line="191" w:lineRule="exact"/>
              <w:ind w:left="730"/>
              <w:rPr>
                <w:sz w:val="18"/>
              </w:rPr>
            </w:pPr>
            <w:r>
              <w:rPr>
                <w:sz w:val="18"/>
              </w:rPr>
              <w:t>-20</w:t>
            </w:r>
          </w:p>
        </w:tc>
        <w:tc>
          <w:tcPr>
            <w:tcW w:w="1115" w:type="dxa"/>
            <w:tcBorders>
              <w:left w:val="single" w:sz="4" w:space="0" w:color="000000"/>
            </w:tcBorders>
          </w:tcPr>
          <w:p>
            <w:pPr>
              <w:pStyle w:val="TableParagraph"/>
              <w:rPr>
                <w:rFonts w:ascii="Times New Roman"/>
                <w:sz w:val="18"/>
              </w:rPr>
            </w:pPr>
          </w:p>
        </w:tc>
        <w:tc>
          <w:tcPr>
            <w:tcW w:w="1035" w:type="dxa"/>
          </w:tcPr>
          <w:p>
            <w:pPr>
              <w:pStyle w:val="TableParagraph"/>
              <w:rPr>
                <w:rFonts w:ascii="Times New Roman"/>
                <w:sz w:val="18"/>
              </w:rPr>
            </w:pPr>
          </w:p>
        </w:tc>
        <w:tc>
          <w:tcPr>
            <w:tcW w:w="2370" w:type="dxa"/>
            <w:vMerge/>
            <w:tcBorders>
              <w:top w:val="nil"/>
              <w:bottom w:val="single" w:sz="4" w:space="0" w:color="000000"/>
            </w:tcBorders>
          </w:tcPr>
          <w:p>
            <w:pPr>
              <w:rPr>
                <w:sz w:val="2"/>
                <w:szCs w:val="2"/>
              </w:rPr>
            </w:pPr>
          </w:p>
        </w:tc>
        <w:tc>
          <w:tcPr>
            <w:tcW w:w="483" w:type="dxa"/>
            <w:tcBorders>
              <w:right w:val="single" w:sz="4" w:space="0" w:color="000000"/>
            </w:tcBorders>
          </w:tcPr>
          <w:p>
            <w:pPr>
              <w:pStyle w:val="TableParagraph"/>
              <w:spacing w:before="125"/>
              <w:ind w:left="39"/>
              <w:rPr>
                <w:sz w:val="20"/>
              </w:rPr>
            </w:pPr>
            <w:r>
              <w:rPr>
                <w:sz w:val="20"/>
              </w:rPr>
              <w:t>0.5</w:t>
            </w:r>
          </w:p>
        </w:tc>
      </w:tr>
      <w:tr>
        <w:trPr>
          <w:trHeight w:val="813" w:hRule="atLeast"/>
        </w:trPr>
        <w:tc>
          <w:tcPr>
            <w:tcW w:w="500" w:type="dxa"/>
            <w:tcBorders>
              <w:left w:val="single" w:sz="4" w:space="0" w:color="000000"/>
            </w:tcBorders>
          </w:tcPr>
          <w:p>
            <w:pPr>
              <w:pStyle w:val="TableParagraph"/>
              <w:rPr>
                <w:sz w:val="20"/>
              </w:rPr>
            </w:pPr>
          </w:p>
          <w:p>
            <w:pPr>
              <w:pStyle w:val="TableParagraph"/>
              <w:spacing w:before="138"/>
              <w:ind w:left="214"/>
              <w:rPr>
                <w:sz w:val="18"/>
              </w:rPr>
            </w:pPr>
            <w:r>
              <w:rPr>
                <w:sz w:val="18"/>
              </w:rPr>
              <w:t>96</w:t>
            </w:r>
          </w:p>
        </w:tc>
        <w:tc>
          <w:tcPr>
            <w:tcW w:w="368" w:type="dxa"/>
          </w:tcPr>
          <w:p>
            <w:pPr>
              <w:pStyle w:val="TableParagraph"/>
              <w:rPr>
                <w:sz w:val="20"/>
              </w:rPr>
            </w:pPr>
          </w:p>
          <w:p>
            <w:pPr>
              <w:pStyle w:val="TableParagraph"/>
              <w:spacing w:before="138"/>
              <w:ind w:left="87"/>
              <w:rPr>
                <w:sz w:val="18"/>
              </w:rPr>
            </w:pPr>
            <w:r>
              <w:rPr>
                <w:sz w:val="18"/>
              </w:rPr>
              <w:t>98</w:t>
            </w:r>
          </w:p>
        </w:tc>
        <w:tc>
          <w:tcPr>
            <w:tcW w:w="1526" w:type="dxa"/>
            <w:vMerge/>
            <w:tcBorders>
              <w:top w:val="nil"/>
              <w:bottom w:val="single" w:sz="4" w:space="0" w:color="000000"/>
            </w:tcBorders>
          </w:tcPr>
          <w:p>
            <w:pPr>
              <w:rPr>
                <w:sz w:val="2"/>
                <w:szCs w:val="2"/>
              </w:rPr>
            </w:pPr>
          </w:p>
        </w:tc>
        <w:tc>
          <w:tcPr>
            <w:tcW w:w="314" w:type="dxa"/>
          </w:tcPr>
          <w:p>
            <w:pPr>
              <w:pStyle w:val="TableParagraph"/>
              <w:rPr>
                <w:sz w:val="20"/>
              </w:rPr>
            </w:pPr>
          </w:p>
          <w:p>
            <w:pPr>
              <w:pStyle w:val="TableParagraph"/>
              <w:spacing w:before="138"/>
              <w:ind w:left="31"/>
              <w:rPr>
                <w:sz w:val="18"/>
              </w:rPr>
            </w:pPr>
            <w:r>
              <w:rPr>
                <w:sz w:val="18"/>
              </w:rPr>
              <w:t>08</w:t>
            </w:r>
          </w:p>
        </w:tc>
        <w:tc>
          <w:tcPr>
            <w:tcW w:w="369" w:type="dxa"/>
          </w:tcPr>
          <w:p>
            <w:pPr>
              <w:pStyle w:val="TableParagraph"/>
              <w:rPr>
                <w:sz w:val="20"/>
              </w:rPr>
            </w:pPr>
          </w:p>
          <w:p>
            <w:pPr>
              <w:pStyle w:val="TableParagraph"/>
              <w:spacing w:before="138"/>
              <w:ind w:left="85"/>
              <w:rPr>
                <w:sz w:val="18"/>
              </w:rPr>
            </w:pPr>
            <w:r>
              <w:rPr>
                <w:sz w:val="18"/>
              </w:rPr>
              <w:t>10</w:t>
            </w:r>
          </w:p>
        </w:tc>
        <w:tc>
          <w:tcPr>
            <w:tcW w:w="369" w:type="dxa"/>
          </w:tcPr>
          <w:p>
            <w:pPr>
              <w:pStyle w:val="TableParagraph"/>
              <w:rPr>
                <w:sz w:val="20"/>
              </w:rPr>
            </w:pPr>
          </w:p>
          <w:p>
            <w:pPr>
              <w:pStyle w:val="TableParagraph"/>
              <w:spacing w:before="138"/>
              <w:ind w:left="84"/>
              <w:rPr>
                <w:sz w:val="18"/>
              </w:rPr>
            </w:pPr>
            <w:r>
              <w:rPr>
                <w:sz w:val="18"/>
              </w:rPr>
              <w:t>12</w:t>
            </w:r>
          </w:p>
        </w:tc>
        <w:tc>
          <w:tcPr>
            <w:tcW w:w="369" w:type="dxa"/>
          </w:tcPr>
          <w:p>
            <w:pPr>
              <w:pStyle w:val="TableParagraph"/>
              <w:rPr>
                <w:sz w:val="20"/>
              </w:rPr>
            </w:pPr>
          </w:p>
          <w:p>
            <w:pPr>
              <w:pStyle w:val="TableParagraph"/>
              <w:spacing w:before="138"/>
              <w:ind w:left="82"/>
              <w:rPr>
                <w:sz w:val="18"/>
              </w:rPr>
            </w:pPr>
            <w:r>
              <w:rPr>
                <w:sz w:val="18"/>
              </w:rPr>
              <w:t>14</w:t>
            </w:r>
          </w:p>
        </w:tc>
        <w:tc>
          <w:tcPr>
            <w:tcW w:w="1054" w:type="dxa"/>
            <w:tcBorders>
              <w:right w:val="single" w:sz="4" w:space="0" w:color="000000"/>
            </w:tcBorders>
          </w:tcPr>
          <w:p>
            <w:pPr>
              <w:pStyle w:val="TableParagraph"/>
              <w:spacing w:before="151"/>
              <w:ind w:left="730"/>
              <w:rPr>
                <w:sz w:val="18"/>
              </w:rPr>
            </w:pPr>
            <w:r>
              <w:rPr>
                <w:sz w:val="18"/>
              </w:rPr>
              <w:t>-25</w:t>
            </w:r>
          </w:p>
          <w:p>
            <w:pPr>
              <w:pStyle w:val="TableParagraph"/>
              <w:spacing w:before="10"/>
              <w:ind w:left="81"/>
              <w:rPr>
                <w:sz w:val="18"/>
              </w:rPr>
            </w:pPr>
            <w:r>
              <w:rPr>
                <w:sz w:val="18"/>
              </w:rPr>
              <w:t>16 18</w:t>
            </w:r>
          </w:p>
        </w:tc>
        <w:tc>
          <w:tcPr>
            <w:tcW w:w="1115" w:type="dxa"/>
            <w:tcBorders>
              <w:left w:val="single" w:sz="4" w:space="0" w:color="000000"/>
            </w:tcBorders>
          </w:tcPr>
          <w:p>
            <w:pPr>
              <w:pStyle w:val="TableParagraph"/>
              <w:spacing w:before="3"/>
              <w:rPr>
                <w:sz w:val="25"/>
              </w:rPr>
            </w:pPr>
          </w:p>
          <w:p>
            <w:pPr>
              <w:pStyle w:val="TableParagraph"/>
              <w:ind w:left="446" w:right="87"/>
              <w:rPr>
                <w:sz w:val="20"/>
              </w:rPr>
            </w:pPr>
            <w:r>
              <w:rPr>
                <w:sz w:val="20"/>
              </w:rPr>
              <w:t>1 year ahead</w:t>
            </w:r>
          </w:p>
        </w:tc>
        <w:tc>
          <w:tcPr>
            <w:tcW w:w="1035" w:type="dxa"/>
          </w:tcPr>
          <w:p>
            <w:pPr>
              <w:pStyle w:val="TableParagraph"/>
              <w:spacing w:before="3"/>
              <w:rPr>
                <w:sz w:val="25"/>
              </w:rPr>
            </w:pPr>
          </w:p>
          <w:p>
            <w:pPr>
              <w:pStyle w:val="TableParagraph"/>
              <w:ind w:left="149" w:right="261" w:hanging="51"/>
              <w:rPr>
                <w:sz w:val="20"/>
              </w:rPr>
            </w:pPr>
            <w:r>
              <w:rPr>
                <w:sz w:val="20"/>
              </w:rPr>
              <w:t>3 years ahead</w:t>
            </w:r>
          </w:p>
        </w:tc>
        <w:tc>
          <w:tcPr>
            <w:tcW w:w="2370" w:type="dxa"/>
            <w:vMerge/>
            <w:tcBorders>
              <w:top w:val="nil"/>
              <w:bottom w:val="single" w:sz="4" w:space="0" w:color="000000"/>
            </w:tcBorders>
          </w:tcPr>
          <w:p>
            <w:pPr>
              <w:rPr>
                <w:sz w:val="2"/>
                <w:szCs w:val="2"/>
              </w:rPr>
            </w:pPr>
          </w:p>
        </w:tc>
        <w:tc>
          <w:tcPr>
            <w:tcW w:w="483" w:type="dxa"/>
            <w:tcBorders>
              <w:right w:val="single" w:sz="4" w:space="0" w:color="000000"/>
            </w:tcBorders>
          </w:tcPr>
          <w:p>
            <w:pPr>
              <w:pStyle w:val="TableParagraph"/>
              <w:spacing w:before="53"/>
              <w:ind w:left="39"/>
              <w:rPr>
                <w:sz w:val="20"/>
              </w:rPr>
            </w:pPr>
            <w:r>
              <w:rPr>
                <w:sz w:val="20"/>
              </w:rPr>
              <w:t>0.0</w:t>
            </w:r>
          </w:p>
        </w:tc>
      </w:tr>
      <w:tr>
        <w:trPr>
          <w:trHeight w:val="514" w:hRule="atLeast"/>
        </w:trPr>
        <w:tc>
          <w:tcPr>
            <w:tcW w:w="500" w:type="dxa"/>
            <w:tcBorders>
              <w:left w:val="single" w:sz="4" w:space="0" w:color="000000"/>
              <w:bottom w:val="single" w:sz="4" w:space="0" w:color="000000"/>
            </w:tcBorders>
          </w:tcPr>
          <w:p>
            <w:pPr>
              <w:pStyle w:val="TableParagraph"/>
              <w:rPr>
                <w:rFonts w:ascii="Times New Roman"/>
                <w:sz w:val="18"/>
              </w:rPr>
            </w:pPr>
          </w:p>
        </w:tc>
        <w:tc>
          <w:tcPr>
            <w:tcW w:w="368" w:type="dxa"/>
            <w:tcBorders>
              <w:bottom w:val="single" w:sz="4" w:space="0" w:color="000000"/>
            </w:tcBorders>
          </w:tcPr>
          <w:p>
            <w:pPr>
              <w:pStyle w:val="TableParagraph"/>
              <w:rPr>
                <w:rFonts w:ascii="Times New Roman"/>
                <w:sz w:val="18"/>
              </w:rPr>
            </w:pPr>
          </w:p>
        </w:tc>
        <w:tc>
          <w:tcPr>
            <w:tcW w:w="1526" w:type="dxa"/>
            <w:vMerge/>
            <w:tcBorders>
              <w:top w:val="nil"/>
              <w:bottom w:val="single" w:sz="4" w:space="0" w:color="000000"/>
            </w:tcBorders>
          </w:tcPr>
          <w:p>
            <w:pPr>
              <w:rPr>
                <w:sz w:val="2"/>
                <w:szCs w:val="2"/>
              </w:rPr>
            </w:pPr>
          </w:p>
        </w:tc>
        <w:tc>
          <w:tcPr>
            <w:tcW w:w="314" w:type="dxa"/>
            <w:tcBorders>
              <w:bottom w:val="single" w:sz="4" w:space="0" w:color="000000"/>
            </w:tcBorders>
          </w:tcPr>
          <w:p>
            <w:pPr>
              <w:pStyle w:val="TableParagraph"/>
              <w:rPr>
                <w:rFonts w:ascii="Times New Roman"/>
                <w:sz w:val="18"/>
              </w:rPr>
            </w:pPr>
          </w:p>
        </w:tc>
        <w:tc>
          <w:tcPr>
            <w:tcW w:w="369" w:type="dxa"/>
            <w:tcBorders>
              <w:bottom w:val="single" w:sz="4" w:space="0" w:color="000000"/>
            </w:tcBorders>
          </w:tcPr>
          <w:p>
            <w:pPr>
              <w:pStyle w:val="TableParagraph"/>
              <w:rPr>
                <w:rFonts w:ascii="Times New Roman"/>
                <w:sz w:val="18"/>
              </w:rPr>
            </w:pPr>
          </w:p>
        </w:tc>
        <w:tc>
          <w:tcPr>
            <w:tcW w:w="369" w:type="dxa"/>
            <w:tcBorders>
              <w:bottom w:val="single" w:sz="4" w:space="0" w:color="000000"/>
            </w:tcBorders>
          </w:tcPr>
          <w:p>
            <w:pPr>
              <w:pStyle w:val="TableParagraph"/>
              <w:rPr>
                <w:rFonts w:ascii="Times New Roman"/>
                <w:sz w:val="18"/>
              </w:rPr>
            </w:pPr>
          </w:p>
        </w:tc>
        <w:tc>
          <w:tcPr>
            <w:tcW w:w="369" w:type="dxa"/>
            <w:tcBorders>
              <w:bottom w:val="single" w:sz="4" w:space="0" w:color="000000"/>
            </w:tcBorders>
          </w:tcPr>
          <w:p>
            <w:pPr>
              <w:pStyle w:val="TableParagraph"/>
              <w:rPr>
                <w:rFonts w:ascii="Times New Roman"/>
                <w:sz w:val="18"/>
              </w:rPr>
            </w:pPr>
          </w:p>
        </w:tc>
        <w:tc>
          <w:tcPr>
            <w:tcW w:w="1054" w:type="dxa"/>
            <w:tcBorders>
              <w:bottom w:val="single" w:sz="4" w:space="0" w:color="000000"/>
              <w:right w:val="single" w:sz="4" w:space="0" w:color="000000"/>
            </w:tcBorders>
          </w:tcPr>
          <w:p>
            <w:pPr>
              <w:pStyle w:val="TableParagraph"/>
              <w:rPr>
                <w:rFonts w:ascii="Times New Roman"/>
                <w:sz w:val="18"/>
              </w:rPr>
            </w:pPr>
          </w:p>
        </w:tc>
        <w:tc>
          <w:tcPr>
            <w:tcW w:w="1115" w:type="dxa"/>
            <w:tcBorders>
              <w:left w:val="single" w:sz="4" w:space="0" w:color="000000"/>
              <w:bottom w:val="single" w:sz="4" w:space="0" w:color="000000"/>
            </w:tcBorders>
          </w:tcPr>
          <w:p>
            <w:pPr>
              <w:pStyle w:val="TableParagraph"/>
              <w:rPr>
                <w:rFonts w:ascii="Times New Roman"/>
                <w:sz w:val="18"/>
              </w:rPr>
            </w:pPr>
          </w:p>
        </w:tc>
        <w:tc>
          <w:tcPr>
            <w:tcW w:w="1035" w:type="dxa"/>
            <w:tcBorders>
              <w:bottom w:val="single" w:sz="4" w:space="0" w:color="000000"/>
            </w:tcBorders>
          </w:tcPr>
          <w:p>
            <w:pPr>
              <w:pStyle w:val="TableParagraph"/>
              <w:spacing w:before="55"/>
              <w:ind w:left="254"/>
              <w:rPr>
                <w:sz w:val="20"/>
              </w:rPr>
            </w:pPr>
            <w:r>
              <w:rPr>
                <w:sz w:val="20"/>
              </w:rPr>
              <w:t>Pay</w:t>
            </w:r>
          </w:p>
        </w:tc>
        <w:tc>
          <w:tcPr>
            <w:tcW w:w="2370" w:type="dxa"/>
            <w:vMerge/>
            <w:tcBorders>
              <w:top w:val="nil"/>
              <w:bottom w:val="single" w:sz="4" w:space="0" w:color="000000"/>
            </w:tcBorders>
          </w:tcPr>
          <w:p>
            <w:pPr>
              <w:rPr>
                <w:sz w:val="2"/>
                <w:szCs w:val="2"/>
              </w:rPr>
            </w:pPr>
          </w:p>
        </w:tc>
        <w:tc>
          <w:tcPr>
            <w:tcW w:w="483" w:type="dxa"/>
            <w:tcBorders>
              <w:bottom w:val="single" w:sz="4" w:space="0" w:color="000000"/>
              <w:right w:val="single" w:sz="4" w:space="0" w:color="000000"/>
            </w:tcBorders>
          </w:tcPr>
          <w:p>
            <w:pPr>
              <w:pStyle w:val="TableParagraph"/>
              <w:rPr>
                <w:rFonts w:ascii="Times New Roman"/>
                <w:sz w:val="18"/>
              </w:rPr>
            </w:pPr>
          </w:p>
        </w:tc>
      </w:tr>
      <w:tr>
        <w:trPr>
          <w:trHeight w:val="690" w:hRule="atLeast"/>
        </w:trPr>
        <w:tc>
          <w:tcPr>
            <w:tcW w:w="4869" w:type="dxa"/>
            <w:gridSpan w:val="8"/>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8"/>
              <w:rPr>
                <w:sz w:val="20"/>
              </w:rPr>
            </w:pPr>
            <w:r>
              <w:rPr>
                <w:sz w:val="20"/>
              </w:rPr>
              <w:t>Notes: shows nominal pay per head, and real</w:t>
            </w:r>
          </w:p>
          <w:p>
            <w:pPr>
              <w:pStyle w:val="TableParagraph"/>
              <w:spacing w:before="115"/>
              <w:ind w:left="108"/>
              <w:rPr>
                <w:sz w:val="20"/>
              </w:rPr>
            </w:pPr>
            <w:r>
              <w:rPr>
                <w:sz w:val="20"/>
              </w:rPr>
              <w:t>productivity per head.</w:t>
            </w:r>
          </w:p>
        </w:tc>
        <w:tc>
          <w:tcPr>
            <w:tcW w:w="5003" w:type="dxa"/>
            <w:gridSpan w:val="4"/>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r>
    </w:tbl>
    <w:p>
      <w:pPr>
        <w:spacing w:after="0"/>
        <w:rPr>
          <w:rFonts w:ascii="Times New Roman"/>
          <w:sz w:val="18"/>
        </w:rPr>
        <w:sectPr>
          <w:footerReference w:type="default" r:id="rId9"/>
          <w:pgSz w:w="11910" w:h="16840"/>
          <w:pgMar w:footer="1334" w:header="0" w:top="1580" w:bottom="1520" w:left="900" w:right="0"/>
        </w:sectPr>
      </w:pPr>
    </w:p>
    <w:p>
      <w:pPr>
        <w:pStyle w:val="BodyText"/>
        <w:spacing w:line="360" w:lineRule="auto" w:before="79"/>
        <w:ind w:left="233" w:right="1440"/>
      </w:pPr>
      <w:r>
        <w:rPr/>
        <w:pict>
          <v:group style="position:absolute;margin-left:75.279427pt;margin-top:150.581909pt;width:189.75pt;height:183.75pt;mso-position-horizontal-relative:page;mso-position-vertical-relative:paragraph;z-index:-253315072" coordorigin="1506,3012" coordsize="3795,3675">
            <v:rect style="position:absolute;left:1512;top:3018;width:3782;height:3653" filled="false" stroked="true" strokeweight=".152458pt" strokecolor="#000000">
              <v:stroke dashstyle="solid"/>
            </v:rect>
            <v:shape style="position:absolute;left:348;top:11443;width:3466;height:3356" coordorigin="348,11443" coordsize="3466,3356" path="m5292,6669l5292,3019m5235,6669l5292,6669m5235,6061l5292,6061m5235,5452l5292,5452m5235,4844l5292,4844m5235,4236l5292,4236m5235,3628l5292,3628m5235,3019l5292,3019m1513,6669l1513,3019m1513,6669l1571,6669m1513,6337l1571,6337m1513,6006l1571,6006m1513,5674l1571,5674m1513,5343l1571,5343m1513,5009l1571,5009m1513,4677l1571,4677m1513,4346l1571,4346m1513,4014l1571,4014m1513,3683l1571,3683m1513,3351l1571,3351m1513,3019l1571,3019m1513,4677l5292,4677m1513,4620l1513,4677m1684,4620l1684,4677m1854,4620l1854,4677m2021,4620l2021,4677m2191,4620l2191,4677m2361,4620l2361,4677m2531,4620l2531,4677m2701,4620l2701,4677m2872,4620l2872,4677m3042,4620l3042,4677m3212,4620l3212,4677m3382,4620l3382,4677m3552,4620l3552,4677m3722,4620l3722,4677m3892,4620l3892,4677m4062,4620l4062,4677m4230,4620l4230,4677m4400,4620l4400,4677m4570,4620l4570,4677m4740,4620l4740,4677m4910,4620l4910,4677m5080,4620l5080,4677m5250,4620l5250,4677e" filled="false" stroked="true" strokeweight=".784103pt" strokecolor="#858585">
              <v:path arrowok="t"/>
              <v:stroke dashstyle="solid"/>
            </v:shape>
            <v:shape style="position:absolute;left:366;top:11499;width:3430;height:3314" coordorigin="366,11500" coordsize="3430,3314" path="m1533,3833l1578,3846,1619,3948,1661,3720,1703,3373,1745,3177,1790,3245,1831,3217,1873,3613,1915,3606,1960,3519,2001,3540,2043,3606,2085,3893,2130,3543,2172,3407,2213,3311,2255,3120,2297,3634,2342,4041,2384,3882,2425,3822,2467,3666,2512,3569,2554,3856,2595,3901,2637,3895,2682,3741,2724,3681,2766,3582,2807,3493,2849,3522,2894,3561,2936,3752,2978,4041,3019,4229,3064,4094,3106,3851,3148,3509,3190,3081,3234,3316,3276,3619,3318,3995,3360,4376,3401,4133,3446,3966,3488,3700,3530,3538,3572,3754,3616,4248,3658,5080,3700,6057,3741,6685m3745,6685l3786,6524,3828,5955,3870,5133,3912,4428,3954,4078,3998,3929,4040,4002,4082,3903,4124,4143,4168,4245,4210,4235,4252,4269,4294,4336,4338,4028,4380,4162,4422,4162,4464,3958,4506,4057,4550,3820,4592,3754,4634,3660,4676,3726,4720,3658,4762,3793,4804,3882,4846,3971,4890,3945,4932,3987,4974,4125,5016,4112,5058,4112,5102,4088,5144,4070,5186,4112,5228,4240,5273,4292e" filled="false" stroked="true" strokeweight=".152465pt" strokecolor="#001f5f">
              <v:path arrowok="t"/>
              <v:stroke dashstyle="solid"/>
            </v:shape>
            <v:shape style="position:absolute;left:366;top:11778;width:3430;height:2650" coordorigin="366,11778" coordsize="3430,2650" path="m1533,3506l1578,3444,1619,3566,1661,3749,1703,4052,1745,4115,1790,4357,1831,4540,1873,4600,1915,4660,1960,4723,2001,4783,2043,4723,2085,4843,2130,4906,2172,4966,2213,4966,2255,5148,2297,5271,2342,5331,2384,5391,2425,5451,2467,5391,2512,5331,2554,5331,2595,5331,2637,5271,2682,5391,2724,5331,2766,5514,2807,5451,2849,5514,2894,5574,2936,5574,2978,5634,3019,5634,3064,5634,3106,5574,3148,5634,3190,5391,3234,5331,3276,5148,3318,5148,3360,5148,3401,5148,3446,5208,3488,5271,3530,5331,3572,5331,3616,5208,3658,4906,3700,4600,3742,4175,3786,3749,3828,3749,3870,3749,3912,3626,3954,3686,3998,3749,4040,3686,4082,3749,4124,3686,4168,3444,4210,3384,4252,3506,4294,3626,4338,3686,4380,3749,4422,3749,4464,3809,4506,3869,4550,4115,4592,4357,4634,4660,4676,4843,4720,5026,4762,5148,4804,5088,4846,5271,4890,5391,4932,5391,4974,5514,5016,5574,5058,5574,5102,5696,5144,5817,5186,5879,5228,5817,5273,5939m1680,6266l2098,6266e" filled="false" stroked="true" strokeweight=".152465pt" strokecolor="#ff0000">
              <v:path arrowok="t"/>
              <v:stroke dashstyle="solid"/>
            </v:shape>
            <w10:wrap type="none"/>
          </v:group>
        </w:pict>
      </w:r>
      <w:r>
        <w:rPr/>
        <w:pict>
          <v:group style="position:absolute;margin-left:309.192627pt;margin-top:146.580368pt;width:190.4pt;height:180.15pt;mso-position-horizontal-relative:page;mso-position-vertical-relative:paragraph;z-index:-253314048" coordorigin="6184,2932" coordsize="3808,3603">
            <v:rect style="position:absolute;left:6192;top:2937;width:3793;height:3591" filled="false" stroked="true" strokeweight=".147303pt" strokecolor="#000000">
              <v:stroke dashstyle="solid"/>
            </v:rect>
            <v:shape style="position:absolute;left:196;top:11383;width:3598;height:3416" coordorigin="197,11383" coordsize="3598,3416" path="m9984,6527l9984,2939m9928,6527l9984,6527m9928,6169l9984,6169m9928,5808l9984,5808m9928,5450l9984,5450m9928,5092l9984,5092m9928,4732l9984,4732m9928,4374l9984,4374m9928,4016l9984,4016m9928,3655l9984,3655m9928,3297l9984,3297m9928,2939l9984,2939m6191,5450l9984,5450m6191,5392l6191,5450m6361,5392l6361,5450m6533,5392l6533,5450m6702,5392l6702,5450m6874,5392l6874,5450m7044,5392l7044,5450m7213,5392l7213,5450m7385,5392l7385,5450m7555,5392l7555,5450m7724,5392l7724,5450m7897,5392l7897,5450m8066,5392l8066,5450m8238,5392l8238,5450m8408,5392l8408,5450m8577,5392l8577,5450m8749,5392l8749,5450m8919,5392l8919,5450m9088,5392l9088,5450m9260,5392l9260,5450m9430,5392l9430,5450m9602,5392l9602,5450m9771,5392l9771,5450m9941,5392l9941,5450e" filled="false" stroked="true" strokeweight=".75763pt" strokecolor="#858585">
              <v:path arrowok="t"/>
              <v:stroke dashstyle="solid"/>
            </v:shape>
            <v:shape style="position:absolute;left:6212;top:3066;width:3750;height:3210" coordorigin="6213,3066" coordsize="3750,3210" path="m6213,4579l6256,4768,6299,4486,6339,5045,6382,5184,6425,4519,6468,4292,6511,4408,6554,4040,6597,4098,6638,3480,6681,3823,6724,4158,6767,3765,6810,4839,6853,4695,6893,4572,6936,4935,6979,4095,7022,3586,7065,3094,7108,3664,7151,4473,7192,4655,7235,5177,7278,5172,7321,5197,7364,5502,7407,5630,7447,5345,7490,5277,7533,5078,7576,4619,7619,4965,7663,4430,7703,4156,7746,4846,7789,4864,7832,5217,7875,6046,7918,5136,7961,4466,8001,4342,8045,3319,8088,3674,8131,4541,8174,4683,8217,4937,8257,4746,8300,4713,8343,4226,8386,3835,8429,4395,8472,3066,8515,3672,8556,4382,8599,4917,8642,6276,8685,5875,8728,5877,8771,4980,8811,5164,8854,5837,8897,5784,8940,6072,8983,5222,9026,4892,9069,4627,9110,4998,9153,4428,9196,4657,9239,4630,9282,4418,9325,5671,9365,5593,9408,5512,9451,5353,9494,5129,9537,4468,9580,4856,9621,5242,9664,4569,9707,4801,9750,5078,9793,4751,9836,5351,9879,5487,9919,4541,9962,4113e" filled="false" stroked="true" strokeweight=".147278pt" strokecolor="#001f5f">
              <v:path arrowok="t"/>
              <v:stroke dashstyle="solid"/>
            </v:shape>
            <v:line style="position:absolute" from="6211,4582" to="9964,4582" stroked="true" strokeweight=".147064pt" strokecolor="#ff0000">
              <v:stroke dashstyle="dot"/>
            </v:line>
            <v:line style="position:absolute" from="6372,5739" to="6904,5739" stroked="true" strokeweight=".147064pt" strokecolor="#001f5f">
              <v:stroke dashstyle="solid"/>
            </v:line>
            <w10:wrap type="none"/>
          </v:group>
        </w:pict>
      </w:r>
      <w:r>
        <w:rPr/>
        <w:t>Headline CPI was blown about during this period by external pressures – the collapse of the oil price, and the creeping but sizeable appreciation of Sterling between the end of 2014 and the end of 2015. But the MPC’s stodginess in the face of deep uncertainty about the supply side was justified by the very subdued evolution of domestically generated inflation even as unemployment rate sank well below its pre-crisis natural rate and activity recovered towards pre crisis growth rates of around 3% in 2014 (</w:t>
      </w:r>
      <w:r>
        <w:rPr>
          <w:b/>
        </w:rPr>
        <w:t>Charts 5 &amp; 6</w:t>
      </w:r>
      <w:r>
        <w:rPr/>
        <w:t>).</w:t>
      </w:r>
    </w:p>
    <w:p>
      <w:pPr>
        <w:pStyle w:val="BodyText"/>
      </w:pPr>
    </w:p>
    <w:p>
      <w:pPr>
        <w:pStyle w:val="BodyText"/>
        <w:spacing w:before="1" w:after="1"/>
        <w:rPr>
          <w:sz w:val="10"/>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52"/>
        <w:gridCol w:w="5005"/>
      </w:tblGrid>
      <w:tr>
        <w:trPr>
          <w:trHeight w:val="345" w:hRule="atLeast"/>
        </w:trPr>
        <w:tc>
          <w:tcPr>
            <w:tcW w:w="4852" w:type="dxa"/>
          </w:tcPr>
          <w:p>
            <w:pPr>
              <w:pStyle w:val="TableParagraph"/>
              <w:spacing w:line="225" w:lineRule="exact"/>
              <w:ind w:left="108"/>
              <w:rPr>
                <w:b/>
                <w:sz w:val="20"/>
              </w:rPr>
            </w:pPr>
            <w:r>
              <w:rPr>
                <w:b/>
                <w:sz w:val="20"/>
              </w:rPr>
              <w:t>Chart 5: GDP and unemployment</w:t>
            </w:r>
          </w:p>
        </w:tc>
        <w:tc>
          <w:tcPr>
            <w:tcW w:w="5005" w:type="dxa"/>
          </w:tcPr>
          <w:p>
            <w:pPr>
              <w:pStyle w:val="TableParagraph"/>
              <w:spacing w:line="225" w:lineRule="exact"/>
              <w:ind w:left="107"/>
              <w:rPr>
                <w:b/>
                <w:sz w:val="20"/>
              </w:rPr>
            </w:pPr>
            <w:r>
              <w:rPr>
                <w:b/>
                <w:sz w:val="20"/>
              </w:rPr>
              <w:t>Chart 6: Unit wage cost</w:t>
            </w:r>
          </w:p>
        </w:tc>
      </w:tr>
      <w:tr>
        <w:trPr>
          <w:trHeight w:val="4824" w:hRule="atLeast"/>
        </w:trPr>
        <w:tc>
          <w:tcPr>
            <w:tcW w:w="4852" w:type="dxa"/>
          </w:tcPr>
          <w:p>
            <w:pPr>
              <w:pStyle w:val="TableParagraph"/>
              <w:spacing w:before="155"/>
              <w:ind w:right="390"/>
              <w:jc w:val="right"/>
              <w:rPr>
                <w:sz w:val="17"/>
              </w:rPr>
            </w:pPr>
            <w:r>
              <w:rPr>
                <w:w w:val="105"/>
                <w:sz w:val="17"/>
              </w:rPr>
              <w:t>Percentage change on year earlier</w:t>
            </w:r>
          </w:p>
          <w:p>
            <w:pPr>
              <w:pStyle w:val="TableParagraph"/>
              <w:tabs>
                <w:tab w:pos="4229" w:val="left" w:leader="none"/>
              </w:tabs>
              <w:spacing w:before="36"/>
              <w:ind w:right="292"/>
              <w:jc w:val="right"/>
              <w:rPr>
                <w:sz w:val="19"/>
              </w:rPr>
            </w:pPr>
            <w:r>
              <w:rPr>
                <w:w w:val="105"/>
                <w:sz w:val="19"/>
              </w:rPr>
              <w:t>5</w:t>
              <w:tab/>
            </w:r>
            <w:r>
              <w:rPr>
                <w:spacing w:val="-1"/>
                <w:sz w:val="19"/>
              </w:rPr>
              <w:t>9</w:t>
            </w:r>
          </w:p>
          <w:p>
            <w:pPr>
              <w:pStyle w:val="TableParagraph"/>
              <w:spacing w:before="114"/>
              <w:ind w:left="208"/>
              <w:rPr>
                <w:sz w:val="19"/>
              </w:rPr>
            </w:pPr>
            <w:r>
              <w:rPr>
                <w:w w:val="103"/>
                <w:sz w:val="19"/>
              </w:rPr>
              <w:t>4</w:t>
            </w:r>
          </w:p>
          <w:p>
            <w:pPr>
              <w:pStyle w:val="TableParagraph"/>
              <w:tabs>
                <w:tab w:pos="4438" w:val="left" w:leader="none"/>
              </w:tabs>
              <w:spacing w:before="58"/>
              <w:ind w:left="208"/>
              <w:rPr>
                <w:sz w:val="19"/>
              </w:rPr>
            </w:pPr>
            <w:r>
              <w:rPr>
                <w:w w:val="105"/>
                <w:position w:val="-5"/>
                <w:sz w:val="19"/>
              </w:rPr>
              <w:t>3</w:t>
              <w:tab/>
            </w:r>
            <w:r>
              <w:rPr>
                <w:w w:val="105"/>
                <w:sz w:val="19"/>
              </w:rPr>
              <w:t>8</w:t>
            </w:r>
          </w:p>
          <w:p>
            <w:pPr>
              <w:pStyle w:val="TableParagraph"/>
              <w:spacing w:before="109"/>
              <w:ind w:left="208"/>
              <w:rPr>
                <w:sz w:val="19"/>
              </w:rPr>
            </w:pPr>
            <w:r>
              <w:rPr>
                <w:w w:val="103"/>
                <w:sz w:val="19"/>
              </w:rPr>
              <w:t>2</w:t>
            </w:r>
          </w:p>
          <w:p>
            <w:pPr>
              <w:pStyle w:val="TableParagraph"/>
              <w:tabs>
                <w:tab w:pos="4438" w:val="left" w:leader="none"/>
              </w:tabs>
              <w:spacing w:before="3"/>
              <w:ind w:left="208"/>
              <w:rPr>
                <w:sz w:val="19"/>
              </w:rPr>
            </w:pPr>
            <w:r>
              <w:rPr>
                <w:w w:val="105"/>
                <w:position w:val="-10"/>
                <w:sz w:val="19"/>
              </w:rPr>
              <w:t>1</w:t>
              <w:tab/>
            </w:r>
            <w:r>
              <w:rPr>
                <w:w w:val="105"/>
                <w:sz w:val="19"/>
              </w:rPr>
              <w:t>7</w:t>
            </w:r>
          </w:p>
          <w:p>
            <w:pPr>
              <w:pStyle w:val="TableParagraph"/>
              <w:spacing w:line="192" w:lineRule="exact" w:before="114"/>
              <w:ind w:left="208"/>
              <w:rPr>
                <w:sz w:val="19"/>
              </w:rPr>
            </w:pPr>
            <w:r>
              <w:rPr>
                <w:w w:val="103"/>
                <w:sz w:val="19"/>
              </w:rPr>
              <w:t>0</w:t>
            </w:r>
          </w:p>
          <w:p>
            <w:pPr>
              <w:pStyle w:val="TableParagraph"/>
              <w:spacing w:line="166" w:lineRule="exact"/>
              <w:ind w:left="4438"/>
              <w:rPr>
                <w:sz w:val="19"/>
              </w:rPr>
            </w:pPr>
            <w:r>
              <w:rPr>
                <w:w w:val="103"/>
                <w:sz w:val="19"/>
              </w:rPr>
              <w:t>6</w:t>
            </w:r>
          </w:p>
          <w:p>
            <w:pPr>
              <w:pStyle w:val="TableParagraph"/>
              <w:spacing w:line="193" w:lineRule="exact"/>
              <w:ind w:left="143"/>
              <w:rPr>
                <w:sz w:val="19"/>
              </w:rPr>
            </w:pPr>
            <w:r>
              <w:rPr>
                <w:w w:val="105"/>
                <w:sz w:val="19"/>
              </w:rPr>
              <w:t>-1</w:t>
            </w:r>
          </w:p>
          <w:p>
            <w:pPr>
              <w:pStyle w:val="TableParagraph"/>
              <w:tabs>
                <w:tab w:pos="4438" w:val="left" w:leader="none"/>
              </w:tabs>
              <w:spacing w:before="114"/>
              <w:ind w:left="143"/>
              <w:rPr>
                <w:sz w:val="19"/>
              </w:rPr>
            </w:pPr>
            <w:r>
              <w:rPr>
                <w:w w:val="105"/>
                <w:sz w:val="19"/>
              </w:rPr>
              <w:t>-2</w:t>
              <w:tab/>
            </w:r>
            <w:r>
              <w:rPr>
                <w:w w:val="105"/>
                <w:position w:val="-10"/>
                <w:sz w:val="19"/>
              </w:rPr>
              <w:t>5</w:t>
            </w:r>
          </w:p>
          <w:p>
            <w:pPr>
              <w:pStyle w:val="TableParagraph"/>
              <w:tabs>
                <w:tab w:pos="654" w:val="left" w:leader="none"/>
                <w:tab w:pos="1121" w:val="left" w:leader="none"/>
              </w:tabs>
              <w:spacing w:line="187" w:lineRule="exact" w:before="3"/>
              <w:ind w:left="143"/>
              <w:rPr>
                <w:sz w:val="19"/>
              </w:rPr>
            </w:pPr>
            <w:r>
              <w:rPr>
                <w:w w:val="105"/>
                <w:sz w:val="19"/>
              </w:rPr>
              <w:t>-3</w:t>
            </w:r>
            <w:r>
              <w:rPr>
                <w:sz w:val="19"/>
              </w:rPr>
              <w:tab/>
            </w:r>
            <w:r>
              <w:rPr>
                <w:w w:val="103"/>
                <w:sz w:val="19"/>
                <w:u w:val="single" w:color="001F5F"/>
              </w:rPr>
              <w:t> </w:t>
            </w:r>
            <w:r>
              <w:rPr>
                <w:sz w:val="19"/>
                <w:u w:val="single" w:color="001F5F"/>
              </w:rPr>
              <w:tab/>
            </w:r>
          </w:p>
          <w:p>
            <w:pPr>
              <w:pStyle w:val="TableParagraph"/>
              <w:spacing w:line="152" w:lineRule="exact"/>
              <w:ind w:left="1116"/>
              <w:rPr>
                <w:sz w:val="17"/>
              </w:rPr>
            </w:pPr>
            <w:r>
              <w:rPr>
                <w:w w:val="105"/>
                <w:sz w:val="17"/>
              </w:rPr>
              <w:t>GDP growth</w:t>
            </w:r>
          </w:p>
          <w:p>
            <w:pPr>
              <w:pStyle w:val="TableParagraph"/>
              <w:tabs>
                <w:tab w:pos="1116" w:val="left" w:leader="none"/>
                <w:tab w:pos="4547" w:val="right" w:leader="none"/>
              </w:tabs>
              <w:ind w:left="143"/>
              <w:rPr>
                <w:sz w:val="19"/>
              </w:rPr>
            </w:pPr>
            <w:r>
              <w:rPr>
                <w:w w:val="105"/>
                <w:position w:val="1"/>
                <w:sz w:val="19"/>
              </w:rPr>
              <w:t>-4</w:t>
              <w:tab/>
            </w:r>
            <w:r>
              <w:rPr>
                <w:w w:val="105"/>
                <w:sz w:val="17"/>
              </w:rPr>
              <w:t>(LHS)</w:t>
              <w:tab/>
            </w:r>
            <w:r>
              <w:rPr>
                <w:w w:val="105"/>
                <w:position w:val="-4"/>
                <w:sz w:val="19"/>
              </w:rPr>
              <w:t>4</w:t>
            </w:r>
          </w:p>
          <w:p>
            <w:pPr>
              <w:pStyle w:val="TableParagraph"/>
              <w:tabs>
                <w:tab w:pos="1116" w:val="left" w:leader="none"/>
              </w:tabs>
              <w:spacing w:line="172" w:lineRule="auto" w:before="16"/>
              <w:ind w:left="1116" w:right="2549" w:hanging="973"/>
              <w:rPr>
                <w:sz w:val="17"/>
              </w:rPr>
            </w:pPr>
            <w:r>
              <w:rPr>
                <w:w w:val="105"/>
                <w:position w:val="-7"/>
                <w:sz w:val="19"/>
              </w:rPr>
              <w:t>-5</w:t>
              <w:tab/>
            </w:r>
            <w:r>
              <w:rPr>
                <w:spacing w:val="-1"/>
                <w:sz w:val="17"/>
              </w:rPr>
              <w:t>Unemployment </w:t>
            </w:r>
            <w:r>
              <w:rPr>
                <w:w w:val="105"/>
                <w:sz w:val="17"/>
              </w:rPr>
              <w:t>rate</w:t>
            </w:r>
            <w:r>
              <w:rPr>
                <w:spacing w:val="-6"/>
                <w:w w:val="105"/>
                <w:sz w:val="17"/>
              </w:rPr>
              <w:t> </w:t>
            </w:r>
            <w:r>
              <w:rPr>
                <w:w w:val="105"/>
                <w:sz w:val="17"/>
              </w:rPr>
              <w:t>(RHS)</w:t>
            </w:r>
          </w:p>
          <w:p>
            <w:pPr>
              <w:pStyle w:val="TableParagraph"/>
              <w:tabs>
                <w:tab w:pos="4294" w:val="left" w:leader="none"/>
              </w:tabs>
              <w:spacing w:before="6"/>
              <w:ind w:right="149"/>
              <w:jc w:val="center"/>
              <w:rPr>
                <w:sz w:val="19"/>
              </w:rPr>
            </w:pPr>
            <w:r>
              <w:rPr>
                <w:w w:val="105"/>
                <w:sz w:val="19"/>
              </w:rPr>
              <w:t>-6</w:t>
              <w:tab/>
              <w:t>3</w:t>
            </w:r>
          </w:p>
          <w:p>
            <w:pPr>
              <w:pStyle w:val="TableParagraph"/>
              <w:spacing w:before="15"/>
              <w:ind w:right="82"/>
              <w:jc w:val="center"/>
              <w:rPr>
                <w:sz w:val="19"/>
              </w:rPr>
            </w:pPr>
            <w:r>
              <w:rPr>
                <w:w w:val="105"/>
                <w:sz w:val="19"/>
              </w:rPr>
              <w:t>96 98 00 02 04 06 08 10 12 14 16 18</w:t>
            </w:r>
          </w:p>
        </w:tc>
        <w:tc>
          <w:tcPr>
            <w:tcW w:w="5005" w:type="dxa"/>
          </w:tcPr>
          <w:p>
            <w:pPr>
              <w:pStyle w:val="TableParagraph"/>
              <w:spacing w:line="185" w:lineRule="exact" w:before="130"/>
              <w:ind w:left="1523"/>
              <w:rPr>
                <w:sz w:val="17"/>
              </w:rPr>
            </w:pPr>
            <w:r>
              <w:rPr>
                <w:sz w:val="17"/>
              </w:rPr>
              <w:t>Percentage change on year earlier</w:t>
            </w:r>
          </w:p>
          <w:p>
            <w:pPr>
              <w:pStyle w:val="TableParagraph"/>
              <w:spacing w:line="208" w:lineRule="exact"/>
              <w:ind w:left="4273"/>
              <w:rPr>
                <w:sz w:val="19"/>
              </w:rPr>
            </w:pPr>
            <w:r>
              <w:rPr>
                <w:w w:val="99"/>
                <w:sz w:val="19"/>
              </w:rPr>
              <w:t>7</w:t>
            </w:r>
          </w:p>
          <w:p>
            <w:pPr>
              <w:pStyle w:val="TableParagraph"/>
              <w:spacing w:before="141"/>
              <w:ind w:left="4273"/>
              <w:rPr>
                <w:sz w:val="19"/>
              </w:rPr>
            </w:pPr>
            <w:r>
              <w:rPr>
                <w:w w:val="100"/>
                <w:sz w:val="19"/>
              </w:rPr>
              <w:t>6</w:t>
            </w:r>
          </w:p>
          <w:p>
            <w:pPr>
              <w:pStyle w:val="TableParagraph"/>
              <w:spacing w:before="140"/>
              <w:ind w:left="4273"/>
              <w:rPr>
                <w:sz w:val="19"/>
              </w:rPr>
            </w:pPr>
            <w:r>
              <w:rPr>
                <w:w w:val="99"/>
                <w:sz w:val="19"/>
              </w:rPr>
              <w:t>5</w:t>
            </w:r>
          </w:p>
          <w:p>
            <w:pPr>
              <w:pStyle w:val="TableParagraph"/>
              <w:spacing w:before="141"/>
              <w:ind w:left="4273"/>
              <w:rPr>
                <w:sz w:val="19"/>
              </w:rPr>
            </w:pPr>
            <w:r>
              <w:rPr>
                <w:w w:val="99"/>
                <w:sz w:val="19"/>
              </w:rPr>
              <w:t>4</w:t>
            </w:r>
          </w:p>
          <w:p>
            <w:pPr>
              <w:pStyle w:val="TableParagraph"/>
              <w:spacing w:before="140"/>
              <w:ind w:left="4273"/>
              <w:rPr>
                <w:sz w:val="19"/>
              </w:rPr>
            </w:pPr>
            <w:r>
              <w:rPr>
                <w:w w:val="99"/>
                <w:sz w:val="19"/>
              </w:rPr>
              <w:t>3</w:t>
            </w:r>
          </w:p>
          <w:p>
            <w:pPr>
              <w:pStyle w:val="TableParagraph"/>
              <w:spacing w:before="141"/>
              <w:ind w:left="4273"/>
              <w:rPr>
                <w:sz w:val="19"/>
              </w:rPr>
            </w:pPr>
            <w:r>
              <w:rPr>
                <w:w w:val="100"/>
                <w:sz w:val="19"/>
              </w:rPr>
              <w:t>2</w:t>
            </w:r>
          </w:p>
          <w:p>
            <w:pPr>
              <w:pStyle w:val="TableParagraph"/>
              <w:spacing w:before="141"/>
              <w:ind w:left="4273"/>
              <w:rPr>
                <w:sz w:val="19"/>
              </w:rPr>
            </w:pPr>
            <w:r>
              <w:rPr>
                <w:w w:val="99"/>
                <w:sz w:val="19"/>
              </w:rPr>
              <w:t>1</w:t>
            </w:r>
          </w:p>
          <w:p>
            <w:pPr>
              <w:pStyle w:val="TableParagraph"/>
              <w:spacing w:before="141"/>
              <w:ind w:left="4273"/>
              <w:rPr>
                <w:sz w:val="19"/>
              </w:rPr>
            </w:pPr>
            <w:r>
              <w:rPr>
                <w:w w:val="99"/>
                <w:sz w:val="19"/>
              </w:rPr>
              <w:t>0</w:t>
            </w:r>
          </w:p>
          <w:p>
            <w:pPr>
              <w:pStyle w:val="TableParagraph"/>
              <w:tabs>
                <w:tab w:pos="4273" w:val="left" w:leader="none"/>
              </w:tabs>
              <w:spacing w:line="153" w:lineRule="auto" w:before="115"/>
              <w:ind w:left="1086"/>
              <w:rPr>
                <w:sz w:val="19"/>
              </w:rPr>
            </w:pPr>
            <w:r>
              <w:rPr>
                <w:sz w:val="17"/>
              </w:rPr>
              <w:t>Unit</w:t>
            </w:r>
            <w:r>
              <w:rPr>
                <w:spacing w:val="-4"/>
                <w:sz w:val="17"/>
              </w:rPr>
              <w:t> </w:t>
            </w:r>
            <w:r>
              <w:rPr>
                <w:sz w:val="17"/>
              </w:rPr>
              <w:t>wage</w:t>
              <w:tab/>
            </w:r>
            <w:r>
              <w:rPr>
                <w:position w:val="-7"/>
                <w:sz w:val="19"/>
              </w:rPr>
              <w:t>-1</w:t>
            </w:r>
          </w:p>
          <w:p>
            <w:pPr>
              <w:pStyle w:val="TableParagraph"/>
              <w:tabs>
                <w:tab w:pos="1074" w:val="left" w:leader="none"/>
              </w:tabs>
              <w:spacing w:line="137" w:lineRule="exact"/>
              <w:ind w:left="495"/>
              <w:rPr>
                <w:sz w:val="17"/>
              </w:rPr>
            </w:pPr>
            <w:r>
              <w:rPr>
                <w:w w:val="103"/>
                <w:position w:val="-13"/>
                <w:sz w:val="19"/>
                <w:u w:val="dotted" w:color="FF0000"/>
              </w:rPr>
              <w:t> </w:t>
            </w:r>
            <w:r>
              <w:rPr>
                <w:position w:val="-13"/>
                <w:sz w:val="19"/>
                <w:u w:val="dotted" w:color="FF0000"/>
              </w:rPr>
              <w:tab/>
            </w:r>
            <w:r>
              <w:rPr>
                <w:sz w:val="17"/>
              </w:rPr>
              <w:t>costs</w:t>
            </w:r>
          </w:p>
          <w:p>
            <w:pPr>
              <w:pStyle w:val="TableParagraph"/>
              <w:tabs>
                <w:tab w:pos="4273" w:val="left" w:leader="none"/>
              </w:tabs>
              <w:spacing w:line="153" w:lineRule="auto" w:before="19"/>
              <w:ind w:left="1086"/>
              <w:rPr>
                <w:sz w:val="19"/>
              </w:rPr>
            </w:pPr>
            <w:r>
              <w:rPr>
                <w:sz w:val="17"/>
              </w:rPr>
              <w:t>1996-2007</w:t>
              <w:tab/>
            </w:r>
            <w:r>
              <w:rPr>
                <w:position w:val="-7"/>
                <w:sz w:val="19"/>
              </w:rPr>
              <w:t>-2</w:t>
            </w:r>
          </w:p>
          <w:p>
            <w:pPr>
              <w:pStyle w:val="TableParagraph"/>
              <w:spacing w:line="153" w:lineRule="exact"/>
              <w:ind w:left="1086"/>
              <w:rPr>
                <w:sz w:val="17"/>
              </w:rPr>
            </w:pPr>
            <w:r>
              <w:rPr>
                <w:sz w:val="17"/>
              </w:rPr>
              <w:t>average</w:t>
            </w:r>
          </w:p>
          <w:p>
            <w:pPr>
              <w:pStyle w:val="TableParagraph"/>
              <w:spacing w:before="32"/>
              <w:ind w:left="4273"/>
              <w:rPr>
                <w:sz w:val="19"/>
              </w:rPr>
            </w:pPr>
            <w:r>
              <w:rPr>
                <w:sz w:val="19"/>
              </w:rPr>
              <w:t>-3</w:t>
            </w:r>
          </w:p>
          <w:p>
            <w:pPr>
              <w:pStyle w:val="TableParagraph"/>
              <w:spacing w:before="7"/>
              <w:ind w:left="230"/>
              <w:rPr>
                <w:sz w:val="19"/>
              </w:rPr>
            </w:pPr>
            <w:r>
              <w:rPr>
                <w:sz w:val="19"/>
              </w:rPr>
              <w:t>96 98 00 02 04 06 08 10 12 14 16 18</w:t>
            </w:r>
          </w:p>
        </w:tc>
      </w:tr>
      <w:tr>
        <w:trPr>
          <w:trHeight w:val="347" w:hRule="atLeast"/>
        </w:trPr>
        <w:tc>
          <w:tcPr>
            <w:tcW w:w="4852" w:type="dxa"/>
          </w:tcPr>
          <w:p>
            <w:pPr>
              <w:pStyle w:val="TableParagraph"/>
              <w:rPr>
                <w:rFonts w:ascii="Times New Roman"/>
                <w:sz w:val="18"/>
              </w:rPr>
            </w:pPr>
          </w:p>
        </w:tc>
        <w:tc>
          <w:tcPr>
            <w:tcW w:w="5005" w:type="dxa"/>
          </w:tcPr>
          <w:p>
            <w:pPr>
              <w:pStyle w:val="TableParagraph"/>
              <w:rPr>
                <w:rFonts w:ascii="Times New Roman"/>
                <w:sz w:val="18"/>
              </w:rPr>
            </w:pPr>
          </w:p>
        </w:tc>
      </w:tr>
    </w:tbl>
    <w:p>
      <w:pPr>
        <w:pStyle w:val="BodyText"/>
      </w:pPr>
    </w:p>
    <w:p>
      <w:pPr>
        <w:pStyle w:val="BodyText"/>
      </w:pPr>
    </w:p>
    <w:p>
      <w:pPr>
        <w:pStyle w:val="BodyText"/>
        <w:spacing w:before="7"/>
        <w:rPr>
          <w:sz w:val="19"/>
        </w:rPr>
      </w:pPr>
    </w:p>
    <w:p>
      <w:pPr>
        <w:pStyle w:val="BodyText"/>
        <w:spacing w:line="360" w:lineRule="auto" w:before="1"/>
        <w:ind w:left="233" w:right="1360"/>
        <w:jc w:val="both"/>
      </w:pPr>
      <w:r>
        <w:rPr/>
        <w:t>In fact, the combination of the shortfalls against expectation of productivity and pay growth – which were in part related – had the effect of keeping unit wage costs and hence domestically generated inflation</w:t>
      </w:r>
      <w:r>
        <w:rPr>
          <w:spacing w:val="-32"/>
        </w:rPr>
        <w:t> </w:t>
      </w:r>
      <w:r>
        <w:rPr/>
        <w:t>roughly at the level the Committee had expected to see at higher rates of pay growth and productivity</w:t>
      </w:r>
      <w:r>
        <w:rPr>
          <w:spacing w:val="-19"/>
        </w:rPr>
        <w:t> </w:t>
      </w:r>
      <w:r>
        <w:rPr/>
        <w:t>growth.</w:t>
      </w:r>
    </w:p>
    <w:p>
      <w:pPr>
        <w:pStyle w:val="BodyText"/>
        <w:rPr>
          <w:sz w:val="30"/>
        </w:rPr>
      </w:pPr>
    </w:p>
    <w:p>
      <w:pPr>
        <w:pStyle w:val="BodyText"/>
        <w:spacing w:line="360" w:lineRule="auto"/>
        <w:ind w:left="233" w:right="1190"/>
      </w:pPr>
      <w:r>
        <w:rPr/>
        <w:t>The key point here, I think, is not that pay and productivity growth serially undershot the MPC’s forecasts but rather the need to be ‘a bit stodgy’ when faced with evidence that consistently suggested the possibility of fundamental changes in the way the economy works – or, in more technical language, uncertainty about the macro-economic ‘model’.</w:t>
      </w:r>
      <w:r>
        <w:rPr>
          <w:vertAlign w:val="superscript"/>
        </w:rPr>
        <w:t>5</w:t>
      </w:r>
    </w:p>
    <w:p>
      <w:pPr>
        <w:pStyle w:val="BodyText"/>
      </w:pPr>
    </w:p>
    <w:p>
      <w:pPr>
        <w:pStyle w:val="BodyText"/>
      </w:pPr>
    </w:p>
    <w:p>
      <w:pPr>
        <w:pStyle w:val="BodyText"/>
      </w:pPr>
    </w:p>
    <w:p>
      <w:pPr>
        <w:pStyle w:val="BodyText"/>
      </w:pPr>
    </w:p>
    <w:p>
      <w:pPr>
        <w:pStyle w:val="BodyText"/>
      </w:pPr>
    </w:p>
    <w:p>
      <w:pPr>
        <w:pStyle w:val="BodyText"/>
      </w:pPr>
    </w:p>
    <w:p>
      <w:pPr>
        <w:pStyle w:val="BodyText"/>
        <w:spacing w:before="3"/>
      </w:pPr>
      <w:r>
        <w:rPr/>
        <w:pict>
          <v:shape style="position:absolute;margin-left:56.664001pt;margin-top:13.865469pt;width:144.050pt;height:.1pt;mso-position-horizontal-relative:page;mso-position-vertical-relative:paragraph;z-index:-251651072;mso-wrap-distance-left:0;mso-wrap-distance-right:0" coordorigin="1133,277" coordsize="2881,0" path="m1133,277l4014,277e" filled="false" stroked="true" strokeweight=".47998pt" strokecolor="#000000">
            <v:path arrowok="t"/>
            <v:stroke dashstyle="solid"/>
            <w10:wrap type="topAndBottom"/>
          </v:shape>
        </w:pict>
      </w:r>
    </w:p>
    <w:p>
      <w:pPr>
        <w:spacing w:before="27"/>
        <w:ind w:left="233" w:right="1307" w:firstLine="0"/>
        <w:jc w:val="left"/>
        <w:rPr>
          <w:sz w:val="16"/>
        </w:rPr>
      </w:pPr>
      <w:r>
        <w:rPr>
          <w:position w:val="8"/>
          <w:sz w:val="10"/>
        </w:rPr>
        <w:t>5 </w:t>
      </w:r>
      <w:r>
        <w:rPr>
          <w:sz w:val="16"/>
        </w:rPr>
        <w:t>The prevailing macro-modelling paradigm had become largely one of cyclical models – given that described the pre-crisis economy well. For example, almost all DSGE models were set up to describe fluctuations around a steady state. With a major feature of the crisis being a disruption to the steady state/supply side, these models weren’t suited to describing the resulting fluctuations.</w:t>
      </w:r>
    </w:p>
    <w:p>
      <w:pPr>
        <w:spacing w:after="0"/>
        <w:jc w:val="left"/>
        <w:rPr>
          <w:sz w:val="16"/>
        </w:rPr>
        <w:sectPr>
          <w:footerReference w:type="default" r:id="rId10"/>
          <w:pgSz w:w="11910" w:h="16840"/>
          <w:pgMar w:footer="1334" w:header="0" w:top="1520" w:bottom="1520" w:left="900" w:right="0"/>
        </w:sectPr>
      </w:pPr>
    </w:p>
    <w:p>
      <w:pPr>
        <w:pStyle w:val="BodyText"/>
        <w:spacing w:line="360" w:lineRule="auto" w:before="79"/>
        <w:ind w:left="233" w:right="1289"/>
      </w:pPr>
      <w:r>
        <w:rPr/>
        <w:t>Following the deepest recession since the war, a recovery slower than the recovery following the great depression and a badly damaged financial system, there was good reason to be concerned about deep structural changes to the UK economy. And, as the recovery finally gathered momentum and turned to expansion,</w:t>
      </w:r>
      <w:r>
        <w:rPr>
          <w:vertAlign w:val="superscript"/>
        </w:rPr>
        <w:t>6</w:t>
      </w:r>
      <w:r>
        <w:rPr>
          <w:vertAlign w:val="baseline"/>
        </w:rPr>
        <w:t> the incoming data on pay and productivity certainly suggested something had indeed changed. Similar evidence appeared in the data on other economies. </w:t>
      </w:r>
      <w:r>
        <w:rPr>
          <w:vertAlign w:val="superscript"/>
        </w:rPr>
        <w:t>7</w:t>
      </w:r>
    </w:p>
    <w:p>
      <w:pPr>
        <w:pStyle w:val="BodyText"/>
        <w:spacing w:before="10"/>
        <w:rPr>
          <w:sz w:val="29"/>
        </w:rPr>
      </w:pPr>
    </w:p>
    <w:p>
      <w:pPr>
        <w:pStyle w:val="BodyText"/>
        <w:spacing w:line="360" w:lineRule="auto"/>
        <w:ind w:left="233" w:right="1207"/>
      </w:pPr>
      <w:r>
        <w:rPr/>
        <w:t>Against that background the case for ‘stodginess’ was in my view very strong. Two years ago, I posed the question of whether what we were seeing was some form of ‘super-cycle’ following a breakdown of the financial system in which it could take up to a decade for us to return to something resembling the old economic model, or whether what we were seeing was more secular stagnation and even longer lasting change.</w:t>
      </w:r>
    </w:p>
    <w:p>
      <w:pPr>
        <w:pStyle w:val="BodyText"/>
        <w:rPr>
          <w:sz w:val="30"/>
        </w:rPr>
      </w:pPr>
    </w:p>
    <w:p>
      <w:pPr>
        <w:pStyle w:val="BodyText"/>
        <w:spacing w:line="360" w:lineRule="auto"/>
        <w:ind w:left="233" w:right="1185" w:firstLine="55"/>
      </w:pPr>
      <w:r>
        <w:rPr/>
        <w:t>I concluded in favour of optimism or at least that we should not yet give up hope of a return something more like the old model – though with weaker potential growth, given the likely persistence of some longer term economic forces.</w:t>
      </w:r>
      <w:r>
        <w:rPr>
          <w:vertAlign w:val="superscript"/>
        </w:rPr>
        <w:t>8</w:t>
      </w:r>
    </w:p>
    <w:p>
      <w:pPr>
        <w:pStyle w:val="BodyText"/>
        <w:rPr>
          <w:sz w:val="30"/>
        </w:rPr>
      </w:pPr>
    </w:p>
    <w:p>
      <w:pPr>
        <w:pStyle w:val="BodyText"/>
        <w:spacing w:line="360" w:lineRule="auto"/>
        <w:ind w:left="233" w:right="1207"/>
      </w:pPr>
      <w:r>
        <w:rPr/>
        <w:t>Since then the picture in the UK has been clouded by the impact of the Brexit vote. The global picture however does I think provide evidence of the slow healing story.</w:t>
      </w:r>
    </w:p>
    <w:p>
      <w:pPr>
        <w:pStyle w:val="BodyText"/>
        <w:spacing w:line="360" w:lineRule="auto" w:before="1"/>
        <w:ind w:left="233" w:right="1241"/>
      </w:pPr>
      <w:r>
        <w:rPr/>
        <w:t>Having grown at rates below pre-crisis norms for the post-crisis period, the world saw an increase in growth rates from around the middle of 2016. That return to stronger growth was broad-based both in that it was true for the whole of the G7 – excluding the UK – and emerging markets in aggregate and that it was driven by a pick-up in investment not just consumption. At the same time, in the US, partly in response to very low levels of unemployment, pay and inflation have risen from subdued 1-2% to rates closer to 2-3% over 2015 to 2018.</w:t>
      </w:r>
    </w:p>
    <w:p>
      <w:pPr>
        <w:pStyle w:val="BodyText"/>
        <w:rPr>
          <w:sz w:val="30"/>
        </w:rPr>
      </w:pPr>
    </w:p>
    <w:p>
      <w:pPr>
        <w:pStyle w:val="BodyText"/>
        <w:ind w:left="233"/>
      </w:pPr>
      <w:r>
        <w:rPr/>
        <w:t>So is there still a case for any ‘stodginess’ in the approach to monetary policy in the UK?</w:t>
      </w:r>
    </w:p>
    <w:p>
      <w:pPr>
        <w:pStyle w:val="BodyText"/>
        <w:rPr>
          <w:sz w:val="22"/>
        </w:rPr>
      </w:pPr>
    </w:p>
    <w:p>
      <w:pPr>
        <w:pStyle w:val="BodyText"/>
        <w:spacing w:before="11"/>
        <w:rPr>
          <w:sz w:val="17"/>
        </w:rPr>
      </w:pPr>
    </w:p>
    <w:p>
      <w:pPr>
        <w:pStyle w:val="BodyText"/>
        <w:spacing w:line="360" w:lineRule="auto"/>
        <w:ind w:left="233" w:right="1307"/>
      </w:pPr>
      <w:r>
        <w:rPr/>
        <w:t>Headline CPI inflation is running at 2.4% above its 2% target. The overshoot, however, is entirely due to imported inflationary pressure. This has come primarily from the post referendum depreciation in sterling plus some more recent pressure from the increase in oil prices. The inflationary pressure from sterling’s depreciation is already passed its peak. In May the MPC forecast that CPI would be at 2.2% by the year end.</w:t>
      </w:r>
    </w:p>
    <w:p>
      <w:pPr>
        <w:pStyle w:val="BodyText"/>
        <w:spacing w:before="1"/>
        <w:rPr>
          <w:sz w:val="30"/>
        </w:rPr>
      </w:pPr>
    </w:p>
    <w:p>
      <w:pPr>
        <w:pStyle w:val="BodyText"/>
        <w:spacing w:line="360" w:lineRule="auto"/>
        <w:ind w:left="233" w:right="1167"/>
        <w:jc w:val="both"/>
      </w:pPr>
      <w:r>
        <w:rPr/>
        <w:pict>
          <v:shape style="position:absolute;margin-left:56.664001pt;margin-top:58.12989pt;width:144.050pt;height:.1pt;mso-position-horizontal-relative:page;mso-position-vertical-relative:paragraph;z-index:-251648000;mso-wrap-distance-left:0;mso-wrap-distance-right:0" coordorigin="1133,1163" coordsize="2881,0" path="m1133,1163l4014,1163e" filled="false" stroked="true" strokeweight=".47998pt" strokecolor="#000000">
            <v:path arrowok="t"/>
            <v:stroke dashstyle="solid"/>
            <w10:wrap type="topAndBottom"/>
          </v:shape>
        </w:pict>
      </w:r>
      <w:r>
        <w:rPr/>
        <w:t>The MPC’s remit is to keep inflation at target ‘at all times’. The objective therefore is not solely to bring down inflation that is currently above target due to external pressures that are waning, but to ensure that inflation</w:t>
      </w:r>
      <w:r>
        <w:rPr>
          <w:spacing w:val="-34"/>
        </w:rPr>
        <w:t> </w:t>
      </w:r>
      <w:r>
        <w:rPr/>
        <w:t>is neither above nor below target when those pressures have passed through of the</w:t>
      </w:r>
      <w:r>
        <w:rPr>
          <w:spacing w:val="-4"/>
        </w:rPr>
        <w:t> </w:t>
      </w:r>
      <w:r>
        <w:rPr/>
        <w:t>economy.</w:t>
      </w:r>
    </w:p>
    <w:p>
      <w:pPr>
        <w:spacing w:line="195" w:lineRule="exact" w:before="30"/>
        <w:ind w:left="233" w:right="0" w:firstLine="0"/>
        <w:jc w:val="left"/>
        <w:rPr>
          <w:sz w:val="16"/>
        </w:rPr>
      </w:pPr>
      <w:r>
        <w:rPr>
          <w:position w:val="8"/>
          <w:sz w:val="10"/>
        </w:rPr>
        <w:t>6 </w:t>
      </w:r>
      <w:r>
        <w:rPr>
          <w:sz w:val="16"/>
        </w:rPr>
        <w:t>UK GDP surpassed its 2018 Q1 peak in 2013 Q2.</w:t>
      </w:r>
    </w:p>
    <w:p>
      <w:pPr>
        <w:spacing w:line="184" w:lineRule="exact" w:before="13"/>
        <w:ind w:left="233" w:right="1162" w:firstLine="0"/>
        <w:jc w:val="left"/>
        <w:rPr>
          <w:sz w:val="16"/>
        </w:rPr>
      </w:pPr>
      <w:r>
        <w:rPr>
          <w:position w:val="8"/>
          <w:sz w:val="10"/>
        </w:rPr>
        <w:t>7 </w:t>
      </w:r>
      <w:r>
        <w:rPr>
          <w:sz w:val="16"/>
        </w:rPr>
        <w:t>In the US, productivity growth initially appeared to be bouncing back after the crisis but from 2011 fell and failed to pick back up to pre- crisis growth rates.</w:t>
      </w:r>
    </w:p>
    <w:p>
      <w:pPr>
        <w:spacing w:line="183" w:lineRule="exact" w:before="0"/>
        <w:ind w:left="233" w:right="0" w:firstLine="0"/>
        <w:jc w:val="left"/>
        <w:rPr>
          <w:sz w:val="16"/>
        </w:rPr>
      </w:pPr>
      <w:r>
        <w:rPr>
          <w:position w:val="8"/>
          <w:sz w:val="10"/>
        </w:rPr>
        <w:t>8 </w:t>
      </w:r>
      <w:r>
        <w:rPr>
          <w:sz w:val="16"/>
        </w:rPr>
        <w:t>Cunliffe (2016)</w:t>
      </w:r>
    </w:p>
    <w:p>
      <w:pPr>
        <w:spacing w:after="0" w:line="183" w:lineRule="exact"/>
        <w:jc w:val="left"/>
        <w:rPr>
          <w:sz w:val="16"/>
        </w:rPr>
        <w:sectPr>
          <w:footerReference w:type="default" r:id="rId11"/>
          <w:pgSz w:w="11910" w:h="16840"/>
          <w:pgMar w:footer="1338" w:header="0" w:top="1520" w:bottom="1520" w:left="900" w:right="0"/>
        </w:sectPr>
      </w:pPr>
    </w:p>
    <w:p>
      <w:pPr>
        <w:pStyle w:val="BodyText"/>
        <w:spacing w:before="5"/>
        <w:rPr>
          <w:sz w:val="23"/>
        </w:rPr>
      </w:pPr>
    </w:p>
    <w:p>
      <w:pPr>
        <w:pStyle w:val="BodyText"/>
        <w:spacing w:line="360" w:lineRule="auto" w:before="93"/>
        <w:ind w:left="233" w:right="1441"/>
      </w:pPr>
      <w:r>
        <w:rPr/>
        <w:t>The key question, therefore, is how much inflation is domestic economic pressures likely to generate over the next couple of years. Let me turn to that now.</w:t>
      </w:r>
    </w:p>
    <w:p>
      <w:pPr>
        <w:pStyle w:val="BodyText"/>
        <w:spacing w:before="1"/>
        <w:rPr>
          <w:sz w:val="30"/>
        </w:rPr>
      </w:pPr>
    </w:p>
    <w:p>
      <w:pPr>
        <w:pStyle w:val="BodyText"/>
        <w:spacing w:line="357" w:lineRule="auto" w:before="1"/>
        <w:ind w:left="233" w:right="1207"/>
      </w:pPr>
      <w:r>
        <w:rPr/>
        <w:t>We do not yet have all the evidence. But the significant drop in activity in the UK in the first quarter of this year looks to have been largely an aberration, driven by poor weather.</w:t>
      </w:r>
    </w:p>
    <w:p>
      <w:pPr>
        <w:pStyle w:val="BodyText"/>
        <w:spacing w:before="3"/>
        <w:rPr>
          <w:sz w:val="30"/>
        </w:rPr>
      </w:pPr>
    </w:p>
    <w:p>
      <w:pPr>
        <w:pStyle w:val="BodyText"/>
        <w:spacing w:line="360" w:lineRule="auto" w:before="1"/>
        <w:ind w:left="233" w:right="1207"/>
      </w:pPr>
      <w:r>
        <w:rPr/>
        <w:t>Retail sales – which declined in the first quarter of the year – have bounced back. GDP in the three months to May – the ONS’s first of its new monthly GDP releases – grew at 0.2%, with services growing at 0.4%, indicating a recovery over April.</w:t>
      </w:r>
    </w:p>
    <w:p>
      <w:pPr>
        <w:pStyle w:val="BodyText"/>
        <w:rPr>
          <w:sz w:val="30"/>
        </w:rPr>
      </w:pPr>
    </w:p>
    <w:p>
      <w:pPr>
        <w:pStyle w:val="BodyText"/>
        <w:spacing w:line="360" w:lineRule="auto"/>
        <w:ind w:left="233" w:right="1207"/>
      </w:pPr>
      <w:r>
        <w:rPr/>
        <w:t>The soft data currently available also suggest that the economy recovered its end 2017 growth path in the second quarter of the year with the composite PMI for output back to its highest level since December albeit with somewhat different composition.</w:t>
      </w:r>
    </w:p>
    <w:p>
      <w:pPr>
        <w:pStyle w:val="BodyText"/>
        <w:rPr>
          <w:sz w:val="30"/>
        </w:rPr>
      </w:pPr>
    </w:p>
    <w:p>
      <w:pPr>
        <w:pStyle w:val="BodyText"/>
        <w:spacing w:line="360" w:lineRule="auto"/>
        <w:ind w:left="233" w:right="1574"/>
      </w:pPr>
      <w:r>
        <w:rPr/>
        <w:t>If this is confirmed, as I think probable, the overall picture is of an economy expanding around or a little above its potential rate of growth. The combination of lower rates of productivity and labour force growth mean that potential is growing at around 1.5% about a percentage point below its pre-crisis rate.</w:t>
      </w:r>
      <w:r>
        <w:rPr>
          <w:vertAlign w:val="superscript"/>
        </w:rPr>
        <w:t>9</w:t>
      </w:r>
    </w:p>
    <w:p>
      <w:pPr>
        <w:pStyle w:val="BodyText"/>
        <w:rPr>
          <w:sz w:val="30"/>
        </w:rPr>
      </w:pPr>
    </w:p>
    <w:p>
      <w:pPr>
        <w:pStyle w:val="BodyText"/>
        <w:spacing w:line="357" w:lineRule="auto" w:before="1"/>
        <w:ind w:left="233" w:right="1140"/>
      </w:pPr>
      <w:r>
        <w:rPr/>
        <w:t>Trying to make very precise forecasts of the output gap is a fool’s errand but the balance of evidence is there appears to be little slack left in the labour market and little spare capacity in firms.</w:t>
      </w:r>
    </w:p>
    <w:p>
      <w:pPr>
        <w:pStyle w:val="BodyText"/>
        <w:spacing w:before="3"/>
        <w:rPr>
          <w:sz w:val="30"/>
        </w:rPr>
      </w:pPr>
    </w:p>
    <w:p>
      <w:pPr>
        <w:pStyle w:val="BodyText"/>
        <w:spacing w:line="360" w:lineRule="auto" w:before="1"/>
        <w:ind w:left="233" w:right="1152"/>
      </w:pPr>
      <w:r>
        <w:rPr/>
        <w:t>Unemployment is at 4.2% – pretty much the MPC’s revised estimate of the natural rate. Underemployment is low.</w:t>
      </w:r>
      <w:r>
        <w:rPr>
          <w:vertAlign w:val="superscript"/>
        </w:rPr>
        <w:t>10</w:t>
      </w:r>
      <w:r>
        <w:rPr>
          <w:vertAlign w:val="baseline"/>
        </w:rPr>
        <w:t> Non-price measures – for example, surveys of recruitment difficulties and measures of churn in the labour market – have been signalling increasing labour market tightness for a number of years.</w:t>
      </w:r>
      <w:r>
        <w:rPr>
          <w:vertAlign w:val="superscript"/>
        </w:rPr>
        <w:t>11</w:t>
      </w:r>
    </w:p>
    <w:p>
      <w:pPr>
        <w:pStyle w:val="BodyText"/>
        <w:rPr>
          <w:sz w:val="30"/>
        </w:rPr>
      </w:pPr>
    </w:p>
    <w:p>
      <w:pPr>
        <w:pStyle w:val="BodyText"/>
        <w:spacing w:line="360" w:lineRule="auto"/>
        <w:ind w:left="233" w:right="1162"/>
      </w:pPr>
      <w:r>
        <w:rPr/>
        <w:t>Whole economy regular pay growth reached 2.5% in December and has stayed above that level through the first few months of 2018 though there has been a slight slowing in the latest – April – data (from 2.9% in March to 2.8% in April). The higher frequency measure of pay growth, 3 month on 3 month growth, has been above 2.5% for 11 months between last May and March this year – the longest run of such consistent wage growth since the crisis (</w:t>
      </w:r>
      <w:r>
        <w:rPr>
          <w:b/>
        </w:rPr>
        <w:t>Chart 7</w:t>
      </w:r>
      <w:r>
        <w:rPr/>
        <w:t>).</w:t>
      </w:r>
    </w:p>
    <w:p>
      <w:pPr>
        <w:pStyle w:val="BodyText"/>
      </w:pPr>
    </w:p>
    <w:p>
      <w:pPr>
        <w:pStyle w:val="BodyText"/>
      </w:pPr>
    </w:p>
    <w:p>
      <w:pPr>
        <w:pStyle w:val="BodyText"/>
      </w:pPr>
    </w:p>
    <w:p>
      <w:pPr>
        <w:pStyle w:val="BodyText"/>
      </w:pPr>
    </w:p>
    <w:p>
      <w:pPr>
        <w:pStyle w:val="BodyText"/>
        <w:spacing w:before="2"/>
        <w:rPr>
          <w:sz w:val="13"/>
        </w:rPr>
      </w:pPr>
      <w:r>
        <w:rPr/>
        <w:pict>
          <v:shape style="position:absolute;margin-left:56.664001pt;margin-top:9.793916pt;width:144.050pt;height:.1pt;mso-position-horizontal-relative:page;mso-position-vertical-relative:paragraph;z-index:-251646976;mso-wrap-distance-left:0;mso-wrap-distance-right:0" coordorigin="1133,196" coordsize="2881,0" path="m1133,196l4014,196e" filled="false" stroked="true" strokeweight=".48004pt" strokecolor="#000000">
            <v:path arrowok="t"/>
            <v:stroke dashstyle="solid"/>
            <w10:wrap type="topAndBottom"/>
          </v:shape>
        </w:pict>
      </w:r>
    </w:p>
    <w:p>
      <w:pPr>
        <w:spacing w:before="30"/>
        <w:ind w:left="233" w:right="1207" w:firstLine="0"/>
        <w:jc w:val="left"/>
        <w:rPr>
          <w:sz w:val="16"/>
        </w:rPr>
      </w:pPr>
      <w:r>
        <w:rPr>
          <w:position w:val="8"/>
          <w:sz w:val="10"/>
        </w:rPr>
        <w:t>9 </w:t>
      </w:r>
      <w:r>
        <w:rPr>
          <w:sz w:val="16"/>
        </w:rPr>
        <w:t>See February 2018 Inflation Report, Section 3, Supply and the limits to growth for a fuller description of the MPC’s assessment of the UK’s potential growth rate.</w:t>
      </w:r>
    </w:p>
    <w:p>
      <w:pPr>
        <w:spacing w:line="184" w:lineRule="exact" w:before="2"/>
        <w:ind w:left="233" w:right="1207" w:firstLine="0"/>
        <w:jc w:val="left"/>
        <w:rPr>
          <w:sz w:val="16"/>
        </w:rPr>
      </w:pPr>
      <w:r>
        <w:rPr>
          <w:position w:val="8"/>
          <w:sz w:val="10"/>
        </w:rPr>
        <w:t>10 </w:t>
      </w:r>
      <w:r>
        <w:rPr>
          <w:sz w:val="16"/>
        </w:rPr>
        <w:t>For example, there has been a marked fall in the share of part-time workers who would like to be in full time employment and ‘net additional desired hours’ are now below zero (i.e. people reporting they want to work more hours are outweighed by the quantity of hours that people report they’d like to work less).</w:t>
      </w:r>
    </w:p>
    <w:p>
      <w:pPr>
        <w:spacing w:line="181" w:lineRule="exact" w:before="0"/>
        <w:ind w:left="233" w:right="0" w:firstLine="0"/>
        <w:jc w:val="left"/>
        <w:rPr>
          <w:sz w:val="16"/>
        </w:rPr>
      </w:pPr>
      <w:r>
        <w:rPr>
          <w:position w:val="8"/>
          <w:sz w:val="10"/>
        </w:rPr>
        <w:t>11 </w:t>
      </w:r>
      <w:r>
        <w:rPr>
          <w:sz w:val="16"/>
        </w:rPr>
        <w:t>BCC and CBI surveys are at around their long-run averages, the same range they have been since 2015. Measures of churn – quit</w:t>
      </w:r>
    </w:p>
    <w:p>
      <w:pPr>
        <w:spacing w:before="0"/>
        <w:ind w:left="233" w:right="1170" w:firstLine="0"/>
        <w:jc w:val="left"/>
        <w:rPr>
          <w:sz w:val="16"/>
        </w:rPr>
      </w:pPr>
      <w:r>
        <w:rPr>
          <w:sz w:val="16"/>
        </w:rPr>
        <w:t>rates and job–to-job flows – have risen from their post-crisis lows to levels at around or a little below their pre-crisis levels, at around the levels they have been for the past couple of years.</w:t>
      </w:r>
    </w:p>
    <w:p>
      <w:pPr>
        <w:spacing w:after="0"/>
        <w:jc w:val="left"/>
        <w:rPr>
          <w:sz w:val="16"/>
        </w:rPr>
        <w:sectPr>
          <w:footerReference w:type="default" r:id="rId12"/>
          <w:pgSz w:w="11910" w:h="16840"/>
          <w:pgMar w:footer="1338" w:header="0" w:top="1580" w:bottom="1520" w:left="900" w:right="0"/>
        </w:sectPr>
      </w:pPr>
    </w:p>
    <w:p>
      <w:pPr>
        <w:pStyle w:val="BodyText"/>
      </w:pPr>
      <w:r>
        <w:rPr/>
        <w:pict>
          <v:group style="position:absolute;margin-left:65.066345pt;margin-top:148.221008pt;width:238.6pt;height:188.15pt;mso-position-horizontal-relative:page;mso-position-vertical-relative:page;z-index:-253310976" coordorigin="1301,2964" coordsize="4772,3763">
            <v:rect style="position:absolute;left:1307;top:2970;width:4760;height:3749" filled="false" stroked="true" strokeweight=".141295pt" strokecolor="#000000">
              <v:stroke dashstyle="solid"/>
            </v:rect>
            <v:shape style="position:absolute;left:175;top:12782;width:4776;height:3684" coordorigin="175,12782" coordsize="4776,3684" path="m6065,6720l6065,2972m6006,6720l6065,6720m6006,6183l6065,6183m6006,5648l6065,5648m6006,5113l6065,5113m6006,4576l6065,4576m6006,4041l6065,4041m6006,3507l6065,3507m6006,2972l6065,2972m1308,5648l6065,5648m1308,5587l1308,5648m1880,5587l1880,5648m2451,5587l2451,5648m3020,5587l3020,5648m3591,5587l3591,5648m4163,5587l4163,5648m4734,5587l4734,5648m5305,5587l5305,5648m5877,5587l5877,5648e" filled="false" stroked="true" strokeweight=".724846pt" strokecolor="#858585">
              <v:path arrowok="t"/>
              <v:stroke dashstyle="solid"/>
            </v:shape>
            <v:shape style="position:absolute;left:1332;top:3364;width:4710;height:2765" coordorigin="1332,3365" coordsize="4710,2765" path="m1332,4359l1380,4010,1428,3756,1476,4349,1521,4840,1569,5465,1617,5069,1665,4493,1712,3844,1760,4010,1808,4376,1856,4815,1904,4469,1952,4393,1997,4144,2045,4845,2093,4979,2140,5194,2188,4984,2236,5147,2284,4979,2332,4676,2379,4227,2427,4276,2475,4747,2520,5008,2568,4940,2616,4486,2664,4496,2712,4632,2759,4791,2807,4654,2855,4850,2903,5101,2951,5492,2996,5450,3044,5638,3092,5831,3140,5885,3187,5243,3235,4586,3283,4312,3331,4664,3379,5094,3426,5423,3472,5519,3520,5494,3567,5064,3615,4801,3663,4698,3711,5414,3759,6061,3806,6129,3854,5509,3902,4862,3950,4515,3995,4085,4043,3443,4091,3365,4139,3795,4187,4566,4234,4412,4282,4122,4330,3780,4378,4029,4426,4371,4471,4461,4519,4581,4567,4762,4614,5172,4662,5235,4710,4869,4758,4222,4806,3709,4853,3519,4901,3626,4949,4202,4994,4508,5042,4837,5090,4513,5138,4500,5186,4400,5234,4432,5281,4603,5329,4730,5377,5155,5425,5104,5470,4828,5518,4249,5566,3917,5614,4005,5661,4141,5709,4180,5757,3992,5805,4010,5853,4056,5900,4234,5946,4273,5994,4295,6041,4364e" filled="false" stroked="true" strokeweight="2.185844pt" strokecolor="#ecac2a">
              <v:path arrowok="t"/>
              <v:stroke dashstyle="solid"/>
            </v:shape>
            <v:shape style="position:absolute;left:1332;top:4041;width:4710;height:1339" coordorigin="1332,4041" coordsize="4710,1339" path="m1332,4898l1380,4791,1428,4684,1476,4737,1521,4791,1569,4952,1617,4791,1665,4576,1712,4471,1760,4471,1808,4417,1856,4471,1904,4471,1952,4522,1997,4576,2045,4576,2093,4576,2140,4522,2188,4576,2236,4737,2284,4791,2332,4737,2379,4684,2427,4630,2475,4791,2520,4845,2568,4845,2616,4737,2664,4737,2712,4684,2759,4684,2807,4576,2855,4684,2903,4791,2951,4898,2996,4952,3044,5006,3092,5113,3140,5221,3187,5221,3235,5167,3283,5113,3331,5167,3379,5272,3426,5272,3472,5272,3520,5272,3567,5167,3615,5060,3663,4952,3711,5060,3759,5272,3806,5379,3854,5379,3902,5326,3950,5221,3995,5006,4043,4791,4091,4684,4139,4684,4187,4737,4234,4630,4282,4364,4330,4149,4378,4095,4426,4095,4471,4041,4519,4095,4567,4256,4614,4522,4662,4576,4710,4522,4758,4417,4806,4417,4853,4364,4901,4364,4949,4417,4994,4417,5042,4471,5090,4417,5138,4364,5186,4256,5234,4202,5281,4310,5329,4417,5377,4576,5425,4684,5470,4684,5518,4576,5566,4522,5614,4471,5661,4471,5709,4471,5757,4417,5805,4417,5853,4310,5900,4256,5946,4149,5994,4095,6041,4149e" filled="false" stroked="true" strokeweight="2.194265pt" strokecolor="#00284e">
              <v:path arrowok="t"/>
              <v:stroke dashstyle="solid"/>
            </v:shape>
            <v:line style="position:absolute" from="1352,3091" to="1734,3091" stroked="true" strokeweight="2.197731pt" strokecolor="#ecac2a">
              <v:stroke dashstyle="solid"/>
            </v:line>
            <v:line style="position:absolute" from="1352,3541" to="1734,3541" stroked="true" strokeweight="2.197731pt" strokecolor="#00284e">
              <v:stroke dashstyle="solid"/>
            </v:line>
            <w10:wrap type="none"/>
          </v:group>
        </w:pict>
      </w:r>
      <w:r>
        <w:rPr/>
        <w:pict>
          <v:group style="position:absolute;margin-left:358.620178pt;margin-top:154.508514pt;width:209.3pt;height:200.15pt;mso-position-horizontal-relative:page;mso-position-vertical-relative:page;z-index:-253309952" coordorigin="7172,3090" coordsize="4186,4003">
            <v:rect style="position:absolute;left:7178;top:3098;width:4172;height:3989" filled="false" stroked="true" strokeweight=".139774pt" strokecolor="#000000">
              <v:stroke dashstyle="solid"/>
            </v:rect>
            <v:shape style="position:absolute;left:309;top:12463;width:4172;height:4001" coordorigin="310,12463" coordsize="4172,4001" path="m11351,7086l11351,3097m11291,7086l11351,7086m11291,6516l11351,6516m11291,5947l11351,5947m11291,5377l11351,5377m11291,4808l11351,4808m11291,4239l11351,4239m11291,3667l11351,3667m11291,3097l11351,3097m7180,5377l11351,5377m7180,5377l7180,5437m8000,5377l8000,5437m8821,5377l8821,5437m9640,5377l9640,5437m10460,5377l10460,5437m11281,5377l11281,5437e" filled="false" stroked="true" strokeweight=".71889pt" strokecolor="#858585">
              <v:path arrowok="t"/>
              <v:stroke dashstyle="solid"/>
            </v:shape>
            <v:shape style="position:absolute;left:7214;top:3342;width:4102;height:3163" coordorigin="7214,3343" coordsize="4102,3163" path="m7214,4651l7418,3668,7625,4603,7829,4034,8035,4479,8239,6506,8443,5874,8650,5960,8854,5726,9060,4907,9264,4484,9470,4642,9674,5235,9881,3929,10085,3864,10291,4336,10495,3343,10702,4477,10906,4948,11110,3943,11316,3773e" filled="false" stroked="true" strokeweight=".139729pt" strokecolor="#17375e">
              <v:path arrowok="t"/>
              <v:stroke dashstyle="solid"/>
            </v:shape>
            <v:shape style="position:absolute;left:7214;top:3610;width:4102;height:1656" coordorigin="7214,3611" coordsize="4102,1656" path="m7214,4170l7418,4158,7625,4391,7829,4534,8035,4242,8239,3984,8443,4426,8650,4941,8854,5218,9060,4958,9264,5266,9470,5075,9674,4388,9881,4627,10085,4190,10291,3611,10495,3984,10702,4259,10906,4386,11110,4489,11316,4486e" filled="false" stroked="true" strokeweight=".139627pt" strokecolor="#79125f">
              <v:path arrowok="t"/>
              <v:stroke dashstyle="solid"/>
            </v:shape>
            <v:shape style="position:absolute;left:7214;top:3842;width:4102;height:453" coordorigin="7214,3843" coordsize="4102,453" path="m7214,3874l7418,4017,7625,4008,7829,4156,8035,4156,8239,4115,8443,4221,8650,4242,8854,4235,9060,4295,9264,4225,9470,4008,9674,4027,9881,3845,10085,3843,10291,4022,10495,3984,10702,3962,10906,3946,11110,4115,11316,4192e" filled="false" stroked="true" strokeweight=".139572pt" strokecolor="#c5890f">
              <v:path arrowok="t"/>
              <v:stroke dashstyle="solid"/>
            </v:shape>
            <v:line style="position:absolute" from="7213,3378" to="11317,3378" stroked="true" strokeweight=".139566pt" strokecolor="#edae2f">
              <v:stroke dashstyle="shortdot"/>
            </v:line>
            <v:line style="position:absolute" from="8954,6053" to="9338,6053" stroked="true" strokeweight=".139566pt" strokecolor="#17375e">
              <v:stroke dashstyle="solid"/>
            </v:line>
            <v:line style="position:absolute" from="8954,6398" to="9338,6398" stroked="true" strokeweight=".139566pt" strokecolor="#79125f">
              <v:stroke dashstyle="solid"/>
            </v:line>
            <v:line style="position:absolute" from="8954,6742" to="9338,6742" stroked="true" strokeweight=".139566pt" strokecolor="#c5890f">
              <v:stroke dashstyle="solid"/>
            </v:line>
            <w10:wrap type="none"/>
          </v:group>
        </w:pict>
      </w:r>
    </w:p>
    <w:p>
      <w:pPr>
        <w:pStyle w:val="BodyText"/>
        <w:spacing w:before="8"/>
        <w:rPr>
          <w:sz w:val="11"/>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37"/>
        <w:gridCol w:w="5077"/>
      </w:tblGrid>
      <w:tr>
        <w:trPr>
          <w:trHeight w:val="690" w:hRule="atLeast"/>
        </w:trPr>
        <w:tc>
          <w:tcPr>
            <w:tcW w:w="5737" w:type="dxa"/>
          </w:tcPr>
          <w:p>
            <w:pPr>
              <w:pStyle w:val="TableParagraph"/>
              <w:spacing w:line="225" w:lineRule="exact"/>
              <w:ind w:left="108"/>
              <w:rPr>
                <w:b/>
                <w:sz w:val="20"/>
              </w:rPr>
            </w:pPr>
            <w:r>
              <w:rPr>
                <w:b/>
                <w:sz w:val="20"/>
              </w:rPr>
              <w:t>Chart 7: whole economy regular pay growth</w:t>
            </w:r>
          </w:p>
        </w:tc>
        <w:tc>
          <w:tcPr>
            <w:tcW w:w="5077" w:type="dxa"/>
          </w:tcPr>
          <w:p>
            <w:pPr>
              <w:pStyle w:val="TableParagraph"/>
              <w:spacing w:line="225" w:lineRule="exact"/>
              <w:ind w:left="108"/>
              <w:rPr>
                <w:b/>
                <w:sz w:val="20"/>
              </w:rPr>
            </w:pPr>
            <w:r>
              <w:rPr>
                <w:b/>
                <w:sz w:val="20"/>
              </w:rPr>
              <w:t>Chart 8: measures of domestically generated</w:t>
            </w:r>
          </w:p>
          <w:p>
            <w:pPr>
              <w:pStyle w:val="TableParagraph"/>
              <w:spacing w:before="115"/>
              <w:ind w:left="108"/>
              <w:rPr>
                <w:b/>
                <w:sz w:val="20"/>
              </w:rPr>
            </w:pPr>
            <w:r>
              <w:rPr>
                <w:b/>
                <w:sz w:val="20"/>
              </w:rPr>
              <w:t>inflation</w:t>
            </w:r>
          </w:p>
        </w:tc>
      </w:tr>
      <w:tr>
        <w:trPr>
          <w:trHeight w:val="4915" w:hRule="atLeast"/>
        </w:trPr>
        <w:tc>
          <w:tcPr>
            <w:tcW w:w="5737" w:type="dxa"/>
          </w:tcPr>
          <w:p>
            <w:pPr>
              <w:pStyle w:val="TableParagraph"/>
              <w:tabs>
                <w:tab w:pos="5325" w:val="right" w:leader="none"/>
              </w:tabs>
              <w:spacing w:before="170"/>
              <w:ind w:left="749"/>
              <w:rPr>
                <w:sz w:val="20"/>
              </w:rPr>
            </w:pPr>
            <w:r>
              <w:rPr>
                <w:sz w:val="16"/>
              </w:rPr>
              <w:t>Three-month</w:t>
            </w:r>
            <w:r>
              <w:rPr>
                <w:spacing w:val="-4"/>
                <w:sz w:val="16"/>
              </w:rPr>
              <w:t> </w:t>
            </w:r>
            <w:r>
              <w:rPr>
                <w:sz w:val="16"/>
              </w:rPr>
              <w:t>on three-month</w:t>
              <w:tab/>
            </w:r>
            <w:r>
              <w:rPr>
                <w:position w:val="11"/>
                <w:sz w:val="20"/>
              </w:rPr>
              <w:t>5</w:t>
            </w:r>
          </w:p>
          <w:p>
            <w:pPr>
              <w:pStyle w:val="TableParagraph"/>
              <w:spacing w:before="5"/>
              <w:ind w:left="749"/>
              <w:rPr>
                <w:sz w:val="16"/>
              </w:rPr>
            </w:pPr>
            <w:r>
              <w:rPr>
                <w:sz w:val="16"/>
              </w:rPr>
              <w:t>annualised</w:t>
            </w:r>
          </w:p>
          <w:p>
            <w:pPr>
              <w:pStyle w:val="TableParagraph"/>
              <w:tabs>
                <w:tab w:pos="5325" w:val="right" w:leader="none"/>
              </w:tabs>
              <w:spacing w:before="17"/>
              <w:ind w:left="749"/>
              <w:rPr>
                <w:sz w:val="20"/>
              </w:rPr>
            </w:pPr>
            <w:r>
              <w:rPr>
                <w:sz w:val="16"/>
              </w:rPr>
              <w:t>Three months on a</w:t>
            </w:r>
            <w:r>
              <w:rPr>
                <w:spacing w:val="-5"/>
                <w:sz w:val="16"/>
              </w:rPr>
              <w:t> </w:t>
            </w:r>
            <w:r>
              <w:rPr>
                <w:sz w:val="16"/>
              </w:rPr>
              <w:t>year</w:t>
            </w:r>
            <w:r>
              <w:rPr>
                <w:spacing w:val="-1"/>
                <w:sz w:val="16"/>
              </w:rPr>
              <w:t> </w:t>
            </w:r>
            <w:r>
              <w:rPr>
                <w:sz w:val="16"/>
              </w:rPr>
              <w:t>earlier</w:t>
              <w:tab/>
            </w:r>
            <w:r>
              <w:rPr>
                <w:position w:val="2"/>
                <w:sz w:val="20"/>
              </w:rPr>
              <w:t>4</w:t>
            </w:r>
          </w:p>
          <w:p>
            <w:pPr>
              <w:pStyle w:val="TableParagraph"/>
              <w:spacing w:before="6"/>
              <w:rPr>
                <w:sz w:val="25"/>
              </w:rPr>
            </w:pPr>
          </w:p>
          <w:p>
            <w:pPr>
              <w:pStyle w:val="TableParagraph"/>
              <w:ind w:left="5214"/>
              <w:rPr>
                <w:sz w:val="20"/>
              </w:rPr>
            </w:pPr>
            <w:r>
              <w:rPr>
                <w:w w:val="99"/>
                <w:sz w:val="20"/>
              </w:rPr>
              <w:t>3</w:t>
            </w:r>
          </w:p>
          <w:p>
            <w:pPr>
              <w:pStyle w:val="TableParagraph"/>
              <w:spacing w:before="7"/>
              <w:rPr>
                <w:sz w:val="26"/>
              </w:rPr>
            </w:pPr>
          </w:p>
          <w:p>
            <w:pPr>
              <w:pStyle w:val="TableParagraph"/>
              <w:ind w:left="5214"/>
              <w:rPr>
                <w:sz w:val="20"/>
              </w:rPr>
            </w:pPr>
            <w:r>
              <w:rPr>
                <w:w w:val="99"/>
                <w:sz w:val="20"/>
              </w:rPr>
              <w:t>2</w:t>
            </w:r>
          </w:p>
          <w:p>
            <w:pPr>
              <w:pStyle w:val="TableParagraph"/>
              <w:spacing w:before="7"/>
              <w:rPr>
                <w:sz w:val="26"/>
              </w:rPr>
            </w:pPr>
          </w:p>
          <w:p>
            <w:pPr>
              <w:pStyle w:val="TableParagraph"/>
              <w:ind w:left="5214"/>
              <w:rPr>
                <w:sz w:val="20"/>
              </w:rPr>
            </w:pPr>
            <w:r>
              <w:rPr>
                <w:w w:val="99"/>
                <w:sz w:val="20"/>
              </w:rPr>
              <w:t>1</w:t>
            </w:r>
          </w:p>
          <w:p>
            <w:pPr>
              <w:pStyle w:val="TableParagraph"/>
              <w:spacing w:before="6"/>
              <w:rPr>
                <w:sz w:val="26"/>
              </w:rPr>
            </w:pPr>
          </w:p>
          <w:p>
            <w:pPr>
              <w:pStyle w:val="TableParagraph"/>
              <w:spacing w:before="1"/>
              <w:ind w:left="5214"/>
              <w:rPr>
                <w:sz w:val="20"/>
              </w:rPr>
            </w:pPr>
            <w:r>
              <w:rPr>
                <w:w w:val="99"/>
                <w:sz w:val="20"/>
              </w:rPr>
              <w:t>0</w:t>
            </w:r>
          </w:p>
          <w:p>
            <w:pPr>
              <w:pStyle w:val="TableParagraph"/>
              <w:spacing w:before="6"/>
              <w:rPr>
                <w:sz w:val="26"/>
              </w:rPr>
            </w:pPr>
          </w:p>
          <w:p>
            <w:pPr>
              <w:pStyle w:val="TableParagraph"/>
              <w:ind w:left="5214"/>
              <w:rPr>
                <w:sz w:val="20"/>
              </w:rPr>
            </w:pPr>
            <w:r>
              <w:rPr>
                <w:sz w:val="20"/>
              </w:rPr>
              <w:t>-1</w:t>
            </w:r>
          </w:p>
          <w:p>
            <w:pPr>
              <w:pStyle w:val="TableParagraph"/>
              <w:spacing w:before="7"/>
              <w:rPr>
                <w:sz w:val="26"/>
              </w:rPr>
            </w:pPr>
          </w:p>
          <w:p>
            <w:pPr>
              <w:pStyle w:val="TableParagraph"/>
              <w:ind w:left="5214"/>
              <w:rPr>
                <w:sz w:val="20"/>
              </w:rPr>
            </w:pPr>
            <w:r>
              <w:rPr>
                <w:sz w:val="20"/>
              </w:rPr>
              <w:t>-2</w:t>
            </w:r>
          </w:p>
          <w:p>
            <w:pPr>
              <w:pStyle w:val="TableParagraph"/>
              <w:tabs>
                <w:tab w:pos="767" w:val="left" w:leader="none"/>
                <w:tab w:pos="1338" w:val="left" w:leader="none"/>
                <w:tab w:pos="1909" w:val="left" w:leader="none"/>
                <w:tab w:pos="2481" w:val="left" w:leader="none"/>
                <w:tab w:pos="3051" w:val="left" w:leader="none"/>
                <w:tab w:pos="3623" w:val="left" w:leader="none"/>
                <w:tab w:pos="4194" w:val="left" w:leader="none"/>
                <w:tab w:pos="4765" w:val="left" w:leader="none"/>
              </w:tabs>
              <w:spacing w:before="12"/>
              <w:ind w:left="196"/>
              <w:rPr>
                <w:sz w:val="20"/>
              </w:rPr>
            </w:pPr>
            <w:r>
              <w:rPr>
                <w:sz w:val="20"/>
              </w:rPr>
              <w:t>10</w:t>
              <w:tab/>
              <w:t>11</w:t>
              <w:tab/>
              <w:t>12</w:t>
              <w:tab/>
              <w:t>13</w:t>
              <w:tab/>
              <w:t>14</w:t>
              <w:tab/>
              <w:t>15</w:t>
              <w:tab/>
              <w:t>16</w:t>
              <w:tab/>
              <w:t>17</w:t>
              <w:tab/>
              <w:t>18</w:t>
            </w:r>
          </w:p>
        </w:tc>
        <w:tc>
          <w:tcPr>
            <w:tcW w:w="5077" w:type="dxa"/>
          </w:tcPr>
          <w:p>
            <w:pPr>
              <w:pStyle w:val="TableParagraph"/>
              <w:spacing w:before="86"/>
              <w:ind w:left="3808"/>
              <w:rPr>
                <w:sz w:val="18"/>
              </w:rPr>
            </w:pPr>
            <w:r>
              <w:rPr>
                <w:sz w:val="18"/>
              </w:rPr>
              <w:t>Per cent</w:t>
            </w:r>
          </w:p>
          <w:p>
            <w:pPr>
              <w:pStyle w:val="TableParagraph"/>
              <w:spacing w:before="6"/>
              <w:ind w:left="4762"/>
              <w:rPr>
                <w:sz w:val="20"/>
              </w:rPr>
            </w:pPr>
            <w:r>
              <w:rPr>
                <w:w w:val="99"/>
                <w:sz w:val="20"/>
              </w:rPr>
              <w:t>4</w:t>
            </w:r>
          </w:p>
          <w:p>
            <w:pPr>
              <w:pStyle w:val="TableParagraph"/>
              <w:spacing w:before="7"/>
              <w:rPr>
                <w:sz w:val="29"/>
              </w:rPr>
            </w:pPr>
          </w:p>
          <w:p>
            <w:pPr>
              <w:pStyle w:val="TableParagraph"/>
              <w:tabs>
                <w:tab w:pos="4151" w:val="left" w:leader="none"/>
              </w:tabs>
              <w:ind w:right="191"/>
              <w:jc w:val="right"/>
              <w:rPr>
                <w:sz w:val="20"/>
              </w:rPr>
            </w:pPr>
            <w:r>
              <w:rPr>
                <w:w w:val="99"/>
                <w:sz w:val="20"/>
                <w:u w:val="dotted" w:color="00294E"/>
              </w:rPr>
              <w:t> </w:t>
            </w:r>
            <w:r>
              <w:rPr>
                <w:sz w:val="20"/>
                <w:u w:val="dotted" w:color="00294E"/>
              </w:rPr>
              <w:tab/>
            </w:r>
            <w:r>
              <w:rPr>
                <w:sz w:val="20"/>
              </w:rPr>
              <w:t>  </w:t>
            </w:r>
            <w:r>
              <w:rPr>
                <w:spacing w:val="-8"/>
                <w:sz w:val="20"/>
              </w:rPr>
              <w:t> </w:t>
            </w:r>
            <w:r>
              <w:rPr>
                <w:w w:val="95"/>
                <w:sz w:val="20"/>
              </w:rPr>
              <w:t>3</w:t>
            </w:r>
          </w:p>
          <w:p>
            <w:pPr>
              <w:pStyle w:val="TableParagraph"/>
              <w:spacing w:before="6"/>
              <w:rPr>
                <w:sz w:val="29"/>
              </w:rPr>
            </w:pPr>
          </w:p>
          <w:p>
            <w:pPr>
              <w:pStyle w:val="TableParagraph"/>
              <w:tabs>
                <w:tab w:pos="4151" w:val="left" w:leader="none"/>
              </w:tabs>
              <w:ind w:right="191"/>
              <w:jc w:val="right"/>
              <w:rPr>
                <w:sz w:val="20"/>
              </w:rPr>
            </w:pPr>
            <w:r>
              <w:rPr>
                <w:w w:val="99"/>
                <w:sz w:val="20"/>
                <w:u w:val="dotted" w:color="A21A7D"/>
              </w:rPr>
              <w:t> </w:t>
            </w:r>
            <w:r>
              <w:rPr>
                <w:sz w:val="20"/>
                <w:u w:val="dotted" w:color="A21A7D"/>
              </w:rPr>
              <w:tab/>
            </w:r>
            <w:r>
              <w:rPr>
                <w:sz w:val="20"/>
              </w:rPr>
              <w:t>  </w:t>
            </w:r>
            <w:r>
              <w:rPr>
                <w:spacing w:val="-8"/>
                <w:sz w:val="20"/>
              </w:rPr>
              <w:t> </w:t>
            </w:r>
            <w:r>
              <w:rPr>
                <w:w w:val="95"/>
                <w:sz w:val="20"/>
              </w:rPr>
              <w:t>2</w:t>
            </w:r>
          </w:p>
          <w:p>
            <w:pPr>
              <w:pStyle w:val="TableParagraph"/>
              <w:spacing w:before="7"/>
              <w:rPr>
                <w:sz w:val="29"/>
              </w:rPr>
            </w:pPr>
          </w:p>
          <w:p>
            <w:pPr>
              <w:pStyle w:val="TableParagraph"/>
              <w:ind w:right="191"/>
              <w:jc w:val="right"/>
              <w:rPr>
                <w:sz w:val="20"/>
              </w:rPr>
            </w:pPr>
            <w:r>
              <w:rPr>
                <w:w w:val="99"/>
                <w:sz w:val="20"/>
              </w:rPr>
              <w:t>1</w:t>
            </w:r>
          </w:p>
          <w:p>
            <w:pPr>
              <w:pStyle w:val="TableParagraph"/>
              <w:spacing w:before="6"/>
              <w:rPr>
                <w:sz w:val="29"/>
              </w:rPr>
            </w:pPr>
          </w:p>
          <w:p>
            <w:pPr>
              <w:pStyle w:val="TableParagraph"/>
              <w:ind w:right="191"/>
              <w:jc w:val="right"/>
              <w:rPr>
                <w:sz w:val="20"/>
              </w:rPr>
            </w:pPr>
            <w:r>
              <w:rPr>
                <w:w w:val="99"/>
                <w:sz w:val="20"/>
              </w:rPr>
              <w:t>0</w:t>
            </w:r>
          </w:p>
          <w:p>
            <w:pPr>
              <w:pStyle w:val="TableParagraph"/>
              <w:spacing w:before="8"/>
              <w:rPr>
                <w:sz w:val="30"/>
              </w:rPr>
            </w:pPr>
          </w:p>
          <w:p>
            <w:pPr>
              <w:pStyle w:val="TableParagraph"/>
              <w:tabs>
                <w:tab w:pos="4762" w:val="left" w:leader="none"/>
              </w:tabs>
              <w:spacing w:line="346" w:lineRule="exact"/>
              <w:ind w:left="2617" w:right="123"/>
              <w:jc w:val="both"/>
              <w:rPr>
                <w:sz w:val="18"/>
              </w:rPr>
            </w:pPr>
            <w:r>
              <w:rPr>
                <w:sz w:val="18"/>
              </w:rPr>
              <w:t>Unit labour cost growth </w:t>
            </w:r>
            <w:r>
              <w:rPr>
                <w:position w:val="10"/>
                <w:sz w:val="20"/>
              </w:rPr>
              <w:t>-1 </w:t>
            </w:r>
            <w:r>
              <w:rPr>
                <w:sz w:val="18"/>
              </w:rPr>
              <w:t>GDP</w:t>
            </w:r>
            <w:r>
              <w:rPr>
                <w:spacing w:val="-4"/>
                <w:sz w:val="18"/>
              </w:rPr>
              <w:t> </w:t>
            </w:r>
            <w:r>
              <w:rPr>
                <w:sz w:val="18"/>
              </w:rPr>
              <w:t>deflator</w:t>
              <w:tab/>
            </w:r>
            <w:r>
              <w:rPr>
                <w:spacing w:val="-8"/>
                <w:position w:val="-11"/>
                <w:sz w:val="20"/>
              </w:rPr>
              <w:t>-2 </w:t>
            </w:r>
            <w:r>
              <w:rPr>
                <w:sz w:val="18"/>
              </w:rPr>
              <w:t>Core services</w:t>
            </w:r>
            <w:r>
              <w:rPr>
                <w:spacing w:val="-5"/>
                <w:sz w:val="18"/>
              </w:rPr>
              <w:t> </w:t>
            </w:r>
            <w:r>
              <w:rPr>
                <w:sz w:val="18"/>
              </w:rPr>
              <w:t>CPI</w:t>
            </w:r>
          </w:p>
          <w:p>
            <w:pPr>
              <w:pStyle w:val="TableParagraph"/>
              <w:spacing w:before="89"/>
              <w:ind w:left="4762"/>
              <w:rPr>
                <w:sz w:val="20"/>
              </w:rPr>
            </w:pPr>
            <w:r>
              <w:rPr>
                <w:sz w:val="20"/>
              </w:rPr>
              <w:t>-3</w:t>
            </w:r>
          </w:p>
          <w:p>
            <w:pPr>
              <w:pStyle w:val="TableParagraph"/>
              <w:tabs>
                <w:tab w:pos="1050" w:val="left" w:leader="none"/>
                <w:tab w:pos="1870" w:val="left" w:leader="none"/>
                <w:tab w:pos="2691" w:val="left" w:leader="none"/>
                <w:tab w:pos="3512" w:val="left" w:leader="none"/>
                <w:tab w:pos="4333" w:val="left" w:leader="none"/>
              </w:tabs>
              <w:spacing w:before="8"/>
              <w:ind w:left="229"/>
              <w:rPr>
                <w:sz w:val="20"/>
              </w:rPr>
            </w:pPr>
            <w:r>
              <w:rPr>
                <w:sz w:val="20"/>
              </w:rPr>
              <w:t>2013</w:t>
              <w:tab/>
              <w:t>2014</w:t>
              <w:tab/>
              <w:t>2015</w:t>
              <w:tab/>
              <w:t>2016</w:t>
              <w:tab/>
              <w:t>2017</w:t>
              <w:tab/>
              <w:t>2018</w:t>
            </w:r>
          </w:p>
        </w:tc>
      </w:tr>
      <w:tr>
        <w:trPr>
          <w:trHeight w:val="1242" w:hRule="atLeast"/>
        </w:trPr>
        <w:tc>
          <w:tcPr>
            <w:tcW w:w="5737" w:type="dxa"/>
          </w:tcPr>
          <w:p>
            <w:pPr>
              <w:pStyle w:val="TableParagraph"/>
              <w:rPr>
                <w:rFonts w:ascii="Times New Roman"/>
                <w:sz w:val="18"/>
              </w:rPr>
            </w:pPr>
          </w:p>
        </w:tc>
        <w:tc>
          <w:tcPr>
            <w:tcW w:w="5077" w:type="dxa"/>
          </w:tcPr>
          <w:p>
            <w:pPr>
              <w:pStyle w:val="TableParagraph"/>
              <w:ind w:left="108" w:right="666"/>
              <w:rPr>
                <w:sz w:val="18"/>
              </w:rPr>
            </w:pPr>
            <w:r>
              <w:rPr>
                <w:sz w:val="18"/>
              </w:rPr>
              <w:t>Notes: dotted lines show 1997-2007 average for each measure.</w:t>
            </w:r>
          </w:p>
          <w:p>
            <w:pPr>
              <w:pStyle w:val="TableParagraph"/>
              <w:spacing w:line="206" w:lineRule="exact" w:before="4"/>
              <w:ind w:left="108" w:right="86"/>
              <w:rPr>
                <w:sz w:val="18"/>
              </w:rPr>
            </w:pPr>
            <w:r>
              <w:rPr>
                <w:sz w:val="18"/>
              </w:rPr>
              <w:t>There is no clean measure of domestically generated inflation, the chart shows a subset of the range of measures that the MPC considers as a guide to domestically generated inflation.</w:t>
            </w:r>
          </w:p>
        </w:tc>
      </w:tr>
    </w:tbl>
    <w:p>
      <w:pPr>
        <w:pStyle w:val="BodyText"/>
      </w:pPr>
    </w:p>
    <w:p>
      <w:pPr>
        <w:pStyle w:val="BodyText"/>
      </w:pPr>
    </w:p>
    <w:p>
      <w:pPr>
        <w:pStyle w:val="BodyText"/>
        <w:spacing w:before="7"/>
        <w:rPr>
          <w:sz w:val="19"/>
        </w:rPr>
      </w:pPr>
    </w:p>
    <w:p>
      <w:pPr>
        <w:pStyle w:val="BodyText"/>
        <w:spacing w:line="360" w:lineRule="auto" w:before="1"/>
        <w:ind w:left="233" w:right="1138"/>
      </w:pPr>
      <w:r>
        <w:rPr/>
        <w:t>We have of course seen false dawns before. Last November, with those very much in mind, I voted against a rate rise. For me, structural uncertainties about the economy warranted a stodgy approach. In the face of these types of uncertainty I was prepared to trade off moving more slowly in order to let evidence accumulate, with a little more resistance in our reaction function, rather than moving more in line with the forecast.</w:t>
      </w:r>
    </w:p>
    <w:p>
      <w:pPr>
        <w:pStyle w:val="BodyText"/>
        <w:spacing w:before="1"/>
        <w:rPr>
          <w:sz w:val="30"/>
        </w:rPr>
      </w:pPr>
    </w:p>
    <w:p>
      <w:pPr>
        <w:pStyle w:val="BodyText"/>
        <w:spacing w:line="357" w:lineRule="auto"/>
        <w:ind w:left="233" w:right="1663"/>
      </w:pPr>
      <w:r>
        <w:rPr/>
        <w:t>I will await our August forecast of course for the latest assessment of the evolution of domestic inflation pressures and of the first quarter of the year.</w:t>
      </w:r>
    </w:p>
    <w:p>
      <w:pPr>
        <w:pStyle w:val="BodyText"/>
        <w:spacing w:before="4"/>
        <w:rPr>
          <w:sz w:val="30"/>
        </w:rPr>
      </w:pPr>
    </w:p>
    <w:p>
      <w:pPr>
        <w:pStyle w:val="BodyText"/>
        <w:spacing w:line="360" w:lineRule="auto"/>
        <w:ind w:left="233" w:right="1207"/>
      </w:pPr>
      <w:r>
        <w:rPr/>
        <w:t>But the balance of evidence so far seems to me to suggest that MPC’s May forecast of the growth path remains broadly intact. And, crucially, that the domestic economy is likely to generate the relatively gentle inflation pressure necessary to meet the target over the next two years, as the current external inflationary pressures from sterling’s depreciation wane.</w:t>
      </w:r>
    </w:p>
    <w:p>
      <w:pPr>
        <w:pStyle w:val="BodyText"/>
        <w:spacing w:before="1"/>
        <w:rPr>
          <w:sz w:val="30"/>
        </w:rPr>
      </w:pPr>
    </w:p>
    <w:p>
      <w:pPr>
        <w:pStyle w:val="BodyText"/>
        <w:spacing w:line="357" w:lineRule="auto"/>
        <w:ind w:left="233" w:right="1730"/>
      </w:pPr>
      <w:r>
        <w:rPr/>
        <w:t>The May forecast was of course conditioned on a market yield curve that implied a limited and gradual tightening of 75 basis points over the forecast period.</w:t>
      </w:r>
    </w:p>
    <w:p>
      <w:pPr>
        <w:spacing w:after="0" w:line="357" w:lineRule="auto"/>
        <w:sectPr>
          <w:footerReference w:type="default" r:id="rId13"/>
          <w:pgSz w:w="11910" w:h="16840"/>
          <w:pgMar w:footer="1338" w:header="0" w:top="1580" w:bottom="1520" w:left="900" w:right="0"/>
        </w:sectPr>
      </w:pPr>
    </w:p>
    <w:p>
      <w:pPr>
        <w:pStyle w:val="BodyText"/>
        <w:spacing w:before="5"/>
        <w:rPr>
          <w:sz w:val="23"/>
        </w:rPr>
      </w:pPr>
    </w:p>
    <w:p>
      <w:pPr>
        <w:pStyle w:val="BodyText"/>
        <w:spacing w:before="93"/>
        <w:ind w:left="233"/>
      </w:pPr>
      <w:r>
        <w:rPr/>
        <w:t>So has the need for a stodgier approach now gone?</w:t>
      </w:r>
    </w:p>
    <w:p>
      <w:pPr>
        <w:pStyle w:val="BodyText"/>
        <w:rPr>
          <w:sz w:val="22"/>
        </w:rPr>
      </w:pPr>
    </w:p>
    <w:p>
      <w:pPr>
        <w:pStyle w:val="BodyText"/>
        <w:spacing w:before="1"/>
        <w:rPr>
          <w:sz w:val="18"/>
        </w:rPr>
      </w:pPr>
    </w:p>
    <w:p>
      <w:pPr>
        <w:pStyle w:val="BodyText"/>
        <w:spacing w:line="360" w:lineRule="auto"/>
        <w:ind w:left="233" w:right="1162"/>
      </w:pPr>
      <w:r>
        <w:rPr/>
        <w:t>It seems to me that while diminished, there remains considerable uncertainty about the supply side. Domestic inflation pressures, while strengthening a little are not yet established at levels consistent with inflation at target (</w:t>
      </w:r>
      <w:r>
        <w:rPr>
          <w:b/>
        </w:rPr>
        <w:t>Chart 8</w:t>
      </w:r>
      <w:r>
        <w:rPr/>
        <w:t>). Pay growth has established itself in the 2.5-3% range. But the latest readings do not signal strongly that pay growth will make the next step to establish itself firmly in 3% territory in line with the May forecast.</w:t>
      </w:r>
      <w:r>
        <w:rPr>
          <w:vertAlign w:val="superscript"/>
        </w:rPr>
        <w:t>12</w:t>
      </w:r>
      <w:r>
        <w:rPr>
          <w:vertAlign w:val="baseline"/>
        </w:rPr>
        <w:t> </w:t>
      </w:r>
      <w:r>
        <w:rPr>
          <w:spacing w:val="5"/>
          <w:vertAlign w:val="baseline"/>
        </w:rPr>
        <w:t>We </w:t>
      </w:r>
      <w:r>
        <w:rPr>
          <w:vertAlign w:val="baseline"/>
        </w:rPr>
        <w:t>may still be underestimating supply in the labour</w:t>
      </w:r>
      <w:r>
        <w:rPr>
          <w:spacing w:val="-31"/>
          <w:vertAlign w:val="baseline"/>
        </w:rPr>
        <w:t> </w:t>
      </w:r>
      <w:r>
        <w:rPr>
          <w:vertAlign w:val="baseline"/>
        </w:rPr>
        <w:t>market.</w:t>
      </w:r>
      <w:r>
        <w:rPr>
          <w:vertAlign w:val="superscript"/>
        </w:rPr>
        <w:t>13</w:t>
      </w:r>
    </w:p>
    <w:p>
      <w:pPr>
        <w:pStyle w:val="BodyText"/>
        <w:spacing w:before="10"/>
        <w:rPr>
          <w:sz w:val="29"/>
        </w:rPr>
      </w:pPr>
    </w:p>
    <w:p>
      <w:pPr>
        <w:pStyle w:val="BodyText"/>
        <w:spacing w:line="360" w:lineRule="auto"/>
        <w:ind w:left="233" w:right="1308"/>
      </w:pPr>
      <w:r>
        <w:rPr/>
        <w:t>In short we are still learning about the relationships between key economic variables in the post crisis economy and are still a long way off the old rules of thumb</w:t>
      </w:r>
      <w:r>
        <w:rPr>
          <w:b/>
        </w:rPr>
        <w:t>. </w:t>
      </w:r>
      <w:r>
        <w:rPr/>
        <w:t>This for me still implies an approach with a little more resistance in our reaction to developments.</w:t>
      </w:r>
    </w:p>
    <w:p>
      <w:pPr>
        <w:pStyle w:val="BodyText"/>
        <w:spacing w:before="1"/>
        <w:rPr>
          <w:sz w:val="30"/>
        </w:rPr>
      </w:pPr>
    </w:p>
    <w:p>
      <w:pPr>
        <w:pStyle w:val="BodyText"/>
        <w:ind w:left="233"/>
      </w:pPr>
      <w:r>
        <w:rPr/>
        <w:t>Such an approach is not, however, a stopped approach.</w:t>
      </w:r>
    </w:p>
    <w:p>
      <w:pPr>
        <w:pStyle w:val="BodyText"/>
        <w:rPr>
          <w:sz w:val="22"/>
        </w:rPr>
      </w:pPr>
    </w:p>
    <w:p>
      <w:pPr>
        <w:pStyle w:val="BodyText"/>
        <w:spacing w:before="1"/>
        <w:rPr>
          <w:sz w:val="18"/>
        </w:rPr>
      </w:pPr>
    </w:p>
    <w:p>
      <w:pPr>
        <w:pStyle w:val="BodyText"/>
        <w:spacing w:line="360" w:lineRule="auto"/>
        <w:ind w:left="233" w:right="1307"/>
      </w:pPr>
      <w:r>
        <w:rPr/>
        <w:t>Nor is it about taking only one step at a time with no view at each stage about what the necessary path of policy is likely to be further out. I do think it is important for the MPC to have such a view and to communicate it, broadly, to households and businesses and to financial markets. This need not require publishing precise paths for policy as both Mark Carney and Ian McCafferty have recently pointed out.</w:t>
      </w:r>
      <w:r>
        <w:rPr>
          <w:vertAlign w:val="superscript"/>
        </w:rPr>
        <w:t>14</w:t>
      </w:r>
    </w:p>
    <w:p>
      <w:pPr>
        <w:pStyle w:val="BodyText"/>
        <w:spacing w:before="10"/>
        <w:rPr>
          <w:sz w:val="29"/>
        </w:rPr>
      </w:pPr>
    </w:p>
    <w:p>
      <w:pPr>
        <w:pStyle w:val="BodyText"/>
        <w:spacing w:line="360" w:lineRule="auto"/>
        <w:ind w:left="233" w:right="1140"/>
      </w:pPr>
      <w:r>
        <w:rPr/>
        <w:t>Rather, it implies a bias to needing a little more confirmation at each stage that the supply side is evolving as we have forecast – a somewhat higher burden of proof that I hope will diminish as we learn more and as we become more confident about the ‘model’ of the economy that we hold in our minds.</w:t>
      </w:r>
    </w:p>
    <w:p>
      <w:pPr>
        <w:pStyle w:val="BodyText"/>
        <w:spacing w:before="1"/>
        <w:rPr>
          <w:sz w:val="30"/>
        </w:rPr>
      </w:pPr>
    </w:p>
    <w:p>
      <w:pPr>
        <w:pStyle w:val="BodyText"/>
        <w:spacing w:line="360" w:lineRule="auto"/>
        <w:ind w:left="233" w:right="1162"/>
      </w:pPr>
      <w:r>
        <w:rPr/>
        <w:t>Such an approach is not without its risks. The parable of the brick attached to a piece of elastic is never far from central bankers’ minds. Something pulls on the elastic with increasing force but nothing happens – until the brick flies towards you to high speed.</w:t>
      </w:r>
      <w:r>
        <w:rPr>
          <w:vertAlign w:val="superscript"/>
        </w:rPr>
        <w:t>15</w:t>
      </w:r>
    </w:p>
    <w:p>
      <w:pPr>
        <w:pStyle w:val="BodyText"/>
        <w:rPr>
          <w:sz w:val="30"/>
        </w:rPr>
      </w:pPr>
    </w:p>
    <w:p>
      <w:pPr>
        <w:pStyle w:val="BodyText"/>
        <w:spacing w:line="360" w:lineRule="auto"/>
        <w:ind w:left="233" w:right="1185"/>
      </w:pPr>
      <w:r>
        <w:rPr/>
        <w:t>Domestic inflation pressure may increase more quickly than we imagine. Productivity growth may disappoint even the MPC’s relatively low forecast – increasing inflationary pressure for any given level of activity, though I have to say here that as </w:t>
      </w:r>
      <w:r>
        <w:rPr>
          <w:spacing w:val="3"/>
        </w:rPr>
        <w:t>my </w:t>
      </w:r>
      <w:r>
        <w:rPr/>
        <w:t>colleague Silvana Tenreyro has argued, there are reasons to believe productivity growth might recover more sharply than we</w:t>
      </w:r>
      <w:r>
        <w:rPr>
          <w:spacing w:val="-13"/>
        </w:rPr>
        <w:t> </w:t>
      </w:r>
      <w:r>
        <w:rPr/>
        <w:t>expect.</w:t>
      </w:r>
      <w:r>
        <w:rPr>
          <w:vertAlign w:val="superscript"/>
        </w:rPr>
        <w:t>16</w:t>
      </w:r>
    </w:p>
    <w:p>
      <w:pPr>
        <w:pStyle w:val="BodyText"/>
      </w:pPr>
    </w:p>
    <w:p>
      <w:pPr>
        <w:pStyle w:val="BodyText"/>
      </w:pPr>
    </w:p>
    <w:p>
      <w:pPr>
        <w:pStyle w:val="BodyText"/>
      </w:pPr>
    </w:p>
    <w:p>
      <w:pPr>
        <w:pStyle w:val="BodyText"/>
        <w:spacing w:before="4"/>
        <w:rPr>
          <w:sz w:val="19"/>
        </w:rPr>
      </w:pPr>
      <w:r>
        <w:rPr/>
        <w:pict>
          <v:shape style="position:absolute;margin-left:56.664001pt;margin-top:13.324346pt;width:144.050pt;height:.1pt;mso-position-horizontal-relative:page;mso-position-vertical-relative:paragraph;z-index:-251643904;mso-wrap-distance-left:0;mso-wrap-distance-right:0" coordorigin="1133,266" coordsize="2881,0" path="m1133,266l4014,266e" filled="false" stroked="true" strokeweight=".48004pt" strokecolor="#000000">
            <v:path arrowok="t"/>
            <v:stroke dashstyle="solid"/>
            <w10:wrap type="topAndBottom"/>
          </v:shape>
        </w:pict>
      </w:r>
    </w:p>
    <w:p>
      <w:pPr>
        <w:spacing w:before="30"/>
        <w:ind w:left="233" w:right="1207" w:firstLine="0"/>
        <w:jc w:val="left"/>
        <w:rPr>
          <w:sz w:val="16"/>
        </w:rPr>
      </w:pPr>
      <w:r>
        <w:rPr>
          <w:position w:val="8"/>
          <w:sz w:val="10"/>
        </w:rPr>
        <w:t>12 </w:t>
      </w:r>
      <w:r>
        <w:rPr>
          <w:sz w:val="16"/>
        </w:rPr>
        <w:t>Having been at 3% or above through the last quarter of 2018, the 3m-o-3m rate was 2.5-2.6% for the first three months of 2018 and weakened a little more, to 2.4%, in April.</w:t>
      </w:r>
    </w:p>
    <w:p>
      <w:pPr>
        <w:spacing w:line="172" w:lineRule="exact" w:before="0"/>
        <w:ind w:left="233" w:right="0" w:firstLine="0"/>
        <w:jc w:val="left"/>
        <w:rPr>
          <w:sz w:val="16"/>
        </w:rPr>
      </w:pPr>
      <w:r>
        <w:rPr>
          <w:position w:val="8"/>
          <w:sz w:val="10"/>
        </w:rPr>
        <w:t>13 </w:t>
      </w:r>
      <w:r>
        <w:rPr>
          <w:sz w:val="16"/>
        </w:rPr>
        <w:t>As Bell and Blanchflower (2018) have highlighted, though low, indicators of underemployment remain above pre-crisis levels.</w:t>
      </w:r>
    </w:p>
    <w:p>
      <w:pPr>
        <w:spacing w:line="184" w:lineRule="exact" w:before="0"/>
        <w:ind w:left="233" w:right="0" w:firstLine="0"/>
        <w:jc w:val="left"/>
        <w:rPr>
          <w:sz w:val="16"/>
        </w:rPr>
      </w:pPr>
      <w:r>
        <w:rPr>
          <w:position w:val="8"/>
          <w:sz w:val="10"/>
        </w:rPr>
        <w:t>14 </w:t>
      </w:r>
      <w:r>
        <w:rPr>
          <w:sz w:val="16"/>
        </w:rPr>
        <w:t>Carney (2018) and McCafferty (2018)</w:t>
      </w:r>
    </w:p>
    <w:p>
      <w:pPr>
        <w:spacing w:line="184" w:lineRule="exact" w:before="13"/>
        <w:ind w:left="233" w:right="1207" w:firstLine="0"/>
        <w:jc w:val="left"/>
        <w:rPr>
          <w:sz w:val="16"/>
        </w:rPr>
      </w:pPr>
      <w:r>
        <w:rPr>
          <w:position w:val="8"/>
          <w:sz w:val="10"/>
        </w:rPr>
        <w:t>15 </w:t>
      </w:r>
      <w:r>
        <w:rPr>
          <w:sz w:val="16"/>
        </w:rPr>
        <w:t>Or as elegantly put by Rudi Dornbusch – crises take longer to arrive than one would expect, but then happen faster than one would have thought.</w:t>
      </w:r>
    </w:p>
    <w:p>
      <w:pPr>
        <w:spacing w:line="183" w:lineRule="exact" w:before="0"/>
        <w:ind w:left="233" w:right="0" w:firstLine="0"/>
        <w:jc w:val="left"/>
        <w:rPr>
          <w:sz w:val="16"/>
        </w:rPr>
      </w:pPr>
      <w:r>
        <w:rPr>
          <w:position w:val="8"/>
          <w:sz w:val="10"/>
        </w:rPr>
        <w:t>16 </w:t>
      </w:r>
      <w:r>
        <w:rPr>
          <w:sz w:val="16"/>
        </w:rPr>
        <w:t>Tenreyro (2018)</w:t>
      </w:r>
    </w:p>
    <w:p>
      <w:pPr>
        <w:spacing w:after="0" w:line="183" w:lineRule="exact"/>
        <w:jc w:val="left"/>
        <w:rPr>
          <w:sz w:val="16"/>
        </w:rPr>
        <w:sectPr>
          <w:footerReference w:type="default" r:id="rId14"/>
          <w:pgSz w:w="11910" w:h="16840"/>
          <w:pgMar w:footer="1338" w:header="0" w:top="1580" w:bottom="1520" w:left="900" w:right="0"/>
        </w:sectPr>
      </w:pPr>
    </w:p>
    <w:p>
      <w:pPr>
        <w:pStyle w:val="BodyText"/>
        <w:spacing w:line="360" w:lineRule="auto" w:before="79"/>
        <w:ind w:left="233" w:right="1603"/>
      </w:pPr>
      <w:r>
        <w:rPr/>
        <w:t>My assessment is that these are the lesser risks; while more familiar economic relationships seem to be re-establishing themselves we are unlikely fully to go back to the future – some of the changes in the structure of the economy we have seen will be persistent.</w:t>
      </w:r>
      <w:r>
        <w:rPr>
          <w:vertAlign w:val="superscript"/>
        </w:rPr>
        <w:t>17</w:t>
      </w:r>
    </w:p>
    <w:p>
      <w:pPr>
        <w:pStyle w:val="BodyText"/>
        <w:spacing w:line="360" w:lineRule="auto"/>
        <w:ind w:left="233" w:right="1207"/>
      </w:pPr>
      <w:r>
        <w:rPr/>
        <w:t>I have managed to get pretty close to the end of my discussion of policy and uncertainty without mentioning Brexit – which is surely an achievement nowadays. Brexit, both the eventual end state and the path to it, create very material uncertainties for the UK economy. I do not, however, see these uncertainties as justification for stodgier approach.</w:t>
      </w:r>
    </w:p>
    <w:p>
      <w:pPr>
        <w:pStyle w:val="BodyText"/>
        <w:spacing w:before="9"/>
        <w:rPr>
          <w:sz w:val="29"/>
        </w:rPr>
      </w:pPr>
    </w:p>
    <w:p>
      <w:pPr>
        <w:pStyle w:val="BodyText"/>
        <w:spacing w:line="360" w:lineRule="auto"/>
        <w:ind w:left="233" w:right="1207"/>
      </w:pPr>
      <w:r>
        <w:rPr/>
        <w:t>Brexit is already affecting the UK economy. The depreciation of sterling following the referendum generated inflation that has in turn squeezed real incomes and led to the drop in consumption and activity in the UK at the end of 2016. It has also generated export growth that has help support the economy. More recently, there are signs that Brexit uncertainty is holding back investment.</w:t>
      </w:r>
    </w:p>
    <w:p>
      <w:pPr>
        <w:pStyle w:val="BodyText"/>
        <w:spacing w:before="1"/>
        <w:rPr>
          <w:sz w:val="30"/>
        </w:rPr>
      </w:pPr>
    </w:p>
    <w:p>
      <w:pPr>
        <w:pStyle w:val="BodyText"/>
        <w:spacing w:line="360" w:lineRule="auto" w:before="1"/>
        <w:ind w:left="233" w:right="1128"/>
      </w:pPr>
      <w:r>
        <w:rPr/>
        <w:t>These impacts are incorporated into the MPC’s assessment of policy and forecast of the economy. But it is much harder, and in my view it would be mistaken, to set policy in anticipation of any particular Brexit outcome. There is a very wide range of possible outcomes and paths to those outcomes. And it is not at all clear how the evolution of demand, supply and the exchange rate would respond in different circumstances – which could mean very different implications for monetary policy.</w:t>
      </w:r>
    </w:p>
    <w:p>
      <w:pPr>
        <w:pStyle w:val="BodyText"/>
        <w:spacing w:before="1"/>
        <w:rPr>
          <w:sz w:val="30"/>
        </w:rPr>
      </w:pPr>
    </w:p>
    <w:p>
      <w:pPr>
        <w:pStyle w:val="BodyText"/>
        <w:spacing w:line="360" w:lineRule="auto"/>
        <w:ind w:left="233" w:right="1419"/>
      </w:pPr>
      <w:r>
        <w:rPr/>
        <w:t>Over time, Brexit is likely to affect the supply side of the economy which has evolved and specialised over the last 45 years in the context of our EU membership. If the Brexit outcome generates the types of uncertainty about the economic model that I have been discussing, that will need to be factored into the policy approach.</w:t>
      </w:r>
    </w:p>
    <w:p>
      <w:pPr>
        <w:pStyle w:val="BodyText"/>
        <w:spacing w:before="10"/>
        <w:rPr>
          <w:sz w:val="29"/>
        </w:rPr>
      </w:pPr>
    </w:p>
    <w:p>
      <w:pPr>
        <w:pStyle w:val="BodyText"/>
        <w:spacing w:line="360" w:lineRule="auto"/>
        <w:ind w:left="233" w:right="1207"/>
      </w:pPr>
      <w:r>
        <w:rPr/>
        <w:t>But for the present, my view is that the best course for the MPC on Brexit is to react to the economy as we now see it conditioning our forecasts on neutral assumptions about Brexit outcomes.</w:t>
      </w:r>
      <w:r>
        <w:rPr>
          <w:vertAlign w:val="superscript"/>
        </w:rPr>
        <w:t>18</w:t>
      </w:r>
      <w:r>
        <w:rPr>
          <w:vertAlign w:val="baseline"/>
        </w:rPr>
        <w:t> At the same time, we should stand ready to respond, quickly and vigorously to any sharp impacts on supply, demand and the exchange rate that might emerge – as the Committee did immediately following the referendum.</w:t>
      </w:r>
      <w:r>
        <w:rPr>
          <w:vertAlign w:val="superscript"/>
        </w:rPr>
        <w:t>19</w:t>
      </w:r>
    </w:p>
    <w:p>
      <w:pPr>
        <w:pStyle w:val="BodyText"/>
        <w:spacing w:before="1"/>
        <w:rPr>
          <w:sz w:val="30"/>
        </w:rPr>
      </w:pPr>
    </w:p>
    <w:p>
      <w:pPr>
        <w:pStyle w:val="BodyText"/>
        <w:spacing w:line="360" w:lineRule="auto"/>
        <w:ind w:left="233" w:right="1162"/>
      </w:pPr>
      <w:r>
        <w:rPr/>
        <w:t>A rather different set of concerns about monetary policy strategy, and particularly about a more stodgy strategy, centre on the fact that UK interest rates are currently very low and the stock of assets purchased in the course of quantitative easing remain on the Bank of England’s balance sheet.</w:t>
      </w:r>
    </w:p>
    <w:p>
      <w:pPr>
        <w:pStyle w:val="BodyText"/>
      </w:pPr>
    </w:p>
    <w:p>
      <w:pPr>
        <w:pStyle w:val="BodyText"/>
        <w:spacing w:before="2"/>
        <w:rPr>
          <w:sz w:val="11"/>
        </w:rPr>
      </w:pPr>
      <w:r>
        <w:rPr/>
        <w:pict>
          <v:shape style="position:absolute;margin-left:56.664001pt;margin-top:8.667764pt;width:144.050pt;height:.1pt;mso-position-horizontal-relative:page;mso-position-vertical-relative:paragraph;z-index:-251642880;mso-wrap-distance-left:0;mso-wrap-distance-right:0" coordorigin="1133,173" coordsize="2881,0" path="m1133,173l4014,173e" filled="false" stroked="true" strokeweight=".47998pt" strokecolor="#000000">
            <v:path arrowok="t"/>
            <v:stroke dashstyle="solid"/>
            <w10:wrap type="topAndBottom"/>
          </v:shape>
        </w:pict>
      </w:r>
    </w:p>
    <w:p>
      <w:pPr>
        <w:spacing w:line="196" w:lineRule="exact" w:before="30"/>
        <w:ind w:left="233" w:right="0" w:firstLine="0"/>
        <w:jc w:val="left"/>
        <w:rPr>
          <w:sz w:val="16"/>
        </w:rPr>
      </w:pPr>
      <w:r>
        <w:rPr>
          <w:position w:val="8"/>
          <w:sz w:val="10"/>
        </w:rPr>
        <w:t>17 </w:t>
      </w:r>
      <w:r>
        <w:rPr>
          <w:sz w:val="16"/>
        </w:rPr>
        <w:t>Haldane (2017)</w:t>
      </w:r>
    </w:p>
    <w:p>
      <w:pPr>
        <w:spacing w:line="182" w:lineRule="exact" w:before="17"/>
        <w:ind w:left="233" w:right="1207" w:firstLine="0"/>
        <w:jc w:val="left"/>
        <w:rPr>
          <w:sz w:val="16"/>
        </w:rPr>
      </w:pPr>
      <w:r>
        <w:rPr>
          <w:position w:val="8"/>
          <w:sz w:val="10"/>
        </w:rPr>
        <w:t>18 </w:t>
      </w:r>
      <w:r>
        <w:rPr>
          <w:sz w:val="16"/>
        </w:rPr>
        <w:t>The MPC’s projections are conditioned on the average of a range of possible outcomes for the United Kingdom’s trading relationship with the European Union. They also assume that households and companies base their decisions on the expectation of a smooth</w:t>
      </w:r>
    </w:p>
    <w:p>
      <w:pPr>
        <w:spacing w:line="170" w:lineRule="exact" w:before="0"/>
        <w:ind w:left="233" w:right="0" w:firstLine="0"/>
        <w:jc w:val="left"/>
        <w:rPr>
          <w:sz w:val="16"/>
        </w:rPr>
      </w:pPr>
      <w:r>
        <w:rPr>
          <w:sz w:val="16"/>
        </w:rPr>
        <w:t>adjustment to those new trading arrangements.</w:t>
      </w:r>
    </w:p>
    <w:p>
      <w:pPr>
        <w:spacing w:line="184" w:lineRule="exact" w:before="14"/>
        <w:ind w:left="233" w:right="1125" w:firstLine="0"/>
        <w:jc w:val="left"/>
        <w:rPr>
          <w:sz w:val="16"/>
        </w:rPr>
      </w:pPr>
      <w:r>
        <w:rPr>
          <w:position w:val="8"/>
          <w:sz w:val="10"/>
        </w:rPr>
        <w:t>19 </w:t>
      </w:r>
      <w:r>
        <w:rPr>
          <w:sz w:val="16"/>
        </w:rPr>
        <w:t>Following the United Kingdom’s vote to leave the European Union, the exchange rate fell and the outlook for growth weakened. At the time of the August 2016 MPC meeting, that weakening was particularly evident in surveys of business activity, confidence and optimism.</w:t>
      </w:r>
    </w:p>
    <w:p>
      <w:pPr>
        <w:spacing w:before="0"/>
        <w:ind w:left="233" w:right="1133" w:firstLine="0"/>
        <w:jc w:val="left"/>
        <w:rPr>
          <w:sz w:val="16"/>
        </w:rPr>
      </w:pPr>
      <w:r>
        <w:rPr>
          <w:sz w:val="16"/>
        </w:rPr>
        <w:t>In response, the MPC voted for a package of measures designed to provide additional support to growth and to achieve a sustainable return of inflation to the target. As the Governor set out in his opening remarks at the August 2016 </w:t>
      </w:r>
      <w:r>
        <w:rPr>
          <w:i/>
          <w:sz w:val="16"/>
        </w:rPr>
        <w:t>Inflation Report </w:t>
      </w:r>
      <w:r>
        <w:rPr>
          <w:sz w:val="16"/>
        </w:rPr>
        <w:t>press conference: “by acting early and comprehensively, the MPC can reduce uncertainty, bolster confidence, blunt the slowdown, and support the necessary adjustments in the UK economy”.</w:t>
      </w:r>
    </w:p>
    <w:p>
      <w:pPr>
        <w:spacing w:after="0"/>
        <w:jc w:val="left"/>
        <w:rPr>
          <w:sz w:val="16"/>
        </w:rPr>
        <w:sectPr>
          <w:footerReference w:type="default" r:id="rId15"/>
          <w:pgSz w:w="11910" w:h="16840"/>
          <w:pgMar w:footer="1338" w:header="0" w:top="1520" w:bottom="1520" w:left="900" w:right="0"/>
        </w:sectPr>
      </w:pPr>
    </w:p>
    <w:p>
      <w:pPr>
        <w:pStyle w:val="BodyText"/>
        <w:spacing w:line="357" w:lineRule="auto" w:before="79"/>
        <w:ind w:left="233" w:right="1207"/>
      </w:pPr>
      <w:r>
        <w:rPr/>
        <w:t>I want briefly to look at three of these arguments: I will call them as ‘room for manoeuvre’, ‘financial stability’ and the ‘time value of money’.</w:t>
      </w:r>
    </w:p>
    <w:p>
      <w:pPr>
        <w:pStyle w:val="BodyText"/>
        <w:spacing w:before="4"/>
        <w:rPr>
          <w:sz w:val="30"/>
        </w:rPr>
      </w:pPr>
    </w:p>
    <w:p>
      <w:pPr>
        <w:pStyle w:val="BodyText"/>
        <w:spacing w:line="360" w:lineRule="auto"/>
        <w:ind w:left="233" w:right="1118"/>
      </w:pPr>
      <w:r>
        <w:rPr/>
        <w:t>A number of commentators have suggested that if policy rates stay much closer to the zero lower bound than in the past, monetary policymakers will have insufficient conventional ammunition to stimulate demand in future downturns. All else equal, this would argue for erring on the side of speed and perhaps higher rates to create future room for manoeuvre.</w:t>
      </w:r>
    </w:p>
    <w:p>
      <w:pPr>
        <w:pStyle w:val="BodyText"/>
        <w:spacing w:before="10"/>
        <w:rPr>
          <w:sz w:val="29"/>
        </w:rPr>
      </w:pPr>
    </w:p>
    <w:p>
      <w:pPr>
        <w:pStyle w:val="BodyText"/>
        <w:spacing w:line="360" w:lineRule="auto"/>
        <w:ind w:left="233" w:right="1307"/>
      </w:pPr>
      <w:r>
        <w:rPr/>
        <w:t>One cannot help acknowledging this concern. If, as seems likely, we are and will continue to be in a lower natural interest rate environment, policy rates will not approach levels seen before the financial crisis. The average level of Bank rate was around 5% for the 20 years preceding the crisis. The current yield curve sees bank rate rising slowly over 3 years and levelling off at under 2% for the next 30 years.</w:t>
      </w:r>
    </w:p>
    <w:p>
      <w:pPr>
        <w:pStyle w:val="BodyText"/>
        <w:spacing w:before="1"/>
        <w:rPr>
          <w:sz w:val="30"/>
        </w:rPr>
      </w:pPr>
    </w:p>
    <w:p>
      <w:pPr>
        <w:pStyle w:val="BodyText"/>
        <w:spacing w:line="360" w:lineRule="auto"/>
        <w:ind w:left="233" w:right="1207"/>
      </w:pPr>
      <w:r>
        <w:rPr/>
        <w:t>The average policy loosening cycle in the UK was around 2% over the pre-crisis period. If that remained the case, we would clearly have less room for manoeuvre in the face of a sharp downturn, particularly if that happened in the near future.</w:t>
      </w:r>
    </w:p>
    <w:p>
      <w:pPr>
        <w:pStyle w:val="BodyText"/>
        <w:rPr>
          <w:sz w:val="30"/>
        </w:rPr>
      </w:pPr>
    </w:p>
    <w:p>
      <w:pPr>
        <w:pStyle w:val="BodyText"/>
        <w:spacing w:line="360" w:lineRule="auto"/>
        <w:ind w:left="233" w:right="1118"/>
      </w:pPr>
      <w:r>
        <w:rPr/>
        <w:t>However, raising rates faster, and perhaps to a higher level, than warranted to meet the inflation target in order to have the room to cut them in a downturn, assumes that the impact of policy on activity is asymmetric and that monetary policy will have less impact on the economy when it is tightened than when it is loosened.</w:t>
      </w:r>
    </w:p>
    <w:p>
      <w:pPr>
        <w:pStyle w:val="BodyText"/>
        <w:rPr>
          <w:sz w:val="30"/>
        </w:rPr>
      </w:pPr>
    </w:p>
    <w:p>
      <w:pPr>
        <w:pStyle w:val="BodyText"/>
        <w:spacing w:line="360" w:lineRule="auto"/>
        <w:ind w:left="233" w:right="1207"/>
      </w:pPr>
      <w:r>
        <w:rPr/>
        <w:t>Or, alternatively, it assumes that the cost of moving policy more vigorously to create greater headroom above the zero lower bound is justified in risk management terms – that the cost of a tighter policy setting than required is justified by benefits of avoiding the risk of having to use exceptional policy tools at the lower bound.</w:t>
      </w:r>
    </w:p>
    <w:p>
      <w:pPr>
        <w:pStyle w:val="BodyText"/>
        <w:spacing w:before="1"/>
        <w:rPr>
          <w:sz w:val="30"/>
        </w:rPr>
      </w:pPr>
    </w:p>
    <w:p>
      <w:pPr>
        <w:pStyle w:val="BodyText"/>
        <w:spacing w:line="357" w:lineRule="auto" w:before="1"/>
        <w:ind w:left="233" w:right="1241"/>
      </w:pPr>
      <w:r>
        <w:rPr/>
        <w:t>I have however seen little evidence in the UK that monetary has a consistently asymmetric impact in normal times.</w:t>
      </w:r>
      <w:r>
        <w:rPr>
          <w:vertAlign w:val="superscript"/>
        </w:rPr>
        <w:t>20</w:t>
      </w:r>
    </w:p>
    <w:p>
      <w:pPr>
        <w:pStyle w:val="BodyText"/>
        <w:spacing w:before="3"/>
        <w:rPr>
          <w:sz w:val="30"/>
        </w:rPr>
      </w:pPr>
    </w:p>
    <w:p>
      <w:pPr>
        <w:pStyle w:val="BodyText"/>
        <w:spacing w:line="360" w:lineRule="auto" w:before="1"/>
        <w:ind w:left="233" w:right="1229"/>
      </w:pPr>
      <w:r>
        <w:rPr/>
        <w:t>As to the risk management argument, I do think the experience of the last 10 years shows that there are policy tools which, while not the primary instrument, remain available close to or at the zero bound. It was partly for this reason that the MPC’s recent statement on the unwinding of QE made clear that QE remained a weapon in the Committee’s armoury.</w:t>
      </w:r>
      <w:r>
        <w:rPr>
          <w:vertAlign w:val="superscript"/>
        </w:rPr>
        <w:t>21</w:t>
      </w:r>
    </w:p>
    <w:p>
      <w:pPr>
        <w:pStyle w:val="BodyText"/>
      </w:pPr>
    </w:p>
    <w:p>
      <w:pPr>
        <w:pStyle w:val="BodyText"/>
      </w:pPr>
    </w:p>
    <w:p>
      <w:pPr>
        <w:pStyle w:val="BodyText"/>
      </w:pPr>
    </w:p>
    <w:p>
      <w:pPr>
        <w:pStyle w:val="BodyText"/>
      </w:pPr>
    </w:p>
    <w:p>
      <w:pPr>
        <w:pStyle w:val="BodyText"/>
        <w:spacing w:before="4"/>
        <w:rPr>
          <w:sz w:val="15"/>
        </w:rPr>
      </w:pPr>
      <w:r>
        <w:rPr/>
        <w:pict>
          <v:shape style="position:absolute;margin-left:56.664001pt;margin-top:11.057168pt;width:144.050pt;height:.1pt;mso-position-horizontal-relative:page;mso-position-vertical-relative:paragraph;z-index:-251641856;mso-wrap-distance-left:0;mso-wrap-distance-right:0" coordorigin="1133,221" coordsize="2881,0" path="m1133,221l4014,221e" filled="false" stroked="true" strokeweight=".47998pt" strokecolor="#000000">
            <v:path arrowok="t"/>
            <v:stroke dashstyle="solid"/>
            <w10:wrap type="topAndBottom"/>
          </v:shape>
        </w:pict>
      </w:r>
    </w:p>
    <w:p>
      <w:pPr>
        <w:spacing w:line="249" w:lineRule="auto" w:before="30"/>
        <w:ind w:left="233" w:right="1162" w:firstLine="0"/>
        <w:jc w:val="left"/>
        <w:rPr>
          <w:sz w:val="16"/>
        </w:rPr>
      </w:pPr>
      <w:r>
        <w:rPr>
          <w:rFonts w:ascii="Calibri" w:hAnsi="Calibri"/>
          <w:position w:val="8"/>
          <w:sz w:val="10"/>
        </w:rPr>
        <w:t>20 </w:t>
      </w:r>
      <w:r>
        <w:rPr>
          <w:sz w:val="16"/>
        </w:rPr>
        <w:t>Such evidence that exists for other economies suggest the opposite is true – that monetary policy has greater impact when it is raised than when it is lowered. Tenreyro and Thwaites (2016)</w:t>
      </w:r>
    </w:p>
    <w:p>
      <w:pPr>
        <w:spacing w:line="180" w:lineRule="exact" w:before="0"/>
        <w:ind w:left="233" w:right="0" w:firstLine="0"/>
        <w:jc w:val="left"/>
        <w:rPr>
          <w:sz w:val="16"/>
        </w:rPr>
      </w:pPr>
      <w:r>
        <w:rPr>
          <w:rFonts w:ascii="Calibri"/>
          <w:position w:val="8"/>
          <w:sz w:val="10"/>
        </w:rPr>
        <w:t>21 </w:t>
      </w:r>
      <w:r>
        <w:rPr>
          <w:sz w:val="16"/>
        </w:rPr>
        <w:t>As it stated in the June 2018 MPC minutes: In the event that potential movements in Bank Rate are judged insufficient to achieve the</w:t>
      </w:r>
    </w:p>
    <w:p>
      <w:pPr>
        <w:spacing w:before="8"/>
        <w:ind w:left="233" w:right="0" w:firstLine="0"/>
        <w:jc w:val="left"/>
        <w:rPr>
          <w:sz w:val="16"/>
        </w:rPr>
      </w:pPr>
      <w:r>
        <w:rPr>
          <w:sz w:val="16"/>
        </w:rPr>
        <w:t>inflation target, the reduction in the stock of assets could be amended or reversed.</w:t>
      </w:r>
    </w:p>
    <w:p>
      <w:pPr>
        <w:spacing w:after="0"/>
        <w:jc w:val="left"/>
        <w:rPr>
          <w:sz w:val="16"/>
        </w:rPr>
        <w:sectPr>
          <w:footerReference w:type="default" r:id="rId16"/>
          <w:pgSz w:w="11910" w:h="16840"/>
          <w:pgMar w:footer="1338" w:header="0" w:top="1520" w:bottom="1520" w:left="900" w:right="0"/>
        </w:sectPr>
      </w:pPr>
    </w:p>
    <w:p>
      <w:pPr>
        <w:pStyle w:val="BodyText"/>
        <w:spacing w:line="360" w:lineRule="auto" w:before="79"/>
        <w:ind w:left="233" w:right="1162"/>
      </w:pPr>
      <w:r>
        <w:rPr/>
        <w:t>A sharper tightening of policy has also been suggested to avoid financial stability risks. Low policy rates, it is argued, generate leverage in the economy and can lead to asset price bubbles. These concerns have particular relevance for me given my responsibility as the current Deputy Governor for Financial stability. On the face of it, this ought to bias me more to err on the side of a faster and sharper approach to policy.</w:t>
      </w:r>
    </w:p>
    <w:p>
      <w:pPr>
        <w:pStyle w:val="BodyText"/>
        <w:spacing w:line="360" w:lineRule="auto"/>
        <w:ind w:left="233" w:right="1195"/>
      </w:pPr>
      <w:r>
        <w:rPr/>
        <w:t>The evidence certainly seems to suggest that previous occupants of my post may have had such concerns about the impact of monetary policy on financial markets. Since the post was established in 1998, previous Deputy Governors for Financial Stability have never voted against a rate increase, and have frequently been in the minority in calling for one.</w:t>
      </w:r>
      <w:r>
        <w:rPr>
          <w:vertAlign w:val="superscript"/>
        </w:rPr>
        <w:t>22</w:t>
      </w:r>
    </w:p>
    <w:p>
      <w:pPr>
        <w:pStyle w:val="BodyText"/>
        <w:spacing w:before="10"/>
        <w:rPr>
          <w:sz w:val="29"/>
        </w:rPr>
      </w:pPr>
    </w:p>
    <w:p>
      <w:pPr>
        <w:pStyle w:val="BodyText"/>
        <w:spacing w:line="360" w:lineRule="auto"/>
        <w:ind w:left="233" w:right="1341"/>
      </w:pPr>
      <w:r>
        <w:rPr/>
        <w:t>The difference, however, is that it was only in 2013, six months prior to my arrival, with the formal establishment of the Financial Policy Committee that the Bank was given specific macro-prudential tools to manage risks to financial stability. And since the establishment of the FPC, we have used those tools not just to increase the resilience of the financial system but also to restrain the build up of leverage in the economy more generally.</w:t>
      </w:r>
      <w:r>
        <w:rPr>
          <w:vertAlign w:val="superscript"/>
        </w:rPr>
        <w:t>23</w:t>
      </w:r>
    </w:p>
    <w:p>
      <w:pPr>
        <w:pStyle w:val="BodyText"/>
        <w:spacing w:before="2"/>
        <w:rPr>
          <w:sz w:val="30"/>
        </w:rPr>
      </w:pPr>
    </w:p>
    <w:p>
      <w:pPr>
        <w:pStyle w:val="BodyText"/>
        <w:spacing w:line="357" w:lineRule="auto"/>
        <w:ind w:left="233" w:right="1118"/>
      </w:pPr>
      <w:r>
        <w:rPr/>
        <w:t>I am very clear that monetary policy can and should serve as the last line of defence against risks to financial stability, even though that can come at a significant cost to the broad economy. That cost is outweighed by</w:t>
      </w:r>
    </w:p>
    <w:p>
      <w:pPr>
        <w:pStyle w:val="BodyText"/>
        <w:spacing w:line="360" w:lineRule="auto" w:before="3"/>
        <w:ind w:left="233" w:right="1207"/>
      </w:pPr>
      <w:r>
        <w:rPr/>
        <w:t>the costs of financial instability to the economy, and the impact on the bank’s ability to meet its inflation objective, as was cruelly underlined in the years following the crisis.</w:t>
      </w:r>
    </w:p>
    <w:p>
      <w:pPr>
        <w:pStyle w:val="BodyText"/>
        <w:rPr>
          <w:sz w:val="30"/>
        </w:rPr>
      </w:pPr>
    </w:p>
    <w:p>
      <w:pPr>
        <w:pStyle w:val="BodyText"/>
        <w:spacing w:line="360" w:lineRule="auto"/>
        <w:ind w:left="233" w:right="1229"/>
      </w:pPr>
      <w:r>
        <w:rPr/>
        <w:t>But it should be the last line of defence. Unlike </w:t>
      </w:r>
      <w:r>
        <w:rPr>
          <w:spacing w:val="3"/>
        </w:rPr>
        <w:t>my</w:t>
      </w:r>
      <w:r>
        <w:rPr>
          <w:spacing w:val="-38"/>
        </w:rPr>
        <w:t> </w:t>
      </w:r>
      <w:r>
        <w:rPr/>
        <w:t>predecessors, and in contrast to many other jurisdictions, I and </w:t>
      </w:r>
      <w:r>
        <w:rPr>
          <w:spacing w:val="3"/>
        </w:rPr>
        <w:t>my </w:t>
      </w:r>
      <w:r>
        <w:rPr/>
        <w:t>successors can look to the FPC and quite a number of lines of defence before needing to deploy monetary policy against risks to financial</w:t>
      </w:r>
      <w:r>
        <w:rPr>
          <w:spacing w:val="-13"/>
        </w:rPr>
        <w:t> </w:t>
      </w:r>
      <w:r>
        <w:rPr/>
        <w:t>stability.</w:t>
      </w:r>
    </w:p>
    <w:p>
      <w:pPr>
        <w:pStyle w:val="BodyText"/>
        <w:rPr>
          <w:sz w:val="30"/>
        </w:rPr>
      </w:pPr>
    </w:p>
    <w:p>
      <w:pPr>
        <w:pStyle w:val="BodyText"/>
        <w:spacing w:line="357" w:lineRule="auto"/>
        <w:ind w:left="233" w:right="1185"/>
      </w:pPr>
      <w:r>
        <w:rPr/>
        <w:t>And finally there is the general, normative, argument that there is simply something wrong when real interest rates are below zero including in the medium and long term (</w:t>
      </w:r>
      <w:r>
        <w:rPr>
          <w:b/>
        </w:rPr>
        <w:t>Chart 9</w:t>
      </w:r>
      <w:r>
        <w:rPr/>
        <w:t>).</w:t>
      </w:r>
    </w:p>
    <w:p>
      <w:pPr>
        <w:pStyle w:val="BodyText"/>
        <w:spacing w:before="4"/>
        <w:rPr>
          <w:sz w:val="30"/>
        </w:rPr>
      </w:pPr>
    </w:p>
    <w:p>
      <w:pPr>
        <w:pStyle w:val="BodyText"/>
        <w:spacing w:line="360" w:lineRule="auto"/>
        <w:ind w:left="233" w:right="1207"/>
      </w:pPr>
      <w:r>
        <w:rPr/>
        <w:t>There is a natural and deeply ingrained view that money should have a time value, a return that makes</w:t>
      </w:r>
      <w:r>
        <w:rPr>
          <w:spacing w:val="-37"/>
        </w:rPr>
        <w:t> </w:t>
      </w:r>
      <w:r>
        <w:rPr/>
        <w:t>it worth saving and</w:t>
      </w:r>
      <w:r>
        <w:rPr>
          <w:spacing w:val="-1"/>
        </w:rPr>
        <w:t> </w:t>
      </w:r>
      <w:r>
        <w:rPr/>
        <w:t>investing.</w:t>
      </w:r>
    </w:p>
    <w:p>
      <w:pPr>
        <w:pStyle w:val="BodyText"/>
        <w:spacing w:before="2"/>
        <w:rPr>
          <w:sz w:val="30"/>
        </w:rPr>
      </w:pPr>
    </w:p>
    <w:p>
      <w:pPr>
        <w:pStyle w:val="BodyText"/>
        <w:ind w:left="233"/>
      </w:pPr>
      <w:r>
        <w:rPr/>
        <w:t>I understand that view</w:t>
      </w:r>
      <w:r>
        <w:rPr>
          <w:spacing w:val="-12"/>
        </w:rPr>
        <w:t> </w:t>
      </w:r>
      <w:r>
        <w:rPr/>
        <w:t>well.</w:t>
      </w: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4"/>
        </w:rPr>
      </w:pPr>
      <w:r>
        <w:rPr/>
        <w:pict>
          <v:shape style="position:absolute;margin-left:56.664001pt;margin-top:10.425673pt;width:144.050pt;height:.1pt;mso-position-horizontal-relative:page;mso-position-vertical-relative:paragraph;z-index:-251640832;mso-wrap-distance-left:0;mso-wrap-distance-right:0" coordorigin="1133,209" coordsize="2881,0" path="m1133,209l4014,209e" filled="false" stroked="true" strokeweight=".48004pt" strokecolor="#000000">
            <v:path arrowok="t"/>
            <v:stroke dashstyle="solid"/>
            <w10:wrap type="topAndBottom"/>
          </v:shape>
        </w:pict>
      </w:r>
    </w:p>
    <w:p>
      <w:pPr>
        <w:spacing w:line="247" w:lineRule="auto" w:before="33"/>
        <w:ind w:left="233" w:right="1207" w:firstLine="0"/>
        <w:jc w:val="left"/>
        <w:rPr>
          <w:sz w:val="16"/>
        </w:rPr>
      </w:pPr>
      <w:r>
        <w:rPr>
          <w:rFonts w:ascii="Calibri" w:hAnsi="Calibri"/>
          <w:position w:val="8"/>
          <w:sz w:val="10"/>
        </w:rPr>
        <w:t>22 </w:t>
      </w:r>
      <w:r>
        <w:rPr>
          <w:sz w:val="16"/>
        </w:rPr>
        <w:t>Previous Deputy Governors for Financial Stability (David Clementi, Andrew Large, John Gieve, and Paul Tucker) voted to increase interest rates 26 times – 15 times as part of the majority while 11 times they were in the minority.</w:t>
      </w:r>
    </w:p>
    <w:p>
      <w:pPr>
        <w:spacing w:line="179" w:lineRule="exact" w:before="0"/>
        <w:ind w:left="233" w:right="0" w:firstLine="0"/>
        <w:jc w:val="left"/>
        <w:rPr>
          <w:sz w:val="16"/>
        </w:rPr>
      </w:pPr>
      <w:r>
        <w:rPr>
          <w:position w:val="8"/>
          <w:sz w:val="10"/>
        </w:rPr>
        <w:t>23 </w:t>
      </w:r>
      <w:r>
        <w:rPr>
          <w:sz w:val="16"/>
        </w:rPr>
        <w:t>The countercyclical capital buffer (CCyB) increases banks’ ability to absorb losses in a stress. The FPC sets the UK CCyB at a rate</w:t>
      </w:r>
    </w:p>
    <w:p>
      <w:pPr>
        <w:spacing w:before="0"/>
        <w:ind w:left="233" w:right="1207" w:firstLine="0"/>
        <w:jc w:val="left"/>
        <w:rPr>
          <w:sz w:val="16"/>
        </w:rPr>
      </w:pPr>
      <w:r>
        <w:rPr>
          <w:sz w:val="16"/>
        </w:rPr>
        <w:t>to reflect the prevailing risk environment. It is currently set at 1% consistent with the FPC's published strategy that it expected to set a UK CCyB in the region of 1% in a standard risk environment. In 2014, the FPC introduced limits on the flow of mortgages with a high loan to income (LTI) in order to guard against the buildup of highly indebted households.</w:t>
      </w:r>
    </w:p>
    <w:p>
      <w:pPr>
        <w:spacing w:after="0"/>
        <w:jc w:val="left"/>
        <w:rPr>
          <w:sz w:val="16"/>
        </w:rPr>
        <w:sectPr>
          <w:footerReference w:type="default" r:id="rId17"/>
          <w:pgSz w:w="11910" w:h="16840"/>
          <w:pgMar w:footer="1338" w:header="0" w:top="1520" w:bottom="1520" w:left="900" w:right="0"/>
          <w:pgNumType w:start="12"/>
        </w:sectPr>
      </w:pPr>
    </w:p>
    <w:p>
      <w:pPr>
        <w:pStyle w:val="BodyText"/>
        <w:spacing w:line="360" w:lineRule="auto" w:before="79"/>
        <w:ind w:left="233" w:right="1307"/>
      </w:pPr>
      <w:r>
        <w:rPr/>
        <w:pict>
          <v:group style="position:absolute;margin-left:77.68988pt;margin-top:145.162872pt;width:333.45pt;height:201.6pt;mso-position-horizontal-relative:page;mso-position-vertical-relative:paragraph;z-index:-253303808" coordorigin="1554,2903" coordsize="6669,4032">
            <v:rect style="position:absolute;left:1562;top:2911;width:6645;height:4018" filled="false" stroked="true" strokeweight=".139664pt" strokecolor="#000000">
              <v:stroke dashstyle="solid"/>
            </v:rect>
            <v:shape style="position:absolute;left:427;top:10896;width:6648;height:4030" coordorigin="427,10896" coordsize="6648,4030" path="m8206,6928l8206,2910m8146,6928l8206,6928m8146,6561l8206,6561m8146,6198l8206,6198m8146,5832l8206,5832m8146,5468l8206,5468m8146,5102l8206,5102m8146,4736l8206,4736m8146,4372l8206,4372m8146,4006l8206,4006m8146,3640l8206,3640m8146,3276l8206,3276m8146,2910l8206,2910m1561,4736l8206,4736m1561,4676l1561,4736m2624,4676l2624,4736m3689,4676l3689,4736m4751,4676l4751,4736m5814,4676l5814,4736m6877,4676l6877,4736m7940,4676l7940,4736e" filled="false" stroked="true" strokeweight=".718712pt" strokecolor="#000000">
              <v:path arrowok="t"/>
              <v:stroke dashstyle="solid"/>
            </v:shape>
            <v:shape style="position:absolute;left:1827;top:3412;width:6379;height:852" coordorigin="1827,3413" coordsize="6379,852" path="m1827,4265l1959,4231,2094,4205,2225,4176,2360,4143,2492,4109,2624,4073,2758,4037,2890,4004,3024,3970,3156,3937,3288,3903,3422,3872,3554,3844,3689,3812,3821,3784,3953,3757,4087,3731,4219,3705,4353,3681,4485,3659,4617,3635,4751,3616,4883,3597,5018,3578,5150,3561,5282,3544,5416,3530,5548,3518,5682,3504,5814,3492,5946,3482,6080,3473,6212,3463,6347,3456,6479,3446,6611,3442,6745,3434,6877,3430,7011,3425,7143,3422,7275,3418,7409,3415,7541,3413,7676,3413,7808,3413,7940,3413,8074,3413,8206,3415e" filled="false" stroked="true" strokeweight="1.674874pt" strokecolor="#a41140">
              <v:path arrowok="t"/>
              <v:stroke dashstyle="solid"/>
            </v:shape>
            <v:shape style="position:absolute;left:1959;top:5903;width:6247;height:594" coordorigin="1959,5904" coordsize="6247,594" path="m1959,6497l2094,6437,2225,6382,2360,6329,2492,6279,2624,6238,2758,6200,2890,6167,3024,6136,3156,6112,3288,6088,3422,6069,3554,6052,3689,6038,3821,6026,3953,6014,4087,6004,4219,5994,4353,5987,4485,5980,4617,5975,4751,5971,4883,5966,5018,5961,5150,5959,5282,5954,5416,5951,5548,5949,5682,5947,5814,5944,5946,5942,6080,5939,6212,5937,6347,5935,6479,5932,6611,5930,6745,5927,6877,5925,7011,5925,7143,5923,7275,5920,7409,5918,7541,5915,7676,5913,7808,5911,7940,5908,8074,5906,8206,5904e" filled="false" stroked="true" strokeweight="1.674837pt" strokecolor="#165687">
              <v:path arrowok="t"/>
              <v:stroke dashstyle="solid"/>
            </v:shape>
            <w10:wrap type="none"/>
          </v:group>
        </w:pict>
      </w:r>
      <w:r>
        <w:rPr/>
        <w:t>But the current low real interest rate environment at the medium and longer terms that are of interest to households and businesses are not, to my mind, primarily the product of central bank policy. Persistent longer term trends have been pushing down with increasing force on real long term interest rates for two to three decades now.</w:t>
      </w:r>
      <w:r>
        <w:rPr>
          <w:vertAlign w:val="superscript"/>
        </w:rPr>
        <w:t>24</w:t>
      </w:r>
      <w:r>
        <w:rPr>
          <w:vertAlign w:val="baseline"/>
        </w:rPr>
        <w:t> Low productivity assumptions are an important more recent part of this story alongside demographic and income distribution trends.</w:t>
      </w:r>
    </w:p>
    <w:p>
      <w:pPr>
        <w:pStyle w:val="BodyText"/>
      </w:pPr>
    </w:p>
    <w:p>
      <w:pPr>
        <w:pStyle w:val="BodyText"/>
        <w:spacing w:before="1" w:after="1"/>
        <w:rPr>
          <w:sz w:val="10"/>
        </w:rPr>
      </w:pPr>
    </w:p>
    <w:tbl>
      <w:tblPr>
        <w:tblW w:w="0" w:type="auto"/>
        <w:jc w:val="left"/>
        <w:tblInd w:w="1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8"/>
        <w:gridCol w:w="1064"/>
        <w:gridCol w:w="1064"/>
        <w:gridCol w:w="1064"/>
        <w:gridCol w:w="1344"/>
        <w:gridCol w:w="682"/>
        <w:gridCol w:w="1012"/>
        <w:gridCol w:w="694"/>
      </w:tblGrid>
      <w:tr>
        <w:trPr>
          <w:trHeight w:val="345" w:hRule="atLeast"/>
        </w:trPr>
        <w:tc>
          <w:tcPr>
            <w:tcW w:w="7992" w:type="dxa"/>
            <w:gridSpan w:val="8"/>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8"/>
              <w:rPr>
                <w:b/>
                <w:sz w:val="20"/>
              </w:rPr>
            </w:pPr>
            <w:r>
              <w:rPr>
                <w:b/>
                <w:sz w:val="20"/>
              </w:rPr>
              <w:t>Chart 9: Yields on UK government bonds</w:t>
            </w:r>
          </w:p>
        </w:tc>
      </w:tr>
      <w:tr>
        <w:trPr>
          <w:trHeight w:val="268" w:hRule="atLeast"/>
        </w:trPr>
        <w:tc>
          <w:tcPr>
            <w:tcW w:w="1068" w:type="dxa"/>
            <w:tcBorders>
              <w:top w:val="single" w:sz="4" w:space="0" w:color="000000"/>
              <w:left w:val="single" w:sz="4" w:space="0" w:color="000000"/>
            </w:tcBorders>
          </w:tcPr>
          <w:p>
            <w:pPr>
              <w:pStyle w:val="TableParagraph"/>
              <w:rPr>
                <w:rFonts w:ascii="Times New Roman"/>
                <w:sz w:val="18"/>
              </w:rPr>
            </w:pPr>
          </w:p>
        </w:tc>
        <w:tc>
          <w:tcPr>
            <w:tcW w:w="1064" w:type="dxa"/>
            <w:tcBorders>
              <w:top w:val="single" w:sz="4" w:space="0" w:color="000000"/>
            </w:tcBorders>
          </w:tcPr>
          <w:p>
            <w:pPr>
              <w:pStyle w:val="TableParagraph"/>
              <w:rPr>
                <w:rFonts w:ascii="Times New Roman"/>
                <w:sz w:val="18"/>
              </w:rPr>
            </w:pPr>
          </w:p>
        </w:tc>
        <w:tc>
          <w:tcPr>
            <w:tcW w:w="1064" w:type="dxa"/>
            <w:tcBorders>
              <w:top w:val="single" w:sz="4" w:space="0" w:color="000000"/>
            </w:tcBorders>
          </w:tcPr>
          <w:p>
            <w:pPr>
              <w:pStyle w:val="TableParagraph"/>
              <w:rPr>
                <w:rFonts w:ascii="Times New Roman"/>
                <w:sz w:val="18"/>
              </w:rPr>
            </w:pPr>
          </w:p>
        </w:tc>
        <w:tc>
          <w:tcPr>
            <w:tcW w:w="1064" w:type="dxa"/>
            <w:tcBorders>
              <w:top w:val="single" w:sz="4" w:space="0" w:color="000000"/>
            </w:tcBorders>
          </w:tcPr>
          <w:p>
            <w:pPr>
              <w:pStyle w:val="TableParagraph"/>
              <w:rPr>
                <w:rFonts w:ascii="Times New Roman"/>
                <w:sz w:val="18"/>
              </w:rPr>
            </w:pPr>
          </w:p>
        </w:tc>
        <w:tc>
          <w:tcPr>
            <w:tcW w:w="1344" w:type="dxa"/>
            <w:tcBorders>
              <w:top w:val="single" w:sz="4" w:space="0" w:color="000000"/>
            </w:tcBorders>
          </w:tcPr>
          <w:p>
            <w:pPr>
              <w:pStyle w:val="TableParagraph"/>
              <w:rPr>
                <w:rFonts w:ascii="Times New Roman"/>
                <w:sz w:val="18"/>
              </w:rPr>
            </w:pPr>
          </w:p>
        </w:tc>
        <w:tc>
          <w:tcPr>
            <w:tcW w:w="682" w:type="dxa"/>
            <w:tcBorders>
              <w:top w:val="single" w:sz="4" w:space="0" w:color="000000"/>
            </w:tcBorders>
          </w:tcPr>
          <w:p>
            <w:pPr>
              <w:pStyle w:val="TableParagraph"/>
              <w:rPr>
                <w:rFonts w:ascii="Times New Roman"/>
                <w:sz w:val="18"/>
              </w:rPr>
            </w:pPr>
          </w:p>
        </w:tc>
        <w:tc>
          <w:tcPr>
            <w:tcW w:w="1012" w:type="dxa"/>
            <w:tcBorders>
              <w:top w:val="single" w:sz="4" w:space="0" w:color="000000"/>
            </w:tcBorders>
          </w:tcPr>
          <w:p>
            <w:pPr>
              <w:pStyle w:val="TableParagraph"/>
              <w:spacing w:line="219" w:lineRule="exact" w:before="29"/>
              <w:ind w:left="190" w:right="37"/>
              <w:jc w:val="center"/>
              <w:rPr>
                <w:sz w:val="20"/>
              </w:rPr>
            </w:pPr>
            <w:r>
              <w:rPr>
                <w:sz w:val="20"/>
              </w:rPr>
              <w:t>Per cent</w:t>
            </w:r>
          </w:p>
        </w:tc>
        <w:tc>
          <w:tcPr>
            <w:tcW w:w="694" w:type="dxa"/>
            <w:tcBorders>
              <w:top w:val="single" w:sz="4" w:space="0" w:color="000000"/>
              <w:right w:val="single" w:sz="4" w:space="0" w:color="000000"/>
            </w:tcBorders>
          </w:tcPr>
          <w:p>
            <w:pPr>
              <w:pStyle w:val="TableParagraph"/>
              <w:rPr>
                <w:rFonts w:ascii="Times New Roman"/>
                <w:sz w:val="18"/>
              </w:rPr>
            </w:pPr>
          </w:p>
        </w:tc>
      </w:tr>
      <w:tr>
        <w:trPr>
          <w:trHeight w:val="303" w:hRule="atLeast"/>
        </w:trPr>
        <w:tc>
          <w:tcPr>
            <w:tcW w:w="1068" w:type="dxa"/>
            <w:tcBorders>
              <w:left w:val="single" w:sz="4" w:space="0" w:color="000000"/>
            </w:tcBorders>
          </w:tcPr>
          <w:p>
            <w:pPr>
              <w:pStyle w:val="TableParagraph"/>
              <w:rPr>
                <w:rFonts w:ascii="Times New Roman"/>
                <w:sz w:val="18"/>
              </w:rPr>
            </w:pPr>
          </w:p>
        </w:tc>
        <w:tc>
          <w:tcPr>
            <w:tcW w:w="1064" w:type="dxa"/>
          </w:tcPr>
          <w:p>
            <w:pPr>
              <w:pStyle w:val="TableParagraph"/>
              <w:rPr>
                <w:rFonts w:ascii="Times New Roman"/>
                <w:sz w:val="18"/>
              </w:rPr>
            </w:pPr>
          </w:p>
        </w:tc>
        <w:tc>
          <w:tcPr>
            <w:tcW w:w="1064" w:type="dxa"/>
          </w:tcPr>
          <w:p>
            <w:pPr>
              <w:pStyle w:val="TableParagraph"/>
              <w:rPr>
                <w:rFonts w:ascii="Times New Roman"/>
                <w:sz w:val="18"/>
              </w:rPr>
            </w:pPr>
          </w:p>
        </w:tc>
        <w:tc>
          <w:tcPr>
            <w:tcW w:w="1064" w:type="dxa"/>
          </w:tcPr>
          <w:p>
            <w:pPr>
              <w:pStyle w:val="TableParagraph"/>
              <w:rPr>
                <w:rFonts w:ascii="Times New Roman"/>
                <w:sz w:val="18"/>
              </w:rPr>
            </w:pPr>
          </w:p>
        </w:tc>
        <w:tc>
          <w:tcPr>
            <w:tcW w:w="1344" w:type="dxa"/>
          </w:tcPr>
          <w:p>
            <w:pPr>
              <w:pStyle w:val="TableParagraph"/>
              <w:rPr>
                <w:rFonts w:ascii="Times New Roman"/>
                <w:sz w:val="18"/>
              </w:rPr>
            </w:pPr>
          </w:p>
        </w:tc>
        <w:tc>
          <w:tcPr>
            <w:tcW w:w="682" w:type="dxa"/>
          </w:tcPr>
          <w:p>
            <w:pPr>
              <w:pStyle w:val="TableParagraph"/>
              <w:rPr>
                <w:rFonts w:ascii="Times New Roman"/>
                <w:sz w:val="18"/>
              </w:rPr>
            </w:pPr>
          </w:p>
        </w:tc>
        <w:tc>
          <w:tcPr>
            <w:tcW w:w="1012" w:type="dxa"/>
          </w:tcPr>
          <w:p>
            <w:pPr>
              <w:pStyle w:val="TableParagraph"/>
              <w:rPr>
                <w:rFonts w:ascii="Times New Roman"/>
                <w:sz w:val="18"/>
              </w:rPr>
            </w:pPr>
          </w:p>
        </w:tc>
        <w:tc>
          <w:tcPr>
            <w:tcW w:w="694" w:type="dxa"/>
            <w:tcBorders>
              <w:right w:val="single" w:sz="4" w:space="0" w:color="000000"/>
            </w:tcBorders>
          </w:tcPr>
          <w:p>
            <w:pPr>
              <w:pStyle w:val="TableParagraph"/>
              <w:spacing w:before="1"/>
              <w:ind w:left="61"/>
              <w:rPr>
                <w:sz w:val="20"/>
              </w:rPr>
            </w:pPr>
            <w:r>
              <w:rPr>
                <w:sz w:val="20"/>
              </w:rPr>
              <w:t>2.5</w:t>
            </w:r>
          </w:p>
        </w:tc>
      </w:tr>
      <w:tr>
        <w:trPr>
          <w:trHeight w:val="408" w:hRule="atLeast"/>
        </w:trPr>
        <w:tc>
          <w:tcPr>
            <w:tcW w:w="1068" w:type="dxa"/>
            <w:tcBorders>
              <w:left w:val="single" w:sz="4" w:space="0" w:color="000000"/>
            </w:tcBorders>
          </w:tcPr>
          <w:p>
            <w:pPr>
              <w:pStyle w:val="TableParagraph"/>
              <w:rPr>
                <w:rFonts w:ascii="Times New Roman"/>
                <w:sz w:val="18"/>
              </w:rPr>
            </w:pPr>
          </w:p>
        </w:tc>
        <w:tc>
          <w:tcPr>
            <w:tcW w:w="1064" w:type="dxa"/>
          </w:tcPr>
          <w:p>
            <w:pPr>
              <w:pStyle w:val="TableParagraph"/>
              <w:rPr>
                <w:rFonts w:ascii="Times New Roman"/>
                <w:sz w:val="18"/>
              </w:rPr>
            </w:pPr>
          </w:p>
        </w:tc>
        <w:tc>
          <w:tcPr>
            <w:tcW w:w="1064" w:type="dxa"/>
          </w:tcPr>
          <w:p>
            <w:pPr>
              <w:pStyle w:val="TableParagraph"/>
              <w:rPr>
                <w:rFonts w:ascii="Times New Roman"/>
                <w:sz w:val="18"/>
              </w:rPr>
            </w:pPr>
          </w:p>
        </w:tc>
        <w:tc>
          <w:tcPr>
            <w:tcW w:w="1064" w:type="dxa"/>
          </w:tcPr>
          <w:p>
            <w:pPr>
              <w:pStyle w:val="TableParagraph"/>
              <w:rPr>
                <w:rFonts w:ascii="Times New Roman"/>
                <w:sz w:val="18"/>
              </w:rPr>
            </w:pPr>
          </w:p>
        </w:tc>
        <w:tc>
          <w:tcPr>
            <w:tcW w:w="1344" w:type="dxa"/>
          </w:tcPr>
          <w:p>
            <w:pPr>
              <w:pStyle w:val="TableParagraph"/>
              <w:rPr>
                <w:rFonts w:ascii="Times New Roman"/>
                <w:sz w:val="18"/>
              </w:rPr>
            </w:pPr>
          </w:p>
        </w:tc>
        <w:tc>
          <w:tcPr>
            <w:tcW w:w="682" w:type="dxa"/>
          </w:tcPr>
          <w:p>
            <w:pPr>
              <w:pStyle w:val="TableParagraph"/>
              <w:rPr>
                <w:rFonts w:ascii="Times New Roman"/>
                <w:sz w:val="18"/>
              </w:rPr>
            </w:pPr>
          </w:p>
        </w:tc>
        <w:tc>
          <w:tcPr>
            <w:tcW w:w="1012" w:type="dxa"/>
          </w:tcPr>
          <w:p>
            <w:pPr>
              <w:pStyle w:val="TableParagraph"/>
              <w:rPr>
                <w:rFonts w:ascii="Times New Roman"/>
                <w:sz w:val="18"/>
              </w:rPr>
            </w:pPr>
          </w:p>
        </w:tc>
        <w:tc>
          <w:tcPr>
            <w:tcW w:w="694" w:type="dxa"/>
            <w:tcBorders>
              <w:right w:val="single" w:sz="4" w:space="0" w:color="000000"/>
            </w:tcBorders>
          </w:tcPr>
          <w:p>
            <w:pPr>
              <w:pStyle w:val="TableParagraph"/>
              <w:spacing w:before="64"/>
              <w:ind w:left="61"/>
              <w:rPr>
                <w:sz w:val="20"/>
              </w:rPr>
            </w:pPr>
            <w:r>
              <w:rPr>
                <w:w w:val="99"/>
                <w:sz w:val="20"/>
              </w:rPr>
              <w:t>2</w:t>
            </w:r>
          </w:p>
        </w:tc>
      </w:tr>
      <w:tr>
        <w:trPr>
          <w:trHeight w:val="354" w:hRule="atLeast"/>
        </w:trPr>
        <w:tc>
          <w:tcPr>
            <w:tcW w:w="1068" w:type="dxa"/>
            <w:tcBorders>
              <w:left w:val="single" w:sz="4" w:space="0" w:color="000000"/>
            </w:tcBorders>
          </w:tcPr>
          <w:p>
            <w:pPr>
              <w:pStyle w:val="TableParagraph"/>
              <w:rPr>
                <w:rFonts w:ascii="Times New Roman"/>
                <w:sz w:val="18"/>
              </w:rPr>
            </w:pPr>
          </w:p>
        </w:tc>
        <w:tc>
          <w:tcPr>
            <w:tcW w:w="1064" w:type="dxa"/>
          </w:tcPr>
          <w:p>
            <w:pPr>
              <w:pStyle w:val="TableParagraph"/>
              <w:rPr>
                <w:rFonts w:ascii="Times New Roman"/>
                <w:sz w:val="18"/>
              </w:rPr>
            </w:pPr>
          </w:p>
        </w:tc>
        <w:tc>
          <w:tcPr>
            <w:tcW w:w="1064" w:type="dxa"/>
          </w:tcPr>
          <w:p>
            <w:pPr>
              <w:pStyle w:val="TableParagraph"/>
              <w:rPr>
                <w:rFonts w:ascii="Times New Roman"/>
                <w:sz w:val="18"/>
              </w:rPr>
            </w:pPr>
          </w:p>
        </w:tc>
        <w:tc>
          <w:tcPr>
            <w:tcW w:w="1064" w:type="dxa"/>
          </w:tcPr>
          <w:p>
            <w:pPr>
              <w:pStyle w:val="TableParagraph"/>
              <w:rPr>
                <w:rFonts w:ascii="Times New Roman"/>
                <w:sz w:val="18"/>
              </w:rPr>
            </w:pPr>
          </w:p>
        </w:tc>
        <w:tc>
          <w:tcPr>
            <w:tcW w:w="1344" w:type="dxa"/>
          </w:tcPr>
          <w:p>
            <w:pPr>
              <w:pStyle w:val="TableParagraph"/>
              <w:spacing w:before="108"/>
              <w:ind w:right="47"/>
              <w:jc w:val="right"/>
              <w:rPr>
                <w:sz w:val="18"/>
              </w:rPr>
            </w:pPr>
            <w:r>
              <w:rPr>
                <w:color w:val="943735"/>
                <w:sz w:val="18"/>
              </w:rPr>
              <w:t>Nominal</w:t>
            </w:r>
          </w:p>
        </w:tc>
        <w:tc>
          <w:tcPr>
            <w:tcW w:w="682" w:type="dxa"/>
          </w:tcPr>
          <w:p>
            <w:pPr>
              <w:pStyle w:val="TableParagraph"/>
              <w:rPr>
                <w:rFonts w:ascii="Times New Roman"/>
                <w:sz w:val="18"/>
              </w:rPr>
            </w:pPr>
          </w:p>
        </w:tc>
        <w:tc>
          <w:tcPr>
            <w:tcW w:w="1012" w:type="dxa"/>
          </w:tcPr>
          <w:p>
            <w:pPr>
              <w:pStyle w:val="TableParagraph"/>
              <w:rPr>
                <w:rFonts w:ascii="Times New Roman"/>
                <w:sz w:val="18"/>
              </w:rPr>
            </w:pPr>
          </w:p>
        </w:tc>
        <w:tc>
          <w:tcPr>
            <w:tcW w:w="694" w:type="dxa"/>
            <w:tcBorders>
              <w:right w:val="single" w:sz="4" w:space="0" w:color="000000"/>
            </w:tcBorders>
          </w:tcPr>
          <w:p>
            <w:pPr>
              <w:pStyle w:val="TableParagraph"/>
              <w:spacing w:before="21"/>
              <w:ind w:left="61"/>
              <w:rPr>
                <w:sz w:val="20"/>
              </w:rPr>
            </w:pPr>
            <w:r>
              <w:rPr>
                <w:sz w:val="20"/>
              </w:rPr>
              <w:t>1.5</w:t>
            </w:r>
          </w:p>
        </w:tc>
      </w:tr>
      <w:tr>
        <w:trPr>
          <w:trHeight w:val="332" w:hRule="atLeast"/>
        </w:trPr>
        <w:tc>
          <w:tcPr>
            <w:tcW w:w="1068" w:type="dxa"/>
            <w:tcBorders>
              <w:left w:val="single" w:sz="4" w:space="0" w:color="000000"/>
            </w:tcBorders>
          </w:tcPr>
          <w:p>
            <w:pPr>
              <w:pStyle w:val="TableParagraph"/>
              <w:rPr>
                <w:rFonts w:ascii="Times New Roman"/>
                <w:sz w:val="18"/>
              </w:rPr>
            </w:pPr>
          </w:p>
        </w:tc>
        <w:tc>
          <w:tcPr>
            <w:tcW w:w="1064" w:type="dxa"/>
          </w:tcPr>
          <w:p>
            <w:pPr>
              <w:pStyle w:val="TableParagraph"/>
              <w:rPr>
                <w:rFonts w:ascii="Times New Roman"/>
                <w:sz w:val="18"/>
              </w:rPr>
            </w:pPr>
          </w:p>
        </w:tc>
        <w:tc>
          <w:tcPr>
            <w:tcW w:w="1064" w:type="dxa"/>
          </w:tcPr>
          <w:p>
            <w:pPr>
              <w:pStyle w:val="TableParagraph"/>
              <w:rPr>
                <w:rFonts w:ascii="Times New Roman"/>
                <w:sz w:val="18"/>
              </w:rPr>
            </w:pPr>
          </w:p>
        </w:tc>
        <w:tc>
          <w:tcPr>
            <w:tcW w:w="1064" w:type="dxa"/>
          </w:tcPr>
          <w:p>
            <w:pPr>
              <w:pStyle w:val="TableParagraph"/>
              <w:rPr>
                <w:rFonts w:ascii="Times New Roman"/>
                <w:sz w:val="18"/>
              </w:rPr>
            </w:pPr>
          </w:p>
        </w:tc>
        <w:tc>
          <w:tcPr>
            <w:tcW w:w="1344" w:type="dxa"/>
          </w:tcPr>
          <w:p>
            <w:pPr>
              <w:pStyle w:val="TableParagraph"/>
              <w:rPr>
                <w:rFonts w:ascii="Times New Roman"/>
                <w:sz w:val="18"/>
              </w:rPr>
            </w:pPr>
          </w:p>
        </w:tc>
        <w:tc>
          <w:tcPr>
            <w:tcW w:w="682" w:type="dxa"/>
          </w:tcPr>
          <w:p>
            <w:pPr>
              <w:pStyle w:val="TableParagraph"/>
              <w:rPr>
                <w:rFonts w:ascii="Times New Roman"/>
                <w:sz w:val="18"/>
              </w:rPr>
            </w:pPr>
          </w:p>
        </w:tc>
        <w:tc>
          <w:tcPr>
            <w:tcW w:w="1012" w:type="dxa"/>
          </w:tcPr>
          <w:p>
            <w:pPr>
              <w:pStyle w:val="TableParagraph"/>
              <w:rPr>
                <w:rFonts w:ascii="Times New Roman"/>
                <w:sz w:val="18"/>
              </w:rPr>
            </w:pPr>
          </w:p>
        </w:tc>
        <w:tc>
          <w:tcPr>
            <w:tcW w:w="694" w:type="dxa"/>
            <w:tcBorders>
              <w:right w:val="single" w:sz="4" w:space="0" w:color="000000"/>
            </w:tcBorders>
          </w:tcPr>
          <w:p>
            <w:pPr>
              <w:pStyle w:val="TableParagraph"/>
              <w:spacing w:before="31"/>
              <w:ind w:left="61"/>
              <w:rPr>
                <w:sz w:val="20"/>
              </w:rPr>
            </w:pPr>
            <w:r>
              <w:rPr>
                <w:w w:val="99"/>
                <w:sz w:val="20"/>
              </w:rPr>
              <w:t>1</w:t>
            </w:r>
          </w:p>
        </w:tc>
      </w:tr>
      <w:tr>
        <w:trPr>
          <w:trHeight w:val="365" w:hRule="atLeast"/>
        </w:trPr>
        <w:tc>
          <w:tcPr>
            <w:tcW w:w="1068" w:type="dxa"/>
            <w:tcBorders>
              <w:left w:val="single" w:sz="4" w:space="0" w:color="000000"/>
            </w:tcBorders>
          </w:tcPr>
          <w:p>
            <w:pPr>
              <w:pStyle w:val="TableParagraph"/>
              <w:rPr>
                <w:rFonts w:ascii="Times New Roman"/>
                <w:sz w:val="18"/>
              </w:rPr>
            </w:pPr>
          </w:p>
        </w:tc>
        <w:tc>
          <w:tcPr>
            <w:tcW w:w="1064" w:type="dxa"/>
          </w:tcPr>
          <w:p>
            <w:pPr>
              <w:pStyle w:val="TableParagraph"/>
              <w:rPr>
                <w:rFonts w:ascii="Times New Roman"/>
                <w:sz w:val="18"/>
              </w:rPr>
            </w:pPr>
          </w:p>
        </w:tc>
        <w:tc>
          <w:tcPr>
            <w:tcW w:w="1064" w:type="dxa"/>
          </w:tcPr>
          <w:p>
            <w:pPr>
              <w:pStyle w:val="TableParagraph"/>
              <w:rPr>
                <w:rFonts w:ascii="Times New Roman"/>
                <w:sz w:val="18"/>
              </w:rPr>
            </w:pPr>
          </w:p>
        </w:tc>
        <w:tc>
          <w:tcPr>
            <w:tcW w:w="1064" w:type="dxa"/>
          </w:tcPr>
          <w:p>
            <w:pPr>
              <w:pStyle w:val="TableParagraph"/>
              <w:rPr>
                <w:rFonts w:ascii="Times New Roman"/>
                <w:sz w:val="18"/>
              </w:rPr>
            </w:pPr>
          </w:p>
        </w:tc>
        <w:tc>
          <w:tcPr>
            <w:tcW w:w="1344" w:type="dxa"/>
          </w:tcPr>
          <w:p>
            <w:pPr>
              <w:pStyle w:val="TableParagraph"/>
              <w:rPr>
                <w:rFonts w:ascii="Times New Roman"/>
                <w:sz w:val="18"/>
              </w:rPr>
            </w:pPr>
          </w:p>
        </w:tc>
        <w:tc>
          <w:tcPr>
            <w:tcW w:w="682" w:type="dxa"/>
          </w:tcPr>
          <w:p>
            <w:pPr>
              <w:pStyle w:val="TableParagraph"/>
              <w:rPr>
                <w:rFonts w:ascii="Times New Roman"/>
                <w:sz w:val="18"/>
              </w:rPr>
            </w:pPr>
          </w:p>
        </w:tc>
        <w:tc>
          <w:tcPr>
            <w:tcW w:w="1012" w:type="dxa"/>
          </w:tcPr>
          <w:p>
            <w:pPr>
              <w:pStyle w:val="TableParagraph"/>
              <w:rPr>
                <w:rFonts w:ascii="Times New Roman"/>
                <w:sz w:val="18"/>
              </w:rPr>
            </w:pPr>
          </w:p>
        </w:tc>
        <w:tc>
          <w:tcPr>
            <w:tcW w:w="694" w:type="dxa"/>
            <w:tcBorders>
              <w:right w:val="single" w:sz="4" w:space="0" w:color="000000"/>
            </w:tcBorders>
          </w:tcPr>
          <w:p>
            <w:pPr>
              <w:pStyle w:val="TableParagraph"/>
              <w:spacing w:before="64"/>
              <w:ind w:left="61"/>
              <w:rPr>
                <w:sz w:val="20"/>
              </w:rPr>
            </w:pPr>
            <w:r>
              <w:rPr>
                <w:sz w:val="20"/>
              </w:rPr>
              <w:t>0.5</w:t>
            </w:r>
          </w:p>
        </w:tc>
      </w:tr>
      <w:tr>
        <w:trPr>
          <w:trHeight w:val="301" w:hRule="atLeast"/>
        </w:trPr>
        <w:tc>
          <w:tcPr>
            <w:tcW w:w="1068" w:type="dxa"/>
            <w:tcBorders>
              <w:left w:val="single" w:sz="4" w:space="0" w:color="000000"/>
            </w:tcBorders>
          </w:tcPr>
          <w:p>
            <w:pPr>
              <w:pStyle w:val="TableParagraph"/>
              <w:rPr>
                <w:rFonts w:ascii="Times New Roman"/>
                <w:sz w:val="18"/>
              </w:rPr>
            </w:pPr>
          </w:p>
        </w:tc>
        <w:tc>
          <w:tcPr>
            <w:tcW w:w="1064" w:type="dxa"/>
          </w:tcPr>
          <w:p>
            <w:pPr>
              <w:pStyle w:val="TableParagraph"/>
              <w:rPr>
                <w:rFonts w:ascii="Times New Roman"/>
                <w:sz w:val="18"/>
              </w:rPr>
            </w:pPr>
          </w:p>
        </w:tc>
        <w:tc>
          <w:tcPr>
            <w:tcW w:w="1064" w:type="dxa"/>
          </w:tcPr>
          <w:p>
            <w:pPr>
              <w:pStyle w:val="TableParagraph"/>
              <w:rPr>
                <w:rFonts w:ascii="Times New Roman"/>
                <w:sz w:val="18"/>
              </w:rPr>
            </w:pPr>
          </w:p>
        </w:tc>
        <w:tc>
          <w:tcPr>
            <w:tcW w:w="1064" w:type="dxa"/>
          </w:tcPr>
          <w:p>
            <w:pPr>
              <w:pStyle w:val="TableParagraph"/>
              <w:rPr>
                <w:rFonts w:ascii="Times New Roman"/>
                <w:sz w:val="18"/>
              </w:rPr>
            </w:pPr>
          </w:p>
        </w:tc>
        <w:tc>
          <w:tcPr>
            <w:tcW w:w="1344" w:type="dxa"/>
          </w:tcPr>
          <w:p>
            <w:pPr>
              <w:pStyle w:val="TableParagraph"/>
              <w:rPr>
                <w:rFonts w:ascii="Times New Roman"/>
                <w:sz w:val="18"/>
              </w:rPr>
            </w:pPr>
          </w:p>
        </w:tc>
        <w:tc>
          <w:tcPr>
            <w:tcW w:w="682" w:type="dxa"/>
          </w:tcPr>
          <w:p>
            <w:pPr>
              <w:pStyle w:val="TableParagraph"/>
              <w:rPr>
                <w:rFonts w:ascii="Times New Roman"/>
                <w:sz w:val="18"/>
              </w:rPr>
            </w:pPr>
          </w:p>
        </w:tc>
        <w:tc>
          <w:tcPr>
            <w:tcW w:w="1012" w:type="dxa"/>
          </w:tcPr>
          <w:p>
            <w:pPr>
              <w:pStyle w:val="TableParagraph"/>
              <w:rPr>
                <w:rFonts w:ascii="Times New Roman"/>
                <w:sz w:val="18"/>
              </w:rPr>
            </w:pPr>
          </w:p>
        </w:tc>
        <w:tc>
          <w:tcPr>
            <w:tcW w:w="694" w:type="dxa"/>
            <w:tcBorders>
              <w:right w:val="single" w:sz="4" w:space="0" w:color="000000"/>
            </w:tcBorders>
          </w:tcPr>
          <w:p>
            <w:pPr>
              <w:pStyle w:val="TableParagraph"/>
              <w:spacing w:line="218" w:lineRule="exact" w:before="63"/>
              <w:ind w:left="61"/>
              <w:rPr>
                <w:sz w:val="20"/>
              </w:rPr>
            </w:pPr>
            <w:r>
              <w:rPr>
                <w:w w:val="99"/>
                <w:sz w:val="20"/>
              </w:rPr>
              <w:t>0</w:t>
            </w:r>
          </w:p>
        </w:tc>
      </w:tr>
      <w:tr>
        <w:trPr>
          <w:trHeight w:val="365" w:hRule="atLeast"/>
        </w:trPr>
        <w:tc>
          <w:tcPr>
            <w:tcW w:w="1068" w:type="dxa"/>
            <w:tcBorders>
              <w:left w:val="single" w:sz="4" w:space="0" w:color="000000"/>
            </w:tcBorders>
          </w:tcPr>
          <w:p>
            <w:pPr>
              <w:pStyle w:val="TableParagraph"/>
              <w:ind w:left="313"/>
              <w:rPr>
                <w:sz w:val="20"/>
              </w:rPr>
            </w:pPr>
            <w:r>
              <w:rPr>
                <w:sz w:val="20"/>
              </w:rPr>
              <w:t>2018</w:t>
            </w:r>
          </w:p>
        </w:tc>
        <w:tc>
          <w:tcPr>
            <w:tcW w:w="1064" w:type="dxa"/>
          </w:tcPr>
          <w:p>
            <w:pPr>
              <w:pStyle w:val="TableParagraph"/>
              <w:ind w:left="314"/>
              <w:rPr>
                <w:sz w:val="20"/>
              </w:rPr>
            </w:pPr>
            <w:r>
              <w:rPr>
                <w:sz w:val="20"/>
              </w:rPr>
              <w:t>2022</w:t>
            </w:r>
          </w:p>
        </w:tc>
        <w:tc>
          <w:tcPr>
            <w:tcW w:w="1064" w:type="dxa"/>
          </w:tcPr>
          <w:p>
            <w:pPr>
              <w:pStyle w:val="TableParagraph"/>
              <w:ind w:left="313"/>
              <w:rPr>
                <w:sz w:val="20"/>
              </w:rPr>
            </w:pPr>
            <w:r>
              <w:rPr>
                <w:sz w:val="20"/>
              </w:rPr>
              <w:t>2026</w:t>
            </w:r>
          </w:p>
        </w:tc>
        <w:tc>
          <w:tcPr>
            <w:tcW w:w="1064" w:type="dxa"/>
          </w:tcPr>
          <w:p>
            <w:pPr>
              <w:pStyle w:val="TableParagraph"/>
              <w:ind w:left="313"/>
              <w:rPr>
                <w:sz w:val="20"/>
              </w:rPr>
            </w:pPr>
            <w:r>
              <w:rPr>
                <w:sz w:val="20"/>
              </w:rPr>
              <w:t>2030</w:t>
            </w:r>
          </w:p>
        </w:tc>
        <w:tc>
          <w:tcPr>
            <w:tcW w:w="1344" w:type="dxa"/>
          </w:tcPr>
          <w:p>
            <w:pPr>
              <w:pStyle w:val="TableParagraph"/>
              <w:ind w:left="312"/>
              <w:rPr>
                <w:sz w:val="20"/>
              </w:rPr>
            </w:pPr>
            <w:r>
              <w:rPr>
                <w:sz w:val="20"/>
              </w:rPr>
              <w:t>2034</w:t>
            </w:r>
          </w:p>
        </w:tc>
        <w:tc>
          <w:tcPr>
            <w:tcW w:w="682" w:type="dxa"/>
          </w:tcPr>
          <w:p>
            <w:pPr>
              <w:pStyle w:val="TableParagraph"/>
              <w:ind w:left="32"/>
              <w:rPr>
                <w:sz w:val="20"/>
              </w:rPr>
            </w:pPr>
            <w:r>
              <w:rPr>
                <w:sz w:val="20"/>
              </w:rPr>
              <w:t>2038</w:t>
            </w:r>
          </w:p>
        </w:tc>
        <w:tc>
          <w:tcPr>
            <w:tcW w:w="1012" w:type="dxa"/>
          </w:tcPr>
          <w:p>
            <w:pPr>
              <w:pStyle w:val="TableParagraph"/>
              <w:ind w:left="296" w:right="37"/>
              <w:jc w:val="center"/>
              <w:rPr>
                <w:sz w:val="20"/>
              </w:rPr>
            </w:pPr>
            <w:r>
              <w:rPr>
                <w:sz w:val="20"/>
              </w:rPr>
              <w:t>2042</w:t>
            </w:r>
          </w:p>
        </w:tc>
        <w:tc>
          <w:tcPr>
            <w:tcW w:w="694" w:type="dxa"/>
            <w:tcBorders>
              <w:right w:val="single" w:sz="4" w:space="0" w:color="000000"/>
            </w:tcBorders>
          </w:tcPr>
          <w:p>
            <w:pPr>
              <w:pStyle w:val="TableParagraph"/>
              <w:spacing w:line="217" w:lineRule="exact" w:before="128"/>
              <w:ind w:left="61"/>
              <w:rPr>
                <w:sz w:val="20"/>
              </w:rPr>
            </w:pPr>
            <w:r>
              <w:rPr>
                <w:sz w:val="20"/>
              </w:rPr>
              <w:t>-0.5</w:t>
            </w:r>
          </w:p>
        </w:tc>
      </w:tr>
      <w:tr>
        <w:trPr>
          <w:trHeight w:val="429" w:hRule="atLeast"/>
        </w:trPr>
        <w:tc>
          <w:tcPr>
            <w:tcW w:w="1068" w:type="dxa"/>
            <w:tcBorders>
              <w:left w:val="single" w:sz="4" w:space="0" w:color="000000"/>
            </w:tcBorders>
          </w:tcPr>
          <w:p>
            <w:pPr>
              <w:pStyle w:val="TableParagraph"/>
              <w:rPr>
                <w:rFonts w:ascii="Times New Roman"/>
                <w:sz w:val="18"/>
              </w:rPr>
            </w:pPr>
          </w:p>
        </w:tc>
        <w:tc>
          <w:tcPr>
            <w:tcW w:w="1064" w:type="dxa"/>
          </w:tcPr>
          <w:p>
            <w:pPr>
              <w:pStyle w:val="TableParagraph"/>
              <w:rPr>
                <w:rFonts w:ascii="Times New Roman"/>
                <w:sz w:val="18"/>
              </w:rPr>
            </w:pPr>
          </w:p>
        </w:tc>
        <w:tc>
          <w:tcPr>
            <w:tcW w:w="1064" w:type="dxa"/>
          </w:tcPr>
          <w:p>
            <w:pPr>
              <w:pStyle w:val="TableParagraph"/>
              <w:rPr>
                <w:rFonts w:ascii="Times New Roman"/>
                <w:sz w:val="18"/>
              </w:rPr>
            </w:pPr>
          </w:p>
        </w:tc>
        <w:tc>
          <w:tcPr>
            <w:tcW w:w="1064" w:type="dxa"/>
          </w:tcPr>
          <w:p>
            <w:pPr>
              <w:pStyle w:val="TableParagraph"/>
              <w:rPr>
                <w:rFonts w:ascii="Times New Roman"/>
                <w:sz w:val="18"/>
              </w:rPr>
            </w:pPr>
          </w:p>
        </w:tc>
        <w:tc>
          <w:tcPr>
            <w:tcW w:w="1344" w:type="dxa"/>
          </w:tcPr>
          <w:p>
            <w:pPr>
              <w:pStyle w:val="TableParagraph"/>
              <w:rPr>
                <w:rFonts w:ascii="Times New Roman"/>
                <w:sz w:val="18"/>
              </w:rPr>
            </w:pPr>
          </w:p>
        </w:tc>
        <w:tc>
          <w:tcPr>
            <w:tcW w:w="682" w:type="dxa"/>
          </w:tcPr>
          <w:p>
            <w:pPr>
              <w:pStyle w:val="TableParagraph"/>
              <w:rPr>
                <w:rFonts w:ascii="Times New Roman"/>
                <w:sz w:val="18"/>
              </w:rPr>
            </w:pPr>
          </w:p>
        </w:tc>
        <w:tc>
          <w:tcPr>
            <w:tcW w:w="1012" w:type="dxa"/>
          </w:tcPr>
          <w:p>
            <w:pPr>
              <w:pStyle w:val="TableParagraph"/>
              <w:rPr>
                <w:rFonts w:ascii="Times New Roman"/>
                <w:sz w:val="18"/>
              </w:rPr>
            </w:pPr>
          </w:p>
        </w:tc>
        <w:tc>
          <w:tcPr>
            <w:tcW w:w="694" w:type="dxa"/>
            <w:tcBorders>
              <w:right w:val="single" w:sz="4" w:space="0" w:color="000000"/>
            </w:tcBorders>
          </w:tcPr>
          <w:p>
            <w:pPr>
              <w:pStyle w:val="TableParagraph"/>
              <w:spacing w:before="127"/>
              <w:ind w:left="61"/>
              <w:rPr>
                <w:sz w:val="20"/>
              </w:rPr>
            </w:pPr>
            <w:r>
              <w:rPr>
                <w:sz w:val="20"/>
              </w:rPr>
              <w:t>-1</w:t>
            </w:r>
          </w:p>
        </w:tc>
      </w:tr>
      <w:tr>
        <w:trPr>
          <w:trHeight w:val="356" w:hRule="atLeast"/>
        </w:trPr>
        <w:tc>
          <w:tcPr>
            <w:tcW w:w="1068" w:type="dxa"/>
            <w:tcBorders>
              <w:left w:val="single" w:sz="4" w:space="0" w:color="000000"/>
            </w:tcBorders>
          </w:tcPr>
          <w:p>
            <w:pPr>
              <w:pStyle w:val="TableParagraph"/>
              <w:rPr>
                <w:rFonts w:ascii="Times New Roman"/>
                <w:sz w:val="18"/>
              </w:rPr>
            </w:pPr>
          </w:p>
        </w:tc>
        <w:tc>
          <w:tcPr>
            <w:tcW w:w="1064" w:type="dxa"/>
          </w:tcPr>
          <w:p>
            <w:pPr>
              <w:pStyle w:val="TableParagraph"/>
              <w:rPr>
                <w:rFonts w:ascii="Times New Roman"/>
                <w:sz w:val="18"/>
              </w:rPr>
            </w:pPr>
          </w:p>
        </w:tc>
        <w:tc>
          <w:tcPr>
            <w:tcW w:w="1064" w:type="dxa"/>
          </w:tcPr>
          <w:p>
            <w:pPr>
              <w:pStyle w:val="TableParagraph"/>
              <w:rPr>
                <w:rFonts w:ascii="Times New Roman"/>
                <w:sz w:val="18"/>
              </w:rPr>
            </w:pPr>
          </w:p>
        </w:tc>
        <w:tc>
          <w:tcPr>
            <w:tcW w:w="1064" w:type="dxa"/>
          </w:tcPr>
          <w:p>
            <w:pPr>
              <w:pStyle w:val="TableParagraph"/>
              <w:rPr>
                <w:rFonts w:ascii="Times New Roman"/>
                <w:sz w:val="18"/>
              </w:rPr>
            </w:pPr>
          </w:p>
        </w:tc>
        <w:tc>
          <w:tcPr>
            <w:tcW w:w="1344" w:type="dxa"/>
          </w:tcPr>
          <w:p>
            <w:pPr>
              <w:pStyle w:val="TableParagraph"/>
              <w:rPr>
                <w:rFonts w:ascii="Times New Roman"/>
                <w:sz w:val="18"/>
              </w:rPr>
            </w:pPr>
          </w:p>
        </w:tc>
        <w:tc>
          <w:tcPr>
            <w:tcW w:w="682" w:type="dxa"/>
          </w:tcPr>
          <w:p>
            <w:pPr>
              <w:pStyle w:val="TableParagraph"/>
              <w:rPr>
                <w:rFonts w:ascii="Times New Roman"/>
                <w:sz w:val="18"/>
              </w:rPr>
            </w:pPr>
          </w:p>
        </w:tc>
        <w:tc>
          <w:tcPr>
            <w:tcW w:w="1012" w:type="dxa"/>
          </w:tcPr>
          <w:p>
            <w:pPr>
              <w:pStyle w:val="TableParagraph"/>
              <w:rPr>
                <w:rFonts w:ascii="Times New Roman"/>
                <w:sz w:val="18"/>
              </w:rPr>
            </w:pPr>
          </w:p>
        </w:tc>
        <w:tc>
          <w:tcPr>
            <w:tcW w:w="694" w:type="dxa"/>
            <w:tcBorders>
              <w:right w:val="single" w:sz="4" w:space="0" w:color="000000"/>
            </w:tcBorders>
          </w:tcPr>
          <w:p>
            <w:pPr>
              <w:pStyle w:val="TableParagraph"/>
              <w:spacing w:before="64"/>
              <w:ind w:left="61"/>
              <w:rPr>
                <w:sz w:val="20"/>
              </w:rPr>
            </w:pPr>
            <w:r>
              <w:rPr>
                <w:sz w:val="20"/>
              </w:rPr>
              <w:t>-1.5</w:t>
            </w:r>
          </w:p>
        </w:tc>
      </w:tr>
      <w:tr>
        <w:trPr>
          <w:trHeight w:val="374" w:hRule="atLeast"/>
        </w:trPr>
        <w:tc>
          <w:tcPr>
            <w:tcW w:w="1068" w:type="dxa"/>
            <w:tcBorders>
              <w:left w:val="single" w:sz="4" w:space="0" w:color="000000"/>
            </w:tcBorders>
          </w:tcPr>
          <w:p>
            <w:pPr>
              <w:pStyle w:val="TableParagraph"/>
              <w:rPr>
                <w:rFonts w:ascii="Times New Roman"/>
                <w:sz w:val="18"/>
              </w:rPr>
            </w:pPr>
          </w:p>
        </w:tc>
        <w:tc>
          <w:tcPr>
            <w:tcW w:w="1064" w:type="dxa"/>
          </w:tcPr>
          <w:p>
            <w:pPr>
              <w:pStyle w:val="TableParagraph"/>
              <w:rPr>
                <w:rFonts w:ascii="Times New Roman"/>
                <w:sz w:val="18"/>
              </w:rPr>
            </w:pPr>
          </w:p>
        </w:tc>
        <w:tc>
          <w:tcPr>
            <w:tcW w:w="1064" w:type="dxa"/>
          </w:tcPr>
          <w:p>
            <w:pPr>
              <w:pStyle w:val="TableParagraph"/>
              <w:rPr>
                <w:rFonts w:ascii="Times New Roman"/>
                <w:sz w:val="18"/>
              </w:rPr>
            </w:pPr>
          </w:p>
        </w:tc>
        <w:tc>
          <w:tcPr>
            <w:tcW w:w="1064" w:type="dxa"/>
          </w:tcPr>
          <w:p>
            <w:pPr>
              <w:pStyle w:val="TableParagraph"/>
              <w:rPr>
                <w:rFonts w:ascii="Times New Roman"/>
                <w:sz w:val="18"/>
              </w:rPr>
            </w:pPr>
          </w:p>
        </w:tc>
        <w:tc>
          <w:tcPr>
            <w:tcW w:w="1344" w:type="dxa"/>
          </w:tcPr>
          <w:p>
            <w:pPr>
              <w:pStyle w:val="TableParagraph"/>
              <w:spacing w:before="56"/>
              <w:ind w:right="24"/>
              <w:jc w:val="right"/>
              <w:rPr>
                <w:sz w:val="18"/>
              </w:rPr>
            </w:pPr>
            <w:r>
              <w:rPr>
                <w:color w:val="17375E"/>
                <w:w w:val="95"/>
                <w:sz w:val="18"/>
              </w:rPr>
              <w:t>Real</w:t>
            </w:r>
          </w:p>
        </w:tc>
        <w:tc>
          <w:tcPr>
            <w:tcW w:w="682" w:type="dxa"/>
          </w:tcPr>
          <w:p>
            <w:pPr>
              <w:pStyle w:val="TableParagraph"/>
              <w:rPr>
                <w:rFonts w:ascii="Times New Roman"/>
                <w:sz w:val="18"/>
              </w:rPr>
            </w:pPr>
          </w:p>
        </w:tc>
        <w:tc>
          <w:tcPr>
            <w:tcW w:w="1012" w:type="dxa"/>
          </w:tcPr>
          <w:p>
            <w:pPr>
              <w:pStyle w:val="TableParagraph"/>
              <w:rPr>
                <w:rFonts w:ascii="Times New Roman"/>
                <w:sz w:val="18"/>
              </w:rPr>
            </w:pPr>
          </w:p>
        </w:tc>
        <w:tc>
          <w:tcPr>
            <w:tcW w:w="694" w:type="dxa"/>
            <w:tcBorders>
              <w:right w:val="single" w:sz="4" w:space="0" w:color="000000"/>
            </w:tcBorders>
          </w:tcPr>
          <w:p>
            <w:pPr>
              <w:pStyle w:val="TableParagraph"/>
              <w:spacing w:before="73"/>
              <w:ind w:left="61"/>
              <w:rPr>
                <w:sz w:val="20"/>
              </w:rPr>
            </w:pPr>
            <w:r>
              <w:rPr>
                <w:sz w:val="20"/>
              </w:rPr>
              <w:t>-2</w:t>
            </w:r>
          </w:p>
        </w:tc>
      </w:tr>
      <w:tr>
        <w:trPr>
          <w:trHeight w:val="365" w:hRule="atLeast"/>
        </w:trPr>
        <w:tc>
          <w:tcPr>
            <w:tcW w:w="1068" w:type="dxa"/>
            <w:tcBorders>
              <w:left w:val="single" w:sz="4" w:space="0" w:color="000000"/>
            </w:tcBorders>
          </w:tcPr>
          <w:p>
            <w:pPr>
              <w:pStyle w:val="TableParagraph"/>
              <w:rPr>
                <w:rFonts w:ascii="Times New Roman"/>
                <w:sz w:val="18"/>
              </w:rPr>
            </w:pPr>
          </w:p>
        </w:tc>
        <w:tc>
          <w:tcPr>
            <w:tcW w:w="1064" w:type="dxa"/>
          </w:tcPr>
          <w:p>
            <w:pPr>
              <w:pStyle w:val="TableParagraph"/>
              <w:rPr>
                <w:rFonts w:ascii="Times New Roman"/>
                <w:sz w:val="18"/>
              </w:rPr>
            </w:pPr>
          </w:p>
        </w:tc>
        <w:tc>
          <w:tcPr>
            <w:tcW w:w="1064" w:type="dxa"/>
          </w:tcPr>
          <w:p>
            <w:pPr>
              <w:pStyle w:val="TableParagraph"/>
              <w:rPr>
                <w:rFonts w:ascii="Times New Roman"/>
                <w:sz w:val="18"/>
              </w:rPr>
            </w:pPr>
          </w:p>
        </w:tc>
        <w:tc>
          <w:tcPr>
            <w:tcW w:w="1064" w:type="dxa"/>
          </w:tcPr>
          <w:p>
            <w:pPr>
              <w:pStyle w:val="TableParagraph"/>
              <w:rPr>
                <w:rFonts w:ascii="Times New Roman"/>
                <w:sz w:val="18"/>
              </w:rPr>
            </w:pPr>
          </w:p>
        </w:tc>
        <w:tc>
          <w:tcPr>
            <w:tcW w:w="1344" w:type="dxa"/>
          </w:tcPr>
          <w:p>
            <w:pPr>
              <w:pStyle w:val="TableParagraph"/>
              <w:rPr>
                <w:rFonts w:ascii="Times New Roman"/>
                <w:sz w:val="18"/>
              </w:rPr>
            </w:pPr>
          </w:p>
        </w:tc>
        <w:tc>
          <w:tcPr>
            <w:tcW w:w="682" w:type="dxa"/>
          </w:tcPr>
          <w:p>
            <w:pPr>
              <w:pStyle w:val="TableParagraph"/>
              <w:rPr>
                <w:rFonts w:ascii="Times New Roman"/>
                <w:sz w:val="18"/>
              </w:rPr>
            </w:pPr>
          </w:p>
        </w:tc>
        <w:tc>
          <w:tcPr>
            <w:tcW w:w="1012" w:type="dxa"/>
          </w:tcPr>
          <w:p>
            <w:pPr>
              <w:pStyle w:val="TableParagraph"/>
              <w:rPr>
                <w:rFonts w:ascii="Times New Roman"/>
                <w:sz w:val="18"/>
              </w:rPr>
            </w:pPr>
          </w:p>
        </w:tc>
        <w:tc>
          <w:tcPr>
            <w:tcW w:w="694" w:type="dxa"/>
            <w:tcBorders>
              <w:right w:val="single" w:sz="4" w:space="0" w:color="000000"/>
            </w:tcBorders>
          </w:tcPr>
          <w:p>
            <w:pPr>
              <w:pStyle w:val="TableParagraph"/>
              <w:spacing w:before="64"/>
              <w:ind w:left="61"/>
              <w:rPr>
                <w:sz w:val="20"/>
              </w:rPr>
            </w:pPr>
            <w:r>
              <w:rPr>
                <w:sz w:val="20"/>
              </w:rPr>
              <w:t>-2.5</w:t>
            </w:r>
          </w:p>
        </w:tc>
      </w:tr>
      <w:tr>
        <w:trPr>
          <w:trHeight w:val="690" w:hRule="atLeast"/>
        </w:trPr>
        <w:tc>
          <w:tcPr>
            <w:tcW w:w="1068" w:type="dxa"/>
            <w:tcBorders>
              <w:left w:val="single" w:sz="4" w:space="0" w:color="000000"/>
              <w:bottom w:val="single" w:sz="4" w:space="0" w:color="000000"/>
            </w:tcBorders>
          </w:tcPr>
          <w:p>
            <w:pPr>
              <w:pStyle w:val="TableParagraph"/>
              <w:rPr>
                <w:rFonts w:ascii="Times New Roman"/>
                <w:sz w:val="18"/>
              </w:rPr>
            </w:pPr>
          </w:p>
        </w:tc>
        <w:tc>
          <w:tcPr>
            <w:tcW w:w="1064" w:type="dxa"/>
            <w:tcBorders>
              <w:bottom w:val="single" w:sz="4" w:space="0" w:color="000000"/>
            </w:tcBorders>
          </w:tcPr>
          <w:p>
            <w:pPr>
              <w:pStyle w:val="TableParagraph"/>
              <w:rPr>
                <w:rFonts w:ascii="Times New Roman"/>
                <w:sz w:val="18"/>
              </w:rPr>
            </w:pPr>
          </w:p>
        </w:tc>
        <w:tc>
          <w:tcPr>
            <w:tcW w:w="1064" w:type="dxa"/>
            <w:tcBorders>
              <w:bottom w:val="single" w:sz="4" w:space="0" w:color="000000"/>
            </w:tcBorders>
          </w:tcPr>
          <w:p>
            <w:pPr>
              <w:pStyle w:val="TableParagraph"/>
              <w:rPr>
                <w:rFonts w:ascii="Times New Roman"/>
                <w:sz w:val="18"/>
              </w:rPr>
            </w:pPr>
          </w:p>
        </w:tc>
        <w:tc>
          <w:tcPr>
            <w:tcW w:w="1064" w:type="dxa"/>
            <w:tcBorders>
              <w:bottom w:val="single" w:sz="4" w:space="0" w:color="000000"/>
            </w:tcBorders>
          </w:tcPr>
          <w:p>
            <w:pPr>
              <w:pStyle w:val="TableParagraph"/>
              <w:rPr>
                <w:rFonts w:ascii="Times New Roman"/>
                <w:sz w:val="18"/>
              </w:rPr>
            </w:pPr>
          </w:p>
        </w:tc>
        <w:tc>
          <w:tcPr>
            <w:tcW w:w="1344" w:type="dxa"/>
            <w:tcBorders>
              <w:bottom w:val="single" w:sz="4" w:space="0" w:color="000000"/>
            </w:tcBorders>
          </w:tcPr>
          <w:p>
            <w:pPr>
              <w:pStyle w:val="TableParagraph"/>
              <w:rPr>
                <w:rFonts w:ascii="Times New Roman"/>
                <w:sz w:val="18"/>
              </w:rPr>
            </w:pPr>
          </w:p>
        </w:tc>
        <w:tc>
          <w:tcPr>
            <w:tcW w:w="682" w:type="dxa"/>
            <w:tcBorders>
              <w:bottom w:val="single" w:sz="4" w:space="0" w:color="000000"/>
            </w:tcBorders>
          </w:tcPr>
          <w:p>
            <w:pPr>
              <w:pStyle w:val="TableParagraph"/>
              <w:rPr>
                <w:rFonts w:ascii="Times New Roman"/>
                <w:sz w:val="18"/>
              </w:rPr>
            </w:pPr>
          </w:p>
        </w:tc>
        <w:tc>
          <w:tcPr>
            <w:tcW w:w="1012" w:type="dxa"/>
            <w:tcBorders>
              <w:bottom w:val="single" w:sz="4" w:space="0" w:color="000000"/>
            </w:tcBorders>
          </w:tcPr>
          <w:p>
            <w:pPr>
              <w:pStyle w:val="TableParagraph"/>
              <w:rPr>
                <w:rFonts w:ascii="Times New Roman"/>
                <w:sz w:val="18"/>
              </w:rPr>
            </w:pPr>
          </w:p>
        </w:tc>
        <w:tc>
          <w:tcPr>
            <w:tcW w:w="694" w:type="dxa"/>
            <w:tcBorders>
              <w:bottom w:val="single" w:sz="4" w:space="0" w:color="000000"/>
              <w:right w:val="single" w:sz="4" w:space="0" w:color="000000"/>
            </w:tcBorders>
          </w:tcPr>
          <w:p>
            <w:pPr>
              <w:pStyle w:val="TableParagraph"/>
              <w:spacing w:before="64"/>
              <w:ind w:left="61"/>
              <w:rPr>
                <w:sz w:val="20"/>
              </w:rPr>
            </w:pPr>
            <w:r>
              <w:rPr>
                <w:sz w:val="20"/>
              </w:rPr>
              <w:t>-3</w:t>
            </w:r>
          </w:p>
        </w:tc>
      </w:tr>
    </w:tbl>
    <w:p>
      <w:pPr>
        <w:pStyle w:val="BodyText"/>
      </w:pPr>
    </w:p>
    <w:p>
      <w:pPr>
        <w:pStyle w:val="BodyText"/>
      </w:pPr>
    </w:p>
    <w:p>
      <w:pPr>
        <w:pStyle w:val="BodyText"/>
        <w:spacing w:before="10"/>
        <w:rPr>
          <w:sz w:val="19"/>
        </w:rPr>
      </w:pPr>
    </w:p>
    <w:p>
      <w:pPr>
        <w:pStyle w:val="BodyText"/>
        <w:spacing w:line="360" w:lineRule="auto"/>
        <w:ind w:left="233" w:right="1196"/>
      </w:pPr>
      <w:r>
        <w:rPr/>
        <w:t>That pressure has been amplified in recent years by headwinds from the crisis. It may also have been amplified by the very structural uncertainties about the macro-economic ‘model’ in advanced economies and fears about secular stagnation that have been much of my subject today.</w:t>
      </w:r>
    </w:p>
    <w:p>
      <w:pPr>
        <w:pStyle w:val="BodyText"/>
        <w:rPr>
          <w:sz w:val="30"/>
        </w:rPr>
      </w:pPr>
    </w:p>
    <w:p>
      <w:pPr>
        <w:pStyle w:val="BodyText"/>
        <w:spacing w:line="360" w:lineRule="auto"/>
        <w:ind w:left="233" w:right="1170"/>
      </w:pPr>
      <w:r>
        <w:rPr/>
        <w:t>I expect that if the slow healing continues, and some of the more extreme concerns about secular stagnation of our economies fade, we will see larger term premia and some increase in medium and long term returns. That to me argues for the policy strategy that best and carefully nurtures the slow healing that I now believe is increasingly taking hold. In that respect, I think, looking to the medium term, there remains a case for a</w:t>
      </w:r>
    </w:p>
    <w:p>
      <w:pPr>
        <w:pStyle w:val="BodyText"/>
        <w:ind w:left="233"/>
      </w:pPr>
      <w:r>
        <w:rPr/>
        <w:t>little ‘stodginess’ yet.</w:t>
      </w: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3"/>
        </w:rPr>
      </w:pPr>
      <w:r>
        <w:rPr/>
        <w:pict>
          <v:shape style="position:absolute;margin-left:56.664001pt;margin-top:15.586446pt;width:144.050pt;height:.1pt;mso-position-horizontal-relative:page;mso-position-vertical-relative:paragraph;z-index:-251639808;mso-wrap-distance-left:0;mso-wrap-distance-right:0" coordorigin="1133,312" coordsize="2881,0" path="m1133,312l4014,312e" filled="false" stroked="true" strokeweight=".47998pt" strokecolor="#000000">
            <v:path arrowok="t"/>
            <v:stroke dashstyle="solid"/>
            <w10:wrap type="topAndBottom"/>
          </v:shape>
        </w:pict>
      </w:r>
    </w:p>
    <w:p>
      <w:pPr>
        <w:spacing w:before="27"/>
        <w:ind w:left="233" w:right="1311" w:firstLine="0"/>
        <w:jc w:val="left"/>
        <w:rPr>
          <w:sz w:val="16"/>
        </w:rPr>
      </w:pPr>
      <w:r>
        <w:rPr>
          <w:position w:val="8"/>
          <w:sz w:val="10"/>
        </w:rPr>
        <w:t>24 </w:t>
      </w:r>
      <w:r>
        <w:rPr>
          <w:sz w:val="16"/>
        </w:rPr>
        <w:t>As described in Rachel and Smith (2015), global preferences for saving and investment have shifted due to forces such as demographic change, changes to income distribution, increased precautionary saving in emerging markets, the falling relative price of capital and low public investment.</w:t>
      </w:r>
    </w:p>
    <w:p>
      <w:pPr>
        <w:spacing w:after="0"/>
        <w:jc w:val="left"/>
        <w:rPr>
          <w:sz w:val="16"/>
        </w:rPr>
        <w:sectPr>
          <w:footerReference w:type="default" r:id="rId18"/>
          <w:pgSz w:w="11910" w:h="16840"/>
          <w:pgMar w:footer="1338" w:header="0" w:top="1520" w:bottom="1520" w:left="900" w:right="0"/>
          <w:pgNumType w:start="13"/>
        </w:sectPr>
      </w:pPr>
    </w:p>
    <w:p>
      <w:pPr>
        <w:spacing w:before="79"/>
        <w:ind w:left="233" w:right="0" w:firstLine="0"/>
        <w:jc w:val="left"/>
        <w:rPr>
          <w:b/>
          <w:sz w:val="24"/>
        </w:rPr>
      </w:pPr>
      <w:r>
        <w:rPr>
          <w:b/>
          <w:sz w:val="24"/>
        </w:rPr>
        <w:t>References</w:t>
      </w:r>
    </w:p>
    <w:p>
      <w:pPr>
        <w:pStyle w:val="BodyText"/>
        <w:rPr>
          <w:b/>
          <w:sz w:val="26"/>
        </w:rPr>
      </w:pPr>
    </w:p>
    <w:p>
      <w:pPr>
        <w:pStyle w:val="BodyText"/>
        <w:spacing w:before="9"/>
        <w:rPr>
          <w:b/>
          <w:sz w:val="21"/>
        </w:rPr>
      </w:pPr>
    </w:p>
    <w:p>
      <w:pPr>
        <w:spacing w:line="357" w:lineRule="auto" w:before="0"/>
        <w:ind w:left="233" w:right="1308" w:firstLine="0"/>
        <w:jc w:val="left"/>
        <w:rPr>
          <w:i/>
          <w:sz w:val="20"/>
        </w:rPr>
      </w:pPr>
      <w:r>
        <w:rPr>
          <w:b/>
          <w:sz w:val="20"/>
        </w:rPr>
        <w:t>Bell, D and Blanchflower, D (2018) </w:t>
      </w:r>
      <w:r>
        <w:rPr>
          <w:sz w:val="20"/>
        </w:rPr>
        <w:t>‘The lack of wage growth and the falling NAIRU’ </w:t>
      </w:r>
      <w:r>
        <w:rPr>
          <w:i/>
          <w:sz w:val="20"/>
        </w:rPr>
        <w:t>NBER working paper </w:t>
      </w:r>
      <w:r>
        <w:rPr>
          <w:i/>
          <w:sz w:val="20"/>
        </w:rPr>
        <w:t>No. 24502</w:t>
      </w:r>
    </w:p>
    <w:p>
      <w:pPr>
        <w:spacing w:before="4"/>
        <w:ind w:left="233" w:right="0" w:firstLine="0"/>
        <w:jc w:val="left"/>
        <w:rPr>
          <w:i/>
          <w:sz w:val="20"/>
        </w:rPr>
      </w:pPr>
      <w:r>
        <w:rPr>
          <w:b/>
          <w:sz w:val="20"/>
        </w:rPr>
        <w:t>Blinder, Alan (1998) </w:t>
      </w:r>
      <w:r>
        <w:rPr>
          <w:sz w:val="20"/>
        </w:rPr>
        <w:t>‘Central banking in theory and practice’ </w:t>
      </w:r>
      <w:r>
        <w:rPr>
          <w:i/>
          <w:sz w:val="20"/>
        </w:rPr>
        <w:t>The Lionel Robbins lectures</w:t>
      </w:r>
    </w:p>
    <w:p>
      <w:pPr>
        <w:spacing w:line="357" w:lineRule="auto" w:before="115"/>
        <w:ind w:left="233" w:right="1651" w:firstLine="0"/>
        <w:jc w:val="left"/>
        <w:rPr>
          <w:i/>
          <w:sz w:val="20"/>
        </w:rPr>
      </w:pPr>
      <w:r>
        <w:rPr>
          <w:b/>
          <w:sz w:val="20"/>
        </w:rPr>
        <w:t>Carney, Mark (2018) </w:t>
      </w:r>
      <w:r>
        <w:rPr>
          <w:sz w:val="20"/>
        </w:rPr>
        <w:t>‘Guidance, Contingencies and Brexit’ </w:t>
      </w:r>
      <w:r>
        <w:rPr>
          <w:i/>
          <w:sz w:val="20"/>
        </w:rPr>
        <w:t>speech given at the Society of Professional </w:t>
      </w:r>
      <w:r>
        <w:rPr>
          <w:i/>
          <w:sz w:val="20"/>
        </w:rPr>
        <w:t>Economists, London</w:t>
      </w:r>
    </w:p>
    <w:p>
      <w:pPr>
        <w:spacing w:line="360" w:lineRule="auto" w:before="4"/>
        <w:ind w:left="233" w:right="1241" w:firstLine="0"/>
        <w:jc w:val="left"/>
        <w:rPr>
          <w:i/>
          <w:sz w:val="20"/>
        </w:rPr>
      </w:pPr>
      <w:r>
        <w:rPr>
          <w:b/>
          <w:sz w:val="20"/>
        </w:rPr>
        <w:t>Cunliffe, Jon (2016) </w:t>
      </w:r>
      <w:r>
        <w:rPr>
          <w:sz w:val="20"/>
        </w:rPr>
        <w:t>‘The UK economy post crisis: a series of unfortunate events?’ </w:t>
      </w:r>
      <w:r>
        <w:rPr>
          <w:i/>
          <w:sz w:val="20"/>
        </w:rPr>
        <w:t>speech given at London </w:t>
      </w:r>
      <w:r>
        <w:rPr>
          <w:i/>
          <w:sz w:val="20"/>
        </w:rPr>
        <w:t>South Bank University</w:t>
      </w:r>
    </w:p>
    <w:p>
      <w:pPr>
        <w:spacing w:line="357" w:lineRule="auto" w:before="1"/>
        <w:ind w:left="233" w:right="1364" w:firstLine="0"/>
        <w:jc w:val="left"/>
        <w:rPr>
          <w:i/>
          <w:sz w:val="20"/>
        </w:rPr>
      </w:pPr>
      <w:r>
        <w:rPr>
          <w:b/>
          <w:sz w:val="20"/>
        </w:rPr>
        <w:t>Cunliffe, Jon (2017) </w:t>
      </w:r>
      <w:r>
        <w:rPr>
          <w:sz w:val="20"/>
        </w:rPr>
        <w:t>‘The Phillips curve: lower, flatter or in hiding?’ </w:t>
      </w:r>
      <w:r>
        <w:rPr>
          <w:i/>
          <w:sz w:val="20"/>
        </w:rPr>
        <w:t>speech given at the Oxford Economics </w:t>
      </w:r>
      <w:r>
        <w:rPr>
          <w:i/>
          <w:sz w:val="20"/>
        </w:rPr>
        <w:t>Society</w:t>
      </w:r>
    </w:p>
    <w:p>
      <w:pPr>
        <w:spacing w:line="360" w:lineRule="auto" w:before="4"/>
        <w:ind w:left="233" w:right="1252" w:firstLine="0"/>
        <w:jc w:val="left"/>
        <w:rPr>
          <w:i/>
          <w:sz w:val="20"/>
        </w:rPr>
      </w:pPr>
      <w:r>
        <w:rPr>
          <w:b/>
          <w:sz w:val="20"/>
        </w:rPr>
        <w:t>Haldane, Andy (2017) </w:t>
      </w:r>
      <w:r>
        <w:rPr>
          <w:sz w:val="20"/>
        </w:rPr>
        <w:t>‘Work, wages and monetary policy’ </w:t>
      </w:r>
      <w:r>
        <w:rPr>
          <w:i/>
          <w:sz w:val="20"/>
        </w:rPr>
        <w:t>speech given at the National Science and Media </w:t>
      </w:r>
      <w:r>
        <w:rPr>
          <w:i/>
          <w:sz w:val="20"/>
        </w:rPr>
        <w:t>Museum, Bradford</w:t>
      </w:r>
    </w:p>
    <w:p>
      <w:pPr>
        <w:spacing w:before="1"/>
        <w:ind w:left="233" w:right="0" w:firstLine="0"/>
        <w:jc w:val="left"/>
        <w:rPr>
          <w:i/>
          <w:sz w:val="20"/>
        </w:rPr>
      </w:pPr>
      <w:r>
        <w:rPr>
          <w:b/>
          <w:sz w:val="20"/>
        </w:rPr>
        <w:t>McCafferty, Ian (2018) </w:t>
      </w:r>
      <w:r>
        <w:rPr>
          <w:sz w:val="20"/>
        </w:rPr>
        <w:t>‘Changing times, changing norms’ </w:t>
      </w:r>
      <w:r>
        <w:rPr>
          <w:i/>
          <w:sz w:val="20"/>
        </w:rPr>
        <w:t>OMFIF City Lecture</w:t>
      </w:r>
    </w:p>
    <w:p>
      <w:pPr>
        <w:spacing w:line="360" w:lineRule="auto" w:before="113"/>
        <w:ind w:left="233" w:right="1374" w:firstLine="0"/>
        <w:jc w:val="left"/>
        <w:rPr>
          <w:i/>
          <w:sz w:val="20"/>
        </w:rPr>
      </w:pPr>
      <w:r>
        <w:rPr>
          <w:b/>
          <w:sz w:val="20"/>
        </w:rPr>
        <w:t>Tenreyro, Silvana (2018) </w:t>
      </w:r>
      <w:r>
        <w:rPr>
          <w:sz w:val="20"/>
        </w:rPr>
        <w:t>‘The fall in productivity growth: causes and implications’ </w:t>
      </w:r>
      <w:r>
        <w:rPr>
          <w:i/>
          <w:sz w:val="20"/>
        </w:rPr>
        <w:t>speech given at Queen </w:t>
      </w:r>
      <w:r>
        <w:rPr>
          <w:i/>
          <w:sz w:val="20"/>
        </w:rPr>
        <w:t>Mary University of London</w:t>
      </w:r>
    </w:p>
    <w:p>
      <w:pPr>
        <w:spacing w:line="360" w:lineRule="auto" w:before="2"/>
        <w:ind w:left="233" w:right="2142" w:firstLine="0"/>
        <w:jc w:val="left"/>
        <w:rPr>
          <w:i/>
          <w:sz w:val="20"/>
        </w:rPr>
      </w:pPr>
      <w:r>
        <w:rPr>
          <w:b/>
          <w:sz w:val="20"/>
        </w:rPr>
        <w:t>Tenreyro, S and Thwaites, G (2016) </w:t>
      </w:r>
      <w:r>
        <w:rPr>
          <w:sz w:val="20"/>
        </w:rPr>
        <w:t>‘Pushing on a string: US monetary policy is less powerful in recessions’ </w:t>
      </w:r>
      <w:r>
        <w:rPr>
          <w:i/>
          <w:sz w:val="20"/>
        </w:rPr>
        <w:t>American Economic Journal: Macroeconomics, 8(4): 43-74</w:t>
      </w:r>
    </w:p>
    <w:sectPr>
      <w:pgSz w:w="11910" w:h="16840"/>
      <w:pgMar w:header="0" w:footer="1338" w:top="1520" w:bottom="1520" w:left="9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32326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3322240"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323.4pt;height:13.15pt;mso-position-horizontal-relative:page;mso-position-vertical-relative:page;z-index:-25332121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28742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3286400" type="#_x0000_t202" filled="false" stroked="false">
          <v:textbox inset="0,0,0,0">
            <w:txbxContent>
              <w:p>
                <w:pPr>
                  <w:pStyle w:val="BodyText"/>
                  <w:rPr>
                    <w:sz w:val="2"/>
                  </w:rPr>
                </w:pPr>
              </w:p>
              <w:p>
                <w:pPr>
                  <w:spacing w:before="0"/>
                  <w:ind w:left="0" w:right="0" w:firstLine="0"/>
                  <w:jc w:val="center"/>
                  <w:rPr>
                    <w:sz w:val="2"/>
                  </w:rPr>
                </w:pPr>
                <w:r>
                  <w:rPr>
                    <w:sz w:val="2"/>
                  </w:rPr>
                  <w:t>10</w:t>
                </w:r>
              </w:p>
            </w:txbxContent>
          </v:textbox>
          <w10:wrap type="none"/>
        </v:shape>
      </w:pict>
    </w:r>
    <w:r>
      <w:rPr/>
      <w:pict>
        <v:shape style="position:absolute;margin-left:43.400002pt;margin-top:771.999451pt;width:323.4pt;height:13.15pt;mso-position-horizontal-relative:page;mso-position-vertical-relative:page;z-index:-25328537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3284352" type="#_x0000_t202" filled="false" stroked="false">
          <v:textbox inset="0,0,0,0">
            <w:txbxContent>
              <w:p>
                <w:pPr>
                  <w:pStyle w:val="BodyText"/>
                  <w:spacing w:before="12"/>
                  <w:ind w:left="20"/>
                </w:pPr>
                <w:r>
                  <w:rPr/>
                  <w:t>10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28332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3282304" type="#_x0000_t202" filled="false" stroked="false">
          <v:textbox inset="0,0,0,0">
            <w:txbxContent>
              <w:p>
                <w:pPr>
                  <w:pStyle w:val="BodyText"/>
                  <w:rPr>
                    <w:sz w:val="2"/>
                  </w:rPr>
                </w:pPr>
              </w:p>
              <w:p>
                <w:pPr>
                  <w:spacing w:before="0"/>
                  <w:ind w:left="0" w:right="0" w:firstLine="0"/>
                  <w:jc w:val="center"/>
                  <w:rPr>
                    <w:sz w:val="2"/>
                  </w:rPr>
                </w:pPr>
                <w:r>
                  <w:rPr>
                    <w:sz w:val="2"/>
                  </w:rPr>
                  <w:t>11</w:t>
                </w:r>
              </w:p>
            </w:txbxContent>
          </v:textbox>
          <w10:wrap type="none"/>
        </v:shape>
      </w:pict>
    </w:r>
    <w:r>
      <w:rPr/>
      <w:pict>
        <v:shape style="position:absolute;margin-left:43.400002pt;margin-top:771.999451pt;width:323.4pt;height:13.15pt;mso-position-horizontal-relative:page;mso-position-vertical-relative:page;z-index:-25328128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3280256" type="#_x0000_t202" filled="false" stroked="false">
          <v:textbox inset="0,0,0,0">
            <w:txbxContent>
              <w:p>
                <w:pPr>
                  <w:pStyle w:val="BodyText"/>
                  <w:spacing w:before="12"/>
                  <w:ind w:left="20"/>
                </w:pPr>
                <w:r>
                  <w:rPr/>
                  <w:t>11</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27923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27820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43.400002pt;margin-top:771.999451pt;width:323.4pt;height:13.15pt;mso-position-horizontal-relative:page;mso-position-vertical-relative:page;z-index:-25327718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3276160" type="#_x0000_t202" filled="false" stroked="false">
          <v:textbox inset="0,0,0,0">
            <w:txbxContent>
              <w:p>
                <w:pPr>
                  <w:pStyle w:val="BodyText"/>
                  <w:spacing w:before="12"/>
                  <w:ind w:left="20"/>
                </w:pPr>
                <w:r>
                  <w:rPr/>
                  <w:t>12</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27513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27411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43.400002pt;margin-top:771.999451pt;width:323.4pt;height:13.15pt;mso-position-horizontal-relative:page;mso-position-vertical-relative:page;z-index:-25327308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3272064" type="#_x0000_t202" filled="false" stroked="false">
          <v:textbox inset="0,0,0,0">
            <w:txbxContent>
              <w:p>
                <w:pPr>
                  <w:pStyle w:val="BodyText"/>
                  <w:spacing w:before="12"/>
                  <w:ind w:left="20"/>
                </w:pPr>
                <w:r>
                  <w:rPr/>
                  <w:t>13</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32019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319168"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323.4pt;height:13.15pt;mso-position-horizontal-relative:page;mso-position-vertical-relative:page;z-index:-25331814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317120"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31609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315072"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1.999451pt;width:323.4pt;height:13.15pt;mso-position-horizontal-relative:page;mso-position-vertical-relative:page;z-index:-25331404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313024"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31200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310976"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43.400002pt;margin-top:771.999451pt;width:323.4pt;height:13.15pt;mso-position-horizontal-relative:page;mso-position-vertical-relative:page;z-index:-25330995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308928"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30790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306880"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43.400002pt;margin-top:771.999451pt;width:323.4pt;height:13.15pt;mso-position-horizontal-relative:page;mso-position-vertical-relative:page;z-index:-25330585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304832"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30380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302784" type="#_x0000_t202" filled="false" stroked="false">
          <v:textbox inset="0,0,0,0">
            <w:txbxContent>
              <w:p>
                <w:pPr>
                  <w:pStyle w:val="BodyText"/>
                  <w:rPr>
                    <w:sz w:val="2"/>
                  </w:rPr>
                </w:pPr>
              </w:p>
              <w:p>
                <w:pPr>
                  <w:spacing w:before="0"/>
                  <w:ind w:left="0" w:right="0" w:firstLine="0"/>
                  <w:jc w:val="center"/>
                  <w:rPr>
                    <w:sz w:val="2"/>
                  </w:rPr>
                </w:pPr>
                <w:r>
                  <w:rPr>
                    <w:w w:val="95"/>
                    <w:sz w:val="2"/>
                  </w:rPr>
                  <w:t>6</w:t>
                </w:r>
              </w:p>
            </w:txbxContent>
          </v:textbox>
          <w10:wrap type="none"/>
        </v:shape>
      </w:pict>
    </w:r>
    <w:r>
      <w:rPr/>
      <w:pict>
        <v:shape style="position:absolute;margin-left:43.400002pt;margin-top:771.999451pt;width:323.4pt;height:13.15pt;mso-position-horizontal-relative:page;mso-position-vertical-relative:page;z-index:-25330176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300736"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29971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298688" type="#_x0000_t202" filled="false" stroked="false">
          <v:textbox inset="0,0,0,0">
            <w:txbxContent>
              <w:p>
                <w:pPr>
                  <w:pStyle w:val="BodyText"/>
                  <w:rPr>
                    <w:sz w:val="2"/>
                  </w:rPr>
                </w:pPr>
              </w:p>
              <w:p>
                <w:pPr>
                  <w:spacing w:before="0"/>
                  <w:ind w:left="0" w:right="0" w:firstLine="0"/>
                  <w:jc w:val="center"/>
                  <w:rPr>
                    <w:sz w:val="2"/>
                  </w:rPr>
                </w:pPr>
                <w:r>
                  <w:rPr>
                    <w:w w:val="95"/>
                    <w:sz w:val="2"/>
                  </w:rPr>
                  <w:t>7</w:t>
                </w:r>
              </w:p>
            </w:txbxContent>
          </v:textbox>
          <w10:wrap type="none"/>
        </v:shape>
      </w:pict>
    </w:r>
    <w:r>
      <w:rPr/>
      <w:pict>
        <v:shape style="position:absolute;margin-left:43.400002pt;margin-top:771.999451pt;width:323.4pt;height:13.15pt;mso-position-horizontal-relative:page;mso-position-vertical-relative:page;z-index:-25329766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296640" type="#_x0000_t202" filled="false" stroked="false">
          <v:textbox inset="0,0,0,0">
            <w:txbxContent>
              <w:p>
                <w:pPr>
                  <w:pStyle w:val="BodyText"/>
                  <w:spacing w:before="12"/>
                  <w:ind w:left="20"/>
                </w:pPr>
                <w:r>
                  <w:rPr>
                    <w:w w:val="99"/>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29561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294592" type="#_x0000_t202" filled="false" stroked="false">
          <v:textbox inset="0,0,0,0">
            <w:txbxContent>
              <w:p>
                <w:pPr>
                  <w:pStyle w:val="BodyText"/>
                  <w:rPr>
                    <w:sz w:val="2"/>
                  </w:rPr>
                </w:pPr>
              </w:p>
              <w:p>
                <w:pPr>
                  <w:spacing w:before="0"/>
                  <w:ind w:left="0" w:right="0" w:firstLine="0"/>
                  <w:jc w:val="center"/>
                  <w:rPr>
                    <w:sz w:val="2"/>
                  </w:rPr>
                </w:pPr>
                <w:r>
                  <w:rPr>
                    <w:w w:val="95"/>
                    <w:sz w:val="2"/>
                  </w:rPr>
                  <w:t>8</w:t>
                </w:r>
              </w:p>
            </w:txbxContent>
          </v:textbox>
          <w10:wrap type="none"/>
        </v:shape>
      </w:pict>
    </w:r>
    <w:r>
      <w:rPr/>
      <w:pict>
        <v:shape style="position:absolute;margin-left:43.400002pt;margin-top:771.999451pt;width:323.4pt;height:13.15pt;mso-position-horizontal-relative:page;mso-position-vertical-relative:page;z-index:-25329356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292544" type="#_x0000_t202" filled="false" stroked="false">
          <v:textbox inset="0,0,0,0">
            <w:txbxContent>
              <w:p>
                <w:pPr>
                  <w:pStyle w:val="BodyText"/>
                  <w:spacing w:before="12"/>
                  <w:ind w:left="20"/>
                </w:pPr>
                <w:r>
                  <w:rPr>
                    <w:w w:val="99"/>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29152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290496" type="#_x0000_t202" filled="false" stroked="false">
          <v:textbox inset="0,0,0,0">
            <w:txbxContent>
              <w:p>
                <w:pPr>
                  <w:pStyle w:val="BodyText"/>
                  <w:rPr>
                    <w:sz w:val="2"/>
                  </w:rPr>
                </w:pPr>
              </w:p>
              <w:p>
                <w:pPr>
                  <w:spacing w:before="0"/>
                  <w:ind w:left="0" w:right="0" w:firstLine="0"/>
                  <w:jc w:val="center"/>
                  <w:rPr>
                    <w:sz w:val="2"/>
                  </w:rPr>
                </w:pPr>
                <w:r>
                  <w:rPr>
                    <w:w w:val="95"/>
                    <w:sz w:val="2"/>
                  </w:rPr>
                  <w:t>9</w:t>
                </w:r>
              </w:p>
            </w:txbxContent>
          </v:textbox>
          <w10:wrap type="none"/>
        </v:shape>
      </w:pict>
    </w:r>
    <w:r>
      <w:rPr/>
      <w:pict>
        <v:shape style="position:absolute;margin-left:43.400002pt;margin-top:771.999451pt;width:323.4pt;height:13.15pt;mso-position-horizontal-relative:page;mso-position-vertical-relative:page;z-index:-25328947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288448" type="#_x0000_t202" filled="false" stroked="false">
          <v:textbox inset="0,0,0,0">
            <w:txbxContent>
              <w:p>
                <w:pPr>
                  <w:pStyle w:val="BodyText"/>
                  <w:spacing w:before="12"/>
                  <w:ind w:left="20"/>
                </w:pPr>
                <w:r>
                  <w:rPr>
                    <w:w w:val="99"/>
                  </w:rPr>
                  <w:t>9</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footer" Target="footer13.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Jon Cunliffe at the Cumbria Chamber of Commerce, Kendal, on Friday 13 July 2018</dc:subject>
  <dc:title>Speech by Jon Cunliffe at the Cumbria Chamber of Commerce, Kendal, on Friday 13 July 2018</dc:title>
  <dcterms:created xsi:type="dcterms:W3CDTF">2020-06-02T17:11:37Z</dcterms:created>
  <dcterms:modified xsi:type="dcterms:W3CDTF">2020-06-02T17:11:37Z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2018-07-13T00:00:00Z</vt:filetime>
  </property>
  <property fmtid="{D5CDD505-2E9C-101B-9397-08002B2CF9AE}" pid="3" name="LastSaved">
    <vt:filetime>2020-06-02T00:00:00Z</vt:filetime>
  </property>
</Properties>
</file>