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3"/>
        <w:ind w:left="0"/>
        <w:rPr>
          <w:rFonts w:ascii="Times New Roman"/>
          <w:sz w:val="9"/>
        </w:rPr>
      </w:pPr>
    </w:p>
    <w:p>
      <w:pPr>
        <w:pStyle w:val="BodyText"/>
        <w:spacing w:line="30" w:lineRule="exact"/>
        <w:ind w:left="96"/>
        <w:rPr>
          <w:rFonts w:ascii="Times New Roman"/>
          <w:sz w:val="3"/>
        </w:rPr>
      </w:pPr>
      <w:r>
        <w:rPr>
          <w:rFonts w:ascii="Times New Roman"/>
          <w:position w:val="0"/>
          <w:sz w:val="3"/>
        </w:rPr>
        <w:pict>
          <v:group style="width:488.35pt;height:1.5pt;mso-position-horizontal-relative:char;mso-position-vertical-relative:line" coordorigin="0,0" coordsize="9767,30">
            <v:line style="position:absolute" from="0,15" to="7217,15" stroked="true" strokeweight="1.5pt" strokecolor="#000000">
              <v:stroke dashstyle="solid"/>
            </v:line>
            <v:line style="position:absolute" from="7202,15" to="9767,15" stroked="true" strokeweight="1.5pt" strokecolor="#000000">
              <v:stroke dashstyle="solid"/>
            </v:line>
          </v:group>
        </w:pict>
      </w:r>
      <w:r>
        <w:rPr>
          <w:rFonts w:ascii="Times New Roman"/>
          <w:position w:val="0"/>
          <w:sz w:val="3"/>
        </w:rPr>
      </w:r>
    </w:p>
    <w:p>
      <w:pPr>
        <w:pStyle w:val="BodyText"/>
        <w:ind w:left="0"/>
        <w:rPr>
          <w:rFonts w:ascii="Times New Roman"/>
        </w:rPr>
      </w:pPr>
    </w:p>
    <w:p>
      <w:pPr>
        <w:pStyle w:val="BodyText"/>
        <w:spacing w:before="2"/>
        <w:ind w:left="0"/>
        <w:rPr>
          <w:rFonts w:ascii="Times New Roman"/>
          <w:sz w:val="16"/>
        </w:rPr>
      </w:pPr>
    </w:p>
    <w:p>
      <w:pPr>
        <w:spacing w:before="90"/>
        <w:ind w:left="234" w:right="443" w:firstLine="0"/>
        <w:jc w:val="left"/>
        <w:rPr>
          <w:b/>
          <w:sz w:val="32"/>
        </w:rPr>
      </w:pPr>
      <w:r>
        <w:rPr>
          <w:b/>
          <w:color w:val="6A709F"/>
          <w:sz w:val="32"/>
        </w:rPr>
        <w:t>A new regulatory relationship: the Bank, the financial system and the wider economy</w:t>
      </w:r>
    </w:p>
    <w:p>
      <w:pPr>
        <w:pStyle w:val="BodyText"/>
        <w:spacing w:before="9"/>
        <w:ind w:left="0"/>
        <w:rPr>
          <w:b/>
          <w:sz w:val="31"/>
        </w:rPr>
      </w:pPr>
    </w:p>
    <w:p>
      <w:pPr>
        <w:pStyle w:val="Heading1"/>
        <w:spacing w:before="1"/>
        <w:ind w:left="234"/>
      </w:pPr>
      <w:r>
        <w:rPr/>
        <w:t>Speech given by</w:t>
      </w:r>
    </w:p>
    <w:p>
      <w:pPr>
        <w:spacing w:line="360" w:lineRule="auto" w:before="138"/>
        <w:ind w:left="233" w:right="443" w:firstLine="0"/>
        <w:jc w:val="left"/>
        <w:rPr>
          <w:sz w:val="24"/>
        </w:rPr>
      </w:pPr>
      <w:r>
        <w:rPr>
          <w:sz w:val="24"/>
        </w:rPr>
        <w:t>Paul Tucker, Deputy Governor Financial Stability, Member of the Monetary Policy Committee, Member of the Financial Policy Committee and Member of the Prudential Regulation Authority Board</w:t>
      </w:r>
    </w:p>
    <w:p>
      <w:pPr>
        <w:pStyle w:val="BodyText"/>
        <w:spacing w:before="10"/>
        <w:ind w:left="0"/>
        <w:rPr>
          <w:sz w:val="35"/>
        </w:rPr>
      </w:pPr>
    </w:p>
    <w:p>
      <w:pPr>
        <w:spacing w:line="360" w:lineRule="auto" w:before="0"/>
        <w:ind w:left="233" w:right="7152" w:firstLine="0"/>
        <w:jc w:val="left"/>
        <w:rPr>
          <w:sz w:val="24"/>
        </w:rPr>
      </w:pPr>
      <w:r>
        <w:rPr>
          <w:sz w:val="24"/>
        </w:rPr>
        <w:t>Institute for Government Tuesday 28 May 2013</w:t>
      </w:r>
    </w:p>
    <w:p>
      <w:pPr>
        <w:spacing w:after="0" w:line="360" w:lineRule="auto"/>
        <w:jc w:val="left"/>
        <w:rPr>
          <w:sz w:val="24"/>
        </w:rPr>
        <w:sectPr>
          <w:footerReference w:type="default" r:id="rId5"/>
          <w:type w:val="continuous"/>
          <w:pgSz w:w="11900" w:h="16840"/>
          <w:pgMar w:footer="1340" w:top="1200" w:bottom="1540" w:left="900" w:right="1020"/>
          <w:pgNumType w:start="1"/>
        </w:sectPr>
      </w:pPr>
    </w:p>
    <w:p>
      <w:pPr>
        <w:pStyle w:val="BodyText"/>
        <w:spacing w:line="360" w:lineRule="auto" w:before="76"/>
        <w:ind w:left="233" w:right="158"/>
      </w:pPr>
      <w:r>
        <w:rPr/>
        <w:t>Thank you very much for inviting me here today. For someone who has spent pretty much the whole of my professional life in public service, it comes as something of a relief that the UK has an independent institute dedicated to analysing, monitoring and assessing the workings of government. And, as a central banker during a period in which the role of central banks around the world is once again being reshaped in the wake of the financial crisis, I am very glad to be part of your series on the changing relationship between the State and business. Frankly, it has been impossible not to reflect on precisely that issue as the reforms of the Bank of England have</w:t>
      </w:r>
      <w:r>
        <w:rPr>
          <w:spacing w:val="-5"/>
        </w:rPr>
        <w:t> </w:t>
      </w:r>
      <w:r>
        <w:rPr/>
        <w:t>proceeded.</w:t>
      </w:r>
    </w:p>
    <w:p>
      <w:pPr>
        <w:pStyle w:val="BodyText"/>
        <w:ind w:left="0"/>
        <w:rPr>
          <w:sz w:val="30"/>
        </w:rPr>
      </w:pPr>
    </w:p>
    <w:p>
      <w:pPr>
        <w:pStyle w:val="BodyText"/>
        <w:ind w:left="234"/>
      </w:pPr>
      <w:r>
        <w:rPr/>
        <w:t>I shall confine what I say this evening to brief remarks under three headings:</w:t>
      </w:r>
    </w:p>
    <w:p>
      <w:pPr>
        <w:pStyle w:val="BodyText"/>
        <w:ind w:left="0"/>
        <w:rPr>
          <w:sz w:val="22"/>
        </w:rPr>
      </w:pPr>
    </w:p>
    <w:p>
      <w:pPr>
        <w:pStyle w:val="BodyText"/>
        <w:ind w:left="0"/>
        <w:rPr>
          <w:sz w:val="18"/>
        </w:rPr>
      </w:pPr>
    </w:p>
    <w:p>
      <w:pPr>
        <w:pStyle w:val="ListParagraph"/>
        <w:numPr>
          <w:ilvl w:val="0"/>
          <w:numId w:val="1"/>
        </w:numPr>
        <w:tabs>
          <w:tab w:pos="1367" w:val="left" w:leader="none"/>
          <w:tab w:pos="1369" w:val="left" w:leader="none"/>
        </w:tabs>
        <w:spacing w:line="352" w:lineRule="auto" w:before="0" w:after="0"/>
        <w:ind w:left="1368" w:right="359" w:hanging="567"/>
        <w:jc w:val="left"/>
        <w:rPr>
          <w:sz w:val="20"/>
        </w:rPr>
      </w:pPr>
      <w:r>
        <w:rPr>
          <w:sz w:val="20"/>
        </w:rPr>
        <w:t>the supervision of the safety and soundness of banks, and the place of rules and discretion in that</w:t>
      </w:r>
    </w:p>
    <w:p>
      <w:pPr>
        <w:pStyle w:val="ListParagraph"/>
        <w:numPr>
          <w:ilvl w:val="0"/>
          <w:numId w:val="1"/>
        </w:numPr>
        <w:tabs>
          <w:tab w:pos="1367" w:val="left" w:leader="none"/>
          <w:tab w:pos="1369" w:val="left" w:leader="none"/>
        </w:tabs>
        <w:spacing w:line="352" w:lineRule="auto" w:before="5" w:after="0"/>
        <w:ind w:left="1368" w:right="117" w:hanging="567"/>
        <w:jc w:val="left"/>
        <w:rPr>
          <w:sz w:val="20"/>
        </w:rPr>
      </w:pPr>
      <w:r>
        <w:rPr>
          <w:sz w:val="20"/>
        </w:rPr>
        <w:t>expectations of what the central bank can and should achieve as a macro policymaker, and</w:t>
      </w:r>
      <w:r>
        <w:rPr>
          <w:spacing w:val="-21"/>
          <w:sz w:val="20"/>
        </w:rPr>
        <w:t> </w:t>
      </w:r>
      <w:r>
        <w:rPr>
          <w:sz w:val="20"/>
        </w:rPr>
        <w:t>how society can monitor that</w:t>
      </w:r>
      <w:r>
        <w:rPr>
          <w:spacing w:val="-5"/>
          <w:sz w:val="20"/>
        </w:rPr>
        <w:t> </w:t>
      </w:r>
      <w:r>
        <w:rPr>
          <w:sz w:val="20"/>
        </w:rPr>
        <w:t>role</w:t>
      </w:r>
    </w:p>
    <w:p>
      <w:pPr>
        <w:pStyle w:val="ListParagraph"/>
        <w:numPr>
          <w:ilvl w:val="0"/>
          <w:numId w:val="1"/>
        </w:numPr>
        <w:tabs>
          <w:tab w:pos="1367" w:val="left" w:leader="none"/>
          <w:tab w:pos="1369" w:val="left" w:leader="none"/>
        </w:tabs>
        <w:spacing w:line="352" w:lineRule="auto" w:before="5" w:after="0"/>
        <w:ind w:left="1368" w:right="1162" w:hanging="567"/>
        <w:jc w:val="left"/>
        <w:rPr>
          <w:sz w:val="20"/>
        </w:rPr>
      </w:pPr>
      <w:r>
        <w:rPr>
          <w:sz w:val="20"/>
        </w:rPr>
        <w:t>how the central bank’s relationship with the business community plays out in a</w:t>
      </w:r>
      <w:r>
        <w:rPr>
          <w:spacing w:val="-17"/>
          <w:sz w:val="20"/>
        </w:rPr>
        <w:t> </w:t>
      </w:r>
      <w:r>
        <w:rPr>
          <w:sz w:val="20"/>
        </w:rPr>
        <w:t>wider international, indeed global,</w:t>
      </w:r>
      <w:r>
        <w:rPr>
          <w:spacing w:val="-5"/>
          <w:sz w:val="20"/>
        </w:rPr>
        <w:t> </w:t>
      </w:r>
      <w:r>
        <w:rPr>
          <w:sz w:val="20"/>
        </w:rPr>
        <w:t>setting.</w:t>
      </w:r>
    </w:p>
    <w:p>
      <w:pPr>
        <w:pStyle w:val="BodyText"/>
        <w:spacing w:before="5"/>
        <w:ind w:left="0"/>
        <w:rPr>
          <w:sz w:val="30"/>
        </w:rPr>
      </w:pPr>
    </w:p>
    <w:p>
      <w:pPr>
        <w:pStyle w:val="BodyText"/>
        <w:spacing w:line="360" w:lineRule="auto" w:before="1"/>
        <w:ind w:left="234" w:right="376"/>
      </w:pPr>
      <w:r>
        <w:rPr/>
        <w:t>Before getting to the substance, I should say first that the Bank is releasing a text comprising a few bullet points around which I shall frame my remarks; and second, that I am speaking for myself this evening and not for any of the policy committees, domestic or international, of which I am a member.</w:t>
      </w:r>
    </w:p>
    <w:p>
      <w:pPr>
        <w:spacing w:after="0" w:line="360" w:lineRule="auto"/>
        <w:sectPr>
          <w:footerReference w:type="default" r:id="rId7"/>
          <w:pgSz w:w="11900" w:h="16840"/>
          <w:pgMar w:footer="1340" w:header="0" w:top="1540" w:bottom="1540" w:left="900" w:right="1020"/>
          <w:pgNumType w:start="2"/>
        </w:sectPr>
      </w:pPr>
    </w:p>
    <w:p>
      <w:pPr>
        <w:spacing w:before="77"/>
        <w:ind w:left="234" w:right="0" w:firstLine="0"/>
        <w:jc w:val="left"/>
        <w:rPr>
          <w:b/>
          <w:sz w:val="20"/>
        </w:rPr>
      </w:pPr>
      <w:r>
        <w:rPr>
          <w:b/>
          <w:sz w:val="20"/>
          <w:u w:val="thick"/>
        </w:rPr>
        <w:t>Speaking notes</w:t>
      </w:r>
    </w:p>
    <w:p>
      <w:pPr>
        <w:pStyle w:val="BodyText"/>
        <w:ind w:left="0"/>
        <w:rPr>
          <w:b/>
        </w:rPr>
      </w:pPr>
    </w:p>
    <w:p>
      <w:pPr>
        <w:pStyle w:val="BodyText"/>
        <w:spacing w:before="10"/>
        <w:ind w:left="0"/>
        <w:rPr>
          <w:b/>
          <w:sz w:val="19"/>
        </w:rPr>
      </w:pPr>
    </w:p>
    <w:p>
      <w:pPr>
        <w:pStyle w:val="BodyText"/>
        <w:ind w:left="234"/>
      </w:pPr>
      <w:r>
        <w:rPr>
          <w:u w:val="single"/>
        </w:rPr>
        <w:t>Part 1: Prudential regulation of financial firms: rules versus discretion</w:t>
      </w:r>
    </w:p>
    <w:p>
      <w:pPr>
        <w:pStyle w:val="BodyText"/>
        <w:ind w:left="0"/>
      </w:pPr>
    </w:p>
    <w:p>
      <w:pPr>
        <w:pStyle w:val="BodyText"/>
        <w:ind w:left="0"/>
      </w:pPr>
    </w:p>
    <w:p>
      <w:pPr>
        <w:pStyle w:val="ListParagraph"/>
        <w:numPr>
          <w:ilvl w:val="0"/>
          <w:numId w:val="2"/>
        </w:numPr>
        <w:tabs>
          <w:tab w:pos="953" w:val="left" w:leader="none"/>
          <w:tab w:pos="955" w:val="left" w:leader="none"/>
        </w:tabs>
        <w:spacing w:line="352" w:lineRule="auto" w:before="0" w:after="0"/>
        <w:ind w:left="954" w:right="141" w:hanging="360"/>
        <w:jc w:val="left"/>
        <w:rPr>
          <w:sz w:val="20"/>
        </w:rPr>
      </w:pPr>
      <w:r>
        <w:rPr>
          <w:sz w:val="20"/>
        </w:rPr>
        <w:t>Bank of England is once again the prudential supervisor of banks. And this time of building societies and insurance companies</w:t>
      </w:r>
      <w:r>
        <w:rPr>
          <w:spacing w:val="-4"/>
          <w:sz w:val="20"/>
        </w:rPr>
        <w:t> </w:t>
      </w:r>
      <w:r>
        <w:rPr>
          <w:sz w:val="20"/>
        </w:rPr>
        <w:t>too.</w:t>
      </w:r>
    </w:p>
    <w:p>
      <w:pPr>
        <w:pStyle w:val="ListParagraph"/>
        <w:numPr>
          <w:ilvl w:val="0"/>
          <w:numId w:val="2"/>
        </w:numPr>
        <w:tabs>
          <w:tab w:pos="953" w:val="left" w:leader="none"/>
          <w:tab w:pos="955" w:val="left" w:leader="none"/>
        </w:tabs>
        <w:spacing w:line="352" w:lineRule="auto" w:before="5" w:after="0"/>
        <w:ind w:left="954" w:right="518" w:hanging="360"/>
        <w:jc w:val="left"/>
        <w:rPr>
          <w:sz w:val="20"/>
        </w:rPr>
      </w:pPr>
      <w:r>
        <w:rPr>
          <w:sz w:val="20"/>
        </w:rPr>
        <w:t>Prominence given in public debate to the Bank absolutely not adopting a ‘tick box’ approach, but instead a ‘judgment-based’ approach. This has been widely</w:t>
      </w:r>
      <w:r>
        <w:rPr>
          <w:spacing w:val="-12"/>
          <w:sz w:val="20"/>
        </w:rPr>
        <w:t> </w:t>
      </w:r>
      <w:r>
        <w:rPr>
          <w:sz w:val="20"/>
        </w:rPr>
        <w:t>applauded.</w:t>
      </w:r>
    </w:p>
    <w:p>
      <w:pPr>
        <w:pStyle w:val="ListParagraph"/>
        <w:numPr>
          <w:ilvl w:val="0"/>
          <w:numId w:val="2"/>
        </w:numPr>
        <w:tabs>
          <w:tab w:pos="955" w:val="left" w:leader="none"/>
        </w:tabs>
        <w:spacing w:line="357" w:lineRule="auto" w:before="5" w:after="0"/>
        <w:ind w:left="954" w:right="154" w:hanging="361"/>
        <w:jc w:val="both"/>
        <w:rPr>
          <w:sz w:val="20"/>
        </w:rPr>
      </w:pPr>
      <w:r>
        <w:rPr>
          <w:sz w:val="20"/>
        </w:rPr>
        <w:t>In fact, market practitioners tend to be schizophrenic about it. For a couple of decades at least, they have called for ‘certainty’ whenever any specific, isolated policy area is being reformed; ie clear and complete rules. But taking the resulting monstrous rule books as a whole, senior practitioners</w:t>
      </w:r>
      <w:r>
        <w:rPr>
          <w:spacing w:val="-22"/>
          <w:sz w:val="20"/>
        </w:rPr>
        <w:t> </w:t>
      </w:r>
      <w:r>
        <w:rPr>
          <w:sz w:val="20"/>
        </w:rPr>
        <w:t>rightly condemn the ‘tick box’ regulation that almost inevitably</w:t>
      </w:r>
      <w:r>
        <w:rPr>
          <w:spacing w:val="-12"/>
          <w:sz w:val="20"/>
        </w:rPr>
        <w:t> </w:t>
      </w:r>
      <w:r>
        <w:rPr>
          <w:sz w:val="20"/>
        </w:rPr>
        <w:t>results.</w:t>
      </w:r>
    </w:p>
    <w:p>
      <w:pPr>
        <w:pStyle w:val="ListParagraph"/>
        <w:numPr>
          <w:ilvl w:val="0"/>
          <w:numId w:val="2"/>
        </w:numPr>
        <w:tabs>
          <w:tab w:pos="953" w:val="left" w:leader="none"/>
          <w:tab w:pos="955" w:val="left" w:leader="none"/>
        </w:tabs>
        <w:spacing w:line="355" w:lineRule="auto" w:before="1" w:after="0"/>
        <w:ind w:left="954" w:right="297" w:hanging="360"/>
        <w:jc w:val="left"/>
        <w:rPr>
          <w:sz w:val="20"/>
        </w:rPr>
      </w:pPr>
      <w:r>
        <w:rPr>
          <w:sz w:val="20"/>
        </w:rPr>
        <w:t>And leaders of firms have hardly stopped their staff from making a living finding ways around rules: endemic regulatory arbitrage was at the heart of so-called ‘shadow banking’ in the run up to the crisis.</w:t>
      </w:r>
    </w:p>
    <w:p>
      <w:pPr>
        <w:pStyle w:val="ListParagraph"/>
        <w:numPr>
          <w:ilvl w:val="0"/>
          <w:numId w:val="2"/>
        </w:numPr>
        <w:tabs>
          <w:tab w:pos="953" w:val="left" w:leader="none"/>
          <w:tab w:pos="955" w:val="left" w:leader="none"/>
        </w:tabs>
        <w:spacing w:line="357" w:lineRule="auto" w:before="4" w:after="0"/>
        <w:ind w:left="954" w:right="443" w:hanging="360"/>
        <w:jc w:val="left"/>
        <w:rPr>
          <w:sz w:val="20"/>
        </w:rPr>
      </w:pPr>
      <w:r>
        <w:rPr>
          <w:sz w:val="20"/>
        </w:rPr>
        <w:t>Step back to consider the public policy purpose. Contrast prudential supervision with securities regulation as traditionally conceived. Latter works on basis of: write rules; check compliance with those rules; punish breaches. If the rules proved to be flawed, they should still be enforced, for credibility’s sake; but later changes should be made to the</w:t>
      </w:r>
      <w:r>
        <w:rPr>
          <w:spacing w:val="-17"/>
          <w:sz w:val="20"/>
        </w:rPr>
        <w:t> </w:t>
      </w:r>
      <w:r>
        <w:rPr>
          <w:sz w:val="20"/>
        </w:rPr>
        <w:t>rules.</w:t>
      </w:r>
    </w:p>
    <w:p>
      <w:pPr>
        <w:pStyle w:val="ListParagraph"/>
        <w:numPr>
          <w:ilvl w:val="0"/>
          <w:numId w:val="2"/>
        </w:numPr>
        <w:tabs>
          <w:tab w:pos="953" w:val="left" w:leader="none"/>
          <w:tab w:pos="955" w:val="left" w:leader="none"/>
        </w:tabs>
        <w:spacing w:line="357" w:lineRule="auto" w:before="1" w:after="0"/>
        <w:ind w:left="954" w:right="268" w:hanging="361"/>
        <w:jc w:val="left"/>
        <w:rPr>
          <w:sz w:val="20"/>
        </w:rPr>
      </w:pPr>
      <w:r>
        <w:rPr>
          <w:sz w:val="20"/>
        </w:rPr>
        <w:t>Animating spirit of ‘prudential supervision’ is completely different. Impossible to write down a complete (or even adequate) set of binding rules on the financial health of a bank (or on the substance of the professional competence of bankers). Instead, things like capital ratios or liquidity ratios are really </w:t>
      </w:r>
      <w:r>
        <w:rPr>
          <w:sz w:val="20"/>
          <w:u w:val="single"/>
        </w:rPr>
        <w:t>indicators</w:t>
      </w:r>
      <w:r>
        <w:rPr>
          <w:sz w:val="20"/>
        </w:rPr>
        <w:t> of financial</w:t>
      </w:r>
      <w:r>
        <w:rPr>
          <w:spacing w:val="-7"/>
          <w:sz w:val="20"/>
        </w:rPr>
        <w:t> </w:t>
      </w:r>
      <w:r>
        <w:rPr>
          <w:sz w:val="20"/>
        </w:rPr>
        <w:t>health.</w:t>
      </w:r>
    </w:p>
    <w:p>
      <w:pPr>
        <w:pStyle w:val="ListParagraph"/>
        <w:numPr>
          <w:ilvl w:val="0"/>
          <w:numId w:val="2"/>
        </w:numPr>
        <w:tabs>
          <w:tab w:pos="953" w:val="left" w:leader="none"/>
          <w:tab w:pos="955" w:val="left" w:leader="none"/>
        </w:tabs>
        <w:spacing w:line="357" w:lineRule="auto" w:before="0" w:after="0"/>
        <w:ind w:left="953" w:right="208" w:hanging="360"/>
        <w:jc w:val="left"/>
        <w:rPr>
          <w:sz w:val="20"/>
        </w:rPr>
      </w:pPr>
      <w:r>
        <w:rPr>
          <w:sz w:val="20"/>
        </w:rPr>
        <w:t>This is reminiscent of an old debate in monetary policy. Thirty-odd years ago, policy was meant more or less mechanically to follow targets for broad or narrow monetary aggregates. It didn’t work: the economic world was not sufficiently stable. Since we adopted inflation targeting, central banks have had an eclectic approach to indicators. We are constrained by a clear medium-term objective (2% CPI target), but do </w:t>
      </w:r>
      <w:r>
        <w:rPr>
          <w:sz w:val="20"/>
          <w:u w:val="single"/>
        </w:rPr>
        <w:t>not</w:t>
      </w:r>
      <w:r>
        <w:rPr>
          <w:sz w:val="20"/>
        </w:rPr>
        <w:t> use a set of supposedly fool-proof core intermediate</w:t>
      </w:r>
      <w:r>
        <w:rPr>
          <w:spacing w:val="-40"/>
          <w:sz w:val="20"/>
        </w:rPr>
        <w:t> </w:t>
      </w:r>
      <w:r>
        <w:rPr>
          <w:sz w:val="20"/>
        </w:rPr>
        <w:t>indicators.</w:t>
      </w:r>
    </w:p>
    <w:p>
      <w:pPr>
        <w:pStyle w:val="ListParagraph"/>
        <w:numPr>
          <w:ilvl w:val="0"/>
          <w:numId w:val="2"/>
        </w:numPr>
        <w:tabs>
          <w:tab w:pos="953" w:val="left" w:leader="none"/>
          <w:tab w:pos="955" w:val="left" w:leader="none"/>
        </w:tabs>
        <w:spacing w:line="240" w:lineRule="auto" w:before="3" w:after="0"/>
        <w:ind w:left="954" w:right="0" w:hanging="362"/>
        <w:jc w:val="left"/>
        <w:rPr>
          <w:sz w:val="20"/>
        </w:rPr>
      </w:pPr>
      <w:r>
        <w:rPr>
          <w:sz w:val="20"/>
        </w:rPr>
        <w:t>No more can we write down hard and fast rules on bank balance</w:t>
      </w:r>
      <w:r>
        <w:rPr>
          <w:spacing w:val="-16"/>
          <w:sz w:val="20"/>
        </w:rPr>
        <w:t> </w:t>
      </w:r>
      <w:r>
        <w:rPr>
          <w:sz w:val="20"/>
        </w:rPr>
        <w:t>sheets.</w:t>
      </w:r>
    </w:p>
    <w:p>
      <w:pPr>
        <w:pStyle w:val="ListParagraph"/>
        <w:numPr>
          <w:ilvl w:val="0"/>
          <w:numId w:val="2"/>
        </w:numPr>
        <w:tabs>
          <w:tab w:pos="953" w:val="left" w:leader="none"/>
          <w:tab w:pos="955" w:val="left" w:leader="none"/>
        </w:tabs>
        <w:spacing w:line="355" w:lineRule="auto" w:before="113" w:after="0"/>
        <w:ind w:left="954" w:right="174" w:hanging="361"/>
        <w:jc w:val="left"/>
        <w:rPr>
          <w:sz w:val="20"/>
        </w:rPr>
      </w:pPr>
      <w:r>
        <w:rPr>
          <w:sz w:val="20"/>
        </w:rPr>
        <w:t>Nor, consistent with Parliament’s wishes, is the Prudential Regulation Authority seeking to achieve a zero failure regime. The failure of individual firms has to be an acceptable outcome so long as they can be wound down in an orderly</w:t>
      </w:r>
      <w:r>
        <w:rPr>
          <w:spacing w:val="-9"/>
          <w:sz w:val="20"/>
        </w:rPr>
        <w:t> </w:t>
      </w:r>
      <w:r>
        <w:rPr>
          <w:sz w:val="20"/>
        </w:rPr>
        <w:t>way.</w:t>
      </w:r>
    </w:p>
    <w:p>
      <w:pPr>
        <w:pStyle w:val="ListParagraph"/>
        <w:numPr>
          <w:ilvl w:val="0"/>
          <w:numId w:val="2"/>
        </w:numPr>
        <w:tabs>
          <w:tab w:pos="953" w:val="left" w:leader="none"/>
          <w:tab w:pos="955" w:val="left" w:leader="none"/>
        </w:tabs>
        <w:spacing w:line="240" w:lineRule="auto" w:before="5" w:after="0"/>
        <w:ind w:left="954" w:right="0" w:hanging="361"/>
        <w:jc w:val="left"/>
        <w:rPr>
          <w:sz w:val="20"/>
        </w:rPr>
      </w:pPr>
      <w:r>
        <w:rPr>
          <w:sz w:val="20"/>
        </w:rPr>
        <w:t>So the PRA’s approach to prudential supervision entails making judgments of the</w:t>
      </w:r>
      <w:r>
        <w:rPr>
          <w:spacing w:val="-14"/>
          <w:sz w:val="20"/>
        </w:rPr>
        <w:t> </w:t>
      </w:r>
      <w:r>
        <w:rPr>
          <w:sz w:val="20"/>
        </w:rPr>
        <w:t>kind:</w:t>
      </w:r>
    </w:p>
    <w:p>
      <w:pPr>
        <w:pStyle w:val="ListParagraph"/>
        <w:numPr>
          <w:ilvl w:val="1"/>
          <w:numId w:val="2"/>
        </w:numPr>
        <w:tabs>
          <w:tab w:pos="2033" w:val="left" w:leader="none"/>
          <w:tab w:pos="2035" w:val="left" w:leader="none"/>
        </w:tabs>
        <w:spacing w:line="240" w:lineRule="auto" w:before="114" w:after="0"/>
        <w:ind w:left="2034" w:right="0" w:hanging="361"/>
        <w:jc w:val="left"/>
        <w:rPr>
          <w:sz w:val="20"/>
        </w:rPr>
      </w:pPr>
      <w:r>
        <w:rPr>
          <w:sz w:val="20"/>
        </w:rPr>
        <w:t>your bank isn’t as strong as you think it</w:t>
      </w:r>
      <w:r>
        <w:rPr>
          <w:spacing w:val="-9"/>
          <w:sz w:val="20"/>
        </w:rPr>
        <w:t> </w:t>
      </w:r>
      <w:r>
        <w:rPr>
          <w:sz w:val="20"/>
        </w:rPr>
        <w:t>is</w:t>
      </w:r>
    </w:p>
    <w:p>
      <w:pPr>
        <w:pStyle w:val="ListParagraph"/>
        <w:numPr>
          <w:ilvl w:val="1"/>
          <w:numId w:val="2"/>
        </w:numPr>
        <w:tabs>
          <w:tab w:pos="2033" w:val="left" w:leader="none"/>
          <w:tab w:pos="2035" w:val="left" w:leader="none"/>
        </w:tabs>
        <w:spacing w:line="240" w:lineRule="auto" w:before="115" w:after="0"/>
        <w:ind w:left="2034" w:right="0" w:hanging="361"/>
        <w:jc w:val="left"/>
        <w:rPr>
          <w:sz w:val="20"/>
        </w:rPr>
      </w:pPr>
      <w:r>
        <w:rPr>
          <w:sz w:val="20"/>
        </w:rPr>
        <w:t>cut back on the risk in your</w:t>
      </w:r>
      <w:r>
        <w:rPr>
          <w:spacing w:val="-8"/>
          <w:sz w:val="20"/>
        </w:rPr>
        <w:t> </w:t>
      </w:r>
      <w:r>
        <w:rPr>
          <w:sz w:val="20"/>
        </w:rPr>
        <w:t>book</w:t>
      </w:r>
    </w:p>
    <w:p>
      <w:pPr>
        <w:pStyle w:val="ListParagraph"/>
        <w:numPr>
          <w:ilvl w:val="1"/>
          <w:numId w:val="2"/>
        </w:numPr>
        <w:tabs>
          <w:tab w:pos="2033" w:val="left" w:leader="none"/>
          <w:tab w:pos="2035" w:val="left" w:leader="none"/>
        </w:tabs>
        <w:spacing w:line="240" w:lineRule="auto" w:before="113" w:after="0"/>
        <w:ind w:left="2034" w:right="0" w:hanging="361"/>
        <w:jc w:val="left"/>
        <w:rPr>
          <w:sz w:val="20"/>
        </w:rPr>
      </w:pPr>
      <w:r>
        <w:rPr>
          <w:sz w:val="20"/>
        </w:rPr>
        <w:t>I’m afraid you’re not fit to run the</w:t>
      </w:r>
      <w:r>
        <w:rPr>
          <w:spacing w:val="-10"/>
          <w:sz w:val="20"/>
        </w:rPr>
        <w:t> </w:t>
      </w:r>
      <w:r>
        <w:rPr>
          <w:sz w:val="20"/>
        </w:rPr>
        <w:t>bank</w:t>
      </w:r>
    </w:p>
    <w:p>
      <w:pPr>
        <w:pStyle w:val="ListParagraph"/>
        <w:numPr>
          <w:ilvl w:val="1"/>
          <w:numId w:val="2"/>
        </w:numPr>
        <w:tabs>
          <w:tab w:pos="2033" w:val="left" w:leader="none"/>
          <w:tab w:pos="2035" w:val="left" w:leader="none"/>
        </w:tabs>
        <w:spacing w:line="240" w:lineRule="auto" w:before="115" w:after="0"/>
        <w:ind w:left="2034" w:right="0" w:hanging="361"/>
        <w:jc w:val="left"/>
        <w:rPr>
          <w:sz w:val="20"/>
        </w:rPr>
      </w:pPr>
      <w:r>
        <w:rPr>
          <w:sz w:val="20"/>
        </w:rPr>
        <w:t>your business could not be resolved in an orderly way if it</w:t>
      </w:r>
      <w:r>
        <w:rPr>
          <w:spacing w:val="-22"/>
          <w:sz w:val="20"/>
        </w:rPr>
        <w:t> </w:t>
      </w:r>
      <w:r>
        <w:rPr>
          <w:sz w:val="20"/>
        </w:rPr>
        <w:t>fails.</w:t>
      </w:r>
    </w:p>
    <w:p>
      <w:pPr>
        <w:spacing w:after="0" w:line="240" w:lineRule="auto"/>
        <w:jc w:val="left"/>
        <w:rPr>
          <w:sz w:val="20"/>
        </w:rPr>
        <w:sectPr>
          <w:pgSz w:w="11900" w:h="16840"/>
          <w:pgMar w:header="0" w:footer="1340" w:top="1540" w:bottom="1540" w:left="900" w:right="1020"/>
        </w:sectPr>
      </w:pPr>
    </w:p>
    <w:p>
      <w:pPr>
        <w:pStyle w:val="ListParagraph"/>
        <w:numPr>
          <w:ilvl w:val="0"/>
          <w:numId w:val="2"/>
        </w:numPr>
        <w:tabs>
          <w:tab w:pos="953" w:val="left" w:leader="none"/>
          <w:tab w:pos="955" w:val="left" w:leader="none"/>
        </w:tabs>
        <w:spacing w:line="352" w:lineRule="auto" w:before="75" w:after="0"/>
        <w:ind w:left="953" w:right="287" w:hanging="360"/>
        <w:jc w:val="left"/>
        <w:rPr>
          <w:sz w:val="20"/>
        </w:rPr>
      </w:pPr>
      <w:r>
        <w:rPr>
          <w:sz w:val="20"/>
        </w:rPr>
        <w:t>This shift from rules to judgment changes the relationship between the regulator and business,</w:t>
      </w:r>
      <w:r>
        <w:rPr>
          <w:spacing w:val="-22"/>
          <w:sz w:val="20"/>
        </w:rPr>
        <w:t> </w:t>
      </w:r>
      <w:r>
        <w:rPr>
          <w:sz w:val="20"/>
        </w:rPr>
        <w:t>and is an important example of what this series of talks is</w:t>
      </w:r>
      <w:r>
        <w:rPr>
          <w:spacing w:val="-17"/>
          <w:sz w:val="20"/>
        </w:rPr>
        <w:t> </w:t>
      </w:r>
      <w:r>
        <w:rPr>
          <w:sz w:val="20"/>
        </w:rPr>
        <w:t>about.</w:t>
      </w:r>
    </w:p>
    <w:p>
      <w:pPr>
        <w:pStyle w:val="ListParagraph"/>
        <w:numPr>
          <w:ilvl w:val="0"/>
          <w:numId w:val="2"/>
        </w:numPr>
        <w:tabs>
          <w:tab w:pos="953" w:val="left" w:leader="none"/>
          <w:tab w:pos="955" w:val="left" w:leader="none"/>
        </w:tabs>
        <w:spacing w:line="352" w:lineRule="auto" w:before="5" w:after="0"/>
        <w:ind w:left="953" w:right="187" w:hanging="360"/>
        <w:jc w:val="left"/>
        <w:rPr>
          <w:sz w:val="20"/>
        </w:rPr>
      </w:pPr>
      <w:r>
        <w:rPr>
          <w:sz w:val="20"/>
        </w:rPr>
        <w:t>Challenge is how to make a judgment-based approach acceptable when we use it in earnest. Is our society really ready again for judgments from the Old</w:t>
      </w:r>
      <w:r>
        <w:rPr>
          <w:spacing w:val="-10"/>
          <w:sz w:val="20"/>
        </w:rPr>
        <w:t> </w:t>
      </w:r>
      <w:r>
        <w:rPr>
          <w:sz w:val="20"/>
        </w:rPr>
        <w:t>Lady?</w:t>
      </w:r>
    </w:p>
    <w:p>
      <w:pPr>
        <w:pStyle w:val="ListParagraph"/>
        <w:numPr>
          <w:ilvl w:val="0"/>
          <w:numId w:val="2"/>
        </w:numPr>
        <w:tabs>
          <w:tab w:pos="953" w:val="left" w:leader="none"/>
          <w:tab w:pos="955" w:val="left" w:leader="none"/>
        </w:tabs>
        <w:spacing w:line="350" w:lineRule="auto" w:before="6" w:after="0"/>
        <w:ind w:left="954" w:right="485" w:hanging="361"/>
        <w:jc w:val="left"/>
        <w:rPr>
          <w:sz w:val="20"/>
        </w:rPr>
      </w:pPr>
      <w:r>
        <w:rPr>
          <w:sz w:val="20"/>
        </w:rPr>
        <w:t>Part of the solution is public law. The Bank </w:t>
      </w:r>
      <w:r>
        <w:rPr>
          <w:sz w:val="20"/>
          <w:u w:val="single"/>
        </w:rPr>
        <w:t>must</w:t>
      </w:r>
      <w:r>
        <w:rPr>
          <w:sz w:val="20"/>
        </w:rPr>
        <w:t> follow due process when it deploys its statutory powers, and that is subject to judicial review in the courts and appeal</w:t>
      </w:r>
      <w:r>
        <w:rPr>
          <w:spacing w:val="-29"/>
          <w:sz w:val="20"/>
        </w:rPr>
        <w:t> </w:t>
      </w:r>
      <w:r>
        <w:rPr>
          <w:sz w:val="20"/>
        </w:rPr>
        <w:t>tribunals.</w:t>
      </w:r>
    </w:p>
    <w:p>
      <w:pPr>
        <w:pStyle w:val="ListParagraph"/>
        <w:numPr>
          <w:ilvl w:val="0"/>
          <w:numId w:val="2"/>
        </w:numPr>
        <w:tabs>
          <w:tab w:pos="953" w:val="left" w:leader="none"/>
          <w:tab w:pos="955" w:val="left" w:leader="none"/>
        </w:tabs>
        <w:spacing w:line="357" w:lineRule="auto" w:before="10" w:after="0"/>
        <w:ind w:left="954" w:right="141" w:hanging="360"/>
        <w:jc w:val="left"/>
        <w:rPr>
          <w:sz w:val="20"/>
        </w:rPr>
      </w:pPr>
      <w:r>
        <w:rPr>
          <w:sz w:val="20"/>
        </w:rPr>
        <w:t>But there is also a wider question about how society as a whole will keep us accountable or, more simply, just see what is going on during the periods, sometimes years, in which banks do not fail and the financial waters are – or at least seem to be – calm. Which brings me to our monetary and macroprudential roles, which indirectly touch every business, and household, in the</w:t>
      </w:r>
      <w:r>
        <w:rPr>
          <w:spacing w:val="-28"/>
          <w:sz w:val="20"/>
        </w:rPr>
        <w:t> </w:t>
      </w:r>
      <w:r>
        <w:rPr>
          <w:sz w:val="20"/>
        </w:rPr>
        <w:t>country.</w:t>
      </w:r>
    </w:p>
    <w:p>
      <w:pPr>
        <w:spacing w:after="0" w:line="357" w:lineRule="auto"/>
        <w:jc w:val="left"/>
        <w:rPr>
          <w:sz w:val="20"/>
        </w:rPr>
        <w:sectPr>
          <w:pgSz w:w="11900" w:h="16840"/>
          <w:pgMar w:header="0" w:footer="1340" w:top="1540" w:bottom="1540" w:left="900" w:right="1020"/>
        </w:sectPr>
      </w:pPr>
    </w:p>
    <w:p>
      <w:pPr>
        <w:pStyle w:val="BodyText"/>
        <w:spacing w:before="76"/>
        <w:ind w:left="234"/>
      </w:pPr>
      <w:r>
        <w:rPr>
          <w:u w:val="single"/>
        </w:rPr>
        <w:t>Part 2: The central bank’s relationship with businesses in the wider economy</w:t>
      </w:r>
    </w:p>
    <w:p>
      <w:pPr>
        <w:pStyle w:val="BodyText"/>
        <w:ind w:left="0"/>
      </w:pPr>
    </w:p>
    <w:p>
      <w:pPr>
        <w:pStyle w:val="BodyText"/>
        <w:spacing w:before="11"/>
        <w:ind w:left="0"/>
        <w:rPr>
          <w:sz w:val="19"/>
        </w:rPr>
      </w:pPr>
    </w:p>
    <w:p>
      <w:pPr>
        <w:pStyle w:val="ListParagraph"/>
        <w:numPr>
          <w:ilvl w:val="0"/>
          <w:numId w:val="2"/>
        </w:numPr>
        <w:tabs>
          <w:tab w:pos="953" w:val="left" w:leader="none"/>
          <w:tab w:pos="955" w:val="left" w:leader="none"/>
        </w:tabs>
        <w:spacing w:line="355" w:lineRule="auto" w:before="0" w:after="0"/>
        <w:ind w:left="954" w:right="332" w:hanging="360"/>
        <w:jc w:val="left"/>
        <w:rPr>
          <w:sz w:val="20"/>
        </w:rPr>
      </w:pPr>
      <w:r>
        <w:rPr>
          <w:sz w:val="20"/>
        </w:rPr>
        <w:t>Central</w:t>
      </w:r>
      <w:r>
        <w:rPr>
          <w:spacing w:val="-4"/>
          <w:sz w:val="20"/>
        </w:rPr>
        <w:t> </w:t>
      </w:r>
      <w:r>
        <w:rPr>
          <w:sz w:val="20"/>
        </w:rPr>
        <w:t>bank</w:t>
      </w:r>
      <w:r>
        <w:rPr>
          <w:spacing w:val="-4"/>
          <w:sz w:val="20"/>
        </w:rPr>
        <w:t> </w:t>
      </w:r>
      <w:r>
        <w:rPr>
          <w:sz w:val="20"/>
        </w:rPr>
        <w:t>charged</w:t>
      </w:r>
      <w:r>
        <w:rPr>
          <w:spacing w:val="-4"/>
          <w:sz w:val="20"/>
        </w:rPr>
        <w:t> </w:t>
      </w:r>
      <w:r>
        <w:rPr>
          <w:sz w:val="20"/>
        </w:rPr>
        <w:t>with</w:t>
      </w:r>
      <w:r>
        <w:rPr>
          <w:spacing w:val="-4"/>
          <w:sz w:val="20"/>
        </w:rPr>
        <w:t> </w:t>
      </w:r>
      <w:r>
        <w:rPr>
          <w:sz w:val="20"/>
        </w:rPr>
        <w:t>achieving</w:t>
      </w:r>
      <w:r>
        <w:rPr>
          <w:spacing w:val="-4"/>
          <w:sz w:val="20"/>
        </w:rPr>
        <w:t> </w:t>
      </w:r>
      <w:r>
        <w:rPr>
          <w:sz w:val="20"/>
        </w:rPr>
        <w:t>and</w:t>
      </w:r>
      <w:r>
        <w:rPr>
          <w:spacing w:val="-3"/>
          <w:sz w:val="20"/>
        </w:rPr>
        <w:t> </w:t>
      </w:r>
      <w:r>
        <w:rPr>
          <w:sz w:val="20"/>
        </w:rPr>
        <w:t>preserving</w:t>
      </w:r>
      <w:r>
        <w:rPr>
          <w:spacing w:val="-4"/>
          <w:sz w:val="20"/>
        </w:rPr>
        <w:t> </w:t>
      </w:r>
      <w:r>
        <w:rPr>
          <w:sz w:val="20"/>
        </w:rPr>
        <w:t>stability</w:t>
      </w:r>
      <w:r>
        <w:rPr>
          <w:spacing w:val="-4"/>
          <w:sz w:val="20"/>
        </w:rPr>
        <w:t> </w:t>
      </w:r>
      <w:r>
        <w:rPr>
          <w:sz w:val="20"/>
        </w:rPr>
        <w:t>–</w:t>
      </w:r>
      <w:r>
        <w:rPr>
          <w:spacing w:val="-3"/>
          <w:sz w:val="20"/>
        </w:rPr>
        <w:t> </w:t>
      </w:r>
      <w:r>
        <w:rPr>
          <w:sz w:val="20"/>
        </w:rPr>
        <w:t>stability</w:t>
      </w:r>
      <w:r>
        <w:rPr>
          <w:spacing w:val="-4"/>
          <w:sz w:val="20"/>
        </w:rPr>
        <w:t> </w:t>
      </w:r>
      <w:r>
        <w:rPr>
          <w:sz w:val="20"/>
        </w:rPr>
        <w:t>in</w:t>
      </w:r>
      <w:r>
        <w:rPr>
          <w:spacing w:val="-3"/>
          <w:sz w:val="20"/>
        </w:rPr>
        <w:t> </w:t>
      </w:r>
      <w:r>
        <w:rPr>
          <w:sz w:val="20"/>
        </w:rPr>
        <w:t>the</w:t>
      </w:r>
      <w:r>
        <w:rPr>
          <w:spacing w:val="-3"/>
          <w:sz w:val="20"/>
        </w:rPr>
        <w:t> </w:t>
      </w:r>
      <w:r>
        <w:rPr>
          <w:sz w:val="20"/>
        </w:rPr>
        <w:t>(internal)</w:t>
      </w:r>
      <w:r>
        <w:rPr>
          <w:spacing w:val="-4"/>
          <w:sz w:val="20"/>
        </w:rPr>
        <w:t> </w:t>
      </w:r>
      <w:r>
        <w:rPr>
          <w:sz w:val="20"/>
        </w:rPr>
        <w:t>value</w:t>
      </w:r>
      <w:r>
        <w:rPr>
          <w:spacing w:val="-4"/>
          <w:sz w:val="20"/>
        </w:rPr>
        <w:t> </w:t>
      </w:r>
      <w:r>
        <w:rPr>
          <w:sz w:val="20"/>
        </w:rPr>
        <w:t>of</w:t>
      </w:r>
      <w:r>
        <w:rPr>
          <w:spacing w:val="-4"/>
          <w:sz w:val="20"/>
        </w:rPr>
        <w:t> </w:t>
      </w:r>
      <w:r>
        <w:rPr>
          <w:sz w:val="20"/>
        </w:rPr>
        <w:t>the currency and stability in the financial system. </w:t>
      </w:r>
      <w:r>
        <w:rPr>
          <w:sz w:val="20"/>
          <w:u w:val="single"/>
        </w:rPr>
        <w:t>Medium-term</w:t>
      </w:r>
      <w:r>
        <w:rPr>
          <w:sz w:val="20"/>
        </w:rPr>
        <w:t> goals, requiring a medium-term perspective.</w:t>
      </w:r>
    </w:p>
    <w:p>
      <w:pPr>
        <w:pStyle w:val="ListParagraph"/>
        <w:numPr>
          <w:ilvl w:val="0"/>
          <w:numId w:val="2"/>
        </w:numPr>
        <w:tabs>
          <w:tab w:pos="955" w:val="left" w:leader="none"/>
        </w:tabs>
        <w:spacing w:line="355" w:lineRule="auto" w:before="5" w:after="0"/>
        <w:ind w:left="954" w:right="110" w:hanging="360"/>
        <w:jc w:val="both"/>
        <w:rPr>
          <w:sz w:val="20"/>
        </w:rPr>
      </w:pPr>
      <w:r>
        <w:rPr>
          <w:sz w:val="20"/>
        </w:rPr>
        <w:t>But what we do affects the path of the economy in the short run. On the one hand, that is why these tasks are entrusted to unelected officials in central banks: to solve the time-consistency problem. On the other hand, society is rightly hugely interested</w:t>
      </w:r>
      <w:r>
        <w:rPr>
          <w:spacing w:val="-12"/>
          <w:sz w:val="20"/>
        </w:rPr>
        <w:t> </w:t>
      </w:r>
      <w:r>
        <w:rPr>
          <w:sz w:val="20"/>
        </w:rPr>
        <w:t>in</w:t>
      </w:r>
    </w:p>
    <w:p>
      <w:pPr>
        <w:pStyle w:val="ListParagraph"/>
        <w:numPr>
          <w:ilvl w:val="1"/>
          <w:numId w:val="2"/>
        </w:numPr>
        <w:tabs>
          <w:tab w:pos="2035" w:val="left" w:leader="none"/>
        </w:tabs>
        <w:spacing w:line="240" w:lineRule="auto" w:before="5" w:after="0"/>
        <w:ind w:left="2034" w:right="0" w:hanging="361"/>
        <w:jc w:val="both"/>
        <w:rPr>
          <w:sz w:val="20"/>
        </w:rPr>
      </w:pPr>
      <w:r>
        <w:rPr>
          <w:sz w:val="20"/>
        </w:rPr>
        <w:t>how unelected central bankers manage any short-term</w:t>
      </w:r>
      <w:r>
        <w:rPr>
          <w:spacing w:val="-14"/>
          <w:sz w:val="20"/>
        </w:rPr>
        <w:t> </w:t>
      </w:r>
      <w:r>
        <w:rPr>
          <w:sz w:val="20"/>
        </w:rPr>
        <w:t>trade-offs</w:t>
      </w:r>
    </w:p>
    <w:p>
      <w:pPr>
        <w:pStyle w:val="ListParagraph"/>
        <w:numPr>
          <w:ilvl w:val="1"/>
          <w:numId w:val="2"/>
        </w:numPr>
        <w:tabs>
          <w:tab w:pos="2035" w:val="left" w:leader="none"/>
        </w:tabs>
        <w:spacing w:line="357" w:lineRule="auto" w:before="115" w:after="0"/>
        <w:ind w:left="2034" w:right="172" w:hanging="360"/>
        <w:jc w:val="both"/>
        <w:rPr>
          <w:sz w:val="20"/>
        </w:rPr>
      </w:pPr>
      <w:r>
        <w:rPr>
          <w:sz w:val="20"/>
        </w:rPr>
        <w:t>how to satisfy itself that we are not deviating from the medium-term goals we have been given.</w:t>
      </w:r>
    </w:p>
    <w:p>
      <w:pPr>
        <w:pStyle w:val="ListParagraph"/>
        <w:numPr>
          <w:ilvl w:val="0"/>
          <w:numId w:val="2"/>
        </w:numPr>
        <w:tabs>
          <w:tab w:pos="953" w:val="left" w:leader="none"/>
          <w:tab w:pos="955" w:val="left" w:leader="none"/>
        </w:tabs>
        <w:spacing w:line="357" w:lineRule="auto" w:before="3" w:after="0"/>
        <w:ind w:left="954" w:right="120" w:hanging="360"/>
        <w:jc w:val="left"/>
        <w:rPr>
          <w:sz w:val="20"/>
        </w:rPr>
      </w:pPr>
      <w:r>
        <w:rPr>
          <w:sz w:val="20"/>
        </w:rPr>
        <w:t>In monetary sphere, the solution has been a quantified, well-defined medium-term objective for inflation combined with transparency. Everyone is now used to this, but remember that transparency in monetary policy is a relatively new phenomenon. Less than 20 years ago, the US FOMC did not even announce its policy</w:t>
      </w:r>
      <w:r>
        <w:rPr>
          <w:spacing w:val="-5"/>
          <w:sz w:val="20"/>
        </w:rPr>
        <w:t> </w:t>
      </w:r>
      <w:r>
        <w:rPr>
          <w:sz w:val="20"/>
        </w:rPr>
        <w:t>rate.</w:t>
      </w:r>
    </w:p>
    <w:p>
      <w:pPr>
        <w:pStyle w:val="ListParagraph"/>
        <w:numPr>
          <w:ilvl w:val="0"/>
          <w:numId w:val="2"/>
        </w:numPr>
        <w:tabs>
          <w:tab w:pos="953" w:val="left" w:leader="none"/>
          <w:tab w:pos="955" w:val="left" w:leader="none"/>
        </w:tabs>
        <w:spacing w:line="240" w:lineRule="auto" w:before="0" w:after="0"/>
        <w:ind w:left="954" w:right="0" w:hanging="361"/>
        <w:jc w:val="left"/>
        <w:rPr>
          <w:sz w:val="20"/>
        </w:rPr>
      </w:pPr>
      <w:r>
        <w:rPr>
          <w:sz w:val="20"/>
        </w:rPr>
        <w:t>Transparency works well for monetary policy because almost everything can be</w:t>
      </w:r>
      <w:r>
        <w:rPr>
          <w:spacing w:val="-19"/>
          <w:sz w:val="20"/>
        </w:rPr>
        <w:t> </w:t>
      </w:r>
      <w:r>
        <w:rPr>
          <w:sz w:val="20"/>
        </w:rPr>
        <w:t>published.</w:t>
      </w:r>
    </w:p>
    <w:p>
      <w:pPr>
        <w:pStyle w:val="ListParagraph"/>
        <w:numPr>
          <w:ilvl w:val="0"/>
          <w:numId w:val="2"/>
        </w:numPr>
        <w:tabs>
          <w:tab w:pos="953" w:val="left" w:leader="none"/>
          <w:tab w:pos="955" w:val="left" w:leader="none"/>
        </w:tabs>
        <w:spacing w:line="357" w:lineRule="auto" w:before="114" w:after="0"/>
        <w:ind w:left="954" w:right="267" w:hanging="361"/>
        <w:jc w:val="left"/>
        <w:rPr>
          <w:sz w:val="20"/>
        </w:rPr>
      </w:pPr>
      <w:r>
        <w:rPr>
          <w:sz w:val="20"/>
        </w:rPr>
        <w:t>And even there it is always possible to make improvements. Latest </w:t>
      </w:r>
      <w:r>
        <w:rPr>
          <w:i/>
          <w:sz w:val="20"/>
        </w:rPr>
        <w:t>Inflation Report </w:t>
      </w:r>
      <w:r>
        <w:rPr>
          <w:sz w:val="20"/>
        </w:rPr>
        <w:t>package contains new charts, richer indicators. And following a new Remit from HMG, MPC is being</w:t>
      </w:r>
      <w:r>
        <w:rPr>
          <w:spacing w:val="-25"/>
          <w:sz w:val="20"/>
        </w:rPr>
        <w:t> </w:t>
      </w:r>
      <w:r>
        <w:rPr>
          <w:sz w:val="20"/>
        </w:rPr>
        <w:t>clearer about how we assess short-term trade-offs between growth and inflation in a way that is faithful to our medium-term inflation</w:t>
      </w:r>
      <w:r>
        <w:rPr>
          <w:spacing w:val="-5"/>
          <w:sz w:val="20"/>
        </w:rPr>
        <w:t> </w:t>
      </w:r>
      <w:r>
        <w:rPr>
          <w:sz w:val="20"/>
        </w:rPr>
        <w:t>objective.</w:t>
      </w:r>
    </w:p>
    <w:p>
      <w:pPr>
        <w:pStyle w:val="ListParagraph"/>
        <w:numPr>
          <w:ilvl w:val="0"/>
          <w:numId w:val="2"/>
        </w:numPr>
        <w:tabs>
          <w:tab w:pos="953" w:val="left" w:leader="none"/>
          <w:tab w:pos="955" w:val="left" w:leader="none"/>
        </w:tabs>
        <w:spacing w:line="357" w:lineRule="auto" w:before="0" w:after="0"/>
        <w:ind w:left="954" w:right="175" w:hanging="360"/>
        <w:jc w:val="left"/>
        <w:rPr>
          <w:sz w:val="20"/>
        </w:rPr>
      </w:pPr>
      <w:r>
        <w:rPr>
          <w:sz w:val="20"/>
        </w:rPr>
        <w:t>That doesn’t tackle biggest issue of all. Central banks can, to a degree, smooth the necessary adjustment of economies and so create time for households, firms, governments to strengthen their balance sheets where necessary and adjust to shifts in the relative pattern of demand for goods and services. That is what is going on in the West now. But obviously central banks cannot force others to act. And our actions can make delay</w:t>
      </w:r>
      <w:r>
        <w:rPr>
          <w:spacing w:val="-12"/>
          <w:sz w:val="20"/>
        </w:rPr>
        <w:t> </w:t>
      </w:r>
      <w:r>
        <w:rPr>
          <w:sz w:val="20"/>
        </w:rPr>
        <w:t>seductive.</w:t>
      </w:r>
    </w:p>
    <w:p>
      <w:pPr>
        <w:pStyle w:val="ListParagraph"/>
        <w:numPr>
          <w:ilvl w:val="0"/>
          <w:numId w:val="2"/>
        </w:numPr>
        <w:tabs>
          <w:tab w:pos="953" w:val="left" w:leader="none"/>
          <w:tab w:pos="955" w:val="left" w:leader="none"/>
        </w:tabs>
        <w:spacing w:line="240" w:lineRule="auto" w:before="2" w:after="0"/>
        <w:ind w:left="954" w:right="0" w:hanging="361"/>
        <w:jc w:val="left"/>
        <w:rPr>
          <w:sz w:val="20"/>
        </w:rPr>
      </w:pPr>
      <w:r>
        <w:rPr>
          <w:sz w:val="20"/>
        </w:rPr>
        <w:t>Given central banks’ responsibility to explain, we can nudge but we must stay within our</w:t>
      </w:r>
      <w:r>
        <w:rPr>
          <w:spacing w:val="-35"/>
          <w:sz w:val="20"/>
        </w:rPr>
        <w:t> </w:t>
      </w:r>
      <w:r>
        <w:rPr>
          <w:sz w:val="20"/>
        </w:rPr>
        <w:t>remit.</w:t>
      </w:r>
    </w:p>
    <w:p>
      <w:pPr>
        <w:pStyle w:val="ListParagraph"/>
        <w:numPr>
          <w:ilvl w:val="0"/>
          <w:numId w:val="2"/>
        </w:numPr>
        <w:tabs>
          <w:tab w:pos="953" w:val="left" w:leader="none"/>
          <w:tab w:pos="955" w:val="left" w:leader="none"/>
        </w:tabs>
        <w:spacing w:line="357" w:lineRule="auto" w:before="114" w:after="0"/>
        <w:ind w:left="954" w:right="153" w:hanging="360"/>
        <w:jc w:val="left"/>
        <w:rPr>
          <w:sz w:val="20"/>
        </w:rPr>
      </w:pPr>
      <w:r>
        <w:rPr>
          <w:sz w:val="20"/>
        </w:rPr>
        <w:t>In the present crisis, part of the real-side adjustment is needed within the banking system. For that the Bank of England does have a special role. Through the new Financial Policy Committee (FPC), we have been pressing the banking industry to adjust given the external threats, as sound banks</w:t>
      </w:r>
      <w:r>
        <w:rPr>
          <w:spacing w:val="-27"/>
          <w:sz w:val="20"/>
        </w:rPr>
        <w:t> </w:t>
      </w:r>
      <w:r>
        <w:rPr>
          <w:sz w:val="20"/>
        </w:rPr>
        <w:t>are needed for sustainable</w:t>
      </w:r>
      <w:r>
        <w:rPr>
          <w:spacing w:val="-4"/>
          <w:sz w:val="20"/>
        </w:rPr>
        <w:t> </w:t>
      </w:r>
      <w:r>
        <w:rPr>
          <w:sz w:val="20"/>
        </w:rPr>
        <w:t>recovery.</w:t>
      </w:r>
    </w:p>
    <w:p>
      <w:pPr>
        <w:pStyle w:val="ListParagraph"/>
        <w:numPr>
          <w:ilvl w:val="0"/>
          <w:numId w:val="2"/>
        </w:numPr>
        <w:tabs>
          <w:tab w:pos="953" w:val="left" w:leader="none"/>
          <w:tab w:pos="955" w:val="left" w:leader="none"/>
        </w:tabs>
        <w:spacing w:line="357" w:lineRule="auto" w:before="0" w:after="0"/>
        <w:ind w:left="954" w:right="176" w:hanging="361"/>
        <w:jc w:val="left"/>
        <w:rPr>
          <w:sz w:val="20"/>
        </w:rPr>
      </w:pPr>
      <w:r>
        <w:rPr>
          <w:sz w:val="20"/>
        </w:rPr>
        <w:t>This represents the first intervention of so-called macro-prudential policy. Can view the role of the FPC as being to ensure that the need for stability in the financial system is not overlooked. Looking ahead, this will mean keeping the regulatory regime up-to-date as the financial system evolves and, when the time comes, ‘taking away the punchbowl’ before the next party gets as dangerously out of control as the last one</w:t>
      </w:r>
      <w:r>
        <w:rPr>
          <w:spacing w:val="-7"/>
          <w:sz w:val="20"/>
        </w:rPr>
        <w:t> </w:t>
      </w:r>
      <w:r>
        <w:rPr>
          <w:sz w:val="20"/>
        </w:rPr>
        <w:t>did.</w:t>
      </w:r>
    </w:p>
    <w:p>
      <w:pPr>
        <w:pStyle w:val="ListParagraph"/>
        <w:numPr>
          <w:ilvl w:val="0"/>
          <w:numId w:val="2"/>
        </w:numPr>
        <w:tabs>
          <w:tab w:pos="955" w:val="left" w:leader="none"/>
        </w:tabs>
        <w:spacing w:line="355" w:lineRule="auto" w:before="3" w:after="0"/>
        <w:ind w:left="954" w:right="321" w:hanging="360"/>
        <w:jc w:val="both"/>
        <w:rPr>
          <w:sz w:val="20"/>
        </w:rPr>
      </w:pPr>
      <w:r>
        <w:rPr>
          <w:sz w:val="20"/>
        </w:rPr>
        <w:t>The case for operational independence here is just as strong as for monetary policy. Taking Away The Punchbowl is something that requires a medium-term orientation. Parliament can tie us to the mast and rely on us not to seek to wriggle</w:t>
      </w:r>
      <w:r>
        <w:rPr>
          <w:spacing w:val="-15"/>
          <w:sz w:val="20"/>
        </w:rPr>
        <w:t> </w:t>
      </w:r>
      <w:r>
        <w:rPr>
          <w:sz w:val="20"/>
        </w:rPr>
        <w:t>free.</w:t>
      </w:r>
    </w:p>
    <w:p>
      <w:pPr>
        <w:spacing w:after="0" w:line="355" w:lineRule="auto"/>
        <w:jc w:val="both"/>
        <w:rPr>
          <w:sz w:val="20"/>
        </w:rPr>
        <w:sectPr>
          <w:pgSz w:w="11900" w:h="16840"/>
          <w:pgMar w:header="0" w:footer="1340" w:top="1540" w:bottom="1540" w:left="900" w:right="1020"/>
        </w:sectPr>
      </w:pPr>
    </w:p>
    <w:p>
      <w:pPr>
        <w:pStyle w:val="ListParagraph"/>
        <w:numPr>
          <w:ilvl w:val="0"/>
          <w:numId w:val="2"/>
        </w:numPr>
        <w:tabs>
          <w:tab w:pos="955" w:val="left" w:leader="none"/>
        </w:tabs>
        <w:spacing w:line="352" w:lineRule="auto" w:before="75" w:after="0"/>
        <w:ind w:left="953" w:right="221" w:hanging="360"/>
        <w:jc w:val="both"/>
        <w:rPr>
          <w:sz w:val="20"/>
        </w:rPr>
      </w:pPr>
      <w:r>
        <w:rPr>
          <w:sz w:val="20"/>
        </w:rPr>
        <w:t>But,</w:t>
      </w:r>
      <w:r>
        <w:rPr>
          <w:spacing w:val="-4"/>
          <w:sz w:val="20"/>
        </w:rPr>
        <w:t> </w:t>
      </w:r>
      <w:r>
        <w:rPr>
          <w:sz w:val="20"/>
        </w:rPr>
        <w:t>as</w:t>
      </w:r>
      <w:r>
        <w:rPr>
          <w:spacing w:val="-4"/>
          <w:sz w:val="20"/>
        </w:rPr>
        <w:t> </w:t>
      </w:r>
      <w:r>
        <w:rPr>
          <w:sz w:val="20"/>
        </w:rPr>
        <w:t>with</w:t>
      </w:r>
      <w:r>
        <w:rPr>
          <w:spacing w:val="-4"/>
          <w:sz w:val="20"/>
        </w:rPr>
        <w:t> </w:t>
      </w:r>
      <w:r>
        <w:rPr>
          <w:sz w:val="20"/>
        </w:rPr>
        <w:t>monetary</w:t>
      </w:r>
      <w:r>
        <w:rPr>
          <w:spacing w:val="-4"/>
          <w:sz w:val="20"/>
        </w:rPr>
        <w:t> </w:t>
      </w:r>
      <w:r>
        <w:rPr>
          <w:sz w:val="20"/>
        </w:rPr>
        <w:t>policy,</w:t>
      </w:r>
      <w:r>
        <w:rPr>
          <w:spacing w:val="-4"/>
          <w:sz w:val="20"/>
        </w:rPr>
        <w:t> </w:t>
      </w:r>
      <w:r>
        <w:rPr>
          <w:sz w:val="20"/>
        </w:rPr>
        <w:t>this</w:t>
      </w:r>
      <w:r>
        <w:rPr>
          <w:spacing w:val="-4"/>
          <w:sz w:val="20"/>
        </w:rPr>
        <w:t> </w:t>
      </w:r>
      <w:r>
        <w:rPr>
          <w:sz w:val="20"/>
        </w:rPr>
        <w:t>makes</w:t>
      </w:r>
      <w:r>
        <w:rPr>
          <w:spacing w:val="-4"/>
          <w:sz w:val="20"/>
        </w:rPr>
        <w:t> </w:t>
      </w:r>
      <w:r>
        <w:rPr>
          <w:sz w:val="20"/>
        </w:rPr>
        <w:t>it</w:t>
      </w:r>
      <w:r>
        <w:rPr>
          <w:spacing w:val="-4"/>
          <w:sz w:val="20"/>
        </w:rPr>
        <w:t> </w:t>
      </w:r>
      <w:r>
        <w:rPr>
          <w:sz w:val="20"/>
        </w:rPr>
        <w:t>vital</w:t>
      </w:r>
      <w:r>
        <w:rPr>
          <w:spacing w:val="-4"/>
          <w:sz w:val="20"/>
        </w:rPr>
        <w:t> </w:t>
      </w:r>
      <w:r>
        <w:rPr>
          <w:sz w:val="20"/>
        </w:rPr>
        <w:t>that</w:t>
      </w:r>
      <w:r>
        <w:rPr>
          <w:spacing w:val="-3"/>
          <w:sz w:val="20"/>
        </w:rPr>
        <w:t> </w:t>
      </w:r>
      <w:r>
        <w:rPr>
          <w:sz w:val="20"/>
        </w:rPr>
        <w:t>Parliament</w:t>
      </w:r>
      <w:r>
        <w:rPr>
          <w:spacing w:val="-4"/>
          <w:sz w:val="20"/>
        </w:rPr>
        <w:t> </w:t>
      </w:r>
      <w:r>
        <w:rPr>
          <w:sz w:val="20"/>
        </w:rPr>
        <w:t>frames</w:t>
      </w:r>
      <w:r>
        <w:rPr>
          <w:spacing w:val="-4"/>
          <w:sz w:val="20"/>
        </w:rPr>
        <w:t> </w:t>
      </w:r>
      <w:r>
        <w:rPr>
          <w:sz w:val="20"/>
        </w:rPr>
        <w:t>the</w:t>
      </w:r>
      <w:r>
        <w:rPr>
          <w:spacing w:val="-4"/>
          <w:sz w:val="20"/>
        </w:rPr>
        <w:t> </w:t>
      </w:r>
      <w:r>
        <w:rPr>
          <w:sz w:val="20"/>
        </w:rPr>
        <w:t>objective</w:t>
      </w:r>
      <w:r>
        <w:rPr>
          <w:spacing w:val="-4"/>
          <w:sz w:val="20"/>
        </w:rPr>
        <w:t> </w:t>
      </w:r>
      <w:r>
        <w:rPr>
          <w:sz w:val="20"/>
        </w:rPr>
        <w:t>and</w:t>
      </w:r>
      <w:r>
        <w:rPr>
          <w:spacing w:val="-4"/>
          <w:sz w:val="20"/>
        </w:rPr>
        <w:t> </w:t>
      </w:r>
      <w:r>
        <w:rPr>
          <w:sz w:val="20"/>
        </w:rPr>
        <w:t>that</w:t>
      </w:r>
      <w:r>
        <w:rPr>
          <w:spacing w:val="-4"/>
          <w:sz w:val="20"/>
        </w:rPr>
        <w:t> </w:t>
      </w:r>
      <w:r>
        <w:rPr>
          <w:sz w:val="20"/>
        </w:rPr>
        <w:t>we</w:t>
      </w:r>
      <w:r>
        <w:rPr>
          <w:spacing w:val="-4"/>
          <w:sz w:val="20"/>
        </w:rPr>
        <w:t> </w:t>
      </w:r>
      <w:r>
        <w:rPr>
          <w:sz w:val="20"/>
        </w:rPr>
        <w:t>are sufficiently transparent to enable ex ante public</w:t>
      </w:r>
      <w:r>
        <w:rPr>
          <w:spacing w:val="-13"/>
          <w:sz w:val="20"/>
        </w:rPr>
        <w:t> </w:t>
      </w:r>
      <w:r>
        <w:rPr>
          <w:sz w:val="20"/>
        </w:rPr>
        <w:t>accountability.</w:t>
      </w:r>
    </w:p>
    <w:p>
      <w:pPr>
        <w:pStyle w:val="ListParagraph"/>
        <w:numPr>
          <w:ilvl w:val="0"/>
          <w:numId w:val="2"/>
        </w:numPr>
        <w:tabs>
          <w:tab w:pos="955" w:val="left" w:leader="none"/>
        </w:tabs>
        <w:spacing w:line="355" w:lineRule="auto" w:before="5" w:after="0"/>
        <w:ind w:left="953" w:right="244" w:hanging="360"/>
        <w:jc w:val="both"/>
        <w:rPr>
          <w:sz w:val="20"/>
        </w:rPr>
      </w:pPr>
      <w:r>
        <w:rPr>
          <w:sz w:val="20"/>
          <w:u w:val="single"/>
        </w:rPr>
        <w:t>Objective</w:t>
      </w:r>
      <w:r>
        <w:rPr>
          <w:sz w:val="20"/>
        </w:rPr>
        <w:t>: The legislation governing the FPC is clear that resilience of the system as a whole is the primary goal but that we must not aim for the stability of the graveyard. Resilience is not quantified, however.</w:t>
      </w:r>
    </w:p>
    <w:p>
      <w:pPr>
        <w:pStyle w:val="ListParagraph"/>
        <w:numPr>
          <w:ilvl w:val="0"/>
          <w:numId w:val="2"/>
        </w:numPr>
        <w:tabs>
          <w:tab w:pos="953" w:val="left" w:leader="none"/>
          <w:tab w:pos="955" w:val="left" w:leader="none"/>
        </w:tabs>
        <w:spacing w:line="355" w:lineRule="auto" w:before="6" w:after="0"/>
        <w:ind w:left="953" w:right="362" w:hanging="360"/>
        <w:jc w:val="left"/>
        <w:rPr>
          <w:i/>
          <w:sz w:val="20"/>
        </w:rPr>
      </w:pPr>
      <w:r>
        <w:rPr>
          <w:sz w:val="20"/>
          <w:u w:val="single"/>
        </w:rPr>
        <w:t>Transparency</w:t>
      </w:r>
      <w:r>
        <w:rPr>
          <w:sz w:val="20"/>
        </w:rPr>
        <w:t>: While respecting the confidentiality of data on individual firms, FPC is required by Parliament to be as transparent as possible – via the published Record of our policy meetings and the twice-yearly </w:t>
      </w:r>
      <w:r>
        <w:rPr>
          <w:i/>
          <w:sz w:val="20"/>
        </w:rPr>
        <w:t>Financial Stability</w:t>
      </w:r>
      <w:r>
        <w:rPr>
          <w:i/>
          <w:spacing w:val="-6"/>
          <w:sz w:val="20"/>
        </w:rPr>
        <w:t> </w:t>
      </w:r>
      <w:r>
        <w:rPr>
          <w:i/>
          <w:sz w:val="20"/>
        </w:rPr>
        <w:t>Report.</w:t>
      </w:r>
    </w:p>
    <w:p>
      <w:pPr>
        <w:pStyle w:val="ListParagraph"/>
        <w:numPr>
          <w:ilvl w:val="0"/>
          <w:numId w:val="2"/>
        </w:numPr>
        <w:tabs>
          <w:tab w:pos="953" w:val="left" w:leader="none"/>
          <w:tab w:pos="955" w:val="left" w:leader="none"/>
        </w:tabs>
        <w:spacing w:line="357" w:lineRule="auto" w:before="5" w:after="0"/>
        <w:ind w:left="953" w:right="197" w:hanging="360"/>
        <w:jc w:val="left"/>
        <w:rPr>
          <w:sz w:val="20"/>
        </w:rPr>
      </w:pPr>
      <w:r>
        <w:rPr>
          <w:sz w:val="20"/>
        </w:rPr>
        <w:t>This is the background to the FPC calling on the Bank to develop a regime for stress testing to be used for both micro and macro prudential supervision. (Part of a much bigger project that is needed for policymakers to gauge just how much stress our economy can take at any time without serious adverse consequences, and what to do about</w:t>
      </w:r>
      <w:r>
        <w:rPr>
          <w:spacing w:val="-11"/>
          <w:sz w:val="20"/>
        </w:rPr>
        <w:t> </w:t>
      </w:r>
      <w:r>
        <w:rPr>
          <w:sz w:val="20"/>
        </w:rPr>
        <w:t>it.)</w:t>
      </w:r>
    </w:p>
    <w:p>
      <w:pPr>
        <w:pStyle w:val="ListParagraph"/>
        <w:numPr>
          <w:ilvl w:val="0"/>
          <w:numId w:val="2"/>
        </w:numPr>
        <w:tabs>
          <w:tab w:pos="955" w:val="left" w:leader="none"/>
        </w:tabs>
        <w:spacing w:line="355" w:lineRule="auto" w:before="0" w:after="0"/>
        <w:ind w:left="953" w:right="475" w:hanging="360"/>
        <w:jc w:val="both"/>
        <w:rPr>
          <w:sz w:val="20"/>
        </w:rPr>
      </w:pPr>
      <w:r>
        <w:rPr>
          <w:sz w:val="20"/>
        </w:rPr>
        <w:t>One possibility is for FPC to use stress tests to define the degree of resilience the system needs. Maybe that could become to financial stability what forecasting is to monetary policy. In the USA and elsewhere the results of such stress tests have been</w:t>
      </w:r>
      <w:r>
        <w:rPr>
          <w:spacing w:val="-12"/>
          <w:sz w:val="20"/>
        </w:rPr>
        <w:t> </w:t>
      </w:r>
      <w:r>
        <w:rPr>
          <w:sz w:val="20"/>
        </w:rPr>
        <w:t>published.</w:t>
      </w:r>
    </w:p>
    <w:p>
      <w:pPr>
        <w:pStyle w:val="ListParagraph"/>
        <w:numPr>
          <w:ilvl w:val="0"/>
          <w:numId w:val="2"/>
        </w:numPr>
        <w:tabs>
          <w:tab w:pos="955" w:val="left" w:leader="none"/>
        </w:tabs>
        <w:spacing w:line="352" w:lineRule="auto" w:before="5" w:after="0"/>
        <w:ind w:left="953" w:right="277" w:hanging="360"/>
        <w:jc w:val="both"/>
        <w:rPr>
          <w:sz w:val="20"/>
        </w:rPr>
      </w:pPr>
      <w:r>
        <w:rPr>
          <w:sz w:val="20"/>
        </w:rPr>
        <w:t>That represents quite a change in regime for regulated firms. But neither the markets nor the</w:t>
      </w:r>
      <w:r>
        <w:rPr>
          <w:spacing w:val="-24"/>
          <w:sz w:val="20"/>
        </w:rPr>
        <w:t> </w:t>
      </w:r>
      <w:r>
        <w:rPr>
          <w:sz w:val="20"/>
        </w:rPr>
        <w:t>public was comfortable with the degree of secrecy on these matters in the</w:t>
      </w:r>
      <w:r>
        <w:rPr>
          <w:spacing w:val="-15"/>
          <w:sz w:val="20"/>
        </w:rPr>
        <w:t> </w:t>
      </w:r>
      <w:r>
        <w:rPr>
          <w:sz w:val="20"/>
        </w:rPr>
        <w:t>past.</w:t>
      </w:r>
    </w:p>
    <w:p>
      <w:pPr>
        <w:pStyle w:val="ListParagraph"/>
        <w:numPr>
          <w:ilvl w:val="0"/>
          <w:numId w:val="2"/>
        </w:numPr>
        <w:tabs>
          <w:tab w:pos="955" w:val="left" w:leader="none"/>
        </w:tabs>
        <w:spacing w:line="355" w:lineRule="auto" w:before="6" w:after="0"/>
        <w:ind w:left="954" w:right="110" w:hanging="361"/>
        <w:jc w:val="both"/>
        <w:rPr>
          <w:sz w:val="20"/>
        </w:rPr>
      </w:pPr>
      <w:r>
        <w:rPr>
          <w:sz w:val="20"/>
        </w:rPr>
        <w:t>It does, though, pose the question of what happens when a firm ‘fails’ a stress test. And at this point, I</w:t>
      </w:r>
      <w:r>
        <w:rPr>
          <w:spacing w:val="-5"/>
          <w:sz w:val="20"/>
        </w:rPr>
        <w:t> </w:t>
      </w:r>
      <w:r>
        <w:rPr>
          <w:sz w:val="20"/>
        </w:rPr>
        <w:t>need</w:t>
      </w:r>
      <w:r>
        <w:rPr>
          <w:spacing w:val="-5"/>
          <w:sz w:val="20"/>
        </w:rPr>
        <w:t> </w:t>
      </w:r>
      <w:r>
        <w:rPr>
          <w:sz w:val="20"/>
        </w:rPr>
        <w:t>to</w:t>
      </w:r>
      <w:r>
        <w:rPr>
          <w:spacing w:val="-4"/>
          <w:sz w:val="20"/>
        </w:rPr>
        <w:t> </w:t>
      </w:r>
      <w:r>
        <w:rPr>
          <w:sz w:val="20"/>
        </w:rPr>
        <w:t>broaden</w:t>
      </w:r>
      <w:r>
        <w:rPr>
          <w:spacing w:val="-5"/>
          <w:sz w:val="20"/>
        </w:rPr>
        <w:t> </w:t>
      </w:r>
      <w:r>
        <w:rPr>
          <w:sz w:val="20"/>
        </w:rPr>
        <w:t>these</w:t>
      </w:r>
      <w:r>
        <w:rPr>
          <w:spacing w:val="-4"/>
          <w:sz w:val="20"/>
        </w:rPr>
        <w:t> </w:t>
      </w:r>
      <w:r>
        <w:rPr>
          <w:sz w:val="20"/>
        </w:rPr>
        <w:t>remarks</w:t>
      </w:r>
      <w:r>
        <w:rPr>
          <w:spacing w:val="-5"/>
          <w:sz w:val="20"/>
        </w:rPr>
        <w:t> </w:t>
      </w:r>
      <w:r>
        <w:rPr>
          <w:sz w:val="20"/>
        </w:rPr>
        <w:t>to</w:t>
      </w:r>
      <w:r>
        <w:rPr>
          <w:spacing w:val="-4"/>
          <w:sz w:val="20"/>
        </w:rPr>
        <w:t> </w:t>
      </w:r>
      <w:r>
        <w:rPr>
          <w:sz w:val="20"/>
        </w:rPr>
        <w:t>the</w:t>
      </w:r>
      <w:r>
        <w:rPr>
          <w:spacing w:val="-5"/>
          <w:sz w:val="20"/>
        </w:rPr>
        <w:t> </w:t>
      </w:r>
      <w:r>
        <w:rPr>
          <w:sz w:val="20"/>
        </w:rPr>
        <w:t>international</w:t>
      </w:r>
      <w:r>
        <w:rPr>
          <w:spacing w:val="-3"/>
          <w:sz w:val="20"/>
        </w:rPr>
        <w:t> </w:t>
      </w:r>
      <w:r>
        <w:rPr>
          <w:sz w:val="20"/>
        </w:rPr>
        <w:t>scene</w:t>
      </w:r>
      <w:r>
        <w:rPr>
          <w:spacing w:val="-4"/>
          <w:sz w:val="20"/>
        </w:rPr>
        <w:t> </w:t>
      </w:r>
      <w:r>
        <w:rPr>
          <w:sz w:val="20"/>
        </w:rPr>
        <w:t>and</w:t>
      </w:r>
      <w:r>
        <w:rPr>
          <w:spacing w:val="-5"/>
          <w:sz w:val="20"/>
        </w:rPr>
        <w:t> </w:t>
      </w:r>
      <w:r>
        <w:rPr>
          <w:sz w:val="20"/>
        </w:rPr>
        <w:t>how</w:t>
      </w:r>
      <w:r>
        <w:rPr>
          <w:spacing w:val="-4"/>
          <w:sz w:val="20"/>
        </w:rPr>
        <w:t> </w:t>
      </w:r>
      <w:r>
        <w:rPr>
          <w:sz w:val="20"/>
        </w:rPr>
        <w:t>that</w:t>
      </w:r>
      <w:r>
        <w:rPr>
          <w:spacing w:val="-4"/>
          <w:sz w:val="20"/>
        </w:rPr>
        <w:t> </w:t>
      </w:r>
      <w:r>
        <w:rPr>
          <w:sz w:val="20"/>
        </w:rPr>
        <w:t>is</w:t>
      </w:r>
      <w:r>
        <w:rPr>
          <w:spacing w:val="-5"/>
          <w:sz w:val="20"/>
        </w:rPr>
        <w:t> </w:t>
      </w:r>
      <w:r>
        <w:rPr>
          <w:sz w:val="20"/>
        </w:rPr>
        <w:t>affecting</w:t>
      </w:r>
      <w:r>
        <w:rPr>
          <w:spacing w:val="-4"/>
          <w:sz w:val="20"/>
        </w:rPr>
        <w:t> </w:t>
      </w:r>
      <w:r>
        <w:rPr>
          <w:sz w:val="20"/>
        </w:rPr>
        <w:t>our</w:t>
      </w:r>
      <w:r>
        <w:rPr>
          <w:spacing w:val="-5"/>
          <w:sz w:val="20"/>
        </w:rPr>
        <w:t> </w:t>
      </w:r>
      <w:r>
        <w:rPr>
          <w:sz w:val="20"/>
        </w:rPr>
        <w:t>relationships with</w:t>
      </w:r>
      <w:r>
        <w:rPr>
          <w:spacing w:val="-2"/>
          <w:sz w:val="20"/>
        </w:rPr>
        <w:t> </w:t>
      </w:r>
      <w:r>
        <w:rPr>
          <w:sz w:val="20"/>
        </w:rPr>
        <w:t>business.</w:t>
      </w:r>
    </w:p>
    <w:p>
      <w:pPr>
        <w:spacing w:after="0" w:line="355" w:lineRule="auto"/>
        <w:jc w:val="both"/>
        <w:rPr>
          <w:sz w:val="20"/>
        </w:rPr>
        <w:sectPr>
          <w:pgSz w:w="11900" w:h="16840"/>
          <w:pgMar w:header="0" w:footer="1340" w:top="1540" w:bottom="1540" w:left="900" w:right="1020"/>
        </w:sectPr>
      </w:pPr>
    </w:p>
    <w:p>
      <w:pPr>
        <w:pStyle w:val="BodyText"/>
        <w:spacing w:before="76"/>
        <w:ind w:left="234"/>
      </w:pPr>
      <w:r>
        <w:rPr>
          <w:u w:val="single"/>
        </w:rPr>
        <w:t>Part 3: Policy in a global setting</w:t>
      </w:r>
    </w:p>
    <w:p>
      <w:pPr>
        <w:pStyle w:val="BodyText"/>
        <w:ind w:left="0"/>
      </w:pPr>
    </w:p>
    <w:p>
      <w:pPr>
        <w:pStyle w:val="BodyText"/>
        <w:spacing w:before="11"/>
        <w:ind w:left="0"/>
        <w:rPr>
          <w:sz w:val="19"/>
        </w:rPr>
      </w:pPr>
    </w:p>
    <w:p>
      <w:pPr>
        <w:pStyle w:val="ListParagraph"/>
        <w:numPr>
          <w:ilvl w:val="0"/>
          <w:numId w:val="2"/>
        </w:numPr>
        <w:tabs>
          <w:tab w:pos="953" w:val="left" w:leader="none"/>
          <w:tab w:pos="955" w:val="left" w:leader="none"/>
        </w:tabs>
        <w:spacing w:line="352" w:lineRule="auto" w:before="0" w:after="0"/>
        <w:ind w:left="954" w:right="821" w:hanging="361"/>
        <w:jc w:val="left"/>
        <w:rPr>
          <w:sz w:val="20"/>
        </w:rPr>
      </w:pPr>
      <w:r>
        <w:rPr>
          <w:sz w:val="20"/>
        </w:rPr>
        <w:t>This country believes in free trade and open financial markets. Our financial system is highly integrated with the global</w:t>
      </w:r>
      <w:r>
        <w:rPr>
          <w:spacing w:val="-6"/>
          <w:sz w:val="20"/>
        </w:rPr>
        <w:t> </w:t>
      </w:r>
      <w:r>
        <w:rPr>
          <w:sz w:val="20"/>
        </w:rPr>
        <w:t>system.</w:t>
      </w:r>
    </w:p>
    <w:p>
      <w:pPr>
        <w:pStyle w:val="ListParagraph"/>
        <w:numPr>
          <w:ilvl w:val="0"/>
          <w:numId w:val="2"/>
        </w:numPr>
        <w:tabs>
          <w:tab w:pos="953" w:val="left" w:leader="none"/>
          <w:tab w:pos="955" w:val="left" w:leader="none"/>
        </w:tabs>
        <w:spacing w:line="355" w:lineRule="auto" w:before="5" w:after="0"/>
        <w:ind w:left="954" w:right="177" w:hanging="360"/>
        <w:jc w:val="left"/>
        <w:rPr>
          <w:sz w:val="20"/>
        </w:rPr>
      </w:pPr>
      <w:r>
        <w:rPr>
          <w:sz w:val="20"/>
        </w:rPr>
        <w:t>That</w:t>
      </w:r>
      <w:r>
        <w:rPr>
          <w:spacing w:val="-5"/>
          <w:sz w:val="20"/>
        </w:rPr>
        <w:t> </w:t>
      </w:r>
      <w:r>
        <w:rPr>
          <w:sz w:val="20"/>
        </w:rPr>
        <w:t>means</w:t>
      </w:r>
      <w:r>
        <w:rPr>
          <w:spacing w:val="-4"/>
          <w:sz w:val="20"/>
        </w:rPr>
        <w:t> </w:t>
      </w:r>
      <w:r>
        <w:rPr>
          <w:sz w:val="20"/>
        </w:rPr>
        <w:t>that</w:t>
      </w:r>
      <w:r>
        <w:rPr>
          <w:spacing w:val="-5"/>
          <w:sz w:val="20"/>
        </w:rPr>
        <w:t> </w:t>
      </w:r>
      <w:r>
        <w:rPr>
          <w:sz w:val="20"/>
        </w:rPr>
        <w:t>some</w:t>
      </w:r>
      <w:r>
        <w:rPr>
          <w:spacing w:val="-4"/>
          <w:sz w:val="20"/>
        </w:rPr>
        <w:t> </w:t>
      </w:r>
      <w:r>
        <w:rPr>
          <w:sz w:val="20"/>
        </w:rPr>
        <w:t>firms</w:t>
      </w:r>
      <w:r>
        <w:rPr>
          <w:spacing w:val="-5"/>
          <w:sz w:val="20"/>
        </w:rPr>
        <w:t> </w:t>
      </w:r>
      <w:r>
        <w:rPr>
          <w:sz w:val="20"/>
        </w:rPr>
        <w:t>domiciled</w:t>
      </w:r>
      <w:r>
        <w:rPr>
          <w:spacing w:val="-4"/>
          <w:sz w:val="20"/>
        </w:rPr>
        <w:t> </w:t>
      </w:r>
      <w:r>
        <w:rPr>
          <w:sz w:val="20"/>
        </w:rPr>
        <w:t>or</w:t>
      </w:r>
      <w:r>
        <w:rPr>
          <w:spacing w:val="-4"/>
          <w:sz w:val="20"/>
        </w:rPr>
        <w:t> </w:t>
      </w:r>
      <w:r>
        <w:rPr>
          <w:sz w:val="20"/>
        </w:rPr>
        <w:t>operating</w:t>
      </w:r>
      <w:r>
        <w:rPr>
          <w:spacing w:val="-4"/>
          <w:sz w:val="20"/>
        </w:rPr>
        <w:t> </w:t>
      </w:r>
      <w:r>
        <w:rPr>
          <w:sz w:val="20"/>
        </w:rPr>
        <w:t>in</w:t>
      </w:r>
      <w:r>
        <w:rPr>
          <w:spacing w:val="-5"/>
          <w:sz w:val="20"/>
        </w:rPr>
        <w:t> </w:t>
      </w:r>
      <w:r>
        <w:rPr>
          <w:sz w:val="20"/>
        </w:rPr>
        <w:t>the</w:t>
      </w:r>
      <w:r>
        <w:rPr>
          <w:spacing w:val="-5"/>
          <w:sz w:val="20"/>
        </w:rPr>
        <w:t> </w:t>
      </w:r>
      <w:r>
        <w:rPr>
          <w:sz w:val="20"/>
        </w:rPr>
        <w:t>UK</w:t>
      </w:r>
      <w:r>
        <w:rPr>
          <w:spacing w:val="-4"/>
          <w:sz w:val="20"/>
        </w:rPr>
        <w:t> </w:t>
      </w:r>
      <w:r>
        <w:rPr>
          <w:sz w:val="20"/>
        </w:rPr>
        <w:t>are</w:t>
      </w:r>
      <w:r>
        <w:rPr>
          <w:spacing w:val="-5"/>
          <w:sz w:val="20"/>
        </w:rPr>
        <w:t> </w:t>
      </w:r>
      <w:r>
        <w:rPr>
          <w:sz w:val="20"/>
        </w:rPr>
        <w:t>global,</w:t>
      </w:r>
      <w:r>
        <w:rPr>
          <w:spacing w:val="-4"/>
          <w:sz w:val="20"/>
        </w:rPr>
        <w:t> </w:t>
      </w:r>
      <w:r>
        <w:rPr>
          <w:sz w:val="20"/>
        </w:rPr>
        <w:t>and</w:t>
      </w:r>
      <w:r>
        <w:rPr>
          <w:spacing w:val="-4"/>
          <w:sz w:val="20"/>
        </w:rPr>
        <w:t> </w:t>
      </w:r>
      <w:r>
        <w:rPr>
          <w:sz w:val="20"/>
        </w:rPr>
        <w:t>many</w:t>
      </w:r>
      <w:r>
        <w:rPr>
          <w:spacing w:val="-5"/>
          <w:sz w:val="20"/>
        </w:rPr>
        <w:t> </w:t>
      </w:r>
      <w:r>
        <w:rPr>
          <w:sz w:val="20"/>
        </w:rPr>
        <w:t>are</w:t>
      </w:r>
      <w:r>
        <w:rPr>
          <w:spacing w:val="-4"/>
          <w:sz w:val="20"/>
        </w:rPr>
        <w:t> </w:t>
      </w:r>
      <w:r>
        <w:rPr>
          <w:sz w:val="20"/>
        </w:rPr>
        <w:t>international. Creates a huge need for a level playing-field internationally. That is a common interest of business and the</w:t>
      </w:r>
      <w:r>
        <w:rPr>
          <w:spacing w:val="-3"/>
          <w:sz w:val="20"/>
        </w:rPr>
        <w:t> </w:t>
      </w:r>
      <w:r>
        <w:rPr>
          <w:sz w:val="20"/>
        </w:rPr>
        <w:t>authorities:</w:t>
      </w:r>
    </w:p>
    <w:p>
      <w:pPr>
        <w:pStyle w:val="ListParagraph"/>
        <w:numPr>
          <w:ilvl w:val="0"/>
          <w:numId w:val="3"/>
        </w:numPr>
        <w:tabs>
          <w:tab w:pos="1935" w:val="left" w:leader="none"/>
          <w:tab w:pos="1936" w:val="left" w:leader="none"/>
        </w:tabs>
        <w:spacing w:line="352" w:lineRule="auto" w:before="5" w:after="0"/>
        <w:ind w:left="1935" w:right="352" w:hanging="568"/>
        <w:jc w:val="left"/>
        <w:rPr>
          <w:sz w:val="20"/>
        </w:rPr>
      </w:pPr>
      <w:r>
        <w:rPr>
          <w:sz w:val="20"/>
          <w:u w:val="single"/>
        </w:rPr>
        <w:t>business</w:t>
      </w:r>
      <w:r>
        <w:rPr>
          <w:sz w:val="20"/>
        </w:rPr>
        <w:t>:</w:t>
      </w:r>
      <w:r>
        <w:rPr>
          <w:spacing w:val="-4"/>
          <w:sz w:val="20"/>
        </w:rPr>
        <w:t> </w:t>
      </w:r>
      <w:r>
        <w:rPr>
          <w:sz w:val="20"/>
        </w:rPr>
        <w:t>want</w:t>
      </w:r>
      <w:r>
        <w:rPr>
          <w:spacing w:val="-4"/>
          <w:sz w:val="20"/>
        </w:rPr>
        <w:t> </w:t>
      </w:r>
      <w:r>
        <w:rPr>
          <w:sz w:val="20"/>
        </w:rPr>
        <w:t>to</w:t>
      </w:r>
      <w:r>
        <w:rPr>
          <w:spacing w:val="-4"/>
          <w:sz w:val="20"/>
        </w:rPr>
        <w:t> </w:t>
      </w:r>
      <w:r>
        <w:rPr>
          <w:sz w:val="20"/>
        </w:rPr>
        <w:t>be</w:t>
      </w:r>
      <w:r>
        <w:rPr>
          <w:spacing w:val="-4"/>
          <w:sz w:val="20"/>
        </w:rPr>
        <w:t> </w:t>
      </w:r>
      <w:r>
        <w:rPr>
          <w:sz w:val="20"/>
        </w:rPr>
        <w:t>able</w:t>
      </w:r>
      <w:r>
        <w:rPr>
          <w:spacing w:val="-4"/>
          <w:sz w:val="20"/>
        </w:rPr>
        <w:t> </w:t>
      </w:r>
      <w:r>
        <w:rPr>
          <w:sz w:val="20"/>
        </w:rPr>
        <w:t>to</w:t>
      </w:r>
      <w:r>
        <w:rPr>
          <w:spacing w:val="-3"/>
          <w:sz w:val="20"/>
        </w:rPr>
        <w:t> </w:t>
      </w:r>
      <w:r>
        <w:rPr>
          <w:sz w:val="20"/>
        </w:rPr>
        <w:t>compete</w:t>
      </w:r>
      <w:r>
        <w:rPr>
          <w:spacing w:val="-4"/>
          <w:sz w:val="20"/>
        </w:rPr>
        <w:t> </w:t>
      </w:r>
      <w:r>
        <w:rPr>
          <w:sz w:val="20"/>
        </w:rPr>
        <w:t>more</w:t>
      </w:r>
      <w:r>
        <w:rPr>
          <w:spacing w:val="-4"/>
          <w:sz w:val="20"/>
        </w:rPr>
        <w:t> </w:t>
      </w:r>
      <w:r>
        <w:rPr>
          <w:sz w:val="20"/>
        </w:rPr>
        <w:t>or</w:t>
      </w:r>
      <w:r>
        <w:rPr>
          <w:spacing w:val="-3"/>
          <w:sz w:val="20"/>
        </w:rPr>
        <w:t> </w:t>
      </w:r>
      <w:r>
        <w:rPr>
          <w:sz w:val="20"/>
        </w:rPr>
        <w:t>less</w:t>
      </w:r>
      <w:r>
        <w:rPr>
          <w:spacing w:val="-4"/>
          <w:sz w:val="20"/>
        </w:rPr>
        <w:t> </w:t>
      </w:r>
      <w:r>
        <w:rPr>
          <w:sz w:val="20"/>
        </w:rPr>
        <w:t>anywhere</w:t>
      </w:r>
      <w:r>
        <w:rPr>
          <w:spacing w:val="-4"/>
          <w:sz w:val="20"/>
        </w:rPr>
        <w:t> </w:t>
      </w:r>
      <w:r>
        <w:rPr>
          <w:sz w:val="20"/>
        </w:rPr>
        <w:t>on</w:t>
      </w:r>
      <w:r>
        <w:rPr>
          <w:spacing w:val="-3"/>
          <w:sz w:val="20"/>
        </w:rPr>
        <w:t> </w:t>
      </w:r>
      <w:r>
        <w:rPr>
          <w:sz w:val="20"/>
        </w:rPr>
        <w:t>equal</w:t>
      </w:r>
      <w:r>
        <w:rPr>
          <w:spacing w:val="-4"/>
          <w:sz w:val="20"/>
        </w:rPr>
        <w:t> </w:t>
      </w:r>
      <w:r>
        <w:rPr>
          <w:sz w:val="20"/>
        </w:rPr>
        <w:t>terms</w:t>
      </w:r>
      <w:r>
        <w:rPr>
          <w:spacing w:val="-4"/>
          <w:sz w:val="20"/>
        </w:rPr>
        <w:t> </w:t>
      </w:r>
      <w:r>
        <w:rPr>
          <w:sz w:val="20"/>
        </w:rPr>
        <w:t>with</w:t>
      </w:r>
      <w:r>
        <w:rPr>
          <w:spacing w:val="-4"/>
          <w:sz w:val="20"/>
        </w:rPr>
        <w:t> </w:t>
      </w:r>
      <w:r>
        <w:rPr>
          <w:sz w:val="20"/>
        </w:rPr>
        <w:t>local, indigenous firms and with international firms from other</w:t>
      </w:r>
      <w:r>
        <w:rPr>
          <w:spacing w:val="-10"/>
          <w:sz w:val="20"/>
        </w:rPr>
        <w:t> </w:t>
      </w:r>
      <w:r>
        <w:rPr>
          <w:sz w:val="20"/>
        </w:rPr>
        <w:t>countries.</w:t>
      </w:r>
    </w:p>
    <w:p>
      <w:pPr>
        <w:pStyle w:val="ListParagraph"/>
        <w:numPr>
          <w:ilvl w:val="0"/>
          <w:numId w:val="3"/>
        </w:numPr>
        <w:tabs>
          <w:tab w:pos="1935" w:val="left" w:leader="none"/>
          <w:tab w:pos="1936" w:val="left" w:leader="none"/>
        </w:tabs>
        <w:spacing w:line="357" w:lineRule="auto" w:before="5" w:after="0"/>
        <w:ind w:left="1935" w:right="275" w:hanging="568"/>
        <w:jc w:val="left"/>
        <w:rPr>
          <w:sz w:val="20"/>
        </w:rPr>
      </w:pPr>
      <w:r>
        <w:rPr>
          <w:sz w:val="20"/>
          <w:u w:val="single"/>
        </w:rPr>
        <w:t>authorities</w:t>
      </w:r>
      <w:r>
        <w:rPr>
          <w:sz w:val="20"/>
        </w:rPr>
        <w:t>: want </w:t>
      </w:r>
      <w:r>
        <w:rPr>
          <w:sz w:val="20"/>
          <w:u w:val="single"/>
        </w:rPr>
        <w:t>good</w:t>
      </w:r>
      <w:r>
        <w:rPr>
          <w:sz w:val="20"/>
        </w:rPr>
        <w:t> standards on top of that. Not only because we need them at home. The UK/London needs good standards abroad too: problems in the international financial system almost anywhere in the world will blow through London and the UK to</w:t>
      </w:r>
      <w:r>
        <w:rPr>
          <w:spacing w:val="-21"/>
          <w:sz w:val="20"/>
        </w:rPr>
        <w:t> </w:t>
      </w:r>
      <w:r>
        <w:rPr>
          <w:sz w:val="20"/>
        </w:rPr>
        <w:t>a greater or lesser extent. And vice versa. Financially, we’re the opposite of an</w:t>
      </w:r>
      <w:r>
        <w:rPr>
          <w:spacing w:val="-27"/>
          <w:sz w:val="20"/>
        </w:rPr>
        <w:t> </w:t>
      </w:r>
      <w:r>
        <w:rPr>
          <w:sz w:val="20"/>
        </w:rPr>
        <w:t>island.</w:t>
      </w:r>
    </w:p>
    <w:p>
      <w:pPr>
        <w:pStyle w:val="ListParagraph"/>
        <w:numPr>
          <w:ilvl w:val="0"/>
          <w:numId w:val="2"/>
        </w:numPr>
        <w:tabs>
          <w:tab w:pos="953" w:val="left" w:leader="none"/>
          <w:tab w:pos="955" w:val="left" w:leader="none"/>
        </w:tabs>
        <w:spacing w:line="352" w:lineRule="auto" w:before="0" w:after="0"/>
        <w:ind w:left="954" w:right="142" w:hanging="361"/>
        <w:jc w:val="left"/>
        <w:rPr>
          <w:sz w:val="20"/>
        </w:rPr>
      </w:pPr>
      <w:r>
        <w:rPr>
          <w:sz w:val="20"/>
        </w:rPr>
        <w:t>Up</w:t>
      </w:r>
      <w:r>
        <w:rPr>
          <w:spacing w:val="-3"/>
          <w:sz w:val="20"/>
        </w:rPr>
        <w:t> </w:t>
      </w:r>
      <w:r>
        <w:rPr>
          <w:sz w:val="20"/>
        </w:rPr>
        <w:t>to</w:t>
      </w:r>
      <w:r>
        <w:rPr>
          <w:spacing w:val="-3"/>
          <w:sz w:val="20"/>
        </w:rPr>
        <w:t> </w:t>
      </w:r>
      <w:r>
        <w:rPr>
          <w:sz w:val="20"/>
        </w:rPr>
        <w:t>a</w:t>
      </w:r>
      <w:r>
        <w:rPr>
          <w:spacing w:val="-2"/>
          <w:sz w:val="20"/>
        </w:rPr>
        <w:t> </w:t>
      </w:r>
      <w:r>
        <w:rPr>
          <w:sz w:val="20"/>
        </w:rPr>
        <w:t>point</w:t>
      </w:r>
      <w:r>
        <w:rPr>
          <w:spacing w:val="-4"/>
          <w:sz w:val="20"/>
        </w:rPr>
        <w:t> </w:t>
      </w:r>
      <w:r>
        <w:rPr>
          <w:sz w:val="20"/>
        </w:rPr>
        <w:t>we</w:t>
      </w:r>
      <w:r>
        <w:rPr>
          <w:spacing w:val="-2"/>
          <w:sz w:val="20"/>
        </w:rPr>
        <w:t> </w:t>
      </w:r>
      <w:r>
        <w:rPr>
          <w:sz w:val="20"/>
        </w:rPr>
        <w:t>can</w:t>
      </w:r>
      <w:r>
        <w:rPr>
          <w:spacing w:val="-3"/>
          <w:sz w:val="20"/>
        </w:rPr>
        <w:t> </w:t>
      </w:r>
      <w:r>
        <w:rPr>
          <w:sz w:val="20"/>
        </w:rPr>
        <w:t>mitigate</w:t>
      </w:r>
      <w:r>
        <w:rPr>
          <w:spacing w:val="-2"/>
          <w:sz w:val="20"/>
        </w:rPr>
        <w:t> </w:t>
      </w:r>
      <w:r>
        <w:rPr>
          <w:sz w:val="20"/>
        </w:rPr>
        <w:t>that</w:t>
      </w:r>
      <w:r>
        <w:rPr>
          <w:spacing w:val="-3"/>
          <w:sz w:val="20"/>
        </w:rPr>
        <w:t> </w:t>
      </w:r>
      <w:r>
        <w:rPr>
          <w:sz w:val="20"/>
        </w:rPr>
        <w:t>by</w:t>
      </w:r>
      <w:r>
        <w:rPr>
          <w:spacing w:val="-2"/>
          <w:sz w:val="20"/>
        </w:rPr>
        <w:t> </w:t>
      </w:r>
      <w:r>
        <w:rPr>
          <w:sz w:val="20"/>
        </w:rPr>
        <w:t>measures such</w:t>
      </w:r>
      <w:r>
        <w:rPr>
          <w:spacing w:val="-3"/>
          <w:sz w:val="20"/>
        </w:rPr>
        <w:t> </w:t>
      </w:r>
      <w:r>
        <w:rPr>
          <w:sz w:val="20"/>
        </w:rPr>
        <w:t>as</w:t>
      </w:r>
      <w:r>
        <w:rPr>
          <w:spacing w:val="-3"/>
          <w:sz w:val="20"/>
        </w:rPr>
        <w:t> </w:t>
      </w:r>
      <w:r>
        <w:rPr>
          <w:sz w:val="20"/>
        </w:rPr>
        <w:t>HMG’s</w:t>
      </w:r>
      <w:r>
        <w:rPr>
          <w:spacing w:val="-2"/>
          <w:sz w:val="20"/>
        </w:rPr>
        <w:t> </w:t>
      </w:r>
      <w:r>
        <w:rPr>
          <w:sz w:val="20"/>
        </w:rPr>
        <w:t>planned</w:t>
      </w:r>
      <w:r>
        <w:rPr>
          <w:spacing w:val="-3"/>
          <w:sz w:val="20"/>
        </w:rPr>
        <w:t> </w:t>
      </w:r>
      <w:r>
        <w:rPr>
          <w:sz w:val="20"/>
        </w:rPr>
        <w:t>‘ring</w:t>
      </w:r>
      <w:r>
        <w:rPr>
          <w:spacing w:val="-2"/>
          <w:sz w:val="20"/>
        </w:rPr>
        <w:t> </w:t>
      </w:r>
      <w:r>
        <w:rPr>
          <w:sz w:val="20"/>
        </w:rPr>
        <w:t>fencing’</w:t>
      </w:r>
      <w:r>
        <w:rPr>
          <w:spacing w:val="-3"/>
          <w:sz w:val="20"/>
        </w:rPr>
        <w:t> </w:t>
      </w:r>
      <w:r>
        <w:rPr>
          <w:sz w:val="20"/>
        </w:rPr>
        <w:t>of</w:t>
      </w:r>
      <w:r>
        <w:rPr>
          <w:spacing w:val="-2"/>
          <w:sz w:val="20"/>
        </w:rPr>
        <w:t> </w:t>
      </w:r>
      <w:r>
        <w:rPr>
          <w:sz w:val="20"/>
        </w:rPr>
        <w:t>retail</w:t>
      </w:r>
      <w:r>
        <w:rPr>
          <w:spacing w:val="-4"/>
          <w:sz w:val="20"/>
        </w:rPr>
        <w:t> </w:t>
      </w:r>
      <w:r>
        <w:rPr>
          <w:sz w:val="20"/>
        </w:rPr>
        <w:t>banks, which has the effect of separating domestic intermediation from the entrepôt. But</w:t>
      </w:r>
      <w:r>
        <w:rPr>
          <w:spacing w:val="-30"/>
          <w:sz w:val="20"/>
        </w:rPr>
        <w:t> </w:t>
      </w:r>
      <w:r>
        <w:rPr>
          <w:sz w:val="20"/>
        </w:rPr>
        <w:t>the</w:t>
      </w:r>
    </w:p>
    <w:p>
      <w:pPr>
        <w:pStyle w:val="BodyText"/>
        <w:spacing w:before="6"/>
      </w:pPr>
      <w:r>
        <w:rPr/>
        <w:t>non-ring-fenced banks matter for stability too! So we can’t just leave it there.</w:t>
      </w:r>
    </w:p>
    <w:p>
      <w:pPr>
        <w:pStyle w:val="ListParagraph"/>
        <w:numPr>
          <w:ilvl w:val="0"/>
          <w:numId w:val="2"/>
        </w:numPr>
        <w:tabs>
          <w:tab w:pos="953" w:val="left" w:leader="none"/>
          <w:tab w:pos="955" w:val="left" w:leader="none"/>
        </w:tabs>
        <w:spacing w:line="352" w:lineRule="auto" w:before="115" w:after="0"/>
        <w:ind w:left="954" w:right="208" w:hanging="360"/>
        <w:jc w:val="left"/>
        <w:rPr>
          <w:sz w:val="20"/>
        </w:rPr>
      </w:pPr>
      <w:r>
        <w:rPr>
          <w:sz w:val="20"/>
        </w:rPr>
        <w:t>That gives UK a massive incentive to achieve good outcomes in international standards for financial regulation.</w:t>
      </w:r>
    </w:p>
    <w:p>
      <w:pPr>
        <w:pStyle w:val="ListParagraph"/>
        <w:numPr>
          <w:ilvl w:val="0"/>
          <w:numId w:val="2"/>
        </w:numPr>
        <w:tabs>
          <w:tab w:pos="953" w:val="left" w:leader="none"/>
          <w:tab w:pos="955" w:val="left" w:leader="none"/>
        </w:tabs>
        <w:spacing w:line="355" w:lineRule="auto" w:before="5" w:after="0"/>
        <w:ind w:left="954" w:right="754" w:hanging="360"/>
        <w:jc w:val="left"/>
        <w:rPr>
          <w:sz w:val="20"/>
        </w:rPr>
      </w:pPr>
      <w:r>
        <w:rPr>
          <w:sz w:val="20"/>
        </w:rPr>
        <w:t>So far in this argument, so good – business and the authorities together pointing in the same direction. Ie business will happily live with what I’m calling ‘good’ standards provided they are applied evenly everywhere that</w:t>
      </w:r>
      <w:r>
        <w:rPr>
          <w:spacing w:val="-7"/>
          <w:sz w:val="20"/>
        </w:rPr>
        <w:t> </w:t>
      </w:r>
      <w:r>
        <w:rPr>
          <w:sz w:val="20"/>
        </w:rPr>
        <w:t>matters.</w:t>
      </w:r>
    </w:p>
    <w:p>
      <w:pPr>
        <w:pStyle w:val="ListParagraph"/>
        <w:numPr>
          <w:ilvl w:val="0"/>
          <w:numId w:val="2"/>
        </w:numPr>
        <w:tabs>
          <w:tab w:pos="953" w:val="left" w:leader="none"/>
          <w:tab w:pos="955" w:val="left" w:leader="none"/>
        </w:tabs>
        <w:spacing w:line="355" w:lineRule="auto" w:before="5" w:after="0"/>
        <w:ind w:left="954" w:right="253" w:hanging="360"/>
        <w:jc w:val="left"/>
        <w:rPr>
          <w:sz w:val="20"/>
        </w:rPr>
      </w:pPr>
      <w:r>
        <w:rPr>
          <w:sz w:val="20"/>
        </w:rPr>
        <w:t>But two issues remain. First, business is frustrated by the time it takes to reach such international agreements. They want speed. They make the compelling point that they can’t determine their business</w:t>
      </w:r>
      <w:r>
        <w:rPr>
          <w:spacing w:val="-4"/>
          <w:sz w:val="20"/>
        </w:rPr>
        <w:t> </w:t>
      </w:r>
      <w:r>
        <w:rPr>
          <w:sz w:val="20"/>
        </w:rPr>
        <w:t>models</w:t>
      </w:r>
      <w:r>
        <w:rPr>
          <w:spacing w:val="-3"/>
          <w:sz w:val="20"/>
        </w:rPr>
        <w:t> </w:t>
      </w:r>
      <w:r>
        <w:rPr>
          <w:sz w:val="20"/>
        </w:rPr>
        <w:t>and</w:t>
      </w:r>
      <w:r>
        <w:rPr>
          <w:spacing w:val="-3"/>
          <w:sz w:val="20"/>
        </w:rPr>
        <w:t> </w:t>
      </w:r>
      <w:r>
        <w:rPr>
          <w:sz w:val="20"/>
        </w:rPr>
        <w:t>plan</w:t>
      </w:r>
      <w:r>
        <w:rPr>
          <w:spacing w:val="-4"/>
          <w:sz w:val="20"/>
        </w:rPr>
        <w:t> </w:t>
      </w:r>
      <w:r>
        <w:rPr>
          <w:sz w:val="20"/>
        </w:rPr>
        <w:t>their</w:t>
      </w:r>
      <w:r>
        <w:rPr>
          <w:spacing w:val="-4"/>
          <w:sz w:val="20"/>
        </w:rPr>
        <w:t> </w:t>
      </w:r>
      <w:r>
        <w:rPr>
          <w:sz w:val="20"/>
        </w:rPr>
        <w:t>strategies</w:t>
      </w:r>
      <w:r>
        <w:rPr>
          <w:spacing w:val="-3"/>
          <w:sz w:val="20"/>
        </w:rPr>
        <w:t> </w:t>
      </w:r>
      <w:r>
        <w:rPr>
          <w:sz w:val="20"/>
        </w:rPr>
        <w:t>until</w:t>
      </w:r>
      <w:r>
        <w:rPr>
          <w:spacing w:val="-3"/>
          <w:sz w:val="20"/>
        </w:rPr>
        <w:t> </w:t>
      </w:r>
      <w:r>
        <w:rPr>
          <w:sz w:val="20"/>
        </w:rPr>
        <w:t>they</w:t>
      </w:r>
      <w:r>
        <w:rPr>
          <w:spacing w:val="-2"/>
          <w:sz w:val="20"/>
        </w:rPr>
        <w:t> </w:t>
      </w:r>
      <w:r>
        <w:rPr>
          <w:sz w:val="20"/>
        </w:rPr>
        <w:t>know</w:t>
      </w:r>
      <w:r>
        <w:rPr>
          <w:spacing w:val="-4"/>
          <w:sz w:val="20"/>
        </w:rPr>
        <w:t> </w:t>
      </w:r>
      <w:r>
        <w:rPr>
          <w:sz w:val="20"/>
        </w:rPr>
        <w:t>the</w:t>
      </w:r>
      <w:r>
        <w:rPr>
          <w:spacing w:val="-3"/>
          <w:sz w:val="20"/>
        </w:rPr>
        <w:t> </w:t>
      </w:r>
      <w:r>
        <w:rPr>
          <w:sz w:val="20"/>
        </w:rPr>
        <w:t>regime</w:t>
      </w:r>
      <w:r>
        <w:rPr>
          <w:spacing w:val="-3"/>
          <w:sz w:val="20"/>
        </w:rPr>
        <w:t> </w:t>
      </w:r>
      <w:r>
        <w:rPr>
          <w:sz w:val="20"/>
        </w:rPr>
        <w:t>under</w:t>
      </w:r>
      <w:r>
        <w:rPr>
          <w:spacing w:val="-3"/>
          <w:sz w:val="20"/>
        </w:rPr>
        <w:t> </w:t>
      </w:r>
      <w:r>
        <w:rPr>
          <w:sz w:val="20"/>
        </w:rPr>
        <w:t>which</w:t>
      </w:r>
      <w:r>
        <w:rPr>
          <w:spacing w:val="-4"/>
          <w:sz w:val="20"/>
        </w:rPr>
        <w:t> </w:t>
      </w:r>
      <w:r>
        <w:rPr>
          <w:sz w:val="20"/>
        </w:rPr>
        <w:t>they</w:t>
      </w:r>
      <w:r>
        <w:rPr>
          <w:spacing w:val="-3"/>
          <w:sz w:val="20"/>
        </w:rPr>
        <w:t> </w:t>
      </w:r>
      <w:r>
        <w:rPr>
          <w:sz w:val="20"/>
        </w:rPr>
        <w:t>will</w:t>
      </w:r>
      <w:r>
        <w:rPr>
          <w:spacing w:val="-3"/>
          <w:sz w:val="20"/>
        </w:rPr>
        <w:t> </w:t>
      </w:r>
      <w:r>
        <w:rPr>
          <w:sz w:val="20"/>
        </w:rPr>
        <w:t>function.</w:t>
      </w:r>
    </w:p>
    <w:p>
      <w:pPr>
        <w:pStyle w:val="ListParagraph"/>
        <w:numPr>
          <w:ilvl w:val="0"/>
          <w:numId w:val="2"/>
        </w:numPr>
        <w:tabs>
          <w:tab w:pos="953" w:val="left" w:leader="none"/>
          <w:tab w:pos="955" w:val="left" w:leader="none"/>
        </w:tabs>
        <w:spacing w:line="357" w:lineRule="auto" w:before="5" w:after="0"/>
        <w:ind w:left="954" w:right="164" w:hanging="361"/>
        <w:jc w:val="left"/>
        <w:rPr>
          <w:sz w:val="20"/>
        </w:rPr>
      </w:pPr>
      <w:r>
        <w:rPr>
          <w:sz w:val="20"/>
        </w:rPr>
        <w:t>The international community finds that hard. Contrast yesterday’s world of a small handful of central bank governors deciding bank-capital standards on their own: a world of G5 or at most G10. Today’s world is G20 plus. And, as capital markets have become more important, securities regulators are rightly also at the table – and finance ministries too given the social and political issues. The result is a big table. (FSB Plenary –</w:t>
      </w:r>
      <w:r>
        <w:rPr>
          <w:spacing w:val="-15"/>
          <w:sz w:val="20"/>
        </w:rPr>
        <w:t> </w:t>
      </w:r>
      <w:r>
        <w:rPr>
          <w:sz w:val="20"/>
        </w:rPr>
        <w:t>c.70).</w:t>
      </w:r>
    </w:p>
    <w:p>
      <w:pPr>
        <w:pStyle w:val="ListParagraph"/>
        <w:numPr>
          <w:ilvl w:val="0"/>
          <w:numId w:val="2"/>
        </w:numPr>
        <w:tabs>
          <w:tab w:pos="953" w:val="left" w:leader="none"/>
          <w:tab w:pos="955" w:val="left" w:leader="none"/>
        </w:tabs>
        <w:spacing w:line="352" w:lineRule="auto" w:before="3" w:after="0"/>
        <w:ind w:left="954" w:right="533" w:hanging="360"/>
        <w:jc w:val="left"/>
        <w:rPr>
          <w:sz w:val="20"/>
        </w:rPr>
      </w:pPr>
      <w:r>
        <w:rPr>
          <w:sz w:val="20"/>
        </w:rPr>
        <w:t>By</w:t>
      </w:r>
      <w:r>
        <w:rPr>
          <w:spacing w:val="-4"/>
          <w:sz w:val="20"/>
        </w:rPr>
        <w:t> </w:t>
      </w:r>
      <w:r>
        <w:rPr>
          <w:sz w:val="20"/>
        </w:rPr>
        <w:t>prioritising</w:t>
      </w:r>
      <w:r>
        <w:rPr>
          <w:spacing w:val="-5"/>
          <w:sz w:val="20"/>
        </w:rPr>
        <w:t> </w:t>
      </w:r>
      <w:r>
        <w:rPr>
          <w:sz w:val="20"/>
        </w:rPr>
        <w:t>an</w:t>
      </w:r>
      <w:r>
        <w:rPr>
          <w:spacing w:val="-4"/>
          <w:sz w:val="20"/>
        </w:rPr>
        <w:t> </w:t>
      </w:r>
      <w:r>
        <w:rPr>
          <w:sz w:val="20"/>
        </w:rPr>
        <w:t>international</w:t>
      </w:r>
      <w:r>
        <w:rPr>
          <w:spacing w:val="-3"/>
          <w:sz w:val="20"/>
        </w:rPr>
        <w:t> </w:t>
      </w:r>
      <w:r>
        <w:rPr>
          <w:sz w:val="20"/>
        </w:rPr>
        <w:t>playing-field</w:t>
      </w:r>
      <w:r>
        <w:rPr>
          <w:spacing w:val="-4"/>
          <w:sz w:val="20"/>
        </w:rPr>
        <w:t> </w:t>
      </w:r>
      <w:r>
        <w:rPr>
          <w:sz w:val="20"/>
        </w:rPr>
        <w:t>that</w:t>
      </w:r>
      <w:r>
        <w:rPr>
          <w:spacing w:val="-2"/>
          <w:sz w:val="20"/>
        </w:rPr>
        <w:t> </w:t>
      </w:r>
      <w:r>
        <w:rPr>
          <w:sz w:val="20"/>
        </w:rPr>
        <w:t>is</w:t>
      </w:r>
      <w:r>
        <w:rPr>
          <w:spacing w:val="-4"/>
          <w:sz w:val="20"/>
        </w:rPr>
        <w:t> </w:t>
      </w:r>
      <w:r>
        <w:rPr>
          <w:sz w:val="20"/>
        </w:rPr>
        <w:t>as</w:t>
      </w:r>
      <w:r>
        <w:rPr>
          <w:spacing w:val="-4"/>
          <w:sz w:val="20"/>
        </w:rPr>
        <w:t> </w:t>
      </w:r>
      <w:r>
        <w:rPr>
          <w:sz w:val="20"/>
        </w:rPr>
        <w:t>level</w:t>
      </w:r>
      <w:r>
        <w:rPr>
          <w:spacing w:val="-3"/>
          <w:sz w:val="20"/>
        </w:rPr>
        <w:t> </w:t>
      </w:r>
      <w:r>
        <w:rPr>
          <w:sz w:val="20"/>
        </w:rPr>
        <w:t>as</w:t>
      </w:r>
      <w:r>
        <w:rPr>
          <w:spacing w:val="-4"/>
          <w:sz w:val="20"/>
        </w:rPr>
        <w:t> </w:t>
      </w:r>
      <w:r>
        <w:rPr>
          <w:sz w:val="20"/>
        </w:rPr>
        <w:t>possible</w:t>
      </w:r>
      <w:r>
        <w:rPr>
          <w:spacing w:val="-4"/>
          <w:sz w:val="20"/>
        </w:rPr>
        <w:t> </w:t>
      </w:r>
      <w:r>
        <w:rPr>
          <w:sz w:val="20"/>
        </w:rPr>
        <w:t>and</w:t>
      </w:r>
      <w:r>
        <w:rPr>
          <w:spacing w:val="-4"/>
          <w:sz w:val="20"/>
        </w:rPr>
        <w:t> </w:t>
      </w:r>
      <w:r>
        <w:rPr>
          <w:sz w:val="20"/>
        </w:rPr>
        <w:t>as</w:t>
      </w:r>
      <w:r>
        <w:rPr>
          <w:spacing w:val="-2"/>
          <w:sz w:val="20"/>
        </w:rPr>
        <w:t> </w:t>
      </w:r>
      <w:r>
        <w:rPr>
          <w:sz w:val="20"/>
        </w:rPr>
        <w:t>sound</w:t>
      </w:r>
      <w:r>
        <w:rPr>
          <w:spacing w:val="-4"/>
          <w:sz w:val="20"/>
        </w:rPr>
        <w:t> </w:t>
      </w:r>
      <w:r>
        <w:rPr>
          <w:sz w:val="20"/>
        </w:rPr>
        <w:t>as</w:t>
      </w:r>
      <w:r>
        <w:rPr>
          <w:spacing w:val="-3"/>
          <w:sz w:val="20"/>
        </w:rPr>
        <w:t> </w:t>
      </w:r>
      <w:r>
        <w:rPr>
          <w:sz w:val="20"/>
        </w:rPr>
        <w:t>possible, speed is</w:t>
      </w:r>
      <w:r>
        <w:rPr>
          <w:spacing w:val="-4"/>
          <w:sz w:val="20"/>
        </w:rPr>
        <w:t> </w:t>
      </w:r>
      <w:r>
        <w:rPr>
          <w:sz w:val="20"/>
        </w:rPr>
        <w:t>sacrificed.</w:t>
      </w:r>
    </w:p>
    <w:p>
      <w:pPr>
        <w:pStyle w:val="ListParagraph"/>
        <w:numPr>
          <w:ilvl w:val="0"/>
          <w:numId w:val="2"/>
        </w:numPr>
        <w:tabs>
          <w:tab w:pos="953" w:val="left" w:leader="none"/>
          <w:tab w:pos="955" w:val="left" w:leader="none"/>
        </w:tabs>
        <w:spacing w:line="352" w:lineRule="auto" w:before="5" w:after="0"/>
        <w:ind w:left="954" w:right="976" w:hanging="360"/>
        <w:jc w:val="left"/>
        <w:rPr>
          <w:sz w:val="20"/>
        </w:rPr>
      </w:pPr>
      <w:r>
        <w:rPr>
          <w:sz w:val="20"/>
        </w:rPr>
        <w:t>Second</w:t>
      </w:r>
      <w:r>
        <w:rPr>
          <w:spacing w:val="-3"/>
          <w:sz w:val="20"/>
        </w:rPr>
        <w:t> </w:t>
      </w:r>
      <w:r>
        <w:rPr>
          <w:sz w:val="20"/>
        </w:rPr>
        <w:t>issue</w:t>
      </w:r>
      <w:r>
        <w:rPr>
          <w:spacing w:val="-4"/>
          <w:sz w:val="20"/>
        </w:rPr>
        <w:t> </w:t>
      </w:r>
      <w:r>
        <w:rPr>
          <w:sz w:val="20"/>
        </w:rPr>
        <w:t>–</w:t>
      </w:r>
      <w:r>
        <w:rPr>
          <w:spacing w:val="-2"/>
          <w:sz w:val="20"/>
        </w:rPr>
        <w:t> </w:t>
      </w:r>
      <w:r>
        <w:rPr>
          <w:sz w:val="20"/>
        </w:rPr>
        <w:t>some</w:t>
      </w:r>
      <w:r>
        <w:rPr>
          <w:spacing w:val="-4"/>
          <w:sz w:val="20"/>
        </w:rPr>
        <w:t> </w:t>
      </w:r>
      <w:r>
        <w:rPr>
          <w:sz w:val="20"/>
        </w:rPr>
        <w:t>key</w:t>
      </w:r>
      <w:r>
        <w:rPr>
          <w:spacing w:val="-2"/>
          <w:sz w:val="20"/>
        </w:rPr>
        <w:t> </w:t>
      </w:r>
      <w:r>
        <w:rPr>
          <w:sz w:val="20"/>
        </w:rPr>
        <w:t>policy</w:t>
      </w:r>
      <w:r>
        <w:rPr>
          <w:spacing w:val="-3"/>
          <w:sz w:val="20"/>
        </w:rPr>
        <w:t> </w:t>
      </w:r>
      <w:r>
        <w:rPr>
          <w:sz w:val="20"/>
        </w:rPr>
        <w:t>discussions</w:t>
      </w:r>
      <w:r>
        <w:rPr>
          <w:spacing w:val="-2"/>
          <w:sz w:val="20"/>
        </w:rPr>
        <w:t> </w:t>
      </w:r>
      <w:r>
        <w:rPr>
          <w:sz w:val="20"/>
        </w:rPr>
        <w:t>end</w:t>
      </w:r>
      <w:r>
        <w:rPr>
          <w:spacing w:val="-2"/>
          <w:sz w:val="20"/>
        </w:rPr>
        <w:t> </w:t>
      </w:r>
      <w:r>
        <w:rPr>
          <w:sz w:val="20"/>
        </w:rPr>
        <w:t>up</w:t>
      </w:r>
      <w:r>
        <w:rPr>
          <w:spacing w:val="-4"/>
          <w:sz w:val="20"/>
        </w:rPr>
        <w:t> </w:t>
      </w:r>
      <w:r>
        <w:rPr>
          <w:sz w:val="20"/>
        </w:rPr>
        <w:t>being</w:t>
      </w:r>
      <w:r>
        <w:rPr>
          <w:spacing w:val="-2"/>
          <w:sz w:val="20"/>
        </w:rPr>
        <w:t> </w:t>
      </w:r>
      <w:r>
        <w:rPr>
          <w:sz w:val="20"/>
        </w:rPr>
        <w:t>away</w:t>
      </w:r>
      <w:r>
        <w:rPr>
          <w:spacing w:val="-3"/>
          <w:sz w:val="20"/>
        </w:rPr>
        <w:t> </w:t>
      </w:r>
      <w:r>
        <w:rPr>
          <w:sz w:val="20"/>
        </w:rPr>
        <w:t>from</w:t>
      </w:r>
      <w:r>
        <w:rPr>
          <w:spacing w:val="-2"/>
          <w:sz w:val="20"/>
        </w:rPr>
        <w:t> </w:t>
      </w:r>
      <w:r>
        <w:rPr>
          <w:sz w:val="20"/>
        </w:rPr>
        <w:t>home,</w:t>
      </w:r>
      <w:r>
        <w:rPr>
          <w:spacing w:val="-3"/>
          <w:sz w:val="20"/>
        </w:rPr>
        <w:t> </w:t>
      </w:r>
      <w:r>
        <w:rPr>
          <w:sz w:val="20"/>
        </w:rPr>
        <w:t>away</w:t>
      </w:r>
      <w:r>
        <w:rPr>
          <w:spacing w:val="-3"/>
          <w:sz w:val="20"/>
        </w:rPr>
        <w:t> </w:t>
      </w:r>
      <w:r>
        <w:rPr>
          <w:sz w:val="20"/>
        </w:rPr>
        <w:t>from</w:t>
      </w:r>
      <w:r>
        <w:rPr>
          <w:spacing w:val="-2"/>
          <w:sz w:val="20"/>
        </w:rPr>
        <w:t> </w:t>
      </w:r>
      <w:r>
        <w:rPr>
          <w:sz w:val="20"/>
        </w:rPr>
        <w:t>the Westminster Parliament. Mainly global in</w:t>
      </w:r>
      <w:r>
        <w:rPr>
          <w:spacing w:val="-9"/>
          <w:sz w:val="20"/>
        </w:rPr>
        <w:t> </w:t>
      </w:r>
      <w:r>
        <w:rPr>
          <w:sz w:val="20"/>
        </w:rPr>
        <w:t>fact.</w:t>
      </w:r>
    </w:p>
    <w:p>
      <w:pPr>
        <w:pStyle w:val="ListParagraph"/>
        <w:numPr>
          <w:ilvl w:val="0"/>
          <w:numId w:val="2"/>
        </w:numPr>
        <w:tabs>
          <w:tab w:pos="953" w:val="left" w:leader="none"/>
          <w:tab w:pos="955" w:val="left" w:leader="none"/>
        </w:tabs>
        <w:spacing w:line="352" w:lineRule="auto" w:before="5" w:after="0"/>
        <w:ind w:left="954" w:right="365" w:hanging="361"/>
        <w:jc w:val="left"/>
        <w:rPr>
          <w:sz w:val="20"/>
        </w:rPr>
      </w:pPr>
      <w:r>
        <w:rPr>
          <w:sz w:val="20"/>
        </w:rPr>
        <w:t>That global process is pretty transparent – consultative papers, speeches and so on. But perhaps not</w:t>
      </w:r>
      <w:r>
        <w:rPr>
          <w:spacing w:val="-3"/>
          <w:sz w:val="20"/>
        </w:rPr>
        <w:t> </w:t>
      </w:r>
      <w:r>
        <w:rPr>
          <w:sz w:val="20"/>
        </w:rPr>
        <w:t>covered</w:t>
      </w:r>
      <w:r>
        <w:rPr>
          <w:spacing w:val="-3"/>
          <w:sz w:val="20"/>
        </w:rPr>
        <w:t> </w:t>
      </w:r>
      <w:r>
        <w:rPr>
          <w:sz w:val="20"/>
        </w:rPr>
        <w:t>in</w:t>
      </w:r>
      <w:r>
        <w:rPr>
          <w:spacing w:val="-2"/>
          <w:sz w:val="20"/>
        </w:rPr>
        <w:t> </w:t>
      </w:r>
      <w:r>
        <w:rPr>
          <w:sz w:val="20"/>
        </w:rPr>
        <w:t>any</w:t>
      </w:r>
      <w:r>
        <w:rPr>
          <w:spacing w:val="-3"/>
          <w:sz w:val="20"/>
        </w:rPr>
        <w:t> </w:t>
      </w:r>
      <w:r>
        <w:rPr>
          <w:sz w:val="20"/>
        </w:rPr>
        <w:t>national</w:t>
      </w:r>
      <w:r>
        <w:rPr>
          <w:spacing w:val="-3"/>
          <w:sz w:val="20"/>
        </w:rPr>
        <w:t> </w:t>
      </w:r>
      <w:r>
        <w:rPr>
          <w:sz w:val="20"/>
        </w:rPr>
        <w:t>media,</w:t>
      </w:r>
      <w:r>
        <w:rPr>
          <w:spacing w:val="-2"/>
          <w:sz w:val="20"/>
        </w:rPr>
        <w:t> </w:t>
      </w:r>
      <w:r>
        <w:rPr>
          <w:sz w:val="20"/>
        </w:rPr>
        <w:t>including</w:t>
      </w:r>
      <w:r>
        <w:rPr>
          <w:spacing w:val="-3"/>
          <w:sz w:val="20"/>
        </w:rPr>
        <w:t> </w:t>
      </w:r>
      <w:r>
        <w:rPr>
          <w:sz w:val="20"/>
        </w:rPr>
        <w:t>here</w:t>
      </w:r>
      <w:r>
        <w:rPr>
          <w:spacing w:val="-3"/>
          <w:sz w:val="20"/>
        </w:rPr>
        <w:t> </w:t>
      </w:r>
      <w:r>
        <w:rPr>
          <w:sz w:val="20"/>
        </w:rPr>
        <w:t>in</w:t>
      </w:r>
      <w:r>
        <w:rPr>
          <w:spacing w:val="-2"/>
          <w:sz w:val="20"/>
        </w:rPr>
        <w:t> </w:t>
      </w:r>
      <w:r>
        <w:rPr>
          <w:sz w:val="20"/>
        </w:rPr>
        <w:t>the</w:t>
      </w:r>
      <w:r>
        <w:rPr>
          <w:spacing w:val="-3"/>
          <w:sz w:val="20"/>
        </w:rPr>
        <w:t> </w:t>
      </w:r>
      <w:r>
        <w:rPr>
          <w:sz w:val="20"/>
        </w:rPr>
        <w:t>UK,</w:t>
      </w:r>
      <w:r>
        <w:rPr>
          <w:spacing w:val="-2"/>
          <w:sz w:val="20"/>
        </w:rPr>
        <w:t> </w:t>
      </w:r>
      <w:r>
        <w:rPr>
          <w:sz w:val="20"/>
        </w:rPr>
        <w:t>as</w:t>
      </w:r>
      <w:r>
        <w:rPr>
          <w:spacing w:val="-3"/>
          <w:sz w:val="20"/>
        </w:rPr>
        <w:t> </w:t>
      </w:r>
      <w:r>
        <w:rPr>
          <w:sz w:val="20"/>
        </w:rPr>
        <w:t>much</w:t>
      </w:r>
      <w:r>
        <w:rPr>
          <w:spacing w:val="-3"/>
          <w:sz w:val="20"/>
        </w:rPr>
        <w:t> </w:t>
      </w:r>
      <w:r>
        <w:rPr>
          <w:sz w:val="20"/>
        </w:rPr>
        <w:t>as</w:t>
      </w:r>
      <w:r>
        <w:rPr>
          <w:spacing w:val="-1"/>
          <w:sz w:val="20"/>
        </w:rPr>
        <w:t> </w:t>
      </w:r>
      <w:r>
        <w:rPr>
          <w:sz w:val="20"/>
        </w:rPr>
        <w:t>one</w:t>
      </w:r>
      <w:r>
        <w:rPr>
          <w:spacing w:val="-3"/>
          <w:sz w:val="20"/>
        </w:rPr>
        <w:t> </w:t>
      </w:r>
      <w:r>
        <w:rPr>
          <w:sz w:val="20"/>
        </w:rPr>
        <w:t>might</w:t>
      </w:r>
      <w:r>
        <w:rPr>
          <w:spacing w:val="-3"/>
          <w:sz w:val="20"/>
        </w:rPr>
        <w:t> </w:t>
      </w:r>
      <w:r>
        <w:rPr>
          <w:sz w:val="20"/>
        </w:rPr>
        <w:t>expect.</w:t>
      </w:r>
    </w:p>
    <w:p>
      <w:pPr>
        <w:pStyle w:val="ListParagraph"/>
        <w:numPr>
          <w:ilvl w:val="0"/>
          <w:numId w:val="2"/>
        </w:numPr>
        <w:tabs>
          <w:tab w:pos="955" w:val="left" w:leader="none"/>
        </w:tabs>
        <w:spacing w:line="355" w:lineRule="auto" w:before="6" w:after="0"/>
        <w:ind w:left="954" w:right="187" w:hanging="360"/>
        <w:jc w:val="both"/>
        <w:rPr>
          <w:sz w:val="20"/>
        </w:rPr>
      </w:pPr>
      <w:r>
        <w:rPr>
          <w:sz w:val="20"/>
        </w:rPr>
        <w:t>But there is a deeper question here about the compatibility of domestic and global objectives. In the monetary sphere, it is well known that one cannot combine capital mobility, monetary policy focused on domestic price stability, and fixed exchange rates. Solution in post-Bretton Woods world</w:t>
      </w:r>
      <w:r>
        <w:rPr>
          <w:spacing w:val="-37"/>
          <w:sz w:val="20"/>
        </w:rPr>
        <w:t> </w:t>
      </w:r>
      <w:r>
        <w:rPr>
          <w:sz w:val="20"/>
        </w:rPr>
        <w:t>has</w:t>
      </w:r>
    </w:p>
    <w:p>
      <w:pPr>
        <w:spacing w:after="0" w:line="355" w:lineRule="auto"/>
        <w:jc w:val="both"/>
        <w:rPr>
          <w:sz w:val="20"/>
        </w:rPr>
        <w:sectPr>
          <w:pgSz w:w="11900" w:h="16840"/>
          <w:pgMar w:header="0" w:footer="1340" w:top="1540" w:bottom="1540" w:left="900" w:right="1020"/>
        </w:sectPr>
      </w:pPr>
    </w:p>
    <w:p>
      <w:pPr>
        <w:pStyle w:val="BodyText"/>
        <w:spacing w:line="360" w:lineRule="auto" w:before="76"/>
        <w:ind w:left="953" w:right="443"/>
      </w:pPr>
      <w:r>
        <w:rPr/>
        <w:t>been floating exchange rates. This does not mean there are no spillovers. Hence information sharing in Basel meetings etc.</w:t>
      </w:r>
    </w:p>
    <w:p>
      <w:pPr>
        <w:pStyle w:val="ListParagraph"/>
        <w:numPr>
          <w:ilvl w:val="0"/>
          <w:numId w:val="2"/>
        </w:numPr>
        <w:tabs>
          <w:tab w:pos="953" w:val="left" w:leader="none"/>
          <w:tab w:pos="955" w:val="left" w:leader="none"/>
        </w:tabs>
        <w:spacing w:line="355" w:lineRule="auto" w:before="0" w:after="0"/>
        <w:ind w:left="953" w:right="264" w:hanging="360"/>
        <w:jc w:val="left"/>
        <w:rPr>
          <w:sz w:val="20"/>
        </w:rPr>
      </w:pPr>
      <w:r>
        <w:rPr>
          <w:sz w:val="20"/>
        </w:rPr>
        <w:t>There is a financial trilemma too. Cannot combine cross-border banking, and an integrated international financial system more generally; financial stability; and national policies focused solely on </w:t>
      </w:r>
      <w:r>
        <w:rPr>
          <w:i/>
          <w:sz w:val="20"/>
        </w:rPr>
        <w:t>domestic</w:t>
      </w:r>
      <w:r>
        <w:rPr>
          <w:i/>
          <w:spacing w:val="-3"/>
          <w:sz w:val="20"/>
        </w:rPr>
        <w:t> </w:t>
      </w:r>
      <w:r>
        <w:rPr>
          <w:sz w:val="20"/>
        </w:rPr>
        <w:t>stability.</w:t>
      </w:r>
    </w:p>
    <w:p>
      <w:pPr>
        <w:pStyle w:val="ListParagraph"/>
        <w:numPr>
          <w:ilvl w:val="0"/>
          <w:numId w:val="2"/>
        </w:numPr>
        <w:tabs>
          <w:tab w:pos="953" w:val="left" w:leader="none"/>
          <w:tab w:pos="955" w:val="left" w:leader="none"/>
        </w:tabs>
        <w:spacing w:line="350" w:lineRule="auto" w:before="5" w:after="0"/>
        <w:ind w:left="953" w:right="333" w:hanging="360"/>
        <w:jc w:val="left"/>
        <w:rPr>
          <w:sz w:val="20"/>
        </w:rPr>
      </w:pPr>
      <w:r>
        <w:rPr>
          <w:sz w:val="20"/>
        </w:rPr>
        <w:t>Came</w:t>
      </w:r>
      <w:r>
        <w:rPr>
          <w:spacing w:val="-3"/>
          <w:sz w:val="20"/>
        </w:rPr>
        <w:t> </w:t>
      </w:r>
      <w:r>
        <w:rPr>
          <w:sz w:val="20"/>
        </w:rPr>
        <w:t>home</w:t>
      </w:r>
      <w:r>
        <w:rPr>
          <w:spacing w:val="-3"/>
          <w:sz w:val="20"/>
        </w:rPr>
        <w:t> </w:t>
      </w:r>
      <w:r>
        <w:rPr>
          <w:sz w:val="20"/>
        </w:rPr>
        <w:t>to</w:t>
      </w:r>
      <w:r>
        <w:rPr>
          <w:spacing w:val="-3"/>
          <w:sz w:val="20"/>
        </w:rPr>
        <w:t> </w:t>
      </w:r>
      <w:r>
        <w:rPr>
          <w:sz w:val="20"/>
        </w:rPr>
        <w:t>roost</w:t>
      </w:r>
      <w:r>
        <w:rPr>
          <w:spacing w:val="-2"/>
          <w:sz w:val="20"/>
        </w:rPr>
        <w:t> </w:t>
      </w:r>
      <w:r>
        <w:rPr>
          <w:sz w:val="20"/>
        </w:rPr>
        <w:t>in</w:t>
      </w:r>
      <w:r>
        <w:rPr>
          <w:spacing w:val="-3"/>
          <w:sz w:val="20"/>
        </w:rPr>
        <w:t> </w:t>
      </w:r>
      <w:r>
        <w:rPr>
          <w:sz w:val="20"/>
        </w:rPr>
        <w:t>the</w:t>
      </w:r>
      <w:r>
        <w:rPr>
          <w:spacing w:val="-3"/>
          <w:sz w:val="20"/>
        </w:rPr>
        <w:t> </w:t>
      </w:r>
      <w:r>
        <w:rPr>
          <w:sz w:val="20"/>
        </w:rPr>
        <w:t>crisis:</w:t>
      </w:r>
      <w:r>
        <w:rPr>
          <w:spacing w:val="-2"/>
          <w:sz w:val="20"/>
        </w:rPr>
        <w:t> </w:t>
      </w:r>
      <w:r>
        <w:rPr>
          <w:sz w:val="20"/>
        </w:rPr>
        <w:t>global</w:t>
      </w:r>
      <w:r>
        <w:rPr>
          <w:spacing w:val="-4"/>
          <w:sz w:val="20"/>
        </w:rPr>
        <w:t> </w:t>
      </w:r>
      <w:r>
        <w:rPr>
          <w:sz w:val="20"/>
        </w:rPr>
        <w:t>banks</w:t>
      </w:r>
      <w:r>
        <w:rPr>
          <w:spacing w:val="-4"/>
          <w:sz w:val="20"/>
        </w:rPr>
        <w:t> </w:t>
      </w:r>
      <w:r>
        <w:rPr>
          <w:sz w:val="20"/>
        </w:rPr>
        <w:t>were,</w:t>
      </w:r>
      <w:r>
        <w:rPr>
          <w:spacing w:val="-2"/>
          <w:sz w:val="20"/>
        </w:rPr>
        <w:t> </w:t>
      </w:r>
      <w:r>
        <w:rPr>
          <w:sz w:val="20"/>
        </w:rPr>
        <w:t>as</w:t>
      </w:r>
      <w:r>
        <w:rPr>
          <w:spacing w:val="-3"/>
          <w:sz w:val="20"/>
        </w:rPr>
        <w:t> </w:t>
      </w:r>
      <w:r>
        <w:rPr>
          <w:sz w:val="20"/>
        </w:rPr>
        <w:t>Mervyn</w:t>
      </w:r>
      <w:r>
        <w:rPr>
          <w:spacing w:val="-3"/>
          <w:sz w:val="20"/>
        </w:rPr>
        <w:t> </w:t>
      </w:r>
      <w:r>
        <w:rPr>
          <w:sz w:val="20"/>
        </w:rPr>
        <w:t>King</w:t>
      </w:r>
      <w:r>
        <w:rPr>
          <w:spacing w:val="-2"/>
          <w:sz w:val="20"/>
        </w:rPr>
        <w:t> </w:t>
      </w:r>
      <w:r>
        <w:rPr>
          <w:sz w:val="20"/>
        </w:rPr>
        <w:t>put</w:t>
      </w:r>
      <w:r>
        <w:rPr>
          <w:spacing w:val="-3"/>
          <w:sz w:val="20"/>
        </w:rPr>
        <w:t> </w:t>
      </w:r>
      <w:r>
        <w:rPr>
          <w:sz w:val="20"/>
        </w:rPr>
        <w:t>it,</w:t>
      </w:r>
      <w:r>
        <w:rPr>
          <w:spacing w:val="-3"/>
          <w:sz w:val="20"/>
        </w:rPr>
        <w:t> </w:t>
      </w:r>
      <w:r>
        <w:rPr>
          <w:sz w:val="20"/>
        </w:rPr>
        <w:t>“international</w:t>
      </w:r>
      <w:r>
        <w:rPr>
          <w:spacing w:val="-2"/>
          <w:sz w:val="20"/>
        </w:rPr>
        <w:t> </w:t>
      </w:r>
      <w:r>
        <w:rPr>
          <w:sz w:val="20"/>
        </w:rPr>
        <w:t>in</w:t>
      </w:r>
      <w:r>
        <w:rPr>
          <w:spacing w:val="-3"/>
          <w:sz w:val="20"/>
        </w:rPr>
        <w:t> </w:t>
      </w:r>
      <w:r>
        <w:rPr>
          <w:sz w:val="20"/>
        </w:rPr>
        <w:t>life</w:t>
      </w:r>
      <w:r>
        <w:rPr>
          <w:spacing w:val="-3"/>
          <w:sz w:val="20"/>
        </w:rPr>
        <w:t> </w:t>
      </w:r>
      <w:r>
        <w:rPr>
          <w:sz w:val="20"/>
        </w:rPr>
        <w:t>but national in death”. Financial autarky is not the</w:t>
      </w:r>
      <w:r>
        <w:rPr>
          <w:spacing w:val="-12"/>
          <w:sz w:val="20"/>
        </w:rPr>
        <w:t> </w:t>
      </w:r>
      <w:r>
        <w:rPr>
          <w:sz w:val="20"/>
        </w:rPr>
        <w:t>answer.</w:t>
      </w:r>
    </w:p>
    <w:p>
      <w:pPr>
        <w:pStyle w:val="ListParagraph"/>
        <w:numPr>
          <w:ilvl w:val="0"/>
          <w:numId w:val="2"/>
        </w:numPr>
        <w:tabs>
          <w:tab w:pos="953" w:val="left" w:leader="none"/>
          <w:tab w:pos="955" w:val="left" w:leader="none"/>
        </w:tabs>
        <w:spacing w:line="352" w:lineRule="auto" w:before="10" w:after="0"/>
        <w:ind w:left="953" w:right="388" w:hanging="360"/>
        <w:jc w:val="left"/>
        <w:rPr>
          <w:sz w:val="20"/>
        </w:rPr>
      </w:pPr>
      <w:r>
        <w:rPr>
          <w:sz w:val="20"/>
        </w:rPr>
        <w:t>Solution: co-ordination and co-operation on the resolution of global banks. G20 Financial Stability Board has led the way here. Real</w:t>
      </w:r>
      <w:r>
        <w:rPr>
          <w:spacing w:val="-9"/>
          <w:sz w:val="20"/>
        </w:rPr>
        <w:t> </w:t>
      </w:r>
      <w:r>
        <w:rPr>
          <w:sz w:val="20"/>
        </w:rPr>
        <w:t>progress.</w:t>
      </w:r>
    </w:p>
    <w:p>
      <w:pPr>
        <w:pStyle w:val="ListParagraph"/>
        <w:numPr>
          <w:ilvl w:val="0"/>
          <w:numId w:val="2"/>
        </w:numPr>
        <w:tabs>
          <w:tab w:pos="953" w:val="left" w:leader="none"/>
          <w:tab w:pos="955" w:val="left" w:leader="none"/>
        </w:tabs>
        <w:spacing w:line="352" w:lineRule="auto" w:before="5" w:after="0"/>
        <w:ind w:left="953" w:right="621" w:hanging="360"/>
        <w:jc w:val="left"/>
        <w:rPr>
          <w:sz w:val="20"/>
        </w:rPr>
      </w:pPr>
      <w:r>
        <w:rPr>
          <w:sz w:val="20"/>
        </w:rPr>
        <w:t>Means foreign countries have a stake in our banks, and vice versa. Means the key policies</w:t>
      </w:r>
      <w:r>
        <w:rPr>
          <w:spacing w:val="-21"/>
          <w:sz w:val="20"/>
        </w:rPr>
        <w:t> </w:t>
      </w:r>
      <w:r>
        <w:rPr>
          <w:sz w:val="20"/>
        </w:rPr>
        <w:t>are unavoidably international, global. As a trading nation we should welcome</w:t>
      </w:r>
      <w:r>
        <w:rPr>
          <w:spacing w:val="-26"/>
          <w:sz w:val="20"/>
        </w:rPr>
        <w:t> </w:t>
      </w:r>
      <w:r>
        <w:rPr>
          <w:sz w:val="20"/>
        </w:rPr>
        <w:t>that.</w:t>
      </w:r>
    </w:p>
    <w:p>
      <w:pPr>
        <w:pStyle w:val="BodyText"/>
        <w:spacing w:before="5"/>
        <w:ind w:left="0"/>
        <w:rPr>
          <w:sz w:val="30"/>
        </w:rPr>
      </w:pPr>
    </w:p>
    <w:p>
      <w:pPr>
        <w:pStyle w:val="BodyText"/>
        <w:spacing w:line="360" w:lineRule="auto"/>
        <w:ind w:left="234" w:right="376"/>
      </w:pPr>
      <w:r>
        <w:rPr/>
        <w:t>I hope these brief remarks provide the basis for a good discussion. In short, the traditional roles of central banks – for the first time ever reflected in UK legislation – touch every household and business in this country and, in truth, more widely. We need to be clear about what we can do and what we cannot do; we need to operate consistently within our remit; and above all we must be sufficiently transparent to make proper accountability realistic. That is what trust requires, and we are in the business of trust – trust in the value of money.</w:t>
      </w:r>
    </w:p>
    <w:sectPr>
      <w:pgSz w:w="11900" w:h="16840"/>
      <w:pgMar w:header="0" w:footer="1340" w:top="154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line style="position:absolute;mso-position-horizontal-relative:page;mso-position-vertical-relative:page;z-index:-251836416" from="38.939999pt,761.099976pt" to="556.379999pt,761.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23.319885pt;margin-top:760.19635pt;width:6.6pt;height:3.15pt;mso-position-horizontal-relative:page;mso-position-vertical-relative:page;z-index:-251835392" type="#_x0000_t202" filled="false" stroked="false">
          <v:textbox inset="0,0,0,0">
            <w:txbxContent>
              <w:p>
                <w:pPr>
                  <w:pStyle w:val="BodyText"/>
                  <w:ind w:left="0"/>
                  <w:rPr>
                    <w:rFonts w:ascii="Times New Roman"/>
                    <w:sz w:val="2"/>
                  </w:rPr>
                </w:pPr>
              </w:p>
              <w:p>
                <w:pPr>
                  <w:spacing w:before="0"/>
                  <w:ind w:left="0" w:right="0" w:firstLine="0"/>
                  <w:jc w:val="center"/>
                  <w:rPr>
                    <w:sz w:val="2"/>
                  </w:rPr>
                </w:pPr>
                <w:r>
                  <w:rPr/>
                  <w:fldChar w:fldCharType="begin"/>
                </w:r>
                <w:r>
                  <w:rPr>
                    <w:w w:val="101"/>
                    <w:sz w:val="2"/>
                  </w:rPr>
                  <w:instrText> PAGE </w:instrText>
                </w:r>
                <w:r>
                  <w:rPr/>
                  <w:fldChar w:fldCharType="separate"/>
                </w:r>
                <w:r>
                  <w:rPr/>
                  <w:t>1</w:t>
                </w:r>
                <w:r>
                  <w:rPr/>
                  <w:fldChar w:fldCharType="end"/>
                </w:r>
              </w:p>
            </w:txbxContent>
          </v:textbox>
          <w10:wrap type="none"/>
        </v:shape>
      </w:pict>
    </w:r>
    <w:r>
      <w:rPr/>
      <w:pict>
        <v:shape style="position:absolute;margin-left:43.340256pt;margin-top:771.849182pt;width:467.2pt;height:13.2pt;mso-position-horizontal-relative:page;mso-position-vertical-relative:page;z-index:-251834368"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line style="position:absolute;mso-position-horizontal-relative:page;mso-position-vertical-relative:page;z-index:-251833344"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1832320" type="#_x0000_t202" filled="false" stroked="false">
          <v:textbox inset="0,0,0,0">
            <w:txbxContent>
              <w:p>
                <w:pPr>
                  <w:pStyle w:val="BodyText"/>
                  <w:ind w:left="0"/>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43.340328pt;margin-top:771.849426pt;width:467.15pt;height:13.2pt;mso-position-horizontal-relative:page;mso-position-vertical-relative:page;z-index:-251831296"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1830272" type="#_x0000_t202" filled="false" stroked="false">
          <v:textbox inset="0,0,0,0">
            <w:txbxContent>
              <w:p>
                <w:pPr>
                  <w:pStyle w:val="BodyText"/>
                  <w:spacing w:before="14"/>
                  <w:ind w:left="20"/>
                </w:pPr>
                <w:r>
                  <w:rPr>
                    <w:w w:val="100"/>
                  </w:rPr>
                  <w:t>2</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368" w:hanging="567"/>
      </w:pPr>
      <w:rPr>
        <w:rFonts w:hint="default" w:ascii="Symbol" w:hAnsi="Symbol" w:eastAsia="Symbol" w:cs="Symbol"/>
        <w:w w:val="100"/>
        <w:sz w:val="20"/>
        <w:szCs w:val="20"/>
      </w:rPr>
    </w:lvl>
    <w:lvl w:ilvl="1">
      <w:start w:val="0"/>
      <w:numFmt w:val="bullet"/>
      <w:lvlText w:val="•"/>
      <w:lvlJc w:val="left"/>
      <w:pPr>
        <w:ind w:left="2222" w:hanging="567"/>
      </w:pPr>
      <w:rPr>
        <w:rFonts w:hint="default"/>
      </w:rPr>
    </w:lvl>
    <w:lvl w:ilvl="2">
      <w:start w:val="0"/>
      <w:numFmt w:val="bullet"/>
      <w:lvlText w:val="•"/>
      <w:lvlJc w:val="left"/>
      <w:pPr>
        <w:ind w:left="3084" w:hanging="567"/>
      </w:pPr>
      <w:rPr>
        <w:rFonts w:hint="default"/>
      </w:rPr>
    </w:lvl>
    <w:lvl w:ilvl="3">
      <w:start w:val="0"/>
      <w:numFmt w:val="bullet"/>
      <w:lvlText w:val="•"/>
      <w:lvlJc w:val="left"/>
      <w:pPr>
        <w:ind w:left="3946" w:hanging="567"/>
      </w:pPr>
      <w:rPr>
        <w:rFonts w:hint="default"/>
      </w:rPr>
    </w:lvl>
    <w:lvl w:ilvl="4">
      <w:start w:val="0"/>
      <w:numFmt w:val="bullet"/>
      <w:lvlText w:val="•"/>
      <w:lvlJc w:val="left"/>
      <w:pPr>
        <w:ind w:left="4808" w:hanging="567"/>
      </w:pPr>
      <w:rPr>
        <w:rFonts w:hint="default"/>
      </w:rPr>
    </w:lvl>
    <w:lvl w:ilvl="5">
      <w:start w:val="0"/>
      <w:numFmt w:val="bullet"/>
      <w:lvlText w:val="•"/>
      <w:lvlJc w:val="left"/>
      <w:pPr>
        <w:ind w:left="5670" w:hanging="567"/>
      </w:pPr>
      <w:rPr>
        <w:rFonts w:hint="default"/>
      </w:rPr>
    </w:lvl>
    <w:lvl w:ilvl="6">
      <w:start w:val="0"/>
      <w:numFmt w:val="bullet"/>
      <w:lvlText w:val="•"/>
      <w:lvlJc w:val="left"/>
      <w:pPr>
        <w:ind w:left="6532" w:hanging="567"/>
      </w:pPr>
      <w:rPr>
        <w:rFonts w:hint="default"/>
      </w:rPr>
    </w:lvl>
    <w:lvl w:ilvl="7">
      <w:start w:val="0"/>
      <w:numFmt w:val="bullet"/>
      <w:lvlText w:val="•"/>
      <w:lvlJc w:val="left"/>
      <w:pPr>
        <w:ind w:left="7394" w:hanging="567"/>
      </w:pPr>
      <w:rPr>
        <w:rFonts w:hint="default"/>
      </w:rPr>
    </w:lvl>
    <w:lvl w:ilvl="8">
      <w:start w:val="0"/>
      <w:numFmt w:val="bullet"/>
      <w:lvlText w:val="•"/>
      <w:lvlJc w:val="left"/>
      <w:pPr>
        <w:ind w:left="8256" w:hanging="567"/>
      </w:pPr>
      <w:rPr>
        <w:rFonts w:hint="default"/>
      </w:rPr>
    </w:lvl>
  </w:abstractNum>
  <w:abstractNum w:abstractNumId="2">
    <w:multiLevelType w:val="hybridMultilevel"/>
    <w:lvl w:ilvl="0">
      <w:start w:val="0"/>
      <w:numFmt w:val="bullet"/>
      <w:lvlText w:val=""/>
      <w:lvlJc w:val="left"/>
      <w:pPr>
        <w:ind w:left="1935" w:hanging="568"/>
      </w:pPr>
      <w:rPr>
        <w:rFonts w:hint="default" w:ascii="Symbol" w:hAnsi="Symbol" w:eastAsia="Symbol" w:cs="Symbol"/>
        <w:w w:val="100"/>
        <w:sz w:val="20"/>
        <w:szCs w:val="20"/>
      </w:rPr>
    </w:lvl>
    <w:lvl w:ilvl="1">
      <w:start w:val="0"/>
      <w:numFmt w:val="bullet"/>
      <w:lvlText w:val="•"/>
      <w:lvlJc w:val="left"/>
      <w:pPr>
        <w:ind w:left="2744" w:hanging="568"/>
      </w:pPr>
      <w:rPr>
        <w:rFonts w:hint="default"/>
      </w:rPr>
    </w:lvl>
    <w:lvl w:ilvl="2">
      <w:start w:val="0"/>
      <w:numFmt w:val="bullet"/>
      <w:lvlText w:val="•"/>
      <w:lvlJc w:val="left"/>
      <w:pPr>
        <w:ind w:left="3548" w:hanging="568"/>
      </w:pPr>
      <w:rPr>
        <w:rFonts w:hint="default"/>
      </w:rPr>
    </w:lvl>
    <w:lvl w:ilvl="3">
      <w:start w:val="0"/>
      <w:numFmt w:val="bullet"/>
      <w:lvlText w:val="•"/>
      <w:lvlJc w:val="left"/>
      <w:pPr>
        <w:ind w:left="4352" w:hanging="568"/>
      </w:pPr>
      <w:rPr>
        <w:rFonts w:hint="default"/>
      </w:rPr>
    </w:lvl>
    <w:lvl w:ilvl="4">
      <w:start w:val="0"/>
      <w:numFmt w:val="bullet"/>
      <w:lvlText w:val="•"/>
      <w:lvlJc w:val="left"/>
      <w:pPr>
        <w:ind w:left="5156" w:hanging="568"/>
      </w:pPr>
      <w:rPr>
        <w:rFonts w:hint="default"/>
      </w:rPr>
    </w:lvl>
    <w:lvl w:ilvl="5">
      <w:start w:val="0"/>
      <w:numFmt w:val="bullet"/>
      <w:lvlText w:val="•"/>
      <w:lvlJc w:val="left"/>
      <w:pPr>
        <w:ind w:left="5960" w:hanging="568"/>
      </w:pPr>
      <w:rPr>
        <w:rFonts w:hint="default"/>
      </w:rPr>
    </w:lvl>
    <w:lvl w:ilvl="6">
      <w:start w:val="0"/>
      <w:numFmt w:val="bullet"/>
      <w:lvlText w:val="•"/>
      <w:lvlJc w:val="left"/>
      <w:pPr>
        <w:ind w:left="6764" w:hanging="568"/>
      </w:pPr>
      <w:rPr>
        <w:rFonts w:hint="default"/>
      </w:rPr>
    </w:lvl>
    <w:lvl w:ilvl="7">
      <w:start w:val="0"/>
      <w:numFmt w:val="bullet"/>
      <w:lvlText w:val="•"/>
      <w:lvlJc w:val="left"/>
      <w:pPr>
        <w:ind w:left="7568" w:hanging="568"/>
      </w:pPr>
      <w:rPr>
        <w:rFonts w:hint="default"/>
      </w:rPr>
    </w:lvl>
    <w:lvl w:ilvl="8">
      <w:start w:val="0"/>
      <w:numFmt w:val="bullet"/>
      <w:lvlText w:val="•"/>
      <w:lvlJc w:val="left"/>
      <w:pPr>
        <w:ind w:left="8372" w:hanging="568"/>
      </w:pPr>
      <w:rPr>
        <w:rFonts w:hint="default"/>
      </w:rPr>
    </w:lvl>
  </w:abstractNum>
  <w:abstractNum w:abstractNumId="1">
    <w:multiLevelType w:val="hybridMultilevel"/>
    <w:lvl w:ilvl="0">
      <w:start w:val="0"/>
      <w:numFmt w:val="bullet"/>
      <w:lvlText w:val=""/>
      <w:lvlJc w:val="left"/>
      <w:pPr>
        <w:ind w:left="954" w:hanging="361"/>
      </w:pPr>
      <w:rPr>
        <w:rFonts w:hint="default" w:ascii="Symbol" w:hAnsi="Symbol" w:eastAsia="Symbol" w:cs="Symbol"/>
        <w:w w:val="100"/>
        <w:sz w:val="20"/>
        <w:szCs w:val="20"/>
      </w:rPr>
    </w:lvl>
    <w:lvl w:ilvl="1">
      <w:start w:val="0"/>
      <w:numFmt w:val="bullet"/>
      <w:lvlText w:val="-"/>
      <w:lvlJc w:val="left"/>
      <w:pPr>
        <w:ind w:left="2034" w:hanging="361"/>
      </w:pPr>
      <w:rPr>
        <w:rFonts w:hint="default" w:ascii="Times New Roman" w:hAnsi="Times New Roman" w:eastAsia="Times New Roman" w:cs="Times New Roman"/>
        <w:w w:val="100"/>
        <w:sz w:val="20"/>
        <w:szCs w:val="20"/>
      </w:rPr>
    </w:lvl>
    <w:lvl w:ilvl="2">
      <w:start w:val="0"/>
      <w:numFmt w:val="bullet"/>
      <w:lvlText w:val="•"/>
      <w:lvlJc w:val="left"/>
      <w:pPr>
        <w:ind w:left="2922" w:hanging="361"/>
      </w:pPr>
      <w:rPr>
        <w:rFonts w:hint="default"/>
      </w:rPr>
    </w:lvl>
    <w:lvl w:ilvl="3">
      <w:start w:val="0"/>
      <w:numFmt w:val="bullet"/>
      <w:lvlText w:val="•"/>
      <w:lvlJc w:val="left"/>
      <w:pPr>
        <w:ind w:left="3804" w:hanging="361"/>
      </w:pPr>
      <w:rPr>
        <w:rFonts w:hint="default"/>
      </w:rPr>
    </w:lvl>
    <w:lvl w:ilvl="4">
      <w:start w:val="0"/>
      <w:numFmt w:val="bullet"/>
      <w:lvlText w:val="•"/>
      <w:lvlJc w:val="left"/>
      <w:pPr>
        <w:ind w:left="4686" w:hanging="361"/>
      </w:pPr>
      <w:rPr>
        <w:rFonts w:hint="default"/>
      </w:rPr>
    </w:lvl>
    <w:lvl w:ilvl="5">
      <w:start w:val="0"/>
      <w:numFmt w:val="bullet"/>
      <w:lvlText w:val="•"/>
      <w:lvlJc w:val="left"/>
      <w:pPr>
        <w:ind w:left="5568" w:hanging="361"/>
      </w:pPr>
      <w:rPr>
        <w:rFonts w:hint="default"/>
      </w:rPr>
    </w:lvl>
    <w:lvl w:ilvl="6">
      <w:start w:val="0"/>
      <w:numFmt w:val="bullet"/>
      <w:lvlText w:val="•"/>
      <w:lvlJc w:val="left"/>
      <w:pPr>
        <w:ind w:left="6451" w:hanging="361"/>
      </w:pPr>
      <w:rPr>
        <w:rFonts w:hint="default"/>
      </w:rPr>
    </w:lvl>
    <w:lvl w:ilvl="7">
      <w:start w:val="0"/>
      <w:numFmt w:val="bullet"/>
      <w:lvlText w:val="•"/>
      <w:lvlJc w:val="left"/>
      <w:pPr>
        <w:ind w:left="7333" w:hanging="361"/>
      </w:pPr>
      <w:rPr>
        <w:rFonts w:hint="default"/>
      </w:rPr>
    </w:lvl>
    <w:lvl w:ilvl="8">
      <w:start w:val="0"/>
      <w:numFmt w:val="bullet"/>
      <w:lvlText w:val="•"/>
      <w:lvlJc w:val="left"/>
      <w:pPr>
        <w:ind w:left="8215" w:hanging="361"/>
      </w:pPr>
      <w:rPr>
        <w:rFonts w:hint="default"/>
      </w:rPr>
    </w:lvl>
  </w:abstractNum>
  <w:num w:numId="1">
    <w:abstractNumId w:val="0"/>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954"/>
    </w:pPr>
    <w:rPr>
      <w:rFonts w:ascii="Arial" w:hAnsi="Arial" w:eastAsia="Arial" w:cs="Arial"/>
      <w:sz w:val="20"/>
      <w:szCs w:val="20"/>
    </w:rPr>
  </w:style>
  <w:style w:styleId="Heading1" w:type="paragraph">
    <w:name w:val="Heading 1"/>
    <w:basedOn w:val="Normal"/>
    <w:uiPriority w:val="1"/>
    <w:qFormat/>
    <w:pPr>
      <w:ind w:left="233"/>
      <w:outlineLvl w:val="1"/>
    </w:pPr>
    <w:rPr>
      <w:rFonts w:ascii="Arial" w:hAnsi="Arial" w:eastAsia="Arial" w:cs="Arial"/>
      <w:sz w:val="24"/>
      <w:szCs w:val="24"/>
    </w:rPr>
  </w:style>
  <w:style w:styleId="ListParagraph" w:type="paragraph">
    <w:name w:val="List Paragraph"/>
    <w:basedOn w:val="Normal"/>
    <w:uiPriority w:val="1"/>
    <w:qFormat/>
    <w:pPr>
      <w:spacing w:before="5"/>
      <w:ind w:left="954" w:hanging="36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Paul Tucker</dc:subject>
  <dc:title>A new regulatory relationship: the Bank, the financial system and the wider economy</dc:title>
  <dcterms:created xsi:type="dcterms:W3CDTF">2020-06-02T17:12:03Z</dcterms:created>
  <dcterms:modified xsi:type="dcterms:W3CDTF">2020-06-02T17:12:03Z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2013-05-28T00:00:00Z</vt:filetime>
  </property>
  <property fmtid="{D5CDD505-2E9C-101B-9397-08002B2CF9AE}" pid="3" name="Creator">
    <vt:lpwstr>PScript5.dll Version 5.2.2</vt:lpwstr>
  </property>
  <property fmtid="{D5CDD505-2E9C-101B-9397-08002B2CF9AE}" pid="4" name="LastSaved">
    <vt:filetime>2020-06-02T00:00:00Z</vt:filetime>
  </property>
</Properties>
</file>