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5"/>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4"/>
        <w:rPr>
          <w:rFonts w:ascii="Times New Roman"/>
          <w:sz w:val="13"/>
        </w:rPr>
      </w:pPr>
      <w:r>
        <w:rPr/>
        <w:pict>
          <v:group style="position:absolute;margin-left:43.560001pt;margin-top:9.7pt;width:488.4pt;height:1.45pt;mso-position-horizontal-relative:page;mso-position-vertical-relative:paragraph;z-index:-251658240;mso-wrap-distance-left:0;mso-wrap-distance-right:0" coordorigin="871,194" coordsize="9768,29">
            <v:line style="position:absolute" from="871,208" to="8090,208" stroked="true" strokeweight="1.44pt" strokecolor="#000000">
              <v:stroke dashstyle="solid"/>
            </v:line>
            <v:rect style="position:absolute;left:8075;top:194;width:29;height:29" filled="true" fillcolor="#000000" stroked="false">
              <v:fill type="solid"/>
            </v:rect>
            <v:line style="position:absolute" from="8104,208" to="10639,208" stroked="true" strokeweight="1.44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6"/>
        </w:rPr>
      </w:pPr>
    </w:p>
    <w:p>
      <w:pPr>
        <w:spacing w:line="360" w:lineRule="auto" w:before="89"/>
        <w:ind w:left="313" w:right="1029" w:firstLine="0"/>
        <w:jc w:val="left"/>
        <w:rPr>
          <w:b/>
          <w:sz w:val="32"/>
        </w:rPr>
      </w:pPr>
      <w:r>
        <w:rPr>
          <w:b/>
          <w:color w:val="6A709F"/>
          <w:sz w:val="32"/>
        </w:rPr>
        <w:t>An end-of-year retrospective on the UK outlook and monetary policy</w:t>
      </w:r>
    </w:p>
    <w:p>
      <w:pPr>
        <w:pStyle w:val="BodyText"/>
        <w:rPr>
          <w:b/>
          <w:sz w:val="36"/>
        </w:rPr>
      </w:pPr>
    </w:p>
    <w:p>
      <w:pPr>
        <w:spacing w:before="245"/>
        <w:ind w:left="313" w:right="0" w:firstLine="0"/>
        <w:jc w:val="left"/>
        <w:rPr>
          <w:sz w:val="24"/>
        </w:rPr>
      </w:pPr>
      <w:r>
        <w:rPr>
          <w:sz w:val="24"/>
        </w:rPr>
        <w:t>Speech given by</w:t>
      </w:r>
    </w:p>
    <w:p>
      <w:pPr>
        <w:spacing w:before="137"/>
        <w:ind w:left="313" w:right="0" w:firstLine="0"/>
        <w:jc w:val="left"/>
        <w:rPr>
          <w:sz w:val="24"/>
        </w:rPr>
      </w:pPr>
      <w:r>
        <w:rPr>
          <w:sz w:val="24"/>
        </w:rPr>
        <w:t>Professor Jonathan Haskel, External Member of the Monetary Policy Committee</w:t>
      </w:r>
    </w:p>
    <w:p>
      <w:pPr>
        <w:pStyle w:val="BodyText"/>
        <w:rPr>
          <w:sz w:val="26"/>
        </w:rPr>
      </w:pPr>
    </w:p>
    <w:p>
      <w:pPr>
        <w:pStyle w:val="BodyText"/>
        <w:rPr>
          <w:sz w:val="26"/>
        </w:rPr>
      </w:pPr>
    </w:p>
    <w:p>
      <w:pPr>
        <w:spacing w:line="465" w:lineRule="auto" w:before="194"/>
        <w:ind w:left="313" w:right="7081" w:firstLine="0"/>
        <w:jc w:val="left"/>
        <w:rPr>
          <w:sz w:val="24"/>
        </w:rPr>
      </w:pPr>
      <w:r>
        <w:rPr>
          <w:sz w:val="24"/>
        </w:rPr>
        <w:t>Resolution Foundation, London 20 December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p>
    <w:p>
      <w:pPr>
        <w:pStyle w:val="BodyText"/>
        <w:spacing w:line="360" w:lineRule="auto" w:before="93"/>
        <w:ind w:left="313" w:right="1143"/>
        <w:jc w:val="both"/>
      </w:pPr>
      <w:r>
        <w:rPr/>
        <w:t>I am grateful to Marco Garofalo and Jamie Lenney for their invaluable comments and assistance with the speech. My thanks also go to Thomas Belsham, Ben Broadbent, Philip Bunn, Will Dowson, Edward Hall, Christopher Jackson, Michael </w:t>
      </w:r>
      <w:r>
        <w:rPr>
          <w:spacing w:val="-3"/>
        </w:rPr>
        <w:t>McLeay, </w:t>
      </w:r>
      <w:r>
        <w:rPr/>
        <w:t>Elizabeth Levett, Andre Moreira, Kate Reinold, Michael Saunders, </w:t>
      </w:r>
      <w:r>
        <w:rPr>
          <w:spacing w:val="-8"/>
        </w:rPr>
        <w:t>Tom </w:t>
      </w:r>
      <w:r>
        <w:rPr/>
        <w:t>Smith, Matt Swannell, Silvana </w:t>
      </w:r>
      <w:r>
        <w:rPr>
          <w:spacing w:val="-3"/>
        </w:rPr>
        <w:t>Tenreyro </w:t>
      </w:r>
      <w:r>
        <w:rPr/>
        <w:t>and Gertjan Vlieghe.</w:t>
      </w:r>
    </w:p>
    <w:p>
      <w:pPr>
        <w:pStyle w:val="BodyText"/>
        <w:spacing w:before="7"/>
        <w:rPr>
          <w:sz w:val="16"/>
        </w:rPr>
      </w:pPr>
      <w:r>
        <w:rPr/>
        <w:pict>
          <v:group style="position:absolute;margin-left:39pt;margin-top:11.554477pt;width:517.6pt;height:.25pt;mso-position-horizontal-relative:page;mso-position-vertical-relative:paragraph;z-index:-251657216;mso-wrap-distance-left:0;mso-wrap-distance-right:0" coordorigin="780,231" coordsize="10352,5">
            <v:line style="position:absolute" from="780,233" to="10423,233" stroked="true" strokeweight=".23999pt" strokecolor="#000000">
              <v:stroke dashstyle="solid"/>
            </v:line>
            <v:rect style="position:absolute;left:10423;top:231;width:5;height:5" filled="true" fillcolor="#000000" stroked="false">
              <v:fill type="solid"/>
            </v:rect>
            <v:line style="position:absolute" from="10428,233" to="11131,233" stroked="true" strokeweight=".23999pt" strokecolor="#000000">
              <v:stroke dashstyle="solid"/>
            </v:line>
            <w10:wrap type="topAndBottom"/>
          </v:group>
        </w:pict>
      </w:r>
    </w:p>
    <w:p>
      <w:pPr>
        <w:pStyle w:val="BodyText"/>
        <w:spacing w:before="5"/>
        <w:rPr>
          <w:sz w:val="27"/>
        </w:rPr>
      </w:pPr>
    </w:p>
    <w:p>
      <w:pPr>
        <w:pStyle w:val="BodyText"/>
        <w:ind w:left="207"/>
        <w:jc w:val="both"/>
      </w:pPr>
      <w:r>
        <w:rPr/>
        <w:t>All speeches are available online at </w:t>
      </w:r>
      <w:hyperlink r:id="rId6">
        <w:r>
          <w:rPr/>
          <w:t>www.bankofengland.co.uk/news/speeches</w:t>
        </w:r>
      </w:hyperlink>
    </w:p>
    <w:p>
      <w:pPr>
        <w:spacing w:after="0"/>
        <w:jc w:val="both"/>
        <w:sectPr>
          <w:type w:val="continuous"/>
          <w:pgSz w:w="11910" w:h="16840"/>
          <w:pgMar w:top="880" w:bottom="280" w:left="680" w:right="480"/>
        </w:sectPr>
      </w:pPr>
    </w:p>
    <w:p>
      <w:pPr>
        <w:pStyle w:val="Heading1"/>
        <w:numPr>
          <w:ilvl w:val="0"/>
          <w:numId w:val="1"/>
        </w:numPr>
        <w:tabs>
          <w:tab w:pos="535" w:val="left" w:leader="none"/>
        </w:tabs>
        <w:spacing w:line="240" w:lineRule="auto" w:before="79" w:after="0"/>
        <w:ind w:left="534" w:right="0" w:hanging="222"/>
        <w:jc w:val="left"/>
      </w:pPr>
      <w:r>
        <w:rPr/>
        <w:t>The season of giving…a</w:t>
      </w:r>
      <w:r>
        <w:rPr>
          <w:spacing w:val="-2"/>
        </w:rPr>
        <w:t> </w:t>
      </w:r>
      <w:r>
        <w:rPr/>
        <w:t>retrospective</w:t>
      </w:r>
    </w:p>
    <w:p>
      <w:pPr>
        <w:pStyle w:val="BodyText"/>
        <w:rPr>
          <w:b/>
          <w:sz w:val="22"/>
        </w:rPr>
      </w:pPr>
    </w:p>
    <w:p>
      <w:pPr>
        <w:pStyle w:val="BodyText"/>
        <w:spacing w:before="1"/>
        <w:rPr>
          <w:b/>
          <w:sz w:val="18"/>
        </w:rPr>
      </w:pPr>
    </w:p>
    <w:p>
      <w:pPr>
        <w:pStyle w:val="BodyText"/>
        <w:ind w:left="313"/>
      </w:pPr>
      <w:r>
        <w:rPr/>
        <w:t>Good morning everyone and thank you for having me here today. I am delighted to be at the</w:t>
      </w:r>
    </w:p>
    <w:p>
      <w:pPr>
        <w:pStyle w:val="BodyText"/>
        <w:spacing w:line="360" w:lineRule="auto" w:before="116"/>
        <w:ind w:left="313" w:right="511"/>
      </w:pPr>
      <w:r>
        <w:rPr/>
        <w:t>Resolution Foundation, whose work on the living standards of low to middle-income citizens is both directed at a key question and thoroughly done; and whose influential status is thereby so richly deserved.</w:t>
      </w:r>
    </w:p>
    <w:p>
      <w:pPr>
        <w:pStyle w:val="BodyText"/>
        <w:spacing w:before="11"/>
        <w:rPr>
          <w:sz w:val="29"/>
        </w:rPr>
      </w:pPr>
    </w:p>
    <w:p>
      <w:pPr>
        <w:pStyle w:val="BodyText"/>
        <w:spacing w:line="360" w:lineRule="auto"/>
        <w:ind w:left="313" w:right="511"/>
      </w:pPr>
      <w:r>
        <w:rPr/>
        <w:t>Christmas time is officially upon us and, with that, the usual feeling of wanting to make sense of the year gone by. It is such a tempting desire that not even an MPC member can resist. For me, it is even more so, given this has been the first year in my new job.</w:t>
      </w:r>
    </w:p>
    <w:p>
      <w:pPr>
        <w:pStyle w:val="BodyText"/>
        <w:rPr>
          <w:sz w:val="30"/>
        </w:rPr>
      </w:pPr>
    </w:p>
    <w:p>
      <w:pPr>
        <w:pStyle w:val="BodyText"/>
        <w:spacing w:line="360" w:lineRule="auto"/>
        <w:ind w:left="313" w:right="1029"/>
      </w:pPr>
      <w:r>
        <w:rPr/>
        <w:t>Furthermore, I have an extra motivation for a review, since I voted to cut Bank rate at the November and December meetings of the MPC and I therefore wanted to set out my reasons for doing so.</w:t>
      </w:r>
    </w:p>
    <w:p>
      <w:pPr>
        <w:pStyle w:val="BodyText"/>
        <w:spacing w:before="2"/>
        <w:rPr>
          <w:sz w:val="30"/>
        </w:rPr>
      </w:pPr>
    </w:p>
    <w:p>
      <w:pPr>
        <w:pStyle w:val="BodyText"/>
        <w:spacing w:line="357" w:lineRule="auto"/>
        <w:ind w:left="313" w:right="594"/>
      </w:pPr>
      <w:r>
        <w:rPr/>
        <w:t>You will forgive me then, if I take this opportunity today for a general retrospective on the past, present and future of the UK economy, in particular:</w:t>
      </w:r>
    </w:p>
    <w:p>
      <w:pPr>
        <w:pStyle w:val="BodyText"/>
        <w:spacing w:before="3"/>
        <w:rPr>
          <w:sz w:val="30"/>
        </w:rPr>
      </w:pPr>
    </w:p>
    <w:p>
      <w:pPr>
        <w:pStyle w:val="ListParagraph"/>
        <w:numPr>
          <w:ilvl w:val="1"/>
          <w:numId w:val="1"/>
        </w:numPr>
        <w:tabs>
          <w:tab w:pos="1033" w:val="left" w:leader="none"/>
          <w:tab w:pos="1035" w:val="left" w:leader="none"/>
        </w:tabs>
        <w:spacing w:line="240" w:lineRule="auto" w:before="0" w:after="0"/>
        <w:ind w:left="1034" w:right="0" w:hanging="361"/>
        <w:jc w:val="left"/>
        <w:rPr>
          <w:sz w:val="20"/>
        </w:rPr>
      </w:pPr>
      <w:r>
        <w:rPr>
          <w:sz w:val="20"/>
        </w:rPr>
        <w:t>Economic activities in the UK weakened during the last </w:t>
      </w:r>
      <w:r>
        <w:rPr>
          <w:spacing w:val="-4"/>
          <w:sz w:val="20"/>
        </w:rPr>
        <w:t>year. </w:t>
      </w:r>
      <w:r>
        <w:rPr>
          <w:sz w:val="20"/>
        </w:rPr>
        <w:t>When I joined the Bank</w:t>
      </w:r>
      <w:r>
        <w:rPr>
          <w:spacing w:val="-12"/>
          <w:sz w:val="20"/>
        </w:rPr>
        <w:t> </w:t>
      </w:r>
      <w:r>
        <w:rPr>
          <w:sz w:val="20"/>
        </w:rPr>
        <w:t>in</w:t>
      </w:r>
    </w:p>
    <w:p>
      <w:pPr>
        <w:pStyle w:val="BodyText"/>
        <w:spacing w:line="360" w:lineRule="auto" w:before="114"/>
        <w:ind w:left="1034" w:right="513"/>
      </w:pPr>
      <w:r>
        <w:rPr/>
        <w:t>September 2018, a strong outlook for the world was supporting UK growth. Along with a tight labour market, domestic wage and price pressures would have sustained UK inflation around target. This is unfortunately no longer the case: Brexit uncertainties have persisted, trade wars have slowed world momentum and a margin of excess supply has re-emerged. Thus, if a Bank Rate of 0.75% and a limited and gradual tightening over the future seemed the correct stance for monetary policy when I joined the Committee last year, I now judge a lower rate and a more protracted period of looser monetary policy to be more appropriate.</w:t>
      </w:r>
    </w:p>
    <w:p>
      <w:pPr>
        <w:pStyle w:val="BodyText"/>
        <w:spacing w:before="11"/>
        <w:rPr>
          <w:sz w:val="29"/>
        </w:rPr>
      </w:pPr>
    </w:p>
    <w:p>
      <w:pPr>
        <w:pStyle w:val="ListParagraph"/>
        <w:numPr>
          <w:ilvl w:val="1"/>
          <w:numId w:val="1"/>
        </w:numPr>
        <w:tabs>
          <w:tab w:pos="1033" w:val="left" w:leader="none"/>
          <w:tab w:pos="1035" w:val="left" w:leader="none"/>
        </w:tabs>
        <w:spacing w:line="357" w:lineRule="auto" w:before="0" w:after="0"/>
        <w:ind w:left="1034" w:right="662" w:hanging="360"/>
        <w:jc w:val="left"/>
        <w:rPr>
          <w:sz w:val="20"/>
        </w:rPr>
      </w:pPr>
      <w:r>
        <w:rPr>
          <w:sz w:val="20"/>
        </w:rPr>
        <w:t>I am of the view that further downside risks are lingering over our forecast in the latest MPR. Uncertainty could remain entrenched as the process of UK-EU trade negotiations unfolds; the labour market may slow down causing a longer and deeper reopening of excess supply; as a result, domestic costs pressures may not pick up and inflation may not bounce back from its near-term</w:t>
      </w:r>
      <w:r>
        <w:rPr>
          <w:spacing w:val="-23"/>
          <w:sz w:val="20"/>
        </w:rPr>
        <w:t> </w:t>
      </w:r>
      <w:r>
        <w:rPr>
          <w:sz w:val="20"/>
        </w:rPr>
        <w:t>weakness.</w:t>
      </w:r>
    </w:p>
    <w:p>
      <w:pPr>
        <w:pStyle w:val="BodyText"/>
        <w:spacing w:before="11"/>
        <w:rPr>
          <w:sz w:val="29"/>
        </w:rPr>
      </w:pPr>
    </w:p>
    <w:p>
      <w:pPr>
        <w:pStyle w:val="ListParagraph"/>
        <w:numPr>
          <w:ilvl w:val="1"/>
          <w:numId w:val="1"/>
        </w:numPr>
        <w:tabs>
          <w:tab w:pos="1033" w:val="left" w:leader="none"/>
          <w:tab w:pos="1035" w:val="left" w:leader="none"/>
        </w:tabs>
        <w:spacing w:line="357" w:lineRule="auto" w:before="0" w:after="0"/>
        <w:ind w:left="1034" w:right="564" w:hanging="360"/>
        <w:jc w:val="left"/>
        <w:rPr>
          <w:sz w:val="20"/>
        </w:rPr>
      </w:pPr>
      <w:r>
        <w:rPr>
          <w:sz w:val="20"/>
        </w:rPr>
        <w:t>These risks are more concerning as the UK economy is near the effective lower bound for interest rates (ELB). There is a case to be made for a monetary policy-maker to buy some </w:t>
      </w:r>
      <w:r>
        <w:rPr>
          <w:i/>
          <w:sz w:val="20"/>
        </w:rPr>
        <w:t>insurance </w:t>
      </w:r>
      <w:r>
        <w:rPr>
          <w:sz w:val="20"/>
        </w:rPr>
        <w:t>against falling to the ELB, as central banks are better equipped to combat above-target inflation than below-target inflation when interest rates are close to the ELB.</w:t>
      </w:r>
    </w:p>
    <w:p>
      <w:pPr>
        <w:pStyle w:val="BodyText"/>
        <w:spacing w:before="4"/>
        <w:rPr>
          <w:sz w:val="30"/>
        </w:rPr>
      </w:pPr>
    </w:p>
    <w:p>
      <w:pPr>
        <w:pStyle w:val="BodyText"/>
        <w:spacing w:line="357" w:lineRule="auto"/>
        <w:ind w:left="313" w:right="511"/>
      </w:pPr>
      <w:r>
        <w:rPr/>
        <w:t>This is why I voted for a cut back in November and, given economic data have been broadly in line with the November forecast since then, I maintained this stance in December.</w:t>
      </w:r>
    </w:p>
    <w:p>
      <w:pPr>
        <w:pStyle w:val="BodyText"/>
        <w:spacing w:before="4"/>
        <w:rPr>
          <w:sz w:val="30"/>
        </w:rPr>
      </w:pPr>
    </w:p>
    <w:p>
      <w:pPr>
        <w:pStyle w:val="BodyText"/>
        <w:ind w:left="313"/>
      </w:pPr>
      <w:r>
        <w:rPr/>
        <w:t>Let me walk you through each point in turn.</w:t>
      </w:r>
    </w:p>
    <w:p>
      <w:pPr>
        <w:spacing w:after="0"/>
        <w:sectPr>
          <w:footerReference w:type="default" r:id="rId7"/>
          <w:pgSz w:w="11910" w:h="16840"/>
          <w:pgMar w:footer="872" w:header="0" w:top="1340" w:bottom="1060" w:left="680" w:right="480"/>
          <w:pgNumType w:start="2"/>
        </w:sectPr>
      </w:pPr>
    </w:p>
    <w:p>
      <w:pPr>
        <w:pStyle w:val="Heading1"/>
        <w:numPr>
          <w:ilvl w:val="0"/>
          <w:numId w:val="1"/>
        </w:numPr>
        <w:tabs>
          <w:tab w:pos="535" w:val="left" w:leader="none"/>
        </w:tabs>
        <w:spacing w:line="240" w:lineRule="auto" w:before="79" w:after="0"/>
        <w:ind w:left="534" w:right="0" w:hanging="222"/>
        <w:jc w:val="left"/>
      </w:pPr>
      <w:r>
        <w:rPr/>
        <w:t>The ghosts of forecasts past</w:t>
      </w:r>
    </w:p>
    <w:p>
      <w:pPr>
        <w:pStyle w:val="BodyText"/>
        <w:rPr>
          <w:b/>
          <w:sz w:val="22"/>
        </w:rPr>
      </w:pPr>
    </w:p>
    <w:p>
      <w:pPr>
        <w:pStyle w:val="BodyText"/>
        <w:spacing w:before="1"/>
        <w:rPr>
          <w:b/>
          <w:sz w:val="18"/>
        </w:rPr>
      </w:pPr>
    </w:p>
    <w:p>
      <w:pPr>
        <w:pStyle w:val="BodyText"/>
        <w:ind w:left="313"/>
      </w:pPr>
      <w:r>
        <w:rPr/>
        <w:pict>
          <v:group style="position:absolute;margin-left:64.535004pt;margin-top:86.604858pt;width:212.6pt;height:158.35pt;mso-position-horizontal-relative:page;mso-position-vertical-relative:paragraph;z-index:-252553216" coordorigin="1291,1732" coordsize="4252,3167">
            <v:shape style="position:absolute;left:1313;top:3063;width:4207;height:1359" coordorigin="1313,3063" coordsize="4207,1359" path="m4755,4015l4118,4015,4258,4049,4399,4097,4538,4150,4678,4205,4958,4320,5100,4351,5239,4378,5381,4402,5520,4422,5520,4164,5381,4150,5239,4130,5100,4109,4958,4082,4819,4037,4755,4015xm3339,3770l3137,3770,3276,3833,3418,3989,3557,4066,3696,4018,4107,4018,4118,4015,4755,4015,4678,3989,4538,3943,4481,3926,3557,3926,3418,3854,3339,3770xm4107,4018l3696,4018,3838,4030,3977,4044,4107,4018xm3838,3874l3696,3874,3557,3926,4481,3926,4399,3902,4320,3881,3977,3881,3838,3874xm4118,3840l3977,3881,4320,3881,4258,3864,4118,3840xm2478,3535l2294,3535,2436,3593,2575,3756,2714,3758,2856,3778,2995,3773,3137,3770,3339,3770,3276,3703,3172,3660,2856,3660,2714,3646,2575,3646,2478,3535xm3137,3646l2995,3650,2856,3660,3172,3660,3137,3646xm1817,3173l1733,3173,1874,3329,2155,3547,2294,3535,2478,3535,2436,3487,2331,3446,2155,3446,2014,3341,1874,3235,1817,3173xm2294,3432l2155,3446,2331,3446,2294,3432xm1454,3063l1313,3154,1313,3235,1454,3146,1793,3146,1790,3144,1594,3144,1454,3063xm1793,3146l1454,3146,1594,3230,1733,3173,1817,3173,1793,3146xm1733,3082l1594,3144,1790,3144,1733,3082xe" filled="true" fillcolor="#9cc7b6" stroked="false">
              <v:path arrowok="t"/>
              <v:fill type="solid"/>
            </v:shape>
            <v:shape style="position:absolute;left:1313;top:3063;width:4207;height:1359" coordorigin="1313,3063" coordsize="4207,1359" path="m1313,3154l1454,3063,1594,3144,1733,3082,1874,3235,2014,3341,2155,3446,2294,3432,2436,3487,2575,3646,2714,3646,2856,3660,2995,3650,3137,3646,3276,3703,3418,3854,3557,3926,3696,3874,3838,3874,3977,3881,4118,3840,4258,3864,4399,3902,4538,3943,4678,3989,4819,4037,4958,4082,5100,4109,5239,4130,5381,4150,5520,4164,5520,4422,5381,4402,5239,4378,5100,4351,4958,4320,4819,4262,4678,4205,4538,4150,4399,4097,4258,4049,4118,4015,3977,4044,3838,4030,3696,4018,3557,4066,3418,3989,3276,3833,3137,3770,2995,3773,2856,3778,2714,3758,2575,3756,2436,3593,2294,3535,2155,3547,2014,3437,1874,3329,1733,3173,1594,3230,1454,3146,1313,3235,1313,3154xe" filled="false" stroked="true" strokeweight="1pt" strokecolor="#9cc7b6">
              <v:path arrowok="t"/>
              <v:stroke dashstyle="solid"/>
            </v:shape>
            <v:shape style="position:absolute;left:1313;top:3006;width:4207;height:1158" coordorigin="1313,3006" coordsize="4207,1158" path="m4660,3840l4118,3840,4258,3864,4399,3902,4538,3943,4678,3989,4819,4037,4958,4082,5100,4109,5239,4130,5381,4150,5520,4163,5520,3989,5381,3977,5239,3962,5100,3946,4958,3924,4819,3883,4660,3840xm2451,3432l2294,3432,2436,3487,2575,3646,3137,3646,3276,3703,3418,3854,3557,3926,3696,3874,4002,3874,4118,3840,4660,3840,4634,3833,3557,3833,3418,3763,3276,3614,3191,3581,2856,3581,2743,3571,2575,3571,2451,3432xm4002,3874l3838,3874,3977,3881,4002,3874xm4118,3722l3977,3770,3838,3770,3696,3775,3557,3833,4634,3833,4538,3806,4399,3773,4258,3742,4118,3722xm3137,3646l2714,3646,2856,3660,2995,3650,3137,3646xm3137,3559l2995,3569,2856,3581,3191,3581,3137,3559xm2714,3569l2575,3571,2743,3571,2714,3569xm1789,3082l1733,3082,1874,3235,2014,3341,2155,3446,2294,3432,2451,3432,2436,3415,2339,3379,2155,3379,2014,3276,1874,3173,1789,3082xm2294,3362l2155,3379,2339,3379,2294,3362xm1454,3006l1313,3101,1313,3154,1454,3062,1555,3062,1454,3006xm1555,3062l1454,3062,1594,3144,1727,3084,1594,3084,1555,3062xm1733,3022l1594,3084,1727,3084,1733,3082,1789,3082,1733,3022xe" filled="true" fillcolor="#9cc7b6" stroked="false">
              <v:path arrowok="t"/>
              <v:fill type="solid"/>
            </v:shape>
            <v:shape style="position:absolute;left:1313;top:3006;width:4207;height:1158" coordorigin="1313,3006" coordsize="4207,1158" path="m1313,3101l1454,3006,1594,3084,1733,3022,1874,3173,2014,3276,2155,3379,2294,3362,2436,3415,2575,3571,2714,3569,2856,3581,2995,3569,3137,3559,3276,3614,3418,3763,3557,3833,3696,3775,3838,3770,3977,3770,4118,3722,4258,3742,4399,3773,4538,3806,4678,3845,4819,3883,4958,3924,5100,3946,5239,3962,5381,3977,5520,3989,5520,4163,5381,4150,5239,4130,5100,4109,4958,4082,4819,4037,4678,3989,4538,3943,4399,3902,4258,3864,4118,3840,3977,3881,3838,3874,3696,3874,3557,3926,3418,3854,3276,3703,3137,3646,2995,3650,2856,3660,2714,3646,2575,3646,2436,3487,2294,3432,2155,3446,2014,3341,1874,3235,1733,3082,1594,3144,1454,3062,1313,3154,1313,3101xe" filled="false" stroked="true" strokeweight="1pt" strokecolor="#9cc7b6">
              <v:path arrowok="t"/>
              <v:stroke dashstyle="solid"/>
            </v:shape>
            <v:shape style="position:absolute;left:1313;top:2961;width:4207;height:1029" coordorigin="1313,2961" coordsize="4207,1029" path="m4648,3722l4118,3722,4258,3742,4399,3773,4538,3806,4819,3883,4958,3924,5100,3946,5239,3962,5381,3977,5520,3989,5520,3852,5381,3842,5239,3830,5100,3816,4958,3797,4648,3722xm3290,3559l3137,3559,3276,3614,3418,3763,3557,3833,3696,3775,3838,3770,3977,3770,4012,3758,3557,3758,3418,3691,3290,3559xm4118,3631l3977,3682,3838,3689,3696,3698,3557,3758,4012,3758,4118,3722,4648,3722,4538,3696,4258,3643,4118,3631xm2995,3569l2714,3569,2856,3581,2995,3569xm2440,3362l2294,3362,2436,3415,2575,3571,2714,3569,2995,3569,3137,3559,3290,3559,3276,3545,3200,3516,2856,3516,2821,3514,2575,3514,2440,3362xm3137,3492l2995,3502,2856,3516,3200,3516,3137,3492xm2714,3506l2575,3514,2821,3514,2714,3506xm1778,3022l1733,3022,1874,3173,2014,3276,2155,3379,2294,3362,2440,3362,2436,3358,2348,3326,2155,3326,1874,3122,1778,3022xm2294,3307l2155,3326,2348,3326,2294,3307xm1454,2961l1313,3055,1313,3101,1454,3007,1537,3007,1454,2961xm1537,3007l1454,3007,1594,3084,1695,3038,1594,3038,1537,3007xm1733,2974l1594,3038,1695,3038,1733,3022,1778,3022,1733,2974xe" filled="true" fillcolor="#9cc7b6" stroked="false">
              <v:path arrowok="t"/>
              <v:fill type="solid"/>
            </v:shape>
            <v:shape style="position:absolute;left:1313;top:2961;width:4207;height:1029" coordorigin="1313,2961" coordsize="4207,1029" path="m1313,3055l1454,2961,1594,3038,1733,2974,1874,3122,2014,3223,2155,3326,2294,3307,2436,3358,2575,3514,2714,3506,2856,3516,2995,3502,3137,3492,3276,3545,3418,3691,3557,3758,3696,3698,3838,3689,3977,3682,4118,3631,4258,3643,4399,3670,4538,3696,4678,3730,4819,3763,4958,3797,5100,3816,5239,3830,5381,3842,5520,3852,5520,3989,5381,3977,5239,3962,5100,3946,4958,3924,4819,3883,4678,3845,4538,3806,4399,3773,4258,3742,4118,3722,3977,3770,3838,3770,3696,3775,3557,3833,3418,3763,3276,3614,3137,3559,2995,3569,2856,3581,2714,3569,2575,3571,2436,3415,2294,3362,2155,3379,2014,3276,1874,3173,1733,3022,1594,3084,1454,3007,1313,3101,1313,3055xe" filled="false" stroked="true" strokeweight="1pt" strokecolor="#9cc7b6">
              <v:path arrowok="t"/>
              <v:stroke dashstyle="solid"/>
            </v:shape>
            <v:shape style="position:absolute;left:1313;top:2922;width:4207;height:929" coordorigin="1313,2922" coordsize="4207,929" path="m4689,3631l4118,3631,4258,3643,4538,3696,4958,3797,5100,3816,5239,3830,5381,3842,5520,3851,5520,3732,5239,3718,5100,3703,4958,3686,4689,3631xm3283,3492l3137,3492,3276,3545,3418,3691,3557,3758,3696,3698,3767,3694,3557,3694,3418,3629,3283,3492xm4118,3550l3977,3607,3838,3617,3696,3631,3557,3694,3767,3694,3838,3689,3977,3682,4118,3631,4689,3631,4678,3629,4538,3602,4258,3559,4118,3550xm2949,3506l2714,3506,2856,3516,2949,3506xm2429,3307l2294,3307,2436,3358,2575,3514,2714,3506,2949,3506,2995,3502,3137,3492,3283,3492,3276,3485,3216,3463,2856,3463,2809,3461,2575,3461,2436,3310,2429,3307xm3137,3434l2995,3446,2856,3463,3216,3463,3137,3434xm2714,3456l2575,3461,2809,3461,2714,3456xm1772,2974l1733,2974,1874,3122,2155,3326,2294,3307,2429,3307,2355,3281,2155,3281,2014,3180,1874,3079,1772,2974xm2294,3259l2155,3281,2355,3281,2294,3259xm1454,2922l1313,3019,1313,3055,1454,2962,1527,2962,1454,2922xm1527,2962l1454,2962,1594,3038,1681,2998,1594,2998,1527,2962xm1733,2933l1594,2998,1681,2998,1733,2974,1772,2974,1733,2933xe" filled="true" fillcolor="#69af99" stroked="false">
              <v:path arrowok="t"/>
              <v:fill type="solid"/>
            </v:shape>
            <v:shape style="position:absolute;left:1313;top:2922;width:4207;height:929" coordorigin="1313,2922" coordsize="4207,929" path="m1313,3019l1454,2922,1594,2998,1733,2933,1874,3079,2014,3180,2155,3281,2294,3259,2436,3310,2575,3461,2714,3456,2856,3463,2995,3446,3137,3434,3276,3485,3418,3629,3557,3694,3696,3631,3838,3617,3977,3607,4118,3550,4258,3559,4399,3581,4538,3602,4678,3629,4819,3658,4958,3686,5100,3703,5239,3718,5381,3725,5520,3732,5520,3851,5381,3842,5239,3830,5100,3816,4958,3797,4819,3763,4678,3730,4538,3696,4399,3670,4258,3643,4118,3631,3977,3682,3838,3689,3696,3698,3557,3758,3418,3691,3276,3545,3137,3492,2995,3502,2856,3516,2714,3506,2575,3514,2436,3358,2294,3307,2155,3326,2014,3223,1874,3122,1733,2974,1594,3038,1454,2962,1313,3055,1313,3019xe" filled="false" stroked="true" strokeweight="1pt" strokecolor="#69af99">
              <v:path arrowok="t"/>
              <v:stroke dashstyle="solid"/>
            </v:shape>
            <v:shape style="position:absolute;left:1313;top:2887;width:4207;height:845" coordorigin="1313,2888" coordsize="4207,845" path="m4734,3550l4118,3550,4258,3559,4538,3602,4678,3629,4958,3686,5100,3703,5239,3718,5520,3732,5520,3626,5381,3622,5239,3614,5100,3602,4958,3588,4734,3550xm3278,3434l3137,3434,3276,3485,3418,3629,3557,3694,3685,3636,3557,3636,3418,3574,3278,3434xm4118,3478l3977,3538,3838,3554,3696,3574,3557,3636,3685,3636,3696,3631,3838,3617,3977,3607,4118,3550,4734,3550,4678,3540,4538,3518,4399,3499,4258,3482,4118,3478xm2916,3456l2714,3456,2856,3463,2916,3456xm2422,3259l2294,3259,2436,3310,2575,3461,2714,3456,2916,3456,2995,3446,3137,3434,3278,3434,3276,3432,3236,3418,2575,3418,2436,3264,2422,3259xm2714,3408l2575,3418,3236,3418,3230,3415,2856,3415,2714,3408xm3137,3382l2995,3396,2856,3415,3230,3415,3137,3382xm1770,2933l1733,2933,1874,3079,2014,3180,2155,3281,2294,3259,2422,3259,2365,3240,2155,3240,1874,3041,1770,2933xm2294,3216l2155,3240,2365,3240,2294,3216xm1454,2888l1313,2986,1313,3019,1454,2923,1521,2923,1454,2888xm1521,2923l1454,2923,1594,2998,1671,2962,1594,2962,1521,2923xm1733,2894l1594,2962,1671,2962,1733,2933,1770,2933,1733,2894xe" filled="true" fillcolor="#69af99" stroked="false">
              <v:path arrowok="t"/>
              <v:fill type="solid"/>
            </v:shape>
            <v:shape style="position:absolute;left:1313;top:2887;width:4207;height:845" coordorigin="1313,2888" coordsize="4207,845" path="m1313,2986l1454,2888,1594,2962,1733,2894,1874,3041,2014,3139,2155,3240,2294,3216,2436,3264,2575,3418,2714,3408,2856,3415,2995,3396,3137,3382,3276,3432,3418,3574,3557,3636,3696,3574,3838,3554,3977,3538,4118,3478,4258,3482,4399,3499,4538,3518,4678,3540,4819,3564,4958,3588,5100,3602,5239,3614,5381,3622,5520,3626,5520,3732,5381,3725,5239,3718,5100,3703,4958,3686,4819,3658,4678,3629,4538,3602,4399,3581,4258,3559,4118,3550,3977,3607,3838,3617,3696,3631,3557,3694,3418,3629,3276,3485,3137,3434,2995,3446,2856,3463,2714,3456,2575,3461,2436,3310,2294,3259,2155,3281,2014,3180,1874,3079,1733,2933,1594,2998,1454,2923,1313,3019,1313,2986xe" filled="false" stroked="true" strokeweight="1pt" strokecolor="#69af99">
              <v:path arrowok="t"/>
              <v:stroke dashstyle="solid"/>
            </v:shape>
            <v:shape style="position:absolute;left:1313;top:2855;width:4207;height:781" coordorigin="1313,2855" coordsize="4207,781" path="m3276,3382l3137,3382,3276,3432,3418,3574,3557,3636,3675,3583,3557,3583,3418,3523,3276,3382xm4819,3478l4118,3478,4258,3482,4399,3499,4538,3518,4678,3540,4958,3588,5100,3602,5239,3614,5381,3622,5520,3626,5520,3526,5381,3523,5239,3518,5100,3511,4958,3497,4819,3478xm4258,3413l4118,3413,3977,3475,3838,3494,3696,3518,3557,3583,3675,3583,3696,3574,3838,3554,3977,3538,4118,3478,4819,3478,4538,3439,4399,3425,4258,3413xm2414,3216l2294,3216,2436,3264,2575,3418,2714,3408,2908,3408,2995,3396,3137,3382,3276,3382,3255,3374,2575,3374,2436,3223,2414,3216xm2908,3408l2714,3408,2856,3415,2908,3408xm2714,3365l2575,3374,3255,3374,3241,3370,2856,3370,2714,3365xm3137,3334l2995,3350,2856,3370,3241,3370,3137,3334xm1766,2894l1733,2894,1874,3041,2155,3240,2294,3216,2414,3216,2369,3202,2155,3202,2014,3103,1874,3005,1766,2894xm2294,3178l2155,3202,2369,3202,2294,3178xm1454,2855l1313,2954,1313,2986,1454,2887,1515,2887,1454,2855xm1515,2887l1454,2887,1594,2962,1663,2928,1594,2928,1515,2887xm1733,2861l1594,2928,1663,2928,1733,2894,1766,2894,1733,2861xe" filled="true" fillcolor="#69af99" stroked="false">
              <v:path arrowok="t"/>
              <v:fill type="solid"/>
            </v:shape>
            <v:shape style="position:absolute;left:1313;top:2855;width:4207;height:781" coordorigin="1313,2855" coordsize="4207,781" path="m1313,2954l1454,2855,1594,2928,1733,2861,1874,3005,2014,3103,2155,3202,2294,3178,2436,3223,2575,3374,2714,3365,2856,3370,2995,3350,3137,3334,3276,3382,3418,3523,3557,3583,3696,3518,3838,3494,3977,3475,4118,3413,4258,3413,4399,3425,4538,3439,4678,3458,4819,3478,4958,3497,5100,3511,5239,3518,5381,3523,5520,3526,5520,3626,5381,3622,5239,3614,5100,3602,4958,3588,4819,3564,4678,3540,4538,3518,4399,3499,4258,3482,4118,3478,3977,3538,3838,3554,3696,3574,3557,3636,3418,3574,3276,3432,3137,3382,2995,3396,2856,3415,2714,3408,2575,3418,2436,3264,2294,3216,2155,3240,2014,3139,1874,3041,1733,2894,1594,2962,1454,2887,1313,2986,1313,2954xe" filled="false" stroked="true" strokeweight="1pt" strokecolor="#69af99">
              <v:path arrowok="t"/>
              <v:stroke dashstyle="solid"/>
            </v:shape>
            <v:shape style="position:absolute;left:1313;top:2824;width:4207;height:758" coordorigin="1313,2825" coordsize="4207,758" path="m2714,3324l2575,3334,3137,3334,3276,3382,3418,3523,3557,3583,3665,3533,3557,3533,3418,3473,3276,3334,3254,3326,2856,3326,2714,3324xm4258,3346l4118,3348,3977,3415,3838,3439,3696,3466,3557,3533,3665,3533,3696,3518,3838,3494,3977,3475,4118,3413,4987,3413,4958,3410,4819,3396,4678,3379,4538,3365,4258,3346xm4987,3413l4258,3413,4399,3425,4538,3439,4958,3497,5100,3511,5239,3518,5381,3523,5520,3526,5520,3432,5381,3432,5239,3430,5100,3422,4987,3413xm2414,3178l2294,3178,2436,3223,2575,3374,2714,3365,2891,3365,2995,3350,3137,3334,2575,3334,2436,3185,2414,3178xm2891,3365l2714,3365,2856,3370,2891,3365xm3137,3288l2995,3305,2856,3326,3254,3326,3137,3288xm1766,2861l1733,2861,1874,3005,2014,3103,2155,3202,2294,3178,2414,3178,2376,3166,2155,3166,1874,2971,1766,2861xm2294,3139l2155,3166,2376,3166,2294,3139xm1454,2825l1313,2926,1313,2954,1454,2856,1515,2856,1454,2825xm1515,2856l1454,2856,1594,2928,1658,2897,1594,2897,1515,2856xm1733,2827l1594,2897,1658,2897,1733,2861,1766,2861,1733,2827xe" filled="true" fillcolor="#00926d" stroked="false">
              <v:path arrowok="t"/>
              <v:fill type="solid"/>
            </v:shape>
            <v:shape style="position:absolute;left:1313;top:2824;width:4207;height:758" coordorigin="1313,2825" coordsize="4207,758" path="m1313,2926l1454,2825,1594,2897,1733,2827,1874,2971,2014,3067,2155,3166,2294,3139,2436,3185,2575,3334,2714,3324,2856,3326,2995,3305,3137,3288,3276,3334,3418,3473,3557,3533,3696,3466,3838,3439,3977,3415,4118,3348,4258,3346,4399,3355,4538,3365,4678,3379,4819,3396,4958,3410,5100,3422,5239,3430,5381,3432,5520,3432,5520,3526,5381,3523,5239,3518,5100,3511,4958,3497,4819,3478,4678,3458,4538,3439,4399,3425,4258,3413,4118,3413,3977,3475,3838,3494,3696,3518,3557,3583,3418,3523,3276,3382,3137,3334,2995,3350,2856,3370,2714,3365,2575,3374,2436,3223,2294,3178,2155,3202,2014,3103,1874,3005,1733,2861,1594,2928,1454,2856,1313,2954,1313,2926xe" filled="false" stroked="true" strokeweight="1pt" strokecolor="#00926d">
              <v:path arrowok="t"/>
              <v:stroke dashstyle="solid"/>
            </v:shape>
            <v:shape style="position:absolute;left:1313;top:2795;width:4207;height:737" coordorigin="1313,2795" coordsize="4207,737" path="m3276,3288l3137,3288,3276,3334,3418,3473,3557,3532,3661,3482,3557,3482,3418,3427,3276,3288xm4258,3281l4118,3288,3977,3358,3838,3384,3696,3415,3557,3482,3661,3482,3696,3466,3838,3439,3977,3415,4118,3348,4258,3346,5520,3346,5520,3343,5239,3343,4958,3329,4538,3293,4399,3288,4258,3281xm5520,3346l4258,3346,4538,3365,4678,3379,4819,3396,4958,3410,5100,3422,5239,3430,5381,3432,5520,3432,5520,3346xm5520,3341l5381,3343,5520,3343,5520,3341xm2406,3139l2294,3139,2436,3185,2575,3334,2714,3324,2871,3324,2995,3305,3076,3295,2575,3295,2436,3149,2406,3139xm2871,3324l2714,3324,2856,3326,2871,3324xm2714,3283l2575,3295,3076,3295,3137,3288,3276,3288,3268,3286,2856,3286,2714,3283xm3137,3245l2995,3262,2856,3286,3268,3286,3137,3245xm1764,2827l1733,2827,1874,2971,2155,3166,2294,3139,2406,3139,2376,3130,2155,3130,2014,3034,1874,2938,1764,2827xm2294,3103l2155,3130,2376,3130,2294,3103xm1454,2795l1313,2897,1313,2926,1454,2825,1513,2825,1454,2795xm1513,2825l1454,2825,1594,2897,1656,2866,1594,2866,1513,2825xm1733,2796l1594,2866,1656,2866,1733,2827,1764,2827,1733,2796xe" filled="true" fillcolor="#00926d" stroked="false">
              <v:path arrowok="t"/>
              <v:fill type="solid"/>
            </v:shape>
            <v:shape style="position:absolute;left:1313;top:2795;width:4207;height:737" coordorigin="1313,2795" coordsize="4207,737" path="m1313,2897l1454,2795,1594,2866,1733,2796,1874,2938,2014,3034,2155,3130,2294,3103,2436,3149,2575,3295,2714,3283,2856,3286,2995,3262,3137,3245,3276,3288,3418,3427,3557,3482,3696,3415,3838,3384,3977,3358,4118,3288,4258,3281,4399,3288,4538,3293,4678,3305,4819,3317,4958,3329,5100,3336,5239,3343,5381,3343,5520,3341,5520,3432,5381,3432,5239,3430,5100,3422,4958,3410,4819,3396,4678,3379,4538,3365,4399,3355,4258,3346,4118,3348,3977,3415,3838,3439,3696,3466,3557,3532,3418,3473,3276,3334,3137,3288,2995,3305,2856,3326,2714,3324,2575,3334,2436,3185,2294,3139,2155,3166,2014,3067,1874,2971,1733,2827,1594,2897,1454,2825,1313,2926,1313,2897xe" filled="false" stroked="true" strokeweight="1pt" strokecolor="#00926d">
              <v:path arrowok="t"/>
              <v:stroke dashstyle="solid"/>
            </v:shape>
            <v:shape style="position:absolute;left:1313;top:2734;width:4207;height:749" coordorigin="1313,2734" coordsize="4207,749" path="m3326,3245l3137,3245,3276,3288,3418,3427,3557,3483,3696,3415,3827,3386,3557,3386,3418,3334,3326,3245xm4538,3151l4399,3154,4258,3154,4118,3168,3977,3245,3838,3278,3696,3314,3557,3386,3827,3386,3838,3384,3977,3358,4118,3288,4258,3281,5520,3281,5520,3170,5239,3170,5100,3168,4678,3154,4538,3151xm5520,3281l4258,3281,4399,3288,4538,3293,4958,3329,5239,3343,5381,3343,5520,3341,5520,3281xm2464,3103l2294,3103,2436,3149,2575,3295,2714,3283,2870,3283,2995,3262,3137,3245,3326,3245,3298,3218,2575,3218,2464,3103xm2870,3283l2714,3283,2856,3286,2870,3283xm3137,3156l2995,3178,2856,3204,2714,3204,2575,3218,3298,3218,3276,3197,3137,3156xm5520,3163l5381,3168,5239,3170,5520,3170,5520,3163xm1795,2796l1733,2796,1874,2938,2014,3034,2155,3130,2294,3103,2464,3103,2436,3074,2394,3062,2155,3062,2014,2966,1874,2875,1795,2796xm2294,3034l2155,3062,2394,3062,2294,3034xm1454,2736l1313,2839,1313,2897,1454,2796,1574,2796,1454,2736xm1574,2796l1454,2796,1594,2866,1714,2806,1594,2806,1574,2796xm1733,2734l1594,2806,1714,2806,1733,2796,1795,2796,1733,2734xe" filled="true" fillcolor="#00926d" stroked="false">
              <v:path arrowok="t"/>
              <v:fill type="solid"/>
            </v:shape>
            <v:shape style="position:absolute;left:1303;top:2073;width:4227;height:1420" type="#_x0000_t75" stroked="false">
              <v:imagedata r:id="rId8" o:title=""/>
            </v:shape>
            <v:shape style="position:absolute;left:1313;top:1739;width:4207;height:3152" coordorigin="1313,1740" coordsize="4207,3152" path="m1313,4892l1313,1740m1313,4892l1377,4892m1313,4541l1377,4541m1313,4190l1377,4190m1313,3840l1377,3840m1313,3490l1377,3490m1313,3142l1377,3142m1313,2791l1377,2791m1313,2441l1377,2441m1313,2090l1377,2090m1313,1740l1377,1740m1313,1740l5520,1740m5520,4892l5520,1740m5466,4892l5520,4892m5466,4541l5520,4541m5466,4190l5520,4190m5466,3840l5520,3840m5466,3490l5520,3490m5466,3142l5520,3142m5466,2791l5520,2791m5466,2441l5520,2441m5466,2090l5520,2090m5466,1740l5520,1740m1313,4892l5520,4892m1313,4850l1313,4892m1454,4850l1454,4892m1594,4850l1594,4892m1733,4850l1733,4892m1874,4850l1874,4892m2014,4850l2014,4892m2155,4850l2155,4892m2294,4850l2294,4892m2436,4850l2436,4892m2575,4850l2575,4892m2714,4850l2714,4892m2856,4850l2856,4892m2995,4850l2995,4892m3137,4850l3137,4892m3276,4850l3276,4892m3418,4850l3418,4892m3557,4850l3557,4892m3696,4850l3696,4892m3838,4850l3838,4892m3977,4850l3977,4892m4118,4850l4118,4892m4258,4850l4258,4892m4399,4850l4399,4892m4538,4850l4538,4892m4678,4850l4678,4892m4819,4850l4819,4892m4958,4850l4958,4892m5100,4850l5100,4892m5239,4850l5239,4892m5381,4850l5381,4892m5520,4850l5520,4892m1313,4837l1313,4892m1874,4837l1874,4892m2436,4837l2436,4892m2995,4837l2995,4892m3557,4837l3557,4892m4118,4837l4118,4892m4678,4837l4678,4892m5239,4837l5239,4892e" filled="false" stroked="true" strokeweight=".75pt" strokecolor="#000000">
              <v:path arrowok="t"/>
              <v:stroke dashstyle="solid"/>
            </v:shape>
            <v:shape style="position:absolute;left:3697;top:1737;width:2;height:3154" coordorigin="3697,1738" coordsize="0,3154" path="m3697,3840l3697,4891m3697,3840l3697,1738e" filled="false" stroked="true" strokeweight="1pt" strokecolor="#000000">
              <v:path arrowok="t"/>
              <v:stroke dashstyle="longdash"/>
            </v:shape>
            <v:line style="position:absolute" from="1311,3841" to="5523,3841" stroked="true" strokeweight=".25pt" strokecolor="#000000">
              <v:stroke dashstyle="solid"/>
            </v:line>
            <v:shape style="position:absolute;left:1313;top:2765;width:4207;height:670" coordorigin="1313,2765" coordsize="4207,670" path="m1313,2868l1454,2767,1594,2837,1733,2765,1874,2906,2014,3000,2155,3096,2294,3067,2436,3110,2575,3257,2714,3245,2856,3245,2995,3221,3137,3199,3276,3242,3418,3379,3557,3435,3696,3365,3838,3331,3977,3302,4118,3228,4258,3218,4399,3221,4538,3223,4678,3230,4819,3238,4958,3245,5100,3252,5239,3257,5381,3257,5520,3252e" filled="false" stroked="true" strokeweight=".25pt" strokecolor="#00926d">
              <v:path arrowok="t"/>
              <v:stroke dashstyle="solid"/>
            </v:shape>
            <v:shape style="position:absolute;left:1313;top:2853;width:3086;height:648" coordorigin="1313,2853" coordsize="3086,648" path="m1313,2897l1454,2853,1594,2986,1733,2976,1874,3022,2014,3002,2155,3053,2294,2988,2436,3115,2575,3180,2714,3173,2856,3206,2995,3062,3137,3161,3276,3199,3418,3288,3557,3473,3696,3374,3838,3274,3977,3302,4118,3118,4258,3384,4398,3501e" filled="false" stroked="true" strokeweight="2.25pt" strokecolor="#ffc000">
              <v:path arrowok="t"/>
              <v:stroke dashstyle="solid"/>
            </v:shape>
            <v:shape style="position:absolute;left:1313;top:2765;width:4207;height:670" coordorigin="1313,2765" coordsize="4207,670" path="m1313,2868l1454,2767,1594,2837,1733,2765,1874,2906,2014,3000,2155,3096,2294,3067,2436,3110,2575,3257,2714,3245,2856,3245,2995,3221,3137,3199,3276,3242,3418,3379,3557,3435,3696,3365,3838,3331,3977,3302,4118,3228,4258,3218,4399,3221,4538,3223,4678,3230,4819,3238,4958,3245,5100,3252,5239,3257,5381,3257,5520,3252e" filled="false" stroked="true" strokeweight="2.25pt" strokecolor="#000000">
              <v:path arrowok="t"/>
              <v:stroke dashstyle="solid"/>
            </v:shape>
            <w10:wrap type="none"/>
          </v:group>
        </w:pict>
      </w:r>
      <w:r>
        <w:rPr/>
        <w:pict>
          <v:group style="position:absolute;margin-left:318.035004pt;margin-top:86.68486pt;width:212.45pt;height:159pt;mso-position-horizontal-relative:page;mso-position-vertical-relative:paragraph;z-index:-252552192" coordorigin="6361,1734" coordsize="4249,3180">
            <v:shape style="position:absolute;left:6373;top:2312;width:4224;height:1996" type="#_x0000_t75" stroked="false">
              <v:imagedata r:id="rId9" o:title=""/>
            </v:shape>
            <v:shape style="position:absolute;left:6383;top:1741;width:4204;height:3165" coordorigin="6383,1741" coordsize="4204,3165" path="m6383,4906l6383,1741m6383,4906l6447,4906m6383,4510l6447,4510m6383,4114l6447,4114m6383,3720l6447,3720m6383,3324l6447,3324m6383,2928l6447,2928m6383,2532l6447,2532m6383,2136l6447,2136m6383,1741l6447,1741m6383,1741l10587,1741m10587,4906l10587,1741m10533,4906l10587,4906m10533,4510l10587,4510m10533,4114l10587,4114m10533,3720l10587,3720m10533,3324l10587,3324m10533,2928l10587,2928m10533,2532l10587,2532m10533,2136l10587,2136m10533,1741l10587,1741m6383,4906l10587,4906m6383,4865l6383,4906m6523,4865l6523,4906m6662,4865l6662,4906m6804,4865l6804,4906m6943,4865l6943,4906m7085,4865l7085,4906m7224,4865l7224,4906m7363,4865l7363,4906m7505,4865l7505,4906m7644,4865l7644,4906m7786,4865l7786,4906m7925,4865l7925,4906m8064,4865l8064,4906m8206,4865l8206,4906m8345,4865l8345,4906m8484,4865l8484,4906m8626,4865l8626,4906m8765,4865l8765,4906m8906,4865l8906,4906m9046,4865l9046,4906m9185,4865l9185,4906m9326,4865l9326,4906m9466,4865l9466,4906m9607,4865l9607,4906m9746,4865l9746,4906m9886,4865l9886,4906m10027,4865l10027,4906m10166,4865l10166,4906m10308,4865l10308,4906m10447,4865l10447,4906m10587,4865l10587,4906m6383,4851l6383,4906m6943,4851l6943,4906m7505,4851l7505,4906m8064,4851l8064,4906m8626,4851l8626,4906m9185,4851l9185,4906m9746,4851l9746,4906m10308,4851l10308,4906e" filled="false" stroked="true" strokeweight=".75pt" strokecolor="#000000">
              <v:path arrowok="t"/>
              <v:stroke dashstyle="solid"/>
            </v:shape>
            <v:shape style="position:absolute;left:8765;top:1740;width:2;height:3166" coordorigin="8765,1740" coordsize="0,3166" path="m8765,4114l8765,4906m8765,4114l8765,1740e" filled="false" stroked="true" strokeweight="1pt" strokecolor="#000000">
              <v:path arrowok="t"/>
              <v:stroke dashstyle="longdash"/>
            </v:shape>
            <v:line style="position:absolute" from="6381,3323" to="10590,3323" stroked="true" strokeweight=".25pt" strokecolor="#000000">
              <v:stroke dashstyle="solid"/>
            </v:line>
            <v:shape style="position:absolute;left:6383;top:2919;width:4204;height:1202" coordorigin="6383,2919" coordsize="4204,1202" path="m6383,3427l6523,3434,6662,3538,6804,3744,6943,4075,7085,4121,7224,4111,7363,4087,7505,3977,7644,3977,7786,3828,7925,3636,8064,3266,8206,3029,8345,3000,8484,2919,8626,3038,8765,3158,8906,3134,9046,3209,9185,3197,9326,3187,9466,3262,9607,3257,9746,3264,9886,3271,10027,3286,10166,3307,10308,3312,10447,3310,10587,3310e" filled="false" stroked="true" strokeweight=".25pt" strokecolor="#f05748">
              <v:path arrowok="t"/>
              <v:stroke dashstyle="solid"/>
            </v:shape>
            <v:shape style="position:absolute;left:6383;top:2919;width:4204;height:1202" coordorigin="6383,2919" coordsize="4204,1202" path="m6383,3427l6523,3434,6662,3538,6804,3744,6943,4075,7085,4121,7224,4111,7363,4087,7505,3977,7644,3977,7786,3828,7925,3636,8064,3266,8206,3029,8345,3000,8484,2919,8626,3038,8765,3158,8906,3134,9046,3209,9185,3197,9326,3187,9466,3262,9607,3257,9746,3264,9886,3271,10027,3286,10166,3307,10308,3312,10447,3310,10587,3310e" filled="false" stroked="true" strokeweight="2.25pt" strokecolor="#000000">
              <v:path arrowok="t"/>
              <v:stroke dashstyle="solid"/>
            </v:shape>
            <v:shape style="position:absolute;left:6383;top:2919;width:3083;height:1202" coordorigin="6383,2919" coordsize="3083,1202" path="m6383,3427l6523,3434,6662,3538,6804,3744,6943,4075,7085,4121,7224,4111,7363,4087,7505,3977,7644,3977,7786,3828,7925,3636,8064,3266,8206,3029,8345,3000,8484,2919,8626,3038,8765,3158,8906,3120,9046,3218,9185,3372,9326,3305,9466,3389e" filled="false" stroked="true" strokeweight="2.25pt" strokecolor="#ffc000">
              <v:path arrowok="t"/>
              <v:stroke dashstyle="solid"/>
            </v:shape>
            <w10:wrap type="none"/>
          </v:group>
        </w:pict>
      </w:r>
      <w:r>
        <w:rPr/>
        <w:t>Many pieces of evidence suggests that the UK economy is weaker than a year ago.</w:t>
      </w:r>
    </w:p>
    <w:p>
      <w:pPr>
        <w:pStyle w:val="BodyText"/>
      </w:pPr>
    </w:p>
    <w:p>
      <w:pPr>
        <w:pStyle w:val="BodyText"/>
        <w:spacing w:before="6"/>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6"/>
        <w:gridCol w:w="5154"/>
      </w:tblGrid>
      <w:tr>
        <w:trPr>
          <w:trHeight w:val="664" w:hRule="atLeast"/>
        </w:trPr>
        <w:tc>
          <w:tcPr>
            <w:tcW w:w="5156" w:type="dxa"/>
          </w:tcPr>
          <w:p>
            <w:pPr>
              <w:pStyle w:val="TableParagraph"/>
              <w:spacing w:line="223" w:lineRule="exact"/>
              <w:ind w:left="200"/>
              <w:rPr>
                <w:b/>
                <w:sz w:val="20"/>
              </w:rPr>
            </w:pPr>
            <w:r>
              <w:rPr>
                <w:b/>
                <w:sz w:val="20"/>
              </w:rPr>
              <w:t>Chart 1: August 2018 Inflation Report annual GDP</w:t>
            </w:r>
          </w:p>
          <w:p>
            <w:pPr>
              <w:pStyle w:val="TableParagraph"/>
              <w:spacing w:before="115"/>
              <w:ind w:left="200"/>
              <w:rPr>
                <w:b/>
                <w:sz w:val="20"/>
              </w:rPr>
            </w:pPr>
            <w:r>
              <w:rPr>
                <w:b/>
                <w:sz w:val="20"/>
              </w:rPr>
              <w:t>growth fan chart against latest outturns</w:t>
            </w:r>
          </w:p>
        </w:tc>
        <w:tc>
          <w:tcPr>
            <w:tcW w:w="5154" w:type="dxa"/>
          </w:tcPr>
          <w:p>
            <w:pPr>
              <w:pStyle w:val="TableParagraph"/>
              <w:spacing w:line="223" w:lineRule="exact"/>
              <w:ind w:left="114"/>
              <w:rPr>
                <w:b/>
                <w:sz w:val="20"/>
              </w:rPr>
            </w:pPr>
            <w:r>
              <w:rPr>
                <w:b/>
                <w:sz w:val="20"/>
              </w:rPr>
              <w:t>Chart 2: August 2018 Inflation Report annual CPI</w:t>
            </w:r>
          </w:p>
          <w:p>
            <w:pPr>
              <w:pStyle w:val="TableParagraph"/>
              <w:spacing w:before="115"/>
              <w:ind w:left="114"/>
              <w:rPr>
                <w:b/>
                <w:sz w:val="20"/>
              </w:rPr>
            </w:pPr>
            <w:r>
              <w:rPr>
                <w:b/>
                <w:sz w:val="20"/>
              </w:rPr>
              <w:t>inflation fan chart against latest outturns</w:t>
            </w:r>
          </w:p>
        </w:tc>
      </w:tr>
      <w:tr>
        <w:trPr>
          <w:trHeight w:val="4022" w:hRule="atLeast"/>
        </w:trPr>
        <w:tc>
          <w:tcPr>
            <w:tcW w:w="5156" w:type="dxa"/>
          </w:tcPr>
          <w:p>
            <w:pPr>
              <w:pStyle w:val="TableParagraph"/>
              <w:spacing w:line="192" w:lineRule="exact" w:before="90"/>
              <w:ind w:left="1335"/>
              <w:rPr>
                <w:sz w:val="18"/>
              </w:rPr>
            </w:pPr>
            <w:r>
              <w:rPr>
                <w:sz w:val="18"/>
              </w:rPr>
              <w:t>Percent increases in output on a year earlier</w:t>
            </w:r>
          </w:p>
          <w:p>
            <w:pPr>
              <w:pStyle w:val="TableParagraph"/>
              <w:spacing w:line="165" w:lineRule="exact"/>
              <w:ind w:left="4882"/>
              <w:rPr>
                <w:sz w:val="18"/>
              </w:rPr>
            </w:pPr>
            <w:r>
              <w:rPr>
                <w:w w:val="99"/>
                <w:sz w:val="18"/>
              </w:rPr>
              <w:t>6</w:t>
            </w:r>
          </w:p>
          <w:p>
            <w:pPr>
              <w:pStyle w:val="TableParagraph"/>
              <w:spacing w:line="187" w:lineRule="exact"/>
              <w:ind w:left="3001"/>
              <w:rPr>
                <w:sz w:val="20"/>
              </w:rPr>
            </w:pPr>
            <w:r>
              <w:rPr>
                <w:sz w:val="20"/>
              </w:rPr>
              <w:t>Projection</w:t>
            </w:r>
          </w:p>
          <w:p>
            <w:pPr>
              <w:pStyle w:val="TableParagraph"/>
              <w:spacing w:line="191" w:lineRule="exact"/>
              <w:ind w:left="4882"/>
              <w:rPr>
                <w:sz w:val="18"/>
              </w:rPr>
            </w:pPr>
            <w:r>
              <w:rPr>
                <w:w w:val="99"/>
                <w:sz w:val="18"/>
              </w:rPr>
              <w:t>5</w:t>
            </w:r>
          </w:p>
          <w:p>
            <w:pPr>
              <w:pStyle w:val="TableParagraph"/>
              <w:spacing w:line="145" w:lineRule="exact" w:before="144"/>
              <w:ind w:left="4882"/>
              <w:rPr>
                <w:sz w:val="18"/>
              </w:rPr>
            </w:pPr>
            <w:r>
              <w:rPr>
                <w:w w:val="99"/>
                <w:sz w:val="18"/>
              </w:rPr>
              <w:t>4</w:t>
            </w:r>
          </w:p>
          <w:p>
            <w:pPr>
              <w:pStyle w:val="TableParagraph"/>
              <w:spacing w:line="231" w:lineRule="exact"/>
              <w:ind w:left="3411"/>
              <w:rPr>
                <w:rFonts w:ascii="Calibri"/>
                <w:b/>
                <w:sz w:val="24"/>
              </w:rPr>
            </w:pPr>
            <w:r>
              <w:rPr>
                <w:rFonts w:ascii="Calibri"/>
                <w:b/>
                <w:sz w:val="24"/>
              </w:rPr>
              <w:t>August 2018</w:t>
            </w:r>
          </w:p>
          <w:p>
            <w:pPr>
              <w:pStyle w:val="TableParagraph"/>
              <w:tabs>
                <w:tab w:pos="4882" w:val="left" w:leader="none"/>
              </w:tabs>
              <w:ind w:left="3805"/>
              <w:rPr>
                <w:sz w:val="24"/>
              </w:rPr>
            </w:pPr>
            <w:r>
              <w:rPr>
                <w:rFonts w:ascii="Calibri"/>
                <w:b/>
                <w:sz w:val="24"/>
              </w:rPr>
              <w:t>Forecast</w:t>
              <w:tab/>
            </w:r>
            <w:r>
              <w:rPr>
                <w:sz w:val="24"/>
                <w:vertAlign w:val="superscript"/>
              </w:rPr>
              <w:t>3</w:t>
            </w:r>
          </w:p>
          <w:p>
            <w:pPr>
              <w:pStyle w:val="TableParagraph"/>
              <w:spacing w:before="32"/>
              <w:ind w:left="4882"/>
              <w:rPr>
                <w:sz w:val="18"/>
              </w:rPr>
            </w:pPr>
            <w:r>
              <w:rPr>
                <w:w w:val="99"/>
                <w:sz w:val="18"/>
              </w:rPr>
              <w:t>2</w:t>
            </w:r>
          </w:p>
          <w:p>
            <w:pPr>
              <w:pStyle w:val="TableParagraph"/>
              <w:spacing w:line="184" w:lineRule="exact" w:before="143"/>
              <w:ind w:left="4882"/>
              <w:rPr>
                <w:sz w:val="18"/>
              </w:rPr>
            </w:pPr>
            <w:r>
              <w:rPr>
                <w:w w:val="99"/>
                <w:sz w:val="18"/>
              </w:rPr>
              <w:t>1</w:t>
            </w:r>
          </w:p>
          <w:p>
            <w:pPr>
              <w:pStyle w:val="TableParagraph"/>
              <w:tabs>
                <w:tab w:pos="4882" w:val="left" w:leader="none"/>
              </w:tabs>
              <w:spacing w:line="213" w:lineRule="auto"/>
              <w:ind w:left="3676"/>
              <w:rPr>
                <w:sz w:val="18"/>
              </w:rPr>
            </w:pPr>
            <w:r>
              <w:rPr>
                <w:rFonts w:ascii="Calibri"/>
                <w:b/>
                <w:color w:val="FFC000"/>
                <w:sz w:val="24"/>
              </w:rPr>
              <w:t>ONS</w:t>
            </w:r>
            <w:r>
              <w:rPr>
                <w:rFonts w:ascii="Calibri"/>
                <w:b/>
                <w:color w:val="FFC000"/>
                <w:spacing w:val="-3"/>
                <w:sz w:val="24"/>
              </w:rPr>
              <w:t> </w:t>
            </w:r>
            <w:r>
              <w:rPr>
                <w:rFonts w:ascii="Calibri"/>
                <w:b/>
                <w:color w:val="FFC000"/>
                <w:sz w:val="24"/>
              </w:rPr>
              <w:t>Data</w:t>
              <w:tab/>
            </w:r>
            <w:r>
              <w:rPr>
                <w:position w:val="-12"/>
                <w:sz w:val="18"/>
              </w:rPr>
              <w:t>0</w:t>
            </w:r>
          </w:p>
          <w:p>
            <w:pPr>
              <w:pStyle w:val="TableParagraph"/>
              <w:spacing w:before="150"/>
              <w:ind w:left="4882"/>
              <w:rPr>
                <w:sz w:val="18"/>
              </w:rPr>
            </w:pPr>
            <w:r>
              <w:rPr>
                <w:sz w:val="18"/>
              </w:rPr>
              <w:t>-1</w:t>
            </w:r>
          </w:p>
          <w:p>
            <w:pPr>
              <w:pStyle w:val="TableParagraph"/>
              <w:spacing w:before="143"/>
              <w:ind w:left="4882"/>
              <w:rPr>
                <w:sz w:val="18"/>
              </w:rPr>
            </w:pPr>
            <w:r>
              <w:rPr>
                <w:sz w:val="18"/>
              </w:rPr>
              <w:t>-2</w:t>
            </w:r>
          </w:p>
          <w:p>
            <w:pPr>
              <w:pStyle w:val="TableParagraph"/>
              <w:spacing w:before="143"/>
              <w:ind w:left="4882"/>
              <w:rPr>
                <w:sz w:val="18"/>
              </w:rPr>
            </w:pPr>
            <w:r>
              <w:rPr>
                <w:sz w:val="18"/>
              </w:rPr>
              <w:t>-3</w:t>
            </w:r>
          </w:p>
          <w:p>
            <w:pPr>
              <w:pStyle w:val="TableParagraph"/>
              <w:spacing w:before="8"/>
              <w:ind w:left="319"/>
              <w:rPr>
                <w:sz w:val="18"/>
              </w:rPr>
            </w:pPr>
            <w:r>
              <w:rPr>
                <w:sz w:val="18"/>
              </w:rPr>
              <w:t>2014 2015 2016 2017 2018 2019 2020 2021</w:t>
            </w:r>
          </w:p>
        </w:tc>
        <w:tc>
          <w:tcPr>
            <w:tcW w:w="5154" w:type="dxa"/>
          </w:tcPr>
          <w:p>
            <w:pPr>
              <w:pStyle w:val="TableParagraph"/>
              <w:spacing w:line="188" w:lineRule="exact" w:before="100"/>
              <w:ind w:left="1355"/>
              <w:rPr>
                <w:sz w:val="18"/>
              </w:rPr>
            </w:pPr>
            <w:r>
              <w:rPr>
                <w:sz w:val="18"/>
              </w:rPr>
              <w:t>Percent increase in prices on a year earlier</w:t>
            </w:r>
          </w:p>
          <w:p>
            <w:pPr>
              <w:pStyle w:val="TableParagraph"/>
              <w:spacing w:line="162" w:lineRule="exact"/>
              <w:ind w:left="4794"/>
              <w:rPr>
                <w:sz w:val="18"/>
              </w:rPr>
            </w:pPr>
            <w:r>
              <w:rPr>
                <w:w w:val="99"/>
                <w:sz w:val="18"/>
              </w:rPr>
              <w:t>6</w:t>
            </w:r>
          </w:p>
          <w:p>
            <w:pPr>
              <w:pStyle w:val="TableParagraph"/>
              <w:spacing w:line="204" w:lineRule="exact"/>
              <w:ind w:left="2915"/>
              <w:rPr>
                <w:sz w:val="20"/>
              </w:rPr>
            </w:pPr>
            <w:r>
              <w:rPr>
                <w:sz w:val="20"/>
              </w:rPr>
              <w:t>Projection</w:t>
            </w:r>
          </w:p>
          <w:p>
            <w:pPr>
              <w:pStyle w:val="TableParagraph"/>
              <w:spacing w:before="11"/>
              <w:ind w:left="4794"/>
              <w:rPr>
                <w:sz w:val="18"/>
              </w:rPr>
            </w:pPr>
            <w:r>
              <w:rPr>
                <w:w w:val="99"/>
                <w:sz w:val="18"/>
              </w:rPr>
              <w:t>5</w:t>
            </w:r>
          </w:p>
          <w:p>
            <w:pPr>
              <w:pStyle w:val="TableParagraph"/>
              <w:spacing w:before="7"/>
              <w:rPr>
                <w:sz w:val="20"/>
              </w:rPr>
            </w:pPr>
          </w:p>
          <w:p>
            <w:pPr>
              <w:pStyle w:val="TableParagraph"/>
              <w:tabs>
                <w:tab w:pos="4794" w:val="left" w:leader="none"/>
              </w:tabs>
              <w:ind w:left="3312"/>
              <w:rPr>
                <w:sz w:val="24"/>
              </w:rPr>
            </w:pPr>
            <w:r>
              <w:rPr>
                <w:rFonts w:ascii="Calibri"/>
                <w:b/>
                <w:sz w:val="24"/>
              </w:rPr>
              <w:t>August</w:t>
            </w:r>
            <w:r>
              <w:rPr>
                <w:rFonts w:ascii="Calibri"/>
                <w:b/>
                <w:spacing w:val="-4"/>
                <w:sz w:val="24"/>
              </w:rPr>
              <w:t> </w:t>
            </w:r>
            <w:r>
              <w:rPr>
                <w:rFonts w:ascii="Calibri"/>
                <w:b/>
                <w:sz w:val="24"/>
              </w:rPr>
              <w:t>2018</w:t>
              <w:tab/>
            </w:r>
            <w:r>
              <w:rPr>
                <w:sz w:val="24"/>
                <w:vertAlign w:val="superscript"/>
              </w:rPr>
              <w:t>4</w:t>
            </w:r>
          </w:p>
          <w:p>
            <w:pPr>
              <w:pStyle w:val="TableParagraph"/>
              <w:tabs>
                <w:tab w:pos="4794" w:val="left" w:leader="none"/>
              </w:tabs>
              <w:ind w:left="3705"/>
              <w:rPr>
                <w:sz w:val="18"/>
              </w:rPr>
            </w:pPr>
            <w:r>
              <w:rPr>
                <w:rFonts w:ascii="Calibri"/>
                <w:b/>
                <w:sz w:val="24"/>
              </w:rPr>
              <w:t>Forecast</w:t>
              <w:tab/>
            </w:r>
            <w:r>
              <w:rPr>
                <w:sz w:val="18"/>
              </w:rPr>
              <w:t>3</w:t>
            </w:r>
          </w:p>
          <w:p>
            <w:pPr>
              <w:pStyle w:val="TableParagraph"/>
              <w:spacing w:before="157"/>
              <w:ind w:left="4794"/>
              <w:rPr>
                <w:sz w:val="18"/>
              </w:rPr>
            </w:pPr>
            <w:r>
              <w:rPr>
                <w:w w:val="99"/>
                <w:sz w:val="18"/>
              </w:rPr>
              <w:t>2</w:t>
            </w:r>
          </w:p>
          <w:p>
            <w:pPr>
              <w:pStyle w:val="TableParagraph"/>
              <w:tabs>
                <w:tab w:pos="4794" w:val="left" w:leader="none"/>
              </w:tabs>
              <w:spacing w:before="54"/>
              <w:ind w:left="3621"/>
              <w:rPr>
                <w:sz w:val="18"/>
              </w:rPr>
            </w:pPr>
            <w:r>
              <w:rPr>
                <w:rFonts w:ascii="Calibri"/>
                <w:b/>
                <w:color w:val="FFC000"/>
                <w:sz w:val="24"/>
              </w:rPr>
              <w:t>ONS</w:t>
            </w:r>
            <w:r>
              <w:rPr>
                <w:rFonts w:ascii="Calibri"/>
                <w:b/>
                <w:color w:val="FFC000"/>
                <w:spacing w:val="-3"/>
                <w:sz w:val="24"/>
              </w:rPr>
              <w:t> </w:t>
            </w:r>
            <w:r>
              <w:rPr>
                <w:rFonts w:ascii="Calibri"/>
                <w:b/>
                <w:color w:val="FFC000"/>
                <w:sz w:val="24"/>
              </w:rPr>
              <w:t>Data</w:t>
              <w:tab/>
            </w:r>
            <w:r>
              <w:rPr>
                <w:position w:val="-7"/>
                <w:sz w:val="18"/>
              </w:rPr>
              <w:t>1</w:t>
            </w:r>
          </w:p>
          <w:p>
            <w:pPr>
              <w:pStyle w:val="TableParagraph"/>
              <w:spacing w:before="184"/>
              <w:ind w:left="4794"/>
              <w:rPr>
                <w:sz w:val="18"/>
              </w:rPr>
            </w:pPr>
            <w:r>
              <w:rPr>
                <w:w w:val="99"/>
                <w:sz w:val="18"/>
              </w:rPr>
              <w:t>0</w:t>
            </w:r>
          </w:p>
          <w:p>
            <w:pPr>
              <w:pStyle w:val="TableParagraph"/>
              <w:spacing w:before="5"/>
              <w:rPr>
                <w:sz w:val="16"/>
              </w:rPr>
            </w:pPr>
          </w:p>
          <w:p>
            <w:pPr>
              <w:pStyle w:val="TableParagraph"/>
              <w:ind w:left="4794"/>
              <w:rPr>
                <w:sz w:val="18"/>
              </w:rPr>
            </w:pPr>
            <w:r>
              <w:rPr>
                <w:sz w:val="18"/>
              </w:rPr>
              <w:t>-1</w:t>
            </w:r>
          </w:p>
          <w:p>
            <w:pPr>
              <w:pStyle w:val="TableParagraph"/>
              <w:spacing w:before="4"/>
              <w:rPr>
                <w:sz w:val="16"/>
              </w:rPr>
            </w:pPr>
          </w:p>
          <w:p>
            <w:pPr>
              <w:pStyle w:val="TableParagraph"/>
              <w:ind w:left="4794"/>
              <w:rPr>
                <w:sz w:val="18"/>
              </w:rPr>
            </w:pPr>
            <w:r>
              <w:rPr>
                <w:sz w:val="18"/>
              </w:rPr>
              <w:t>-2</w:t>
            </w:r>
          </w:p>
          <w:p>
            <w:pPr>
              <w:pStyle w:val="TableParagraph"/>
              <w:spacing w:before="8"/>
              <w:ind w:left="234"/>
              <w:rPr>
                <w:sz w:val="18"/>
              </w:rPr>
            </w:pPr>
            <w:r>
              <w:rPr>
                <w:sz w:val="18"/>
              </w:rPr>
              <w:t>2014 2015 2016 2017 2018 2019 2020 2021</w:t>
            </w:r>
          </w:p>
        </w:tc>
      </w:tr>
      <w:tr>
        <w:trPr>
          <w:trHeight w:val="898" w:hRule="atLeast"/>
        </w:trPr>
        <w:tc>
          <w:tcPr>
            <w:tcW w:w="10310" w:type="dxa"/>
            <w:gridSpan w:val="2"/>
          </w:tcPr>
          <w:p>
            <w:pPr>
              <w:pStyle w:val="TableParagraph"/>
              <w:spacing w:before="1"/>
              <w:rPr>
                <w:sz w:val="14"/>
              </w:rPr>
            </w:pPr>
          </w:p>
          <w:p>
            <w:pPr>
              <w:pStyle w:val="TableParagraph"/>
              <w:ind w:left="200"/>
              <w:rPr>
                <w:sz w:val="16"/>
              </w:rPr>
            </w:pPr>
            <w:r>
              <w:rPr>
                <w:sz w:val="16"/>
              </w:rPr>
              <w:t>Source: August 2018 Inflation Report and ONS.</w:t>
            </w:r>
          </w:p>
          <w:p>
            <w:pPr>
              <w:pStyle w:val="TableParagraph"/>
              <w:spacing w:before="1"/>
              <w:ind w:left="200" w:right="177"/>
              <w:rPr>
                <w:sz w:val="16"/>
              </w:rPr>
            </w:pPr>
            <w:r>
              <w:rPr>
                <w:sz w:val="16"/>
              </w:rPr>
              <w:t>Note: The fan chart is constructed so that outturns are expected to lie within each pair of the lighter shaded areas on 30 out of 100 occasions. In any particular quarter of the forecast period, the outturn is therefore expected to lie somewhere within the fan on 90 out of 100</w:t>
            </w:r>
          </w:p>
          <w:p>
            <w:pPr>
              <w:pStyle w:val="TableParagraph"/>
              <w:spacing w:line="163" w:lineRule="exact"/>
              <w:ind w:left="200"/>
              <w:rPr>
                <w:sz w:val="16"/>
              </w:rPr>
            </w:pPr>
            <w:r>
              <w:rPr>
                <w:sz w:val="16"/>
              </w:rPr>
              <w:t>occasions.</w:t>
            </w:r>
          </w:p>
        </w:tc>
      </w:tr>
    </w:tbl>
    <w:p>
      <w:pPr>
        <w:pStyle w:val="BodyText"/>
        <w:spacing w:before="10"/>
        <w:rPr>
          <w:sz w:val="25"/>
        </w:rPr>
      </w:pPr>
    </w:p>
    <w:p>
      <w:pPr>
        <w:pStyle w:val="BodyText"/>
        <w:spacing w:line="360" w:lineRule="auto" w:before="93"/>
        <w:ind w:left="313" w:right="594"/>
      </w:pPr>
      <w:r>
        <w:rPr/>
        <w:t>In August 2018, just before I joined the MPC, the Bank of England published its regular Inflation Report</w:t>
      </w:r>
      <w:r>
        <w:rPr>
          <w:position w:val="6"/>
          <w:sz w:val="13"/>
        </w:rPr>
        <w:t>1</w:t>
      </w:r>
      <w:r>
        <w:rPr/>
        <w:t>, now rebranded as the Monetary Policy Report</w:t>
      </w:r>
      <w:r>
        <w:rPr>
          <w:position w:val="6"/>
          <w:sz w:val="13"/>
        </w:rPr>
        <w:t>2</w:t>
      </w:r>
      <w:r>
        <w:rPr/>
        <w:t>. As set out in </w:t>
      </w:r>
      <w:r>
        <w:rPr>
          <w:b/>
        </w:rPr>
        <w:t>chart 1 </w:t>
      </w:r>
      <w:r>
        <w:rPr/>
        <w:t>the MPC, conditional on a gently rising path of Bank rate implied by market yields at the time, expected GDP to grow by an average of around 1¾% per year over the forecast period. This was slightly above the UK’s estimated potential rate of growth. Global demand was also projected to grow above its estimated potential rate over the forecast and financial conditions remained accommodative at the time. CPI inflation was 2.4% in June 2018 and expected to gently decline</w:t>
      </w:r>
    </w:p>
    <w:p>
      <w:pPr>
        <w:pStyle w:val="BodyText"/>
        <w:spacing w:line="362" w:lineRule="auto"/>
        <w:ind w:left="313" w:right="511"/>
      </w:pPr>
      <w:r>
        <w:rPr/>
        <w:t>towards target (</w:t>
      </w:r>
      <w:r>
        <w:rPr>
          <w:b/>
        </w:rPr>
        <w:t>chart 2</w:t>
      </w:r>
      <w:r>
        <w:rPr/>
        <w:t>). The MPC expected domestic costs to push up on inflation as external cost pressures from the effects of sterling’s previous depreciation and higher energy prices waned. In order to achieve inflation at target by the end of the third year, this warranted an increase in Bank rate to 0.75% and a gently rising path for it over the forecast horizon as implied by market yields at the time.</w:t>
      </w:r>
    </w:p>
    <w:p>
      <w:pPr>
        <w:pStyle w:val="BodyText"/>
        <w:spacing w:before="2"/>
        <w:rPr>
          <w:sz w:val="29"/>
        </w:rPr>
      </w:pPr>
    </w:p>
    <w:p>
      <w:pPr>
        <w:pStyle w:val="BodyText"/>
        <w:ind w:left="313"/>
      </w:pPr>
      <w:r>
        <w:rPr/>
        <w:t>When I joined the MPC in September 2018, I agreed with this view. I have also agreed over the last year with</w:t>
      </w:r>
    </w:p>
    <w:p>
      <w:pPr>
        <w:pStyle w:val="BodyText"/>
        <w:spacing w:line="360" w:lineRule="auto" w:before="116"/>
        <w:ind w:left="313" w:right="566"/>
      </w:pPr>
      <w:r>
        <w:rPr/>
        <w:t>the decision of maintaining the Bank rate at 0.75% with a view to a ‘limited and gradual’ tightening over the next years, so as to minimise the possible disruption from removing stimulus too quickly after a decade of very accommodative credit conditions.</w:t>
      </w:r>
    </w:p>
    <w:p>
      <w:pPr>
        <w:pStyle w:val="BodyText"/>
        <w:rPr>
          <w:sz w:val="30"/>
        </w:rPr>
      </w:pPr>
    </w:p>
    <w:p>
      <w:pPr>
        <w:pStyle w:val="BodyText"/>
        <w:spacing w:line="357" w:lineRule="auto"/>
        <w:ind w:left="313" w:right="812"/>
      </w:pPr>
      <w:r>
        <w:rPr/>
        <w:pict>
          <v:shape style="position:absolute;margin-left:49.68pt;margin-top:38.235889pt;width:144.050pt;height:.1pt;mso-position-horizontal-relative:page;mso-position-vertical-relative:paragraph;z-index:-251656192;mso-wrap-distance-left:0;mso-wrap-distance-right:0" coordorigin="994,765" coordsize="2881,0" path="m994,765l3875,765e" filled="false" stroked="true" strokeweight=".599980pt" strokecolor="#000000">
            <v:path arrowok="t"/>
            <v:stroke dashstyle="solid"/>
            <w10:wrap type="topAndBottom"/>
          </v:shape>
        </w:pict>
      </w:r>
      <w:r>
        <w:rPr/>
        <w:t>However, over this same period the actual outturns for both GDP growth and CPI inflation have been disappointing, as shown by the yellow lines in </w:t>
      </w:r>
      <w:r>
        <w:rPr>
          <w:b/>
        </w:rPr>
        <w:t>chart 1 </w:t>
      </w:r>
      <w:r>
        <w:rPr/>
        <w:t>and </w:t>
      </w:r>
      <w:r>
        <w:rPr>
          <w:b/>
        </w:rPr>
        <w:t>2</w:t>
      </w:r>
      <w:r>
        <w:rPr/>
        <w:t>. UK GDP growth has slowed materially this year</w:t>
      </w:r>
    </w:p>
    <w:p>
      <w:pPr>
        <w:pStyle w:val="BodyText"/>
        <w:spacing w:before="2"/>
        <w:rPr>
          <w:sz w:val="8"/>
        </w:rPr>
      </w:pPr>
    </w:p>
    <w:p>
      <w:pPr>
        <w:spacing w:line="186" w:lineRule="exact" w:before="97"/>
        <w:ind w:left="313" w:right="0" w:firstLine="0"/>
        <w:jc w:val="left"/>
        <w:rPr>
          <w:sz w:val="16"/>
        </w:rPr>
      </w:pPr>
      <w:r>
        <w:rPr>
          <w:position w:val="6"/>
          <w:sz w:val="10"/>
        </w:rPr>
        <w:t>1 </w:t>
      </w:r>
      <w:r>
        <w:rPr>
          <w:sz w:val="16"/>
        </w:rPr>
        <w:t>See for more details the Bank’s</w:t>
      </w:r>
      <w:hyperlink r:id="rId10">
        <w:r>
          <w:rPr>
            <w:color w:val="0000FF"/>
            <w:sz w:val="16"/>
            <w:u w:val="single" w:color="0000FF"/>
          </w:rPr>
          <w:t> August 2018 Inflation Report</w:t>
        </w:r>
        <w:r>
          <w:rPr>
            <w:sz w:val="16"/>
          </w:rPr>
          <w:t>.</w:t>
        </w:r>
      </w:hyperlink>
    </w:p>
    <w:p>
      <w:pPr>
        <w:spacing w:line="186" w:lineRule="exact" w:before="0"/>
        <w:ind w:left="313" w:right="0" w:firstLine="0"/>
        <w:jc w:val="left"/>
        <w:rPr>
          <w:sz w:val="16"/>
        </w:rPr>
      </w:pPr>
      <w:r>
        <w:rPr>
          <w:position w:val="6"/>
          <w:sz w:val="10"/>
        </w:rPr>
        <w:t>2 </w:t>
      </w:r>
      <w:r>
        <w:rPr>
          <w:sz w:val="16"/>
        </w:rPr>
        <w:t>See for more details the Bank’s</w:t>
      </w:r>
      <w:hyperlink r:id="rId11">
        <w:r>
          <w:rPr>
            <w:color w:val="0000FF"/>
            <w:sz w:val="16"/>
            <w:u w:val="single" w:color="0000FF"/>
          </w:rPr>
          <w:t> November 2019 Monetary Policy Report</w:t>
        </w:r>
        <w:r>
          <w:rPr>
            <w:sz w:val="16"/>
          </w:rPr>
          <w:t>.</w:t>
        </w:r>
      </w:hyperlink>
    </w:p>
    <w:p>
      <w:pPr>
        <w:spacing w:after="0" w:line="186" w:lineRule="exact"/>
        <w:jc w:val="left"/>
        <w:rPr>
          <w:sz w:val="16"/>
        </w:rPr>
        <w:sectPr>
          <w:pgSz w:w="11910" w:h="16840"/>
          <w:pgMar w:header="0" w:footer="872" w:top="1340" w:bottom="1060" w:left="680" w:right="480"/>
        </w:sectPr>
      </w:pPr>
    </w:p>
    <w:p>
      <w:pPr>
        <w:pStyle w:val="BodyText"/>
        <w:spacing w:line="360" w:lineRule="auto" w:before="81"/>
        <w:ind w:left="313" w:right="1029"/>
      </w:pPr>
      <w:r>
        <w:rPr/>
        <w:t>and inflation has fallen. This is due, in my view, to weaker global growth, driven by trade tensions, and the domestic impact of Brexit-related uncertainties. Let me expand on this.</w:t>
      </w:r>
    </w:p>
    <w:p>
      <w:pPr>
        <w:pStyle w:val="BodyText"/>
        <w:rPr>
          <w:sz w:val="30"/>
        </w:rPr>
      </w:pPr>
    </w:p>
    <w:p>
      <w:pPr>
        <w:pStyle w:val="BodyText"/>
        <w:spacing w:line="360" w:lineRule="auto"/>
        <w:ind w:left="313" w:right="511"/>
      </w:pPr>
      <w:r>
        <w:rPr/>
        <w:pict>
          <v:group style="position:absolute;margin-left:59.448002pt;margin-top:156.064896pt;width:223.9pt;height:162.25pt;mso-position-horizontal-relative:page;mso-position-vertical-relative:paragraph;z-index:-252550144" coordorigin="1189,3121" coordsize="4478,3245">
            <v:shape style="position:absolute;left:1207;top:3128;width:4459;height:3238" coordorigin="1208,3129" coordsize="4459,3238" path="m5612,6312l5612,3129m5612,6312l5666,6312m5612,5676l5666,5676m5612,5038l5666,5038m5612,4402l5666,4402m5612,3766l5666,3766m5612,3129l5666,3129m1208,6312l5612,6312m1208,6312l1208,6366m1858,6312l1858,6366m2518,6312l2518,6366m3182,6312l3182,6366m3847,6312l3847,6366m4498,6312l4498,6366m5156,6312l5156,6366e" filled="false" stroked="true" strokeweight=".75pt" strokecolor="#000000">
              <v:path arrowok="t"/>
              <v:stroke dashstyle="solid"/>
            </v:shape>
            <v:shape style="position:absolute;left:1211;top:3536;width:4397;height:1859" coordorigin="1211,3536" coordsize="4397,1859" path="m1211,5294l1870,5242,2078,5256,2520,5395,2556,5026,2904,4478,3134,3982,3410,3994,3852,4212,4944,3677,5608,3536e" filled="false" stroked="true" strokeweight="2.25pt" strokecolor="#c00000">
              <v:path arrowok="t"/>
              <v:stroke dashstyle="solid"/>
            </v:shape>
            <v:shape style="position:absolute;left:1211;top:4287;width:4397;height:1694" coordorigin="1211,4287" coordsize="4397,1694" path="m1211,5981l1870,5880,2078,5789,2520,5714,2556,5714,2904,5714,3134,5345,3410,5345,3852,5345,4944,4632,5608,4287e" filled="false" stroked="true" strokeweight="2.25pt" strokecolor="#00afef">
              <v:path arrowok="t"/>
              <v:stroke dashstyle="solid"/>
            </v:shape>
            <w10:wrap type="none"/>
          </v:group>
        </w:pict>
      </w:r>
      <w:r>
        <w:rPr/>
        <w:pict>
          <v:group style="position:absolute;margin-left:323.774994pt;margin-top:153.594894pt;width:202.15pt;height:161.35pt;mso-position-horizontal-relative:page;mso-position-vertical-relative:paragraph;z-index:-252549120" coordorigin="6475,3072" coordsize="4043,3227">
            <v:shape style="position:absolute;left:6498;top:3435;width:3947;height:2449" coordorigin="6498,3435" coordsize="3947,2449" path="m7048,4630l6814,4630,6893,4651,6972,4793,7051,5078,7130,5674,7207,5884,7286,5837,7366,5467,7373,5412,7286,5412,7207,5350,7130,5215,7051,4646,7048,4630xm9729,4426l8945,4426,9024,4819,9103,5098,9182,5340,9262,5542,9341,5366,9418,5198,9497,4968,9597,4968,9655,4591,9729,4426xm7682,3435l7603,3533,7524,3713,7445,4289,7366,4946,7286,5412,7373,5412,7445,4896,7524,4644,7603,4409,7682,4370,7762,4296,9087,4296,9068,4282,8472,4282,8393,4202,8314,4186,8234,4121,8193,3955,7997,3955,7920,3941,7841,3773,7762,3660,7682,3435xm8918,4433l7920,4433,7997,4572,8076,4934,8155,5064,8234,5150,8314,5234,8393,5126,8551,4901,8630,4802,8707,4514,8786,4490,8866,4447,8918,4433xm9597,4968l9497,4968,9576,5100,9597,4968xm10271,4248l9893,4248,9972,4349,10051,4349,10128,4560,10207,4766,10286,4661,10383,4661,10445,4450,10445,4306,10366,4306,10286,4260,10271,4248xm10383,4661l10286,4661,10366,4721,10383,4661xm6498,3898l6498,4318,6576,4457,6655,4548,6734,4670,6814,4630,7048,4630,6972,4229,6893,4176,6866,4133,6576,4133,6498,3898xm9087,4296l7762,4296,7841,4478,7920,4433,8918,4433,8945,4426,9729,4426,9734,4414,9814,4368,9829,4344,9182,4344,9103,4308,9087,4296xm9341,4164l9262,4279,9182,4344,9829,4344,9863,4294,9655,4294,9637,4219,9418,4219,9341,4164xm10445,4284l10366,4306,10445,4306,10445,4284xm9893,3934l9814,4157,9734,4236,9655,4294,9863,4294,9893,4248,10271,4248,10207,4198,10128,4145,10051,4140,9972,4138,9893,3934xm8707,3902l8630,4092,8551,4210,8472,4282,9068,4282,9024,4248,8945,4138,8883,4068,8786,4068,8707,3902xm9576,3974l9497,4090,9418,4219,9637,4219,9576,3974xm6655,4051l6576,4133,6866,4133,6839,4087,6734,4087,6655,4051xm6814,4046l6734,4087,6839,4087,6814,4046xm8866,4049l8786,4068,8883,4068,8866,4049xm8076,3785l7997,3955,8193,3955,8155,3806,8076,3785xe" filled="true" fillcolor="#bebebe" stroked="false">
              <v:path arrowok="t"/>
              <v:fill type="solid"/>
            </v:shape>
            <v:shape style="position:absolute;left:6484;top:3079;width:4034;height:3212" coordorigin="6485,3079" coordsize="4034,3212" path="m10458,6291l10458,3079m10458,6291l10518,6291m10458,5998l10518,5998m10458,5707l10518,5707m10458,5414l10518,5414m10458,5124l10518,5124m10458,4831l10518,4831m10458,4538l10518,4538m10458,4248l10518,4248m10458,3955l10518,3955m10458,3662l10518,3662m10458,3372l10518,3372m10458,3079l10518,3079m6485,4539l10458,4539m6485,4539l6485,4599m7116,4539l7116,4599m7747,4539l7747,4599m8378,4539l8378,4599m9010,4539l9010,4599m9643,4539l9643,4599m10274,4539l10274,4599e" filled="false" stroked="true" strokeweight=".75pt" strokecolor="#404040">
              <v:path arrowok="t"/>
              <v:stroke dashstyle="solid"/>
            </v:shape>
            <v:shape style="position:absolute;left:6498;top:3722;width:3947;height:2063" coordorigin="6498,3722" coordsize="3947,2063" path="m6498,3859l6576,3722,6655,4310,6734,3955,6814,4584,6893,4502,6972,4546,7051,5196,7130,5150,7207,5785,7286,5645,7366,5426,7445,4762,7524,4375,7603,4018,7682,3787,7762,4390,7841,4195,7920,4171,7997,4135,8076,3790,8155,4238,8234,4301,8314,4128,8393,4550,8472,4231,8551,4099,8630,4584,8707,4205,8786,4046,8866,4382,8945,4296,9024,4130,9103,4308,9182,4469,9262,4370,9341,4658,9418,4606,9497,4368,9576,4560,9655,4471,9734,4447,9814,4483,9893,4402,9972,4426,10051,4526,10128,4613,10207,4687,10286,4630,10366,4632,10445,4656e" filled="false" stroked="true" strokeweight="2.25pt" strokecolor="#0e0080">
              <v:path arrowok="t"/>
              <v:stroke dashstyle="solid"/>
            </v:shape>
            <w10:wrap type="none"/>
          </v:group>
        </w:pict>
      </w:r>
      <w:r>
        <w:rPr/>
        <w:t>First, the world. The global economic outlook has weakened materially since 2018, turning gloomier and less supportive of UK growth. This was mainly the result of heightened uncertainty combined with a slower pace of recovery in the Euro Area and, in particular, the escalation of US-China trade tensions. </w:t>
      </w:r>
      <w:r>
        <w:rPr>
          <w:b/>
        </w:rPr>
        <w:t>Chart 3 </w:t>
      </w:r>
      <w:r>
        <w:rPr/>
        <w:t>shows just one indicator of trade tensions, namely the trade-weighted average tariffs on bilateral trade between the US and China.</w:t>
      </w:r>
      <w:r>
        <w:rPr>
          <w:position w:val="6"/>
          <w:sz w:val="13"/>
        </w:rPr>
        <w:t>3 </w:t>
      </w:r>
      <w:r>
        <w:rPr/>
        <w:t>The G7 investment swathe reported in </w:t>
      </w:r>
      <w:r>
        <w:rPr>
          <w:b/>
        </w:rPr>
        <w:t>chart 4 </w:t>
      </w:r>
      <w:r>
        <w:rPr/>
        <w:t>also shows a considerable slowdown: to the extent that investment is forward-looking, this is again indicative of cooling sentiment.</w:t>
      </w:r>
    </w:p>
    <w:p>
      <w:pPr>
        <w:pStyle w:val="BodyText"/>
      </w:pPr>
    </w:p>
    <w:p>
      <w:pPr>
        <w:pStyle w:val="BodyText"/>
        <w:spacing w:before="4"/>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7"/>
        <w:gridCol w:w="5030"/>
      </w:tblGrid>
      <w:tr>
        <w:trPr>
          <w:trHeight w:val="338" w:hRule="atLeast"/>
        </w:trPr>
        <w:tc>
          <w:tcPr>
            <w:tcW w:w="5297" w:type="dxa"/>
          </w:tcPr>
          <w:p>
            <w:pPr>
              <w:pStyle w:val="TableParagraph"/>
              <w:spacing w:line="223" w:lineRule="exact"/>
              <w:ind w:left="200"/>
              <w:rPr>
                <w:b/>
                <w:sz w:val="20"/>
              </w:rPr>
            </w:pPr>
            <w:r>
              <w:rPr>
                <w:b/>
                <w:sz w:val="20"/>
              </w:rPr>
              <w:t>Chart 3: Weighted average tariff rates</w:t>
            </w:r>
          </w:p>
        </w:tc>
        <w:tc>
          <w:tcPr>
            <w:tcW w:w="5030" w:type="dxa"/>
          </w:tcPr>
          <w:p>
            <w:pPr>
              <w:pStyle w:val="TableParagraph"/>
              <w:spacing w:line="223" w:lineRule="exact"/>
              <w:ind w:left="121"/>
              <w:rPr>
                <w:b/>
                <w:sz w:val="20"/>
              </w:rPr>
            </w:pPr>
            <w:r>
              <w:rPr>
                <w:b/>
                <w:sz w:val="20"/>
              </w:rPr>
              <w:t>Chart 4: G7 investment swathe</w:t>
            </w:r>
          </w:p>
        </w:tc>
      </w:tr>
      <w:tr>
        <w:trPr>
          <w:trHeight w:val="4845" w:hRule="atLeast"/>
        </w:trPr>
        <w:tc>
          <w:tcPr>
            <w:tcW w:w="5297" w:type="dxa"/>
          </w:tcPr>
          <w:p>
            <w:pPr>
              <w:pStyle w:val="TableParagraph"/>
              <w:spacing w:line="227" w:lineRule="exact" w:before="75"/>
              <w:ind w:right="406"/>
              <w:jc w:val="right"/>
              <w:rPr>
                <w:rFonts w:ascii="Calibri"/>
                <w:sz w:val="22"/>
              </w:rPr>
            </w:pPr>
            <w:r>
              <w:rPr>
                <w:rFonts w:ascii="Calibri"/>
                <w:sz w:val="22"/>
              </w:rPr>
              <w:t>Percent</w:t>
            </w:r>
          </w:p>
          <w:p>
            <w:pPr>
              <w:pStyle w:val="TableParagraph"/>
              <w:spacing w:line="166" w:lineRule="exact"/>
              <w:ind w:left="4974"/>
              <w:rPr>
                <w:sz w:val="18"/>
              </w:rPr>
            </w:pPr>
            <w:r>
              <w:rPr>
                <w:sz w:val="18"/>
              </w:rPr>
              <w:t>25</w:t>
            </w:r>
          </w:p>
          <w:p>
            <w:pPr>
              <w:pStyle w:val="TableParagraph"/>
              <w:tabs>
                <w:tab w:pos="5175" w:val="right" w:leader="none"/>
              </w:tabs>
              <w:spacing w:before="351"/>
              <w:ind w:left="975"/>
              <w:rPr>
                <w:sz w:val="18"/>
              </w:rPr>
            </w:pPr>
            <w:r>
              <w:rPr>
                <w:rFonts w:ascii="Calibri"/>
                <w:color w:val="C00000"/>
                <w:sz w:val="22"/>
              </w:rPr>
              <w:t>Chinese tariffs on</w:t>
            </w:r>
            <w:r>
              <w:rPr>
                <w:rFonts w:ascii="Calibri"/>
                <w:color w:val="C00000"/>
                <w:spacing w:val="-7"/>
                <w:sz w:val="22"/>
              </w:rPr>
              <w:t> </w:t>
            </w:r>
            <w:r>
              <w:rPr>
                <w:rFonts w:ascii="Calibri"/>
                <w:color w:val="C00000"/>
                <w:sz w:val="22"/>
              </w:rPr>
              <w:t>US</w:t>
            </w:r>
            <w:r>
              <w:rPr>
                <w:rFonts w:ascii="Calibri"/>
                <w:color w:val="C00000"/>
                <w:spacing w:val="-1"/>
                <w:sz w:val="22"/>
              </w:rPr>
              <w:t> </w:t>
            </w:r>
            <w:r>
              <w:rPr>
                <w:rFonts w:ascii="Calibri"/>
                <w:color w:val="C00000"/>
                <w:sz w:val="22"/>
              </w:rPr>
              <w:t>goods</w:t>
              <w:tab/>
            </w:r>
            <w:r>
              <w:rPr>
                <w:position w:val="-3"/>
                <w:sz w:val="18"/>
              </w:rPr>
              <w:t>20</w:t>
            </w:r>
          </w:p>
          <w:p>
            <w:pPr>
              <w:pStyle w:val="TableParagraph"/>
              <w:rPr>
                <w:sz w:val="24"/>
              </w:rPr>
            </w:pPr>
          </w:p>
          <w:p>
            <w:pPr>
              <w:pStyle w:val="TableParagraph"/>
              <w:spacing w:before="151"/>
              <w:ind w:left="4974"/>
              <w:rPr>
                <w:sz w:val="18"/>
              </w:rPr>
            </w:pPr>
            <w:r>
              <w:rPr>
                <w:sz w:val="18"/>
              </w:rPr>
              <w:t>15</w:t>
            </w:r>
          </w:p>
          <w:p>
            <w:pPr>
              <w:pStyle w:val="TableParagraph"/>
              <w:rPr>
                <w:sz w:val="20"/>
              </w:rPr>
            </w:pPr>
          </w:p>
          <w:p>
            <w:pPr>
              <w:pStyle w:val="TableParagraph"/>
              <w:spacing w:before="5"/>
              <w:rPr>
                <w:sz w:val="17"/>
              </w:rPr>
            </w:pPr>
          </w:p>
          <w:p>
            <w:pPr>
              <w:pStyle w:val="TableParagraph"/>
              <w:ind w:left="4974"/>
              <w:rPr>
                <w:sz w:val="18"/>
              </w:rPr>
            </w:pPr>
            <w:r>
              <w:rPr>
                <w:sz w:val="18"/>
              </w:rPr>
              <w:t>10</w:t>
            </w:r>
          </w:p>
          <w:p>
            <w:pPr>
              <w:pStyle w:val="TableParagraph"/>
              <w:tabs>
                <w:tab w:pos="5073" w:val="right" w:leader="none"/>
              </w:tabs>
              <w:spacing w:before="319"/>
              <w:ind w:left="2358"/>
              <w:rPr>
                <w:sz w:val="18"/>
              </w:rPr>
            </w:pPr>
            <w:r>
              <w:rPr>
                <w:rFonts w:ascii="Calibri"/>
                <w:color w:val="00AFEF"/>
                <w:sz w:val="22"/>
              </w:rPr>
              <w:t>US tariffs on</w:t>
            </w:r>
            <w:r>
              <w:rPr>
                <w:rFonts w:ascii="Calibri"/>
                <w:color w:val="00AFEF"/>
                <w:spacing w:val="-6"/>
                <w:sz w:val="22"/>
              </w:rPr>
              <w:t> </w:t>
            </w:r>
            <w:r>
              <w:rPr>
                <w:rFonts w:ascii="Calibri"/>
                <w:color w:val="00AFEF"/>
                <w:sz w:val="22"/>
              </w:rPr>
              <w:t>Chinese</w:t>
            </w:r>
            <w:r>
              <w:rPr>
                <w:rFonts w:ascii="Calibri"/>
                <w:color w:val="00AFEF"/>
                <w:spacing w:val="-2"/>
                <w:sz w:val="22"/>
              </w:rPr>
              <w:t> </w:t>
            </w:r>
            <w:r>
              <w:rPr>
                <w:rFonts w:ascii="Calibri"/>
                <w:color w:val="00AFEF"/>
                <w:sz w:val="22"/>
              </w:rPr>
              <w:t>goods</w:t>
              <w:tab/>
            </w:r>
            <w:r>
              <w:rPr>
                <w:position w:val="-6"/>
                <w:sz w:val="18"/>
              </w:rPr>
              <w:t>5</w:t>
            </w:r>
          </w:p>
          <w:p>
            <w:pPr>
              <w:pStyle w:val="TableParagraph"/>
              <w:spacing w:before="4"/>
              <w:rPr>
                <w:sz w:val="37"/>
              </w:rPr>
            </w:pPr>
          </w:p>
          <w:p>
            <w:pPr>
              <w:pStyle w:val="TableParagraph"/>
              <w:ind w:left="4974"/>
              <w:rPr>
                <w:sz w:val="18"/>
              </w:rPr>
            </w:pPr>
            <w:r>
              <w:rPr>
                <w:w w:val="99"/>
                <w:sz w:val="18"/>
              </w:rPr>
              <w:t>0</w:t>
            </w:r>
          </w:p>
          <w:p>
            <w:pPr>
              <w:pStyle w:val="TableParagraph"/>
              <w:spacing w:before="8"/>
              <w:ind w:left="238"/>
              <w:rPr>
                <w:sz w:val="18"/>
              </w:rPr>
            </w:pPr>
            <w:r>
              <w:rPr>
                <w:sz w:val="18"/>
              </w:rPr>
              <w:t>an 18 Apr 18 Jul 18 Oct 18 Jan 19 Apr 19 Jul 19</w:t>
            </w:r>
          </w:p>
          <w:p>
            <w:pPr>
              <w:pStyle w:val="TableParagraph"/>
              <w:spacing w:before="1"/>
              <w:rPr>
                <w:sz w:val="21"/>
              </w:rPr>
            </w:pPr>
          </w:p>
          <w:p>
            <w:pPr>
              <w:pStyle w:val="TableParagraph"/>
              <w:spacing w:line="360" w:lineRule="auto" w:before="1"/>
              <w:ind w:left="200" w:right="390"/>
              <w:rPr>
                <w:sz w:val="16"/>
              </w:rPr>
            </w:pPr>
            <w:r>
              <w:rPr>
                <w:sz w:val="16"/>
              </w:rPr>
              <w:t>Sources: Ministry of Commerce of the People’s Republic of China, Office of the United States Trade</w:t>
            </w:r>
          </w:p>
          <w:p>
            <w:pPr>
              <w:pStyle w:val="TableParagraph"/>
              <w:spacing w:line="164" w:lineRule="exact"/>
              <w:ind w:left="200"/>
              <w:rPr>
                <w:sz w:val="16"/>
              </w:rPr>
            </w:pPr>
            <w:r>
              <w:rPr>
                <w:sz w:val="16"/>
              </w:rPr>
              <w:t>Representative and Bank calculations.</w:t>
            </w:r>
          </w:p>
        </w:tc>
        <w:tc>
          <w:tcPr>
            <w:tcW w:w="5030" w:type="dxa"/>
          </w:tcPr>
          <w:p>
            <w:pPr>
              <w:pStyle w:val="TableParagraph"/>
              <w:tabs>
                <w:tab w:pos="4541" w:val="left" w:leader="none"/>
              </w:tabs>
              <w:spacing w:before="74"/>
              <w:ind w:left="3012"/>
              <w:rPr>
                <w:sz w:val="20"/>
              </w:rPr>
            </w:pPr>
            <w:r>
              <w:rPr>
                <w:rFonts w:ascii="Calibri"/>
                <w:sz w:val="20"/>
              </w:rPr>
              <w:t>Year-on-year,</w:t>
            </w:r>
            <w:r>
              <w:rPr>
                <w:rFonts w:ascii="Calibri"/>
                <w:spacing w:val="2"/>
                <w:sz w:val="20"/>
              </w:rPr>
              <w:t> </w:t>
            </w:r>
            <w:r>
              <w:rPr>
                <w:rFonts w:ascii="Calibri"/>
                <w:sz w:val="20"/>
              </w:rPr>
              <w:t>%</w:t>
              <w:tab/>
            </w:r>
            <w:r>
              <w:rPr>
                <w:position w:val="-11"/>
                <w:sz w:val="20"/>
              </w:rPr>
              <w:t>25</w:t>
            </w:r>
          </w:p>
          <w:p>
            <w:pPr>
              <w:pStyle w:val="TableParagraph"/>
              <w:spacing w:before="62"/>
              <w:ind w:left="4541"/>
              <w:rPr>
                <w:sz w:val="20"/>
              </w:rPr>
            </w:pPr>
            <w:r>
              <w:rPr>
                <w:sz w:val="20"/>
              </w:rPr>
              <w:t>20</w:t>
            </w:r>
          </w:p>
          <w:p>
            <w:pPr>
              <w:pStyle w:val="TableParagraph"/>
              <w:spacing w:line="168" w:lineRule="exact" w:before="63"/>
              <w:ind w:left="4541"/>
              <w:rPr>
                <w:sz w:val="20"/>
              </w:rPr>
            </w:pPr>
            <w:r>
              <w:rPr>
                <w:sz w:val="20"/>
              </w:rPr>
              <w:t>15</w:t>
            </w:r>
          </w:p>
          <w:p>
            <w:pPr>
              <w:pStyle w:val="TableParagraph"/>
              <w:tabs>
                <w:tab w:pos="4762" w:val="right" w:leader="none"/>
              </w:tabs>
              <w:spacing w:line="175" w:lineRule="auto"/>
              <w:ind w:left="2905"/>
              <w:rPr>
                <w:sz w:val="20"/>
              </w:rPr>
            </w:pPr>
            <w:r>
              <w:rPr>
                <w:rFonts w:ascii="Calibri"/>
                <w:color w:val="0E0080"/>
                <w:sz w:val="24"/>
              </w:rPr>
              <w:t>UK</w:t>
              <w:tab/>
            </w:r>
            <w:r>
              <w:rPr>
                <w:position w:val="-13"/>
                <w:sz w:val="20"/>
              </w:rPr>
              <w:t>10</w:t>
            </w:r>
          </w:p>
          <w:p>
            <w:pPr>
              <w:pStyle w:val="TableParagraph"/>
              <w:spacing w:before="83"/>
              <w:ind w:left="4541"/>
              <w:rPr>
                <w:sz w:val="20"/>
              </w:rPr>
            </w:pPr>
            <w:r>
              <w:rPr>
                <w:w w:val="99"/>
                <w:sz w:val="20"/>
              </w:rPr>
              <w:t>5</w:t>
            </w:r>
          </w:p>
          <w:p>
            <w:pPr>
              <w:pStyle w:val="TableParagraph"/>
              <w:spacing w:before="62"/>
              <w:ind w:left="4541"/>
              <w:rPr>
                <w:sz w:val="20"/>
              </w:rPr>
            </w:pPr>
            <w:r>
              <w:rPr>
                <w:w w:val="99"/>
                <w:sz w:val="20"/>
              </w:rPr>
              <w:t>0</w:t>
            </w:r>
          </w:p>
          <w:p>
            <w:pPr>
              <w:pStyle w:val="TableParagraph"/>
              <w:spacing w:before="62"/>
              <w:ind w:left="4541"/>
              <w:rPr>
                <w:sz w:val="20"/>
              </w:rPr>
            </w:pPr>
            <w:r>
              <w:rPr>
                <w:sz w:val="20"/>
              </w:rPr>
              <w:t>-5</w:t>
            </w:r>
          </w:p>
          <w:p>
            <w:pPr>
              <w:pStyle w:val="TableParagraph"/>
              <w:spacing w:before="62"/>
              <w:ind w:left="4541"/>
              <w:rPr>
                <w:sz w:val="20"/>
              </w:rPr>
            </w:pPr>
            <w:r>
              <w:rPr>
                <w:sz w:val="20"/>
              </w:rPr>
              <w:t>-10</w:t>
            </w:r>
          </w:p>
          <w:p>
            <w:pPr>
              <w:pStyle w:val="TableParagraph"/>
              <w:tabs>
                <w:tab w:pos="4541" w:val="left" w:leader="none"/>
              </w:tabs>
              <w:spacing w:line="307" w:lineRule="exact" w:before="62"/>
              <w:ind w:left="1465"/>
              <w:rPr>
                <w:sz w:val="20"/>
              </w:rPr>
            </w:pPr>
            <w:r>
              <w:rPr>
                <w:rFonts w:ascii="Calibri"/>
                <w:sz w:val="24"/>
              </w:rPr>
              <w:t>G7</w:t>
            </w:r>
            <w:r>
              <w:rPr>
                <w:rFonts w:ascii="Calibri"/>
                <w:spacing w:val="-2"/>
                <w:sz w:val="24"/>
              </w:rPr>
              <w:t> </w:t>
            </w:r>
            <w:r>
              <w:rPr>
                <w:rFonts w:ascii="Calibri"/>
                <w:sz w:val="24"/>
              </w:rPr>
              <w:t>(ex. UK)</w:t>
              <w:tab/>
            </w:r>
            <w:r>
              <w:rPr>
                <w:position w:val="7"/>
                <w:sz w:val="20"/>
              </w:rPr>
              <w:t>-15</w:t>
            </w:r>
          </w:p>
          <w:p>
            <w:pPr>
              <w:pStyle w:val="TableParagraph"/>
              <w:spacing w:line="215" w:lineRule="exact"/>
              <w:ind w:right="197"/>
              <w:jc w:val="right"/>
              <w:rPr>
                <w:sz w:val="20"/>
              </w:rPr>
            </w:pPr>
            <w:r>
              <w:rPr>
                <w:spacing w:val="-1"/>
                <w:sz w:val="20"/>
              </w:rPr>
              <w:t>-20</w:t>
            </w:r>
          </w:p>
          <w:p>
            <w:pPr>
              <w:pStyle w:val="TableParagraph"/>
              <w:spacing w:before="63"/>
              <w:ind w:right="197"/>
              <w:jc w:val="right"/>
              <w:rPr>
                <w:sz w:val="20"/>
              </w:rPr>
            </w:pPr>
            <w:r>
              <w:rPr>
                <w:spacing w:val="-1"/>
                <w:sz w:val="20"/>
              </w:rPr>
              <w:t>-25</w:t>
            </w:r>
          </w:p>
          <w:p>
            <w:pPr>
              <w:pStyle w:val="TableParagraph"/>
              <w:spacing w:before="62"/>
              <w:ind w:right="197"/>
              <w:jc w:val="right"/>
              <w:rPr>
                <w:sz w:val="20"/>
              </w:rPr>
            </w:pPr>
            <w:r>
              <w:rPr>
                <w:spacing w:val="-1"/>
                <w:sz w:val="20"/>
              </w:rPr>
              <w:t>-30</w:t>
            </w:r>
          </w:p>
          <w:p>
            <w:pPr>
              <w:pStyle w:val="TableParagraph"/>
              <w:spacing w:before="8"/>
              <w:ind w:left="186"/>
              <w:rPr>
                <w:sz w:val="20"/>
              </w:rPr>
            </w:pPr>
            <w:r>
              <w:rPr>
                <w:sz w:val="20"/>
              </w:rPr>
              <w:t>2007 2009 2011 2013 2015 2017 2019</w:t>
            </w:r>
          </w:p>
          <w:p>
            <w:pPr>
              <w:pStyle w:val="TableParagraph"/>
              <w:spacing w:before="2"/>
              <w:rPr>
                <w:sz w:val="21"/>
              </w:rPr>
            </w:pPr>
          </w:p>
          <w:p>
            <w:pPr>
              <w:pStyle w:val="TableParagraph"/>
              <w:ind w:left="121"/>
              <w:rPr>
                <w:sz w:val="16"/>
              </w:rPr>
            </w:pPr>
            <w:r>
              <w:rPr>
                <w:sz w:val="16"/>
              </w:rPr>
              <w:t>Source: OECD.</w:t>
            </w:r>
          </w:p>
        </w:tc>
      </w:tr>
    </w:tbl>
    <w:p>
      <w:pPr>
        <w:pStyle w:val="BodyText"/>
        <w:spacing w:before="9"/>
        <w:rPr>
          <w:sz w:val="29"/>
        </w:rPr>
      </w:pPr>
    </w:p>
    <w:p>
      <w:pPr>
        <w:pStyle w:val="BodyText"/>
        <w:spacing w:before="93"/>
        <w:ind w:left="313"/>
      </w:pPr>
      <w:r>
        <w:rPr/>
        <w:t>Second, turning to the domestic economy, I would like to focus on uncertainty. Higher levels of uncertainty</w:t>
      </w:r>
    </w:p>
    <w:p>
      <w:pPr>
        <w:pStyle w:val="BodyText"/>
        <w:spacing w:line="360" w:lineRule="auto" w:before="116"/>
        <w:ind w:left="313" w:right="624"/>
      </w:pPr>
      <w:r>
        <w:rPr/>
        <w:t>stemming from the Brexit process—the proportion of firms that cite Brexit as an important source of uncertainty is still elevated (</w:t>
      </w:r>
      <w:r>
        <w:rPr>
          <w:b/>
        </w:rPr>
        <w:t>chart 5</w:t>
      </w:r>
      <w:r>
        <w:rPr/>
        <w:t>)—have weighed on the UK economy mainly through their effect on firms’ investment (</w:t>
      </w:r>
      <w:r>
        <w:rPr>
          <w:b/>
        </w:rPr>
        <w:t>chart 6</w:t>
      </w:r>
      <w:r>
        <w:rPr/>
        <w:t>)</w:t>
      </w:r>
      <w:r>
        <w:rPr>
          <w:position w:val="6"/>
          <w:sz w:val="13"/>
        </w:rPr>
        <w:t>4 </w:t>
      </w:r>
      <w:r>
        <w:rPr/>
        <w:t>and productivity. Investment growth has been negative and we have been consistently below or near the bottom of the swathe of G7 investment growth (</w:t>
      </w:r>
      <w:r>
        <w:rPr>
          <w:b/>
        </w:rPr>
        <w:t>chart 4</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r>
        <w:rPr/>
        <w:pict>
          <v:shape style="position:absolute;margin-left:49.68pt;margin-top:13.607285pt;width:144.050pt;height:.1pt;mso-position-horizontal-relative:page;mso-position-vertical-relative:paragraph;z-index:-251653120;mso-wrap-distance-left:0;mso-wrap-distance-right:0" coordorigin="994,272" coordsize="2881,0" path="m994,272l3875,272e" filled="false" stroked="true" strokeweight=".599980pt" strokecolor="#000000">
            <v:path arrowok="t"/>
            <v:stroke dashstyle="solid"/>
            <w10:wrap type="topAndBottom"/>
          </v:shape>
        </w:pict>
      </w:r>
    </w:p>
    <w:p>
      <w:pPr>
        <w:pStyle w:val="BodyText"/>
        <w:spacing w:before="2"/>
        <w:rPr>
          <w:sz w:val="8"/>
        </w:rPr>
      </w:pPr>
    </w:p>
    <w:p>
      <w:pPr>
        <w:spacing w:before="97"/>
        <w:ind w:left="313" w:right="507" w:firstLine="0"/>
        <w:jc w:val="both"/>
        <w:rPr>
          <w:sz w:val="16"/>
        </w:rPr>
      </w:pPr>
      <w:r>
        <w:rPr>
          <w:position w:val="6"/>
          <w:sz w:val="10"/>
        </w:rPr>
        <w:t>3 </w:t>
      </w:r>
      <w:r>
        <w:rPr>
          <w:sz w:val="16"/>
        </w:rPr>
        <w:t>As global tariffs have been falling steadily since the 90s and have been at those low rates for more than a decade now, the increase observed since mid-2018 is quite substantial. For more details, see section 3 of the Bank’s</w:t>
      </w:r>
      <w:hyperlink r:id="rId11">
        <w:r>
          <w:rPr>
            <w:color w:val="0000FF"/>
            <w:sz w:val="16"/>
            <w:u w:val="single" w:color="0000FF"/>
          </w:rPr>
          <w:t> November 2019 Monetary Policy Report</w:t>
        </w:r>
        <w:r>
          <w:rPr>
            <w:sz w:val="16"/>
          </w:rPr>
          <w:t>.</w:t>
        </w:r>
      </w:hyperlink>
    </w:p>
    <w:p>
      <w:pPr>
        <w:spacing w:line="240" w:lineRule="auto" w:before="0"/>
        <w:ind w:left="313" w:right="504" w:firstLine="0"/>
        <w:jc w:val="both"/>
        <w:rPr>
          <w:sz w:val="16"/>
        </w:rPr>
      </w:pPr>
      <w:r>
        <w:rPr>
          <w:position w:val="6"/>
          <w:sz w:val="10"/>
        </w:rPr>
        <w:t>4 </w:t>
      </w:r>
      <w:r>
        <w:rPr>
          <w:sz w:val="16"/>
        </w:rPr>
        <w:t>Chart 6 shows the following. The DMP survey started asking about Brexit uncertainty after the referendum in 2016. The chart matches past investment data from company accounts to the firms in the DMP and thereby shows the investment of firms before and after 2016 who reported Brexit uncertainty after 2016. It shows that the low investment firms after 2016 were not just firms who, before 2016, were not investing anyway: in fact, they were investing more before 2016.</w:t>
      </w:r>
    </w:p>
    <w:p>
      <w:pPr>
        <w:spacing w:after="0" w:line="240" w:lineRule="auto"/>
        <w:jc w:val="both"/>
        <w:rPr>
          <w:sz w:val="16"/>
        </w:rPr>
        <w:sectPr>
          <w:pgSz w:w="11910" w:h="16840"/>
          <w:pgMar w:header="0" w:footer="872" w:top="1340" w:bottom="1060" w:left="680" w:right="480"/>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4"/>
        <w:gridCol w:w="4916"/>
      </w:tblGrid>
      <w:tr>
        <w:trPr>
          <w:trHeight w:val="629" w:hRule="atLeast"/>
        </w:trPr>
        <w:tc>
          <w:tcPr>
            <w:tcW w:w="5304" w:type="dxa"/>
          </w:tcPr>
          <w:p>
            <w:pPr>
              <w:pStyle w:val="TableParagraph"/>
              <w:spacing w:line="223" w:lineRule="exact"/>
              <w:ind w:left="200"/>
              <w:rPr>
                <w:b/>
                <w:sz w:val="20"/>
              </w:rPr>
            </w:pPr>
            <w:r>
              <w:rPr>
                <w:b/>
                <w:sz w:val="20"/>
              </w:rPr>
              <w:t>Chart 5: Brexit in top three current sources of</w:t>
            </w:r>
          </w:p>
          <w:p>
            <w:pPr>
              <w:pStyle w:val="TableParagraph"/>
              <w:spacing w:before="111"/>
              <w:ind w:left="200"/>
              <w:rPr>
                <w:b/>
                <w:sz w:val="13"/>
              </w:rPr>
            </w:pPr>
            <w:r>
              <w:rPr>
                <w:b/>
                <w:sz w:val="20"/>
              </w:rPr>
              <w:t>uncertainty</w:t>
            </w:r>
            <w:r>
              <w:rPr>
                <w:b/>
                <w:position w:val="7"/>
                <w:sz w:val="13"/>
              </w:rPr>
              <w:t>5</w:t>
            </w:r>
          </w:p>
        </w:tc>
        <w:tc>
          <w:tcPr>
            <w:tcW w:w="4916" w:type="dxa"/>
          </w:tcPr>
          <w:p>
            <w:pPr>
              <w:pStyle w:val="TableParagraph"/>
              <w:spacing w:line="223" w:lineRule="exact"/>
              <w:ind w:left="182"/>
              <w:rPr>
                <w:b/>
                <w:sz w:val="20"/>
              </w:rPr>
            </w:pPr>
            <w:r>
              <w:rPr>
                <w:b/>
                <w:sz w:val="20"/>
              </w:rPr>
              <w:t>Chart 6: Average annual investment growth for</w:t>
            </w:r>
          </w:p>
          <w:p>
            <w:pPr>
              <w:pStyle w:val="TableParagraph"/>
              <w:spacing w:before="111"/>
              <w:ind w:left="182"/>
              <w:rPr>
                <w:b/>
                <w:sz w:val="13"/>
              </w:rPr>
            </w:pPr>
            <w:r>
              <w:rPr>
                <w:b/>
                <w:sz w:val="20"/>
              </w:rPr>
              <w:t>firms, by Brexit uncertainty</w:t>
            </w:r>
            <w:r>
              <w:rPr>
                <w:b/>
                <w:position w:val="7"/>
                <w:sz w:val="13"/>
              </w:rPr>
              <w:t>6</w:t>
            </w:r>
          </w:p>
        </w:tc>
      </w:tr>
      <w:tr>
        <w:trPr>
          <w:trHeight w:val="4313" w:hRule="atLeast"/>
        </w:trPr>
        <w:tc>
          <w:tcPr>
            <w:tcW w:w="5304" w:type="dxa"/>
          </w:tcPr>
          <w:p>
            <w:pPr>
              <w:pStyle w:val="TableParagraph"/>
              <w:spacing w:line="180" w:lineRule="exact" w:before="55"/>
              <w:ind w:left="2656"/>
              <w:rPr>
                <w:sz w:val="18"/>
              </w:rPr>
            </w:pPr>
            <w:r>
              <w:rPr>
                <w:sz w:val="18"/>
              </w:rPr>
              <w:t>Percentage of respondents</w:t>
            </w:r>
          </w:p>
          <w:p>
            <w:pPr>
              <w:pStyle w:val="TableParagraph"/>
              <w:spacing w:line="157" w:lineRule="exact"/>
              <w:ind w:left="4929"/>
              <w:rPr>
                <w:sz w:val="16"/>
              </w:rPr>
            </w:pPr>
            <w:r>
              <w:rPr>
                <w:sz w:val="16"/>
              </w:rPr>
              <w:t>65</w:t>
            </w:r>
          </w:p>
          <w:p>
            <w:pPr>
              <w:pStyle w:val="TableParagraph"/>
              <w:spacing w:before="3"/>
              <w:rPr>
                <w:sz w:val="20"/>
              </w:rPr>
            </w:pPr>
          </w:p>
          <w:p>
            <w:pPr>
              <w:pStyle w:val="TableParagraph"/>
              <w:ind w:right="196"/>
              <w:jc w:val="right"/>
              <w:rPr>
                <w:sz w:val="16"/>
              </w:rPr>
            </w:pPr>
            <w:r>
              <w:rPr>
                <w:spacing w:val="-1"/>
                <w:sz w:val="16"/>
              </w:rPr>
              <w:t>60</w:t>
            </w:r>
          </w:p>
          <w:p>
            <w:pPr>
              <w:pStyle w:val="TableParagraph"/>
              <w:spacing w:before="3"/>
              <w:rPr>
                <w:sz w:val="20"/>
              </w:rPr>
            </w:pPr>
          </w:p>
          <w:p>
            <w:pPr>
              <w:pStyle w:val="TableParagraph"/>
              <w:spacing w:before="1"/>
              <w:ind w:right="196"/>
              <w:jc w:val="right"/>
              <w:rPr>
                <w:sz w:val="16"/>
              </w:rPr>
            </w:pPr>
            <w:r>
              <w:rPr>
                <w:spacing w:val="-1"/>
                <w:sz w:val="16"/>
              </w:rPr>
              <w:t>55</w:t>
            </w:r>
          </w:p>
          <w:p>
            <w:pPr>
              <w:pStyle w:val="TableParagraph"/>
              <w:spacing w:before="3"/>
              <w:rPr>
                <w:sz w:val="20"/>
              </w:rPr>
            </w:pPr>
          </w:p>
          <w:p>
            <w:pPr>
              <w:pStyle w:val="TableParagraph"/>
              <w:ind w:right="196"/>
              <w:jc w:val="right"/>
              <w:rPr>
                <w:sz w:val="16"/>
              </w:rPr>
            </w:pPr>
            <w:r>
              <w:rPr>
                <w:spacing w:val="-1"/>
                <w:sz w:val="16"/>
              </w:rPr>
              <w:t>50</w:t>
            </w:r>
          </w:p>
          <w:p>
            <w:pPr>
              <w:pStyle w:val="TableParagraph"/>
              <w:spacing w:before="3"/>
              <w:rPr>
                <w:sz w:val="20"/>
              </w:rPr>
            </w:pPr>
          </w:p>
          <w:p>
            <w:pPr>
              <w:pStyle w:val="TableParagraph"/>
              <w:ind w:right="196"/>
              <w:jc w:val="right"/>
              <w:rPr>
                <w:sz w:val="16"/>
              </w:rPr>
            </w:pPr>
            <w:r>
              <w:rPr>
                <w:spacing w:val="-1"/>
                <w:sz w:val="16"/>
              </w:rPr>
              <w:t>45</w:t>
            </w:r>
          </w:p>
          <w:p>
            <w:pPr>
              <w:pStyle w:val="TableParagraph"/>
              <w:spacing w:before="3"/>
              <w:rPr>
                <w:sz w:val="20"/>
              </w:rPr>
            </w:pPr>
          </w:p>
          <w:p>
            <w:pPr>
              <w:pStyle w:val="TableParagraph"/>
              <w:ind w:right="196"/>
              <w:jc w:val="right"/>
              <w:rPr>
                <w:sz w:val="16"/>
              </w:rPr>
            </w:pPr>
            <w:r>
              <w:rPr>
                <w:spacing w:val="-1"/>
                <w:sz w:val="16"/>
              </w:rPr>
              <w:t>40</w:t>
            </w:r>
          </w:p>
          <w:p>
            <w:pPr>
              <w:pStyle w:val="TableParagraph"/>
              <w:spacing w:before="4"/>
              <w:rPr>
                <w:sz w:val="20"/>
              </w:rPr>
            </w:pPr>
          </w:p>
          <w:p>
            <w:pPr>
              <w:pStyle w:val="TableParagraph"/>
              <w:ind w:right="196"/>
              <w:jc w:val="right"/>
              <w:rPr>
                <w:sz w:val="16"/>
              </w:rPr>
            </w:pPr>
            <w:r>
              <w:rPr>
                <w:spacing w:val="-1"/>
                <w:sz w:val="16"/>
              </w:rPr>
              <w:t>35</w:t>
            </w:r>
          </w:p>
          <w:p>
            <w:pPr>
              <w:pStyle w:val="TableParagraph"/>
              <w:spacing w:before="3"/>
              <w:rPr>
                <w:sz w:val="20"/>
              </w:rPr>
            </w:pPr>
          </w:p>
          <w:p>
            <w:pPr>
              <w:pStyle w:val="TableParagraph"/>
              <w:ind w:right="196"/>
              <w:jc w:val="right"/>
              <w:rPr>
                <w:sz w:val="16"/>
              </w:rPr>
            </w:pPr>
            <w:r>
              <w:rPr>
                <w:spacing w:val="-1"/>
                <w:sz w:val="16"/>
              </w:rPr>
              <w:t>30</w:t>
            </w:r>
          </w:p>
          <w:p>
            <w:pPr>
              <w:pStyle w:val="TableParagraph"/>
              <w:tabs>
                <w:tab w:pos="2127" w:val="left" w:leader="none"/>
                <w:tab w:pos="3838" w:val="right" w:leader="none"/>
              </w:tabs>
              <w:spacing w:before="6"/>
              <w:ind w:left="319" w:right="498" w:firstLine="36"/>
              <w:rPr>
                <w:sz w:val="16"/>
              </w:rPr>
            </w:pPr>
            <w:r>
              <w:rPr>
                <w:sz w:val="16"/>
              </w:rPr>
              <w:t>Sep Jan Apr Jul Oct Jan  Apr  Jul  Oct  Jan  Apr  Jul  Oct  2016 </w:t>
            </w:r>
            <w:r>
              <w:rPr>
                <w:spacing w:val="5"/>
                <w:sz w:val="16"/>
              </w:rPr>
              <w:t> </w:t>
            </w:r>
            <w:r>
              <w:rPr>
                <w:sz w:val="16"/>
              </w:rPr>
              <w:t>2017</w:t>
              <w:tab/>
              <w:t>2018</w:t>
              <w:tab/>
              <w:t>2019</w:t>
            </w:r>
          </w:p>
          <w:p>
            <w:pPr>
              <w:pStyle w:val="TableParagraph"/>
              <w:spacing w:before="99"/>
              <w:ind w:left="2019" w:right="2257"/>
              <w:jc w:val="center"/>
              <w:rPr>
                <w:sz w:val="16"/>
              </w:rPr>
            </w:pPr>
            <w:r>
              <w:rPr>
                <w:sz w:val="16"/>
              </w:rPr>
              <w:t>Survey month</w:t>
            </w:r>
          </w:p>
          <w:p>
            <w:pPr>
              <w:pStyle w:val="TableParagraph"/>
              <w:spacing w:line="164" w:lineRule="exact" w:before="159"/>
              <w:ind w:left="200"/>
              <w:rPr>
                <w:sz w:val="16"/>
              </w:rPr>
            </w:pPr>
            <w:r>
              <w:rPr>
                <w:sz w:val="16"/>
              </w:rPr>
              <w:t>Sources: Decision Maker Panel (DMP) Survey and Bank calculations.</w:t>
            </w:r>
          </w:p>
        </w:tc>
        <w:tc>
          <w:tcPr>
            <w:tcW w:w="4916" w:type="dxa"/>
          </w:tcPr>
          <w:p>
            <w:pPr>
              <w:pStyle w:val="TableParagraph"/>
              <w:tabs>
                <w:tab w:pos="4488" w:val="left" w:leader="none"/>
              </w:tabs>
              <w:spacing w:before="127"/>
              <w:ind w:left="3581"/>
              <w:rPr>
                <w:rFonts w:ascii="Calibri"/>
                <w:sz w:val="18"/>
              </w:rPr>
            </w:pPr>
            <w:r>
              <w:rPr>
                <w:rFonts w:ascii="Calibri"/>
                <w:sz w:val="22"/>
              </w:rPr>
              <w:t>Percent</w:t>
              <w:tab/>
            </w:r>
            <w:r>
              <w:rPr>
                <w:rFonts w:ascii="Calibri"/>
                <w:position w:val="-4"/>
                <w:sz w:val="18"/>
              </w:rPr>
              <w:t>4.0</w:t>
            </w:r>
          </w:p>
          <w:p>
            <w:pPr>
              <w:pStyle w:val="TableParagraph"/>
              <w:tabs>
                <w:tab w:pos="4716" w:val="right" w:leader="none"/>
              </w:tabs>
              <w:spacing w:before="134"/>
              <w:ind w:left="1987"/>
              <w:rPr>
                <w:rFonts w:ascii="Calibri"/>
                <w:sz w:val="18"/>
              </w:rPr>
            </w:pPr>
            <w:r>
              <w:rPr>
                <w:rFonts w:ascii="Calibri"/>
                <w:sz w:val="20"/>
              </w:rPr>
              <w:t>High uncertainty</w:t>
              <w:tab/>
            </w:r>
            <w:r>
              <w:rPr>
                <w:rFonts w:ascii="Calibri"/>
                <w:position w:val="-3"/>
                <w:sz w:val="18"/>
              </w:rPr>
              <w:t>3.5</w:t>
            </w:r>
          </w:p>
          <w:p>
            <w:pPr>
              <w:pStyle w:val="TableParagraph"/>
              <w:tabs>
                <w:tab w:pos="4488" w:val="left" w:leader="none"/>
              </w:tabs>
              <w:spacing w:before="99"/>
              <w:ind w:left="1987"/>
              <w:rPr>
                <w:rFonts w:ascii="Calibri"/>
                <w:sz w:val="18"/>
              </w:rPr>
            </w:pPr>
            <w:r>
              <w:rPr>
                <w:rFonts w:ascii="Calibri"/>
                <w:sz w:val="20"/>
              </w:rPr>
              <w:t>Low</w:t>
            </w:r>
            <w:r>
              <w:rPr>
                <w:rFonts w:ascii="Calibri"/>
                <w:spacing w:val="-3"/>
                <w:sz w:val="20"/>
              </w:rPr>
              <w:t> </w:t>
            </w:r>
            <w:r>
              <w:rPr>
                <w:rFonts w:ascii="Calibri"/>
                <w:sz w:val="20"/>
              </w:rPr>
              <w:t>uncertainty</w:t>
              <w:tab/>
            </w:r>
            <w:r>
              <w:rPr>
                <w:rFonts w:ascii="Calibri"/>
                <w:position w:val="-6"/>
                <w:sz w:val="18"/>
              </w:rPr>
              <w:t>3.0</w:t>
            </w:r>
          </w:p>
          <w:p>
            <w:pPr>
              <w:pStyle w:val="TableParagraph"/>
              <w:spacing w:before="197"/>
              <w:ind w:left="4488"/>
              <w:rPr>
                <w:rFonts w:ascii="Calibri"/>
                <w:sz w:val="18"/>
              </w:rPr>
            </w:pPr>
            <w:r>
              <w:rPr>
                <w:rFonts w:ascii="Calibri"/>
                <w:sz w:val="18"/>
              </w:rPr>
              <w:t>2.5</w:t>
            </w:r>
          </w:p>
          <w:p>
            <w:pPr>
              <w:pStyle w:val="TableParagraph"/>
              <w:spacing w:before="9"/>
              <w:rPr>
                <w:sz w:val="16"/>
              </w:rPr>
            </w:pPr>
          </w:p>
          <w:p>
            <w:pPr>
              <w:pStyle w:val="TableParagraph"/>
              <w:ind w:left="4488"/>
              <w:rPr>
                <w:rFonts w:ascii="Calibri"/>
                <w:sz w:val="18"/>
              </w:rPr>
            </w:pPr>
            <w:r>
              <w:rPr>
                <w:rFonts w:ascii="Calibri"/>
                <w:sz w:val="18"/>
              </w:rPr>
              <w:t>2.0</w:t>
            </w:r>
          </w:p>
          <w:p>
            <w:pPr>
              <w:pStyle w:val="TableParagraph"/>
              <w:spacing w:before="9"/>
              <w:rPr>
                <w:sz w:val="16"/>
              </w:rPr>
            </w:pPr>
          </w:p>
          <w:p>
            <w:pPr>
              <w:pStyle w:val="TableParagraph"/>
              <w:ind w:left="4488"/>
              <w:rPr>
                <w:rFonts w:ascii="Calibri"/>
                <w:sz w:val="18"/>
              </w:rPr>
            </w:pPr>
            <w:r>
              <w:rPr>
                <w:rFonts w:ascii="Calibri"/>
                <w:sz w:val="18"/>
              </w:rPr>
              <w:t>1.5</w:t>
            </w:r>
          </w:p>
          <w:p>
            <w:pPr>
              <w:pStyle w:val="TableParagraph"/>
              <w:spacing w:before="8"/>
              <w:rPr>
                <w:sz w:val="16"/>
              </w:rPr>
            </w:pPr>
          </w:p>
          <w:p>
            <w:pPr>
              <w:pStyle w:val="TableParagraph"/>
              <w:ind w:left="4488"/>
              <w:rPr>
                <w:rFonts w:ascii="Calibri"/>
                <w:sz w:val="18"/>
              </w:rPr>
            </w:pPr>
            <w:r>
              <w:rPr>
                <w:rFonts w:ascii="Calibri"/>
                <w:sz w:val="18"/>
              </w:rPr>
              <w:t>1.0</w:t>
            </w:r>
          </w:p>
          <w:p>
            <w:pPr>
              <w:pStyle w:val="TableParagraph"/>
              <w:spacing w:before="9"/>
              <w:rPr>
                <w:sz w:val="16"/>
              </w:rPr>
            </w:pPr>
          </w:p>
          <w:p>
            <w:pPr>
              <w:pStyle w:val="TableParagraph"/>
              <w:ind w:left="4488"/>
              <w:rPr>
                <w:rFonts w:ascii="Calibri"/>
                <w:sz w:val="18"/>
              </w:rPr>
            </w:pPr>
            <w:r>
              <w:rPr>
                <w:rFonts w:ascii="Calibri"/>
                <w:sz w:val="18"/>
              </w:rPr>
              <w:t>0.5</w:t>
            </w:r>
          </w:p>
          <w:p>
            <w:pPr>
              <w:pStyle w:val="TableParagraph"/>
              <w:spacing w:before="9"/>
              <w:rPr>
                <w:sz w:val="16"/>
              </w:rPr>
            </w:pPr>
          </w:p>
          <w:p>
            <w:pPr>
              <w:pStyle w:val="TableParagraph"/>
              <w:ind w:left="4488"/>
              <w:rPr>
                <w:rFonts w:ascii="Calibri"/>
                <w:sz w:val="18"/>
              </w:rPr>
            </w:pPr>
            <w:r>
              <w:rPr>
                <w:rFonts w:ascii="Calibri"/>
                <w:sz w:val="18"/>
              </w:rPr>
              <w:t>0.0</w:t>
            </w:r>
          </w:p>
          <w:p>
            <w:pPr>
              <w:pStyle w:val="TableParagraph"/>
              <w:tabs>
                <w:tab w:pos="2653" w:val="left" w:leader="none"/>
              </w:tabs>
              <w:spacing w:before="14"/>
              <w:ind w:left="607"/>
              <w:rPr>
                <w:rFonts w:ascii="Calibri"/>
                <w:sz w:val="18"/>
              </w:rPr>
            </w:pPr>
            <w:r>
              <w:rPr>
                <w:rFonts w:ascii="Calibri"/>
                <w:sz w:val="18"/>
              </w:rPr>
              <w:t>2011Q3</w:t>
            </w:r>
            <w:r>
              <w:rPr>
                <w:rFonts w:ascii="Calibri"/>
                <w:spacing w:val="-1"/>
                <w:sz w:val="18"/>
              </w:rPr>
              <w:t> </w:t>
            </w:r>
            <w:r>
              <w:rPr>
                <w:rFonts w:ascii="Calibri"/>
                <w:sz w:val="18"/>
              </w:rPr>
              <w:t>-</w:t>
            </w:r>
            <w:r>
              <w:rPr>
                <w:rFonts w:ascii="Calibri"/>
                <w:spacing w:val="-1"/>
                <w:sz w:val="18"/>
              </w:rPr>
              <w:t> </w:t>
            </w:r>
            <w:r>
              <w:rPr>
                <w:rFonts w:ascii="Calibri"/>
                <w:sz w:val="18"/>
              </w:rPr>
              <w:t>2016Q2</w:t>
              <w:tab/>
              <w:t>2016Q3 -</w:t>
            </w:r>
            <w:r>
              <w:rPr>
                <w:rFonts w:ascii="Calibri"/>
                <w:spacing w:val="-1"/>
                <w:sz w:val="18"/>
              </w:rPr>
              <w:t> </w:t>
            </w:r>
            <w:r>
              <w:rPr>
                <w:rFonts w:ascii="Calibri"/>
                <w:sz w:val="18"/>
              </w:rPr>
              <w:t>2019Q2</w:t>
            </w:r>
          </w:p>
          <w:p>
            <w:pPr>
              <w:pStyle w:val="TableParagraph"/>
              <w:spacing w:line="164" w:lineRule="exact" w:before="161"/>
              <w:ind w:left="182"/>
              <w:rPr>
                <w:sz w:val="16"/>
              </w:rPr>
            </w:pPr>
            <w:r>
              <w:rPr>
                <w:sz w:val="16"/>
              </w:rPr>
              <w:t>Sources: Bureau van Dijk, DMP Survey and Bank calculations.</w:t>
            </w:r>
          </w:p>
        </w:tc>
      </w:tr>
    </w:tbl>
    <w:p>
      <w:pPr>
        <w:pStyle w:val="BodyText"/>
      </w:pPr>
    </w:p>
    <w:p>
      <w:pPr>
        <w:pStyle w:val="BodyText"/>
        <w:spacing w:before="7"/>
        <w:rPr>
          <w:sz w:val="18"/>
        </w:rPr>
      </w:pPr>
    </w:p>
    <w:p>
      <w:pPr>
        <w:pStyle w:val="BodyText"/>
        <w:spacing w:line="360" w:lineRule="auto"/>
        <w:ind w:left="313" w:right="566"/>
      </w:pPr>
      <w:r>
        <w:rPr/>
        <w:pict>
          <v:group style="position:absolute;margin-left:61.049999pt;margin-top:-222.41011pt;width:221.65pt;height:146.550pt;mso-position-horizontal-relative:page;mso-position-vertical-relative:paragraph;z-index:-252547072" coordorigin="1221,-4448" coordsize="4433,2931">
            <v:shape style="position:absolute;left:1291;top:-4444;width:4342;height:2921" coordorigin="1291,-4443" coordsize="4342,2921" path="m5584,-1523l5584,-4443m5584,-1523l5633,-1523m5584,-1940l5633,-1940m5584,-2357l5633,-2357m5584,-2775l5633,-2775m5584,-3193l5633,-3193m5584,-3608l5633,-3608m5584,-4025l5633,-4025m5584,-4443l5633,-4443m1291,-1523l5584,-1523e" filled="false" stroked="true" strokeweight=".5pt" strokecolor="#000000">
              <v:path arrowok="t"/>
              <v:stroke dashstyle="solid"/>
            </v:shape>
            <v:shape style="position:absolute;left:1291;top:-3916;width:4294;height:1975" coordorigin="1291,-3915" coordsize="4294,1975" path="m1291,-2180l1404,-2199,1517,-2199,1630,-2218,1742,-2237,1855,-2257,1968,-2110,2081,-2007,2196,-1941,2309,-2079,2422,-2213,2534,-2348,2647,-2233,2760,-2237,2873,-2180,2986,-2312,3098,-2259,3211,-2206,3324,-2242,3437,-2144,3550,-2110,3665,-2053,3778,-2189,3890,-2465,4003,-3224,4116,-3277,4229,-3265,4342,-3915,4454,-3617,4567,-3857,4680,-3730,4793,-3437,4906,-3190,5018,-2931,5134,-3461,5246,-3764,5359,-3459,5472,-3541,5584,-3615e" filled="false" stroked="true" strokeweight="2pt" strokecolor="#ff33cc">
              <v:path arrowok="t"/>
              <v:stroke dashstyle="solid"/>
            </v:shape>
            <v:shape style="position:absolute;left:1221;top:-2534;width:2739;height:665" coordorigin="1221,-2534" coordsize="2739,665" path="m1924,-2255l1855,-2325,1789,-2259,1742,-2306,1676,-2240,1629,-2287,1563,-2221,1516,-2267,1460,-2211,1403,-2267,1337,-2201,1291,-2248,1221,-2179,1291,-2109,1357,-2175,1403,-2128,1460,-2185,1516,-2128,1582,-2194,1629,-2147,1695,-2213,1742,-2167,1808,-2233,1855,-2186,1924,-2255m2037,-2109l1967,-2179,1898,-2109,1967,-2039,2037,-2109m2150,-2006l2080,-2075,2011,-2006,2080,-1936,2150,-2006m2265,-1939l2195,-2008,2126,-1939,2195,-1869,2265,-1939m2378,-2078l2308,-2147,2239,-2078,2308,-2008,2378,-2078m2491,-2212l2421,-2282,2351,-2212,2421,-2143,2491,-2212m2603,-2347l2534,-2416,2464,-2347,2534,-2277,2603,-2347m2829,-2236l2759,-2306,2701,-2247,2647,-2301,2577,-2231,2647,-2162,2705,-2221,2759,-2167,2829,-2236m2942,-2179l2872,-2248,2803,-2179,2872,-2109,2942,-2179m3055,-2311l2985,-2380,2915,-2311,2985,-2241,3055,-2311m3167,-2258l3098,-2327,3028,-2258,3098,-2188,3167,-2258m3280,-2205l3211,-2275,3141,-2205,3211,-2135,3280,-2205m3393,-2241l3323,-2311,3254,-2241,3323,-2171,3393,-2241m3506,-2143l3436,-2212,3367,-2143,3436,-2073,3506,-2143m3619,-2109l3549,-2179,3479,-2109,3549,-2039,3619,-2109m3734,-2051l3664,-2121,3595,-2051,3664,-1982,3734,-2051m3847,-2188l3777,-2258,3707,-2188,3777,-2119,3847,-2188m3959,-2464l3890,-2534,3820,-2464,3890,-2395,3959,-2464e" filled="true" fillcolor="#ff33cc" stroked="false">
              <v:path arrowok="t"/>
              <v:fill type="solid"/>
            </v:shape>
            <v:shape style="position:absolute;left:3933;top:-3345;width:365;height:192" type="#_x0000_t75" stroked="false">
              <v:imagedata r:id="rId12" o:title=""/>
            </v:shape>
            <v:shape style="position:absolute;left:4271;top:-3984;width:252;height:437" coordorigin="4271,-3983" coordsize="252,437" path="m4411,-3914l4341,-3983,4271,-3914,4341,-3844,4411,-3914m4523,-3616l4454,-3686,4384,-3616,4454,-3547,4523,-3616e" filled="true" fillcolor="#ff33cc" stroked="false">
              <v:path arrowok="t"/>
              <v:fill type="solid"/>
            </v:shape>
            <v:shape style="position:absolute;left:4497;top:-3926;width:252;height:267" type="#_x0000_t75" stroked="false">
              <v:imagedata r:id="rId13" o:title=""/>
            </v:shape>
            <v:shape style="position:absolute;left:4722;top:-3833;width:593;height:972" coordorigin="4723,-3832" coordsize="593,972" path="m4862,-3436l4792,-3506,4723,-3436,4792,-3367,4862,-3436m4975,-3189l4905,-3259,4835,-3189,4905,-3119,4975,-3189m5087,-2930l5018,-2999,4948,-2930,5018,-2860,5087,-2930m5203,-3460l5133,-3530,5063,-3460,5133,-3391,5203,-3460m5315,-3763l5246,-3832,5176,-3763,5246,-3693,5315,-3763e" filled="true" fillcolor="#ff33cc" stroked="false">
              <v:path arrowok="t"/>
              <v:fill type="solid"/>
            </v:shape>
            <v:shape style="position:absolute;left:5289;top:-3684;width:365;height:296" type="#_x0000_t75" stroked="false">
              <v:imagedata r:id="rId14" o:title=""/>
            </v:shape>
            <w10:wrap type="none"/>
          </v:group>
        </w:pict>
      </w:r>
      <w:r>
        <w:rPr/>
        <w:pict>
          <v:group style="position:absolute;margin-left:316.309998pt;margin-top:-221.195099pt;width:207.45pt;height:165.75pt;mso-position-horizontal-relative:page;mso-position-vertical-relative:paragraph;z-index:-252546048" coordorigin="6326,-4424" coordsize="4149,3315">
            <v:shape style="position:absolute;left:6828;top:-4071;width:2506;height:2955" coordorigin="6828,-4071" coordsize="2506,2955" path="m7286,-4071l6828,-4071,6828,-1117,7286,-1117,7286,-4071m9334,-1793l8873,-1793,8873,-1117,9334,-1117,9334,-1793e" filled="true" fillcolor="#c00000" stroked="false">
              <v:path arrowok="t"/>
              <v:fill type="solid"/>
            </v:shape>
            <v:shape style="position:absolute;left:7411;top:-3236;width:2504;height:2119" coordorigin="7411,-3236" coordsize="2504,2119" path="m7870,-3236l7411,-3236,7411,-1117,7870,-1117,7870,-3236m9914,-3147l9456,-3147,9456,-1117,9914,-1117,9914,-3147e" filled="true" fillcolor="#0000cc" stroked="false">
              <v:path arrowok="t"/>
              <v:fill type="solid"/>
            </v:shape>
            <v:shape style="position:absolute;left:6326;top:-4417;width:4149;height:3300" coordorigin="6326,-4416" coordsize="4149,3300" path="m10417,-1117l10417,-4416m10417,-1117l10474,-1117m10417,-1529l10474,-1529m10417,-1942l10474,-1942m10417,-2355l10474,-2355m10417,-2765l10474,-2765m10417,-3178l10474,-3178m10417,-3591l10474,-3591m10417,-4004l10474,-4004m10417,-4416l10474,-4416m6326,-1117l10417,-1117e" filled="false" stroked="true" strokeweight=".75pt" strokecolor="#000000">
              <v:path arrowok="t"/>
              <v:stroke dashstyle="solid"/>
            </v:shape>
            <v:rect style="position:absolute;left:7925;top:-4105;width:110;height:110" filled="true" fillcolor="#c00000" stroked="false">
              <v:fill type="solid"/>
            </v:rect>
            <v:rect style="position:absolute;left:7925;top:-3727;width:110;height:110" filled="true" fillcolor="#0000cc" stroked="false">
              <v:fill type="solid"/>
            </v:rect>
            <w10:wrap type="none"/>
          </v:group>
        </w:pict>
      </w:r>
      <w:r>
        <w:rPr/>
        <w:t>There is tentative evidence that uncertainty may have affected also households. The latest revisions to the savings rate suggest that saving has been higher and has been growing more than we had thought, putting consumers somewhat more in line with the cautious corporations. Indeed, the household saving ratio had been flat for the past two years at around 4½%, having dipped immediately after the referendum due to the squeeze on real incomes from sterling’s depreciation (</w:t>
      </w:r>
      <w:r>
        <w:rPr>
          <w:b/>
        </w:rPr>
        <w:t>chart 7</w:t>
      </w:r>
      <w:r>
        <w:rPr/>
        <w:t>). This was the lowest recorded household saving ratio since 1963. Recent revisions alter both the level and trend in the saving ratio.</w:t>
      </w:r>
      <w:r>
        <w:rPr>
          <w:position w:val="6"/>
          <w:sz w:val="13"/>
        </w:rPr>
        <w:t>7 </w:t>
      </w:r>
      <w:r>
        <w:rPr/>
        <w:t>The latest estimates put the saving ratio in 2017 at around 5¾%, more than a percentage point higher (</w:t>
      </w:r>
      <w:r>
        <w:rPr>
          <w:b/>
        </w:rPr>
        <w:t>chart 7</w:t>
      </w:r>
      <w:r>
        <w:rPr/>
        <w:t>). Since then, the saving ratio appears now to have been on a steadily rising path over the past two years, reaching around 6¾% by the middle of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8"/>
        </w:rPr>
      </w:pPr>
      <w:r>
        <w:rPr/>
        <w:pict>
          <v:shape style="position:absolute;margin-left:49.68pt;margin-top:18.650362pt;width:144.050pt;height:.1pt;mso-position-horizontal-relative:page;mso-position-vertical-relative:paragraph;z-index:-251650048;mso-wrap-distance-left:0;mso-wrap-distance-right:0" coordorigin="994,373" coordsize="2881,0" path="m994,373l3875,373e" filled="false" stroked="true" strokeweight=".599980pt" strokecolor="#000000">
            <v:path arrowok="t"/>
            <v:stroke dashstyle="solid"/>
            <w10:wrap type="topAndBottom"/>
          </v:shape>
        </w:pict>
      </w:r>
    </w:p>
    <w:p>
      <w:pPr>
        <w:pStyle w:val="BodyText"/>
        <w:spacing w:before="2"/>
        <w:rPr>
          <w:sz w:val="8"/>
        </w:rPr>
      </w:pPr>
    </w:p>
    <w:p>
      <w:pPr>
        <w:spacing w:line="237" w:lineRule="auto" w:before="99"/>
        <w:ind w:left="313" w:right="507" w:firstLine="0"/>
        <w:jc w:val="both"/>
        <w:rPr>
          <w:sz w:val="16"/>
        </w:rPr>
      </w:pPr>
      <w:r>
        <w:rPr>
          <w:position w:val="6"/>
          <w:sz w:val="10"/>
        </w:rPr>
        <w:t>5 </w:t>
      </w:r>
      <w:r>
        <w:rPr>
          <w:sz w:val="16"/>
        </w:rPr>
        <w:t>Question: ‘How much has the result of the EU referendum affected the level of uncertainty affecting your business?’. Respondents can select: ‘Not important’; ‘One of many sources’; ‘Two or three top sources’; or ‘Top source of uncertainty’. Before August 2018, data are interpolated between waves and shown as three-month rolling averages. The DMP currently consists of around 8,000 businesses with around 3,000 responses a month being received. Latest DMP survey was conducted between the 8</w:t>
      </w:r>
      <w:r>
        <w:rPr>
          <w:position w:val="6"/>
          <w:sz w:val="10"/>
        </w:rPr>
        <w:t>th </w:t>
      </w:r>
      <w:r>
        <w:rPr>
          <w:sz w:val="16"/>
        </w:rPr>
        <w:t>and 22</w:t>
      </w:r>
      <w:r>
        <w:rPr>
          <w:position w:val="6"/>
          <w:sz w:val="10"/>
        </w:rPr>
        <w:t>nd </w:t>
      </w:r>
      <w:r>
        <w:rPr>
          <w:sz w:val="16"/>
        </w:rPr>
        <w:t>of November 2019.</w:t>
      </w:r>
    </w:p>
    <w:p>
      <w:pPr>
        <w:spacing w:before="0"/>
        <w:ind w:left="313" w:right="505" w:firstLine="0"/>
        <w:jc w:val="both"/>
        <w:rPr>
          <w:sz w:val="16"/>
        </w:rPr>
      </w:pPr>
      <w:r>
        <w:rPr>
          <w:position w:val="6"/>
          <w:sz w:val="10"/>
        </w:rPr>
        <w:t>6 </w:t>
      </w:r>
      <w:r>
        <w:rPr>
          <w:sz w:val="16"/>
        </w:rPr>
        <w:t>Note: the sample uses DMP data where available (all post-referendum) and company accounts from Bureau van Dijk otherwise. See chart 5 footnote for question about Brexit as a source of uncertainty. ‘High’ uncertainty is defined as placing Brexit in the top three sources of uncertainty. Data are unweighted averages across firms.</w:t>
      </w:r>
    </w:p>
    <w:p>
      <w:pPr>
        <w:spacing w:line="184" w:lineRule="exact" w:before="0"/>
        <w:ind w:left="313" w:right="0" w:firstLine="0"/>
        <w:jc w:val="both"/>
        <w:rPr>
          <w:sz w:val="16"/>
        </w:rPr>
      </w:pPr>
      <w:r>
        <w:rPr>
          <w:position w:val="6"/>
          <w:sz w:val="10"/>
        </w:rPr>
        <w:t>7 </w:t>
      </w:r>
      <w:r>
        <w:rPr>
          <w:sz w:val="16"/>
        </w:rPr>
        <w:t>That was driven by revisions to mixed income (predominantly from self-employment) and, to a lesser extent, student loan interest.</w:t>
      </w:r>
    </w:p>
    <w:p>
      <w:pPr>
        <w:spacing w:after="0" w:line="184" w:lineRule="exact"/>
        <w:jc w:val="both"/>
        <w:rPr>
          <w:sz w:val="16"/>
        </w:rPr>
        <w:sectPr>
          <w:pgSz w:w="11910" w:h="16840"/>
          <w:pgMar w:header="0" w:footer="872" w:top="1420" w:bottom="1060" w:left="680" w:right="480"/>
        </w:sectPr>
      </w:pPr>
    </w:p>
    <w:p>
      <w:pPr>
        <w:pStyle w:val="BodyText"/>
        <w:spacing w:line="360" w:lineRule="auto" w:before="81"/>
        <w:ind w:left="6322" w:right="594"/>
      </w:pPr>
      <w:r>
        <w:rPr/>
        <w:pict>
          <v:group style="position:absolute;margin-left:62.971001pt;margin-top:47.63488pt;width:261.7pt;height:157.65pt;mso-position-horizontal-relative:page;mso-position-vertical-relative:paragraph;z-index:251670528" coordorigin="1259,953" coordsize="5234,3153">
            <v:shape style="position:absolute;left:1266;top:960;width:5226;height:3145" coordorigin="1267,960" coordsize="5226,3145" path="m6444,4056l6444,960m6444,4056l6493,4056m6444,3614l6493,3614m6444,3173l6493,3173m6444,2729l6493,2729m6444,2287l6493,2287m6444,1845l6493,1845m6444,1401l6493,1401m6444,960l6493,960m1267,4056l6444,4056m1267,4056l1267,4105m1726,4056l1726,4105m2184,4056l2184,4105m2642,4056l2642,4105m3101,4056l3101,4105m3559,4056l3559,4105m4018,4056l4018,4105m4476,4056l4476,4105m4934,4056l4934,4105m5393,4056l5393,4105m5851,4056l5851,4105m6311,4056l6311,4105e" filled="false" stroked="true" strokeweight=".75pt" strokecolor="#858585">
              <v:path arrowok="t"/>
              <v:stroke dashstyle="solid"/>
            </v:shape>
            <v:shape style="position:absolute;left:1276;top:1210;width:5159;height:1970" coordorigin="1276,1211" coordsize="5159,1970" path="m1276,1663l1334,1387,1392,1591,1450,2001,1505,2040,1562,2155,1620,2592,1678,2383,1735,3084,1793,2381,1850,2546,1908,2143,1963,2417,2021,2304,2078,2157,2136,1795,2194,1896,2251,2210,2309,2287,2366,2184,2422,2097,2479,1939,2537,2081,2594,2282,2652,2210,2710,2467,2767,2445,2825,2263,2882,2335,2938,2361,2995,2215,3053,2354,3110,2472,3168,2227,3226,2304,3283,2234,3341,2337,3396,2472,3454,2313,3511,1992,3569,2016,3626,1913,3684,1773,3742,2045,3799,2241,3857,2109,3912,2287,3970,1833,4027,1865,4085,1344,4142,1317,4200,1296,4258,1211,4315,1279,4370,1454,4428,1524,4486,1944,4543,1752,4601,1797,4658,1855,4716,1677,4774,1802,4831,1913,4886,2349,4944,2477,5002,2121,5059,2001,5117,1881,5174,1838,5232,1941,5290,2054,5345,2083,5402,1733,5460,1853,5518,1843,5575,1999,5633,2105,5690,2441,5748,2546,5803,2789,5861,3180,5918,2791,5976,2750,6034,2786,6091,2839,6149,2757,6206,2760,6264,2517,6319,2678,6377,2553,6435,2561e" filled="false" stroked="true" strokeweight="1.5pt" strokecolor="#001f5f">
              <v:path arrowok="t"/>
              <v:stroke dashstyle="solid"/>
            </v:shape>
            <v:line style="position:absolute" from="1261,2146" to="6450,2146" stroked="true" strokeweight="1.5pt" strokecolor="#ff0000">
              <v:stroke dashstyle="dash"/>
            </v:line>
            <v:shape style="position:absolute;left:1276;top:1266;width:5159;height:2068" coordorigin="1276,1266" coordsize="5159,2068" path="m1276,1649l1334,1266,1392,1397,1450,1877,1505,1788,1562,1737,1620,1973,1678,2088,1735,3026,1793,2282,1850,2357,1908,2109,1963,2340,2021,2143,2078,1956,2136,1733,2194,1824,2251,1980,2309,2054,2366,2088,2422,1968,2479,1872,2537,2078,2594,2352,2652,2318,2710,2364,2767,2376,2825,2193,2882,2414,2938,2313,2995,2069,3053,2318,3110,2642,3168,2316,3226,2280,3283,2376,3341,2587,3396,2505,3454,2388,3511,2217,3569,2215,3626,2141,3684,2049,3742,2316,3799,2551,3857,2369,3912,2443,3970,2124,4027,2261,4085,1493,4142,1397,4200,1519,4258,1514,4315,1692,4370,1613,4428,1733,4486,2203,4543,1944,4601,1941,4658,2025,4716,2033,4774,1893,4831,1826,4886,2340,4944,2580,5002,2025,5059,1975,5117,2052,5174,2145,5232,2090,5290,2217,5345,2162,5402,2126,5460,2006,5518,1800,5575,1982,5633,2337,5690,2448,5748,2474,5803,3007,5861,3334,5918,2971,5976,3081,6034,3117,6091,3153,6149,3024,6206,3057,6264,2997,6319,3093,6377,3033,6435,3024e" filled="false" stroked="true" strokeweight="1.25pt" strokecolor="#001f5f">
              <v:path arrowok="t"/>
              <v:stroke dashstyle="dash"/>
            </v:shape>
            <v:line style="position:absolute" from="1474,3234" to="1978,3234" stroked="true" strokeweight="1.5pt" strokecolor="#001f5f">
              <v:stroke dashstyle="solid"/>
            </v:line>
            <w10:wrap type="none"/>
          </v:group>
        </w:pict>
      </w:r>
      <w:r>
        <w:rPr/>
        <w:pict>
          <v:shape style="position:absolute;margin-left:39.68pt;margin-top:5.133357pt;width:308.4pt;height:234pt;mso-position-horizontal-relative:page;mso-position-vertical-relative:paragraph;z-index:2516725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7"/>
                  </w:tblGrid>
                  <w:tr>
                    <w:trPr>
                      <w:trHeight w:val="394" w:hRule="atLeast"/>
                    </w:trPr>
                    <w:tc>
                      <w:tcPr>
                        <w:tcW w:w="6167" w:type="dxa"/>
                      </w:tcPr>
                      <w:p>
                        <w:pPr>
                          <w:pStyle w:val="TableParagraph"/>
                          <w:spacing w:line="223" w:lineRule="exact"/>
                          <w:ind w:left="200"/>
                          <w:rPr>
                            <w:b/>
                            <w:sz w:val="20"/>
                          </w:rPr>
                        </w:pPr>
                        <w:r>
                          <w:rPr>
                            <w:b/>
                            <w:sz w:val="20"/>
                          </w:rPr>
                          <w:t>Chart 7: UK savings rate</w:t>
                        </w:r>
                      </w:p>
                    </w:tc>
                  </w:tr>
                  <w:tr>
                    <w:trPr>
                      <w:trHeight w:val="4284" w:hRule="atLeast"/>
                    </w:trPr>
                    <w:tc>
                      <w:tcPr>
                        <w:tcW w:w="6167" w:type="dxa"/>
                      </w:tcPr>
                      <w:p>
                        <w:pPr>
                          <w:pStyle w:val="TableParagraph"/>
                          <w:spacing w:before="6"/>
                          <w:rPr>
                            <w:sz w:val="14"/>
                          </w:rPr>
                        </w:pPr>
                      </w:p>
                      <w:p>
                        <w:pPr>
                          <w:pStyle w:val="TableParagraph"/>
                          <w:ind w:left="5021"/>
                          <w:rPr>
                            <w:sz w:val="16"/>
                          </w:rPr>
                        </w:pPr>
                        <w:r>
                          <w:rPr>
                            <w:sz w:val="16"/>
                          </w:rPr>
                          <w:t>Percent</w:t>
                        </w:r>
                      </w:p>
                      <w:p>
                        <w:pPr>
                          <w:pStyle w:val="TableParagraph"/>
                          <w:spacing w:before="12"/>
                          <w:ind w:left="5789"/>
                          <w:rPr>
                            <w:sz w:val="16"/>
                          </w:rPr>
                        </w:pPr>
                        <w:r>
                          <w:rPr>
                            <w:sz w:val="16"/>
                          </w:rPr>
                          <w:t>14</w:t>
                        </w:r>
                      </w:p>
                      <w:p>
                        <w:pPr>
                          <w:pStyle w:val="TableParagraph"/>
                          <w:tabs>
                            <w:tab w:pos="5967" w:val="right" w:leader="none"/>
                          </w:tabs>
                          <w:spacing w:before="258"/>
                          <w:ind w:left="4082"/>
                          <w:rPr>
                            <w:sz w:val="16"/>
                          </w:rPr>
                        </w:pPr>
                        <w:r>
                          <w:rPr>
                            <w:color w:val="FF0000"/>
                            <w:sz w:val="20"/>
                          </w:rPr>
                          <w:t>99-19</w:t>
                        </w:r>
                        <w:r>
                          <w:rPr>
                            <w:color w:val="FF0000"/>
                            <w:spacing w:val="-1"/>
                            <w:sz w:val="20"/>
                          </w:rPr>
                          <w:t> </w:t>
                        </w:r>
                        <w:r>
                          <w:rPr>
                            <w:color w:val="FF0000"/>
                            <w:sz w:val="20"/>
                          </w:rPr>
                          <w:t>average</w:t>
                          <w:tab/>
                        </w:r>
                        <w:r>
                          <w:rPr>
                            <w:position w:val="8"/>
                            <w:sz w:val="16"/>
                          </w:rPr>
                          <w:t>12</w:t>
                        </w:r>
                      </w:p>
                      <w:p>
                        <w:pPr>
                          <w:pStyle w:val="TableParagraph"/>
                          <w:spacing w:before="170"/>
                          <w:ind w:left="5789"/>
                          <w:rPr>
                            <w:sz w:val="16"/>
                          </w:rPr>
                        </w:pPr>
                        <w:r>
                          <w:rPr>
                            <w:sz w:val="16"/>
                          </w:rPr>
                          <w:t>10</w:t>
                        </w:r>
                      </w:p>
                      <w:p>
                        <w:pPr>
                          <w:pStyle w:val="TableParagraph"/>
                          <w:spacing w:before="5"/>
                          <w:rPr>
                            <w:sz w:val="22"/>
                          </w:rPr>
                        </w:pPr>
                      </w:p>
                      <w:p>
                        <w:pPr>
                          <w:pStyle w:val="TableParagraph"/>
                          <w:ind w:left="5789"/>
                          <w:rPr>
                            <w:sz w:val="16"/>
                          </w:rPr>
                        </w:pPr>
                        <w:r>
                          <w:rPr>
                            <w:w w:val="100"/>
                            <w:sz w:val="16"/>
                          </w:rPr>
                          <w:t>8</w:t>
                        </w:r>
                      </w:p>
                      <w:p>
                        <w:pPr>
                          <w:pStyle w:val="TableParagraph"/>
                          <w:spacing w:before="6"/>
                          <w:rPr>
                            <w:sz w:val="22"/>
                          </w:rPr>
                        </w:pPr>
                      </w:p>
                      <w:p>
                        <w:pPr>
                          <w:pStyle w:val="TableParagraph"/>
                          <w:ind w:left="5789"/>
                          <w:rPr>
                            <w:sz w:val="16"/>
                          </w:rPr>
                        </w:pPr>
                        <w:r>
                          <w:rPr>
                            <w:w w:val="100"/>
                            <w:sz w:val="16"/>
                          </w:rPr>
                          <w:t>6</w:t>
                        </w:r>
                      </w:p>
                      <w:p>
                        <w:pPr>
                          <w:pStyle w:val="TableParagraph"/>
                          <w:tabs>
                            <w:tab w:pos="5878" w:val="right" w:leader="none"/>
                          </w:tabs>
                          <w:spacing w:before="261"/>
                          <w:ind w:left="1240"/>
                          <w:rPr>
                            <w:sz w:val="16"/>
                          </w:rPr>
                        </w:pPr>
                        <w:r>
                          <w:rPr>
                            <w:sz w:val="22"/>
                          </w:rPr>
                          <w:t>Headline</w:t>
                        </w:r>
                        <w:r>
                          <w:rPr>
                            <w:spacing w:val="-3"/>
                            <w:sz w:val="22"/>
                          </w:rPr>
                          <w:t> </w:t>
                        </w:r>
                        <w:r>
                          <w:rPr>
                            <w:sz w:val="22"/>
                          </w:rPr>
                          <w:t>savings</w:t>
                        </w:r>
                        <w:r>
                          <w:rPr>
                            <w:spacing w:val="1"/>
                            <w:sz w:val="22"/>
                          </w:rPr>
                          <w:t> </w:t>
                        </w:r>
                        <w:r>
                          <w:rPr>
                            <w:sz w:val="22"/>
                          </w:rPr>
                          <w:t>ratio</w:t>
                          <w:tab/>
                        </w:r>
                        <w:r>
                          <w:rPr>
                            <w:position w:val="8"/>
                            <w:sz w:val="16"/>
                          </w:rPr>
                          <w:t>4</w:t>
                        </w:r>
                      </w:p>
                      <w:p>
                        <w:pPr>
                          <w:pStyle w:val="TableParagraph"/>
                          <w:tabs>
                            <w:tab w:pos="1239" w:val="left" w:leader="none"/>
                            <w:tab w:pos="5878" w:val="right" w:leader="none"/>
                          </w:tabs>
                          <w:spacing w:before="117"/>
                          <w:ind w:left="680"/>
                          <w:rPr>
                            <w:sz w:val="16"/>
                          </w:rPr>
                        </w:pPr>
                        <w:r>
                          <w:rPr>
                            <w:w w:val="100"/>
                            <w:sz w:val="22"/>
                            <w:u w:val="thick" w:color="001F5F"/>
                          </w:rPr>
                          <w:t> </w:t>
                        </w:r>
                        <w:r>
                          <w:rPr>
                            <w:sz w:val="22"/>
                            <w:u w:val="thick" w:color="001F5F"/>
                          </w:rPr>
                          <w:tab/>
                        </w:r>
                        <w:r>
                          <w:rPr>
                            <w:sz w:val="22"/>
                          </w:rPr>
                          <w:t>Pre-revision</w:t>
                          <w:tab/>
                        </w:r>
                        <w:r>
                          <w:rPr>
                            <w:position w:val="1"/>
                            <w:sz w:val="16"/>
                          </w:rPr>
                          <w:t>2</w:t>
                        </w:r>
                      </w:p>
                      <w:p>
                        <w:pPr>
                          <w:pStyle w:val="TableParagraph"/>
                          <w:spacing w:before="5"/>
                          <w:rPr>
                            <w:sz w:val="20"/>
                          </w:rPr>
                        </w:pPr>
                      </w:p>
                      <w:p>
                        <w:pPr>
                          <w:pStyle w:val="TableParagraph"/>
                          <w:spacing w:before="1"/>
                          <w:ind w:left="5789"/>
                          <w:rPr>
                            <w:sz w:val="16"/>
                          </w:rPr>
                        </w:pPr>
                        <w:r>
                          <w:rPr>
                            <w:w w:val="100"/>
                            <w:sz w:val="16"/>
                          </w:rPr>
                          <w:t>0</w:t>
                        </w:r>
                      </w:p>
                      <w:p>
                        <w:pPr>
                          <w:pStyle w:val="TableParagraph"/>
                          <w:spacing w:before="6"/>
                          <w:ind w:left="305"/>
                          <w:rPr>
                            <w:sz w:val="16"/>
                          </w:rPr>
                        </w:pPr>
                        <w:r>
                          <w:rPr>
                            <w:sz w:val="16"/>
                          </w:rPr>
                          <w:t>1997 1999 2001 2003 2005 2007 2009 2011 2013 2015 2017 2019</w:t>
                        </w:r>
                      </w:p>
                      <w:p>
                        <w:pPr>
                          <w:pStyle w:val="TableParagraph"/>
                          <w:spacing w:before="2"/>
                          <w:rPr>
                            <w:sz w:val="23"/>
                          </w:rPr>
                        </w:pPr>
                      </w:p>
                      <w:p>
                        <w:pPr>
                          <w:pStyle w:val="TableParagraph"/>
                          <w:spacing w:line="164" w:lineRule="exact"/>
                          <w:ind w:left="200"/>
                          <w:rPr>
                            <w:sz w:val="16"/>
                          </w:rPr>
                        </w:pPr>
                        <w:r>
                          <w:rPr>
                            <w:sz w:val="16"/>
                          </w:rPr>
                          <w:t>Source: ONS.</w:t>
                        </w:r>
                      </w:p>
                    </w:tc>
                  </w:tr>
                </w:tbl>
                <w:p>
                  <w:pPr>
                    <w:pStyle w:val="BodyText"/>
                  </w:pPr>
                </w:p>
              </w:txbxContent>
            </v:textbox>
            <w10:wrap type="none"/>
          </v:shape>
        </w:pict>
      </w:r>
      <w:r>
        <w:rPr/>
        <w:t>Of course, this is not enough to point to a clear switch of households towards a ‘precautionary’ saving behaviour. The level of the savings rate is still low by historical standards - its average over the last 20 years has been well over 8% - and will be nudged down following mixed income revisions in the Quarter 3 2019 Quarterly sector accounts.</w:t>
      </w:r>
      <w:r>
        <w:rPr>
          <w:position w:val="6"/>
          <w:sz w:val="13"/>
        </w:rPr>
        <w:t>8 </w:t>
      </w:r>
      <w:r>
        <w:rPr/>
        <w:t>Furthermore, households may have simply adjusted their consumption patterns to weaker long-term income expectations, for example following</w:t>
      </w:r>
    </w:p>
    <w:p>
      <w:pPr>
        <w:pStyle w:val="BodyText"/>
        <w:spacing w:before="1"/>
        <w:ind w:left="6322"/>
      </w:pPr>
      <w:r>
        <w:rPr/>
        <w:t>the declining house prices since early 2016.</w:t>
      </w:r>
    </w:p>
    <w:p>
      <w:pPr>
        <w:pStyle w:val="BodyText"/>
        <w:spacing w:line="360" w:lineRule="auto" w:before="116"/>
        <w:ind w:left="313" w:right="594" w:firstLine="6008"/>
      </w:pPr>
      <w:r>
        <w:rPr/>
        <w:t>Nonetheless, I believe the weakness in consumer confidence over the last years</w:t>
      </w:r>
      <w:r>
        <w:rPr>
          <w:position w:val="6"/>
          <w:sz w:val="13"/>
        </w:rPr>
        <w:t>9 </w:t>
      </w:r>
      <w:r>
        <w:rPr/>
        <w:t>is suggestive of, at least, some of the saving rate increase to be due to precautionary motives.</w:t>
      </w:r>
    </w:p>
    <w:p>
      <w:pPr>
        <w:pStyle w:val="BodyText"/>
        <w:rPr>
          <w:sz w:val="30"/>
        </w:rPr>
      </w:pPr>
    </w:p>
    <w:p>
      <w:pPr>
        <w:pStyle w:val="BodyText"/>
        <w:spacing w:line="360" w:lineRule="auto"/>
        <w:ind w:left="313" w:right="7039"/>
      </w:pPr>
      <w:r>
        <w:rPr/>
        <w:pict>
          <v:group style="position:absolute;margin-left:267.140015pt;margin-top:37.664894pt;width:245.5pt;height:184.6pt;mso-position-horizontal-relative:page;mso-position-vertical-relative:paragraph;z-index:251671552" coordorigin="5343,753" coordsize="4910,3692">
            <v:shape style="position:absolute;left:5342;top:760;width:4910;height:3685" coordorigin="5343,761" coordsize="4910,3685" path="m5403,4385l5403,761m5343,4385l5403,4385m5343,3866l5403,3866m5343,3350l5403,3350m5343,2831l5403,2831m5343,2313l5403,2313m5343,1797l5403,1797m5343,1279l5403,1279m5343,761l5403,761m10192,4385l10192,761m10192,4385l10253,4385m10192,3659l10253,3659m10192,2935l10253,2935m10192,2210l10253,2210m10192,1485l10253,1485m10192,761l10253,761m5403,4385l10192,4385m5403,4385l5403,4445m6034,4385l6034,4445m6662,4385l6662,4445m7294,4385l7294,4445m7925,4385l7925,4445m8554,4385l8554,4445m9185,4385l9185,4445m9814,4385l9814,4445e" filled="false" stroked="true" strokeweight=".75pt" strokecolor="#000000">
              <v:path arrowok="t"/>
              <v:stroke dashstyle="solid"/>
            </v:shape>
            <v:shape style="position:absolute;left:5518;top:1043;width:4622;height:3110" coordorigin="5519,1043" coordsize="4622,3110" path="m5519,2356l5539,2407,5561,2493,5582,2493,5602,2666,5623,2755,5645,2920,5666,2884,5686,2819,5707,2798,5729,2798,5750,2848,5770,2819,5791,2848,5813,2841,5834,2870,5854,2870,5875,2877,5897,2913,5918,2913,5938,2985,5959,2992,5981,3043,6002,3021,6022,3088,6043,3117,6065,3095,6086,2985,6106,2899,6127,2855,6149,2834,6170,2819,6192,2819,6211,2769,6233,2719,6254,2666,6276,2644,6295,2558,6317,2543,6338,2558,6360,2551,6379,2529,6401,2493,6422,2443,6444,2522,6463,2623,6485,2680,6506,2637,6528,2637,6547,2697,6569,2755,6590,2776,6612,2863,6631,2891,6653,2877,6674,2805,6696,2863,6715,2956,6737,2956,6758,2963,6780,2913,6799,2877,6821,2855,6842,2848,6864,2791,6883,2798,6905,2798,6926,2776,6948,2740,6967,2630,6989,2601,7010,2572,7032,2515,7051,2435,7073,2356,7094,2342,7116,2327,7135,2303,7157,2311,7178,2311,7200,2275,7219,2203,7241,2260,7262,2371,7284,2529,7303,2630,7325,2755,7346,2819,7368,2942,7387,3196,7409,3479,7430,3717,7452,3892,7471,3957,7493,4000,7514,4065,7536,4153,7555,4144,7577,4079,7598,4087,7620,4087,7639,4072,7661,4000,7682,3979,7704,3964,7723,3950,7745,3907,7766,3813,7788,3775,7807,3791,7829,3928,7850,3957,7872,3935,7891,3827,7913,3791,7934,3739,7956,3775,7975,3813,7997,3871,8018,3943,8040,3943,8059,3950,8081,3921,8102,3899,8124,3856,8143,3907,8165,3914,8186,3885,8208,3899,8227,3921,8249,3921,8270,3878,8292,3842,8311,3799,8333,3775,8354,3731,8376,3703,8395,3681,8417,3652,8438,3681,8460,3659,8479,3631,8501,3559,8522,3501,8544,3412,8563,3369,8585,3398,8606,3304,8628,3275,8650,3160,8669,3131,8690,3074,8712,2971,8734,2812,8753,2651,8774,2558,8796,2500,8818,2450,8837,2356,8858,2320,8880,2231,8902,2195,8921,2152,8942,2095,8964,2023,8986,1958,9005,2008,9026,2015,9048,2008,9070,1934,9089,1919,9110,1927,9132,1958,9154,1927,9173,1876,9194,1804,9216,1840,9238,1833,9257,1883,9278,1876,9300,1876,9322,1876,9341,1847,9362,1833,9384,1783,9406,1811,9425,1819,9446,1833,9468,1739,9490,1675,9509,1528,9530,1579,9552,1588,9574,1617,9593,1550,9614,1499,9636,1478,9658,1406,9677,1370,9698,1327,9720,1355,9742,1341,9761,1355,9782,1305,9804,1226,9826,1195,9845,1166,9866,1144,9888,1101,9910,1115,9929,1108,9950,1043,9972,1130,9994,1151,10013,1195,10034,1233,10056,1305,10078,1355,10097,1384,10118,1384,10140,1485e" filled="false" stroked="true" strokeweight="2.25pt" strokecolor="#00afef">
              <v:path arrowok="t"/>
              <v:stroke dashstyle="solid"/>
            </v:shape>
            <v:shape style="position:absolute;left:5770;top:923;width:4369;height:3184" coordorigin="5771,923" coordsize="4369,3184" path="m5771,2800l5791,2783,5813,2690,5834,2721,5854,2541,5875,2455,5897,2306,5918,2349,5938,2507,5959,2539,5981,2599,6002,2517,6022,2625,6043,2627,6065,2611,6086,2450,6106,2349,6127,2289,6149,2219,6170,2203,6192,2114,6211,2042,6233,1915,6254,1883,6276,1768,6295,1622,6317,1634,6338,1799,6360,1903,6379,1931,6401,1917,6422,1876,6444,1970,6463,2147,6485,2272,6506,2282,6528,2306,6547,2464,6569,2543,6590,2553,6612,2654,6631,2709,6653,2728,6674,2702,6696,2685,6715,2685,6737,2623,6758,2678,6780,2620,6799,2519,6821,2431,6842,2397,6864,2229,6883,2203,6905,2219,6926,2279,6948,2169,6967,1924,6989,1888,7010,1845,7032,1843,7051,1795,7073,1730,7094,1723,7116,1780,7135,1744,7157,1754,7178,1780,7200,1785,7219,1838,7241,1936,7262,2090,7284,2330,7303,2522,7325,2733,7346,2815,7368,2956,7387,3242,7409,3530,7430,3777,7452,3983,7471,4101,7493,4107,7514,4101,7536,4082,7555,4000,7577,3830,7598,3784,7620,3679,7639,3424,7661,3023,7682,2692,7704,2423,7723,2303,7745,2164,7766,1905,7788,1691,7807,1727,7829,2068,7850,2102,7872,2068,7891,1917,7913,1982,7975,2099,7997,2258,8018,2507,8040,2560,8059,2551,8081,2303,8102,2224,8124,2191,8143,2433,8165,2495,8186,2527,8208,2495,8227,2476,8249,2390,8270,2212,8292,2157,8311,2078,8333,2090,8354,2059,8376,2085,8395,1970,8417,1912,8438,2006,8460,1948,8479,1867,8501,1756,8522,1742,8544,1670,8563,1679,8585,1759,8606,1691,8628,1696,8650,1564,8669,1569,8690,1439,8712,1331,8734,1154,8753,1055,8774,1024,8796,1091,8818,1096,8837,923,8858,1031,8880,967,8902,1103,8921,1094,8942,1111,8964,1173,8986,1324,9005,1593,9026,1718,9048,1780,9070,1763,9089,1857,9110,1905,9132,2032,9154,2042,9173,2037,9194,2025,9216,2135,9238,2193,9257,2193,9278,2179,9300,2186,9322,2258,9341,2243,9362,2222,9384,2145,9406,2203,9425,2258,9446,2342,9468,2217,9490,2162,9509,1972,9530,2030,9552,2037,9574,2063,9593,2030,9614,1996,9636,2027,9658,1929,9677,1888,9698,1833,9720,1955,9742,2006,9761,2157,9782,2063,9804,1984,9826,1929,9845,1967,9866,1996,9888,1977,9910,2059,9929,2085,9950,2068,9972,2119,9994,2150,10013,2174,10034,2251,10056,2383,10078,2450,10097,2498,10118,2515,10140,2635e" filled="false" stroked="true" strokeweight="2.25pt" strokecolor="#c0504d">
              <v:path arrowok="t"/>
              <v:stroke dashstyle="solid"/>
            </v:shape>
            <w10:wrap type="none"/>
          </v:group>
        </w:pict>
      </w:r>
      <w:r>
        <w:rPr/>
        <w:pict>
          <v:shape style="position:absolute;margin-left:235.690002pt;margin-top:1.20337pt;width:309.350pt;height:251.95pt;mso-position-horizontal-relative:page;mso-position-vertical-relative:paragraph;z-index:2516736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6"/>
                  </w:tblGrid>
                  <w:tr>
                    <w:trPr>
                      <w:trHeight w:val="330" w:hRule="atLeast"/>
                    </w:trPr>
                    <w:tc>
                      <w:tcPr>
                        <w:tcW w:w="6186" w:type="dxa"/>
                      </w:tcPr>
                      <w:p>
                        <w:pPr>
                          <w:pStyle w:val="TableParagraph"/>
                          <w:spacing w:line="223" w:lineRule="exact"/>
                          <w:ind w:left="200"/>
                          <w:rPr>
                            <w:b/>
                            <w:sz w:val="20"/>
                          </w:rPr>
                        </w:pPr>
                        <w:r>
                          <w:rPr>
                            <w:b/>
                            <w:sz w:val="20"/>
                          </w:rPr>
                          <w:t>Chart 8: Number and growth of vacancies</w:t>
                        </w:r>
                      </w:p>
                    </w:tc>
                  </w:tr>
                  <w:tr>
                    <w:trPr>
                      <w:trHeight w:val="4708" w:hRule="atLeast"/>
                    </w:trPr>
                    <w:tc>
                      <w:tcPr>
                        <w:tcW w:w="6186" w:type="dxa"/>
                      </w:tcPr>
                      <w:p>
                        <w:pPr>
                          <w:pStyle w:val="TableParagraph"/>
                          <w:tabs>
                            <w:tab w:pos="5016" w:val="left" w:leader="none"/>
                          </w:tabs>
                          <w:spacing w:line="230" w:lineRule="exact" w:before="100"/>
                          <w:ind w:left="776"/>
                          <w:rPr>
                            <w:sz w:val="20"/>
                          </w:rPr>
                        </w:pPr>
                        <w:r>
                          <w:rPr>
                            <w:sz w:val="20"/>
                          </w:rPr>
                          <w:t>Percentage</w:t>
                          <w:tab/>
                        </w:r>
                        <w:r>
                          <w:rPr>
                            <w:position w:val="-4"/>
                            <w:sz w:val="20"/>
                          </w:rPr>
                          <w:t>000's</w:t>
                        </w:r>
                      </w:p>
                      <w:p>
                        <w:pPr>
                          <w:pStyle w:val="TableParagraph"/>
                          <w:tabs>
                            <w:tab w:pos="769" w:val="left" w:leader="none"/>
                            <w:tab w:pos="5986" w:val="right" w:leader="none"/>
                          </w:tabs>
                          <w:spacing w:line="230" w:lineRule="exact"/>
                          <w:ind w:left="296"/>
                          <w:rPr>
                            <w:sz w:val="20"/>
                          </w:rPr>
                        </w:pPr>
                        <w:r>
                          <w:rPr>
                            <w:position w:val="5"/>
                            <w:sz w:val="20"/>
                          </w:rPr>
                          <w:t>30</w:t>
                          <w:tab/>
                        </w:r>
                        <w:r>
                          <w:rPr>
                            <w:sz w:val="20"/>
                          </w:rPr>
                          <w:t>change </w:t>
                        </w:r>
                        <w:r>
                          <w:rPr>
                            <w:spacing w:val="-3"/>
                            <w:sz w:val="20"/>
                          </w:rPr>
                          <w:t>oya</w:t>
                          <w:tab/>
                        </w:r>
                        <w:r>
                          <w:rPr>
                            <w:position w:val="5"/>
                            <w:sz w:val="20"/>
                          </w:rPr>
                          <w:t>900</w:t>
                        </w:r>
                      </w:p>
                      <w:p>
                        <w:pPr>
                          <w:pStyle w:val="TableParagraph"/>
                          <w:spacing w:line="235" w:lineRule="exact" w:before="36"/>
                          <w:ind w:left="2474" w:right="2312"/>
                          <w:jc w:val="center"/>
                          <w:rPr>
                            <w:rFonts w:ascii="Calibri"/>
                            <w:b/>
                            <w:sz w:val="22"/>
                          </w:rPr>
                        </w:pPr>
                        <w:r>
                          <w:rPr>
                            <w:rFonts w:ascii="Calibri"/>
                            <w:b/>
                            <w:color w:val="C00000"/>
                            <w:sz w:val="22"/>
                          </w:rPr>
                          <w:t>Annual growth</w:t>
                        </w:r>
                      </w:p>
                      <w:p>
                        <w:pPr>
                          <w:pStyle w:val="TableParagraph"/>
                          <w:tabs>
                            <w:tab w:pos="2492" w:val="left" w:leader="none"/>
                            <w:tab w:pos="5986" w:val="right" w:leader="none"/>
                          </w:tabs>
                          <w:spacing w:line="163" w:lineRule="auto"/>
                          <w:ind w:left="296"/>
                          <w:rPr>
                            <w:sz w:val="20"/>
                          </w:rPr>
                        </w:pPr>
                        <w:r>
                          <w:rPr>
                            <w:position w:val="9"/>
                            <w:sz w:val="20"/>
                          </w:rPr>
                          <w:t>20</w:t>
                          <w:tab/>
                        </w:r>
                        <w:r>
                          <w:rPr>
                            <w:rFonts w:ascii="Calibri"/>
                            <w:b/>
                            <w:color w:val="C00000"/>
                            <w:sz w:val="22"/>
                          </w:rPr>
                          <w:t>in</w:t>
                        </w:r>
                        <w:r>
                          <w:rPr>
                            <w:rFonts w:ascii="Calibri"/>
                            <w:b/>
                            <w:color w:val="C00000"/>
                            <w:spacing w:val="-4"/>
                            <w:sz w:val="22"/>
                          </w:rPr>
                          <w:t> </w:t>
                        </w:r>
                        <w:r>
                          <w:rPr>
                            <w:rFonts w:ascii="Calibri"/>
                            <w:b/>
                            <w:color w:val="C00000"/>
                            <w:sz w:val="22"/>
                          </w:rPr>
                          <w:t>vacancies</w:t>
                          <w:tab/>
                        </w:r>
                        <w:r>
                          <w:rPr>
                            <w:position w:val="-11"/>
                            <w:sz w:val="20"/>
                          </w:rPr>
                          <w:t>800</w:t>
                        </w:r>
                      </w:p>
                      <w:p>
                        <w:pPr>
                          <w:pStyle w:val="TableParagraph"/>
                          <w:tabs>
                            <w:tab w:pos="2492" w:val="left" w:leader="none"/>
                          </w:tabs>
                          <w:spacing w:line="180" w:lineRule="auto"/>
                          <w:ind w:left="296"/>
                          <w:rPr>
                            <w:rFonts w:ascii="Calibri"/>
                            <w:b/>
                            <w:sz w:val="22"/>
                          </w:rPr>
                        </w:pPr>
                        <w:r>
                          <w:rPr>
                            <w:position w:val="-15"/>
                            <w:sz w:val="20"/>
                          </w:rPr>
                          <w:t>10</w:t>
                          <w:tab/>
                        </w:r>
                        <w:r>
                          <w:rPr>
                            <w:rFonts w:ascii="Calibri"/>
                            <w:b/>
                            <w:color w:val="C00000"/>
                            <w:sz w:val="22"/>
                          </w:rPr>
                          <w:t>(LHS)</w:t>
                        </w:r>
                      </w:p>
                      <w:p>
                        <w:pPr>
                          <w:pStyle w:val="TableParagraph"/>
                          <w:tabs>
                            <w:tab w:pos="5245" w:val="left" w:leader="none"/>
                          </w:tabs>
                          <w:spacing w:before="199"/>
                          <w:ind w:right="197"/>
                          <w:jc w:val="right"/>
                          <w:rPr>
                            <w:sz w:val="20"/>
                          </w:rPr>
                        </w:pPr>
                        <w:r>
                          <w:rPr>
                            <w:position w:val="-9"/>
                            <w:sz w:val="20"/>
                          </w:rPr>
                          <w:t>0</w:t>
                          <w:tab/>
                        </w:r>
                        <w:r>
                          <w:rPr>
                            <w:w w:val="95"/>
                            <w:sz w:val="20"/>
                          </w:rPr>
                          <w:t>700</w:t>
                        </w:r>
                      </w:p>
                      <w:p>
                        <w:pPr>
                          <w:pStyle w:val="TableParagraph"/>
                          <w:spacing w:before="4"/>
                          <w:rPr>
                            <w:sz w:val="25"/>
                          </w:rPr>
                        </w:pPr>
                      </w:p>
                      <w:p>
                        <w:pPr>
                          <w:pStyle w:val="TableParagraph"/>
                          <w:tabs>
                            <w:tab w:pos="5423" w:val="left" w:leader="none"/>
                          </w:tabs>
                          <w:ind w:right="197"/>
                          <w:jc w:val="right"/>
                          <w:rPr>
                            <w:sz w:val="20"/>
                          </w:rPr>
                        </w:pPr>
                        <w:r>
                          <w:rPr>
                            <w:sz w:val="20"/>
                          </w:rPr>
                          <w:t>-10</w:t>
                          <w:tab/>
                        </w:r>
                        <w:r>
                          <w:rPr>
                            <w:w w:val="95"/>
                            <w:position w:val="-9"/>
                            <w:sz w:val="20"/>
                          </w:rPr>
                          <w:t>600</w:t>
                        </w:r>
                      </w:p>
                      <w:p>
                        <w:pPr>
                          <w:pStyle w:val="TableParagraph"/>
                          <w:spacing w:before="188"/>
                          <w:ind w:left="229"/>
                          <w:rPr>
                            <w:sz w:val="20"/>
                          </w:rPr>
                        </w:pPr>
                        <w:r>
                          <w:rPr>
                            <w:sz w:val="20"/>
                          </w:rPr>
                          <w:t>-20</w:t>
                        </w:r>
                      </w:p>
                      <w:p>
                        <w:pPr>
                          <w:pStyle w:val="TableParagraph"/>
                          <w:spacing w:line="180" w:lineRule="exact" w:before="80"/>
                          <w:ind w:left="5652"/>
                          <w:rPr>
                            <w:sz w:val="20"/>
                          </w:rPr>
                        </w:pPr>
                        <w:r>
                          <w:rPr>
                            <w:sz w:val="20"/>
                          </w:rPr>
                          <w:t>500</w:t>
                        </w:r>
                      </w:p>
                      <w:p>
                        <w:pPr>
                          <w:pStyle w:val="TableParagraph"/>
                          <w:tabs>
                            <w:tab w:pos="3834" w:val="left" w:leader="none"/>
                          </w:tabs>
                          <w:spacing w:line="182" w:lineRule="auto"/>
                          <w:ind w:left="229"/>
                          <w:rPr>
                            <w:rFonts w:ascii="Calibri"/>
                            <w:b/>
                            <w:sz w:val="22"/>
                          </w:rPr>
                        </w:pPr>
                        <w:r>
                          <w:rPr>
                            <w:position w:val="-4"/>
                            <w:sz w:val="20"/>
                          </w:rPr>
                          <w:t>-30</w:t>
                          <w:tab/>
                        </w:r>
                        <w:r>
                          <w:rPr>
                            <w:rFonts w:ascii="Calibri"/>
                            <w:b/>
                            <w:color w:val="00AFEF"/>
                            <w:sz w:val="22"/>
                          </w:rPr>
                          <w:t>Vacancies</w:t>
                        </w:r>
                        <w:r>
                          <w:rPr>
                            <w:rFonts w:ascii="Calibri"/>
                            <w:b/>
                            <w:color w:val="00AFEF"/>
                            <w:spacing w:val="-2"/>
                            <w:sz w:val="22"/>
                          </w:rPr>
                          <w:t> </w:t>
                        </w:r>
                        <w:r>
                          <w:rPr>
                            <w:rFonts w:ascii="Calibri"/>
                            <w:b/>
                            <w:color w:val="00AFEF"/>
                            <w:sz w:val="22"/>
                          </w:rPr>
                          <w:t>(RHS)</w:t>
                        </w:r>
                      </w:p>
                      <w:p>
                        <w:pPr>
                          <w:pStyle w:val="TableParagraph"/>
                          <w:spacing w:before="8"/>
                          <w:rPr>
                            <w:sz w:val="26"/>
                          </w:rPr>
                        </w:pPr>
                      </w:p>
                      <w:p>
                        <w:pPr>
                          <w:pStyle w:val="TableParagraph"/>
                          <w:tabs>
                            <w:tab w:pos="5652" w:val="left" w:leader="none"/>
                          </w:tabs>
                          <w:ind w:left="229"/>
                          <w:rPr>
                            <w:sz w:val="20"/>
                          </w:rPr>
                        </w:pPr>
                        <w:r>
                          <w:rPr>
                            <w:sz w:val="20"/>
                          </w:rPr>
                          <w:t>-40</w:t>
                          <w:tab/>
                          <w:t>400</w:t>
                        </w:r>
                      </w:p>
                      <w:p>
                        <w:pPr>
                          <w:pStyle w:val="TableParagraph"/>
                          <w:spacing w:before="8"/>
                          <w:ind w:left="478"/>
                          <w:rPr>
                            <w:sz w:val="20"/>
                          </w:rPr>
                        </w:pPr>
                        <w:r>
                          <w:rPr>
                            <w:sz w:val="20"/>
                          </w:rPr>
                          <w:t>2001 2003 2006 2008 2011 2013 2016 2018</w:t>
                        </w:r>
                      </w:p>
                      <w:p>
                        <w:pPr>
                          <w:pStyle w:val="TableParagraph"/>
                          <w:spacing w:line="164" w:lineRule="exact" w:before="150"/>
                          <w:ind w:left="200"/>
                          <w:rPr>
                            <w:sz w:val="16"/>
                          </w:rPr>
                        </w:pPr>
                        <w:r>
                          <w:rPr>
                            <w:sz w:val="16"/>
                          </w:rPr>
                          <w:t>Source: ONS.</w:t>
                        </w:r>
                      </w:p>
                    </w:tc>
                  </w:tr>
                </w:tbl>
                <w:p>
                  <w:pPr>
                    <w:pStyle w:val="BodyText"/>
                  </w:pPr>
                </w:p>
              </w:txbxContent>
            </v:textbox>
            <w10:wrap type="none"/>
          </v:shape>
        </w:pict>
      </w:r>
      <w:r>
        <w:rPr/>
        <w:t>Third, the output gap. Again, when I joined the output gap was in balance and demand was expected to gently outstrip </w:t>
      </w:r>
      <w:r>
        <w:rPr>
          <w:spacing w:val="-3"/>
        </w:rPr>
        <w:t>supply. </w:t>
      </w:r>
      <w:r>
        <w:rPr/>
        <w:t>This is what happened over the quarters to the beginning of 2019, with stronger GDP growth (</w:t>
      </w:r>
      <w:r>
        <w:rPr>
          <w:b/>
        </w:rPr>
        <w:t>chart 1</w:t>
      </w:r>
      <w:r>
        <w:rPr/>
        <w:t>) occurring despite low productivity; but since then, perhaps along with world trade, the output gap started to fall. Consequently, it is </w:t>
      </w:r>
      <w:r>
        <w:rPr>
          <w:spacing w:val="2"/>
        </w:rPr>
        <w:t>now </w:t>
      </w:r>
      <w:r>
        <w:rPr/>
        <w:t>estimated to be negative: while a year</w:t>
      </w:r>
    </w:p>
    <w:p>
      <w:pPr>
        <w:pStyle w:val="BodyText"/>
        <w:spacing w:line="360" w:lineRule="auto"/>
        <w:ind w:left="313" w:right="6859"/>
      </w:pPr>
      <w:r>
        <w:rPr/>
        <w:t>ago the November 2018 Inflation Report forecast expected a positive output gap of about +¼% for 2019Q4, according to the Bank’s latest forecast we actually</w:t>
      </w:r>
    </w:p>
    <w:p>
      <w:pPr>
        <w:pStyle w:val="BodyText"/>
        <w:spacing w:line="360" w:lineRule="auto"/>
        <w:ind w:left="313" w:right="512"/>
      </w:pPr>
      <w:r>
        <w:rPr/>
        <w:t>have excess supply of around -¼% in that same quarter. This turns into excess demand only from 2021. This is the result of the re-emergence of some spare capacity within firms, while there appears to be little spare capacity in the labour market with unemployment stable around 4%. Despite this, there is increasing evidence of weakening demand for labour, as reflected by a prolonged decline in vacancies over this year (</w:t>
      </w:r>
      <w:r>
        <w:rPr>
          <w:b/>
        </w:rPr>
        <w:t>chart</w:t>
      </w:r>
      <w:r>
        <w:rPr>
          <w:b/>
          <w:spacing w:val="-31"/>
        </w:rPr>
        <w:t> </w:t>
      </w:r>
      <w:r>
        <w:rPr>
          <w:b/>
        </w:rPr>
        <w:t>8</w:t>
      </w:r>
      <w:r>
        <w:rPr/>
        <w:t>).</w:t>
      </w:r>
    </w:p>
    <w:p>
      <w:pPr>
        <w:pStyle w:val="BodyText"/>
        <w:spacing w:before="10"/>
        <w:rPr>
          <w:sz w:val="29"/>
        </w:rPr>
      </w:pPr>
    </w:p>
    <w:p>
      <w:pPr>
        <w:pStyle w:val="BodyText"/>
        <w:spacing w:line="360" w:lineRule="auto" w:before="1"/>
        <w:ind w:left="313" w:right="511"/>
      </w:pPr>
      <w:r>
        <w:rPr/>
        <w:t>Fourth, inflation has been steadily declining over the past year since its peak around 3% in 2017Q4, following from the fading effects of the sterling depreciation from the Brexit referendum. In less than two years, it has</w:t>
      </w:r>
    </w:p>
    <w:p>
      <w:pPr>
        <w:pStyle w:val="BodyText"/>
        <w:spacing w:before="9"/>
        <w:rPr>
          <w:sz w:val="12"/>
        </w:rPr>
      </w:pPr>
      <w:r>
        <w:rPr/>
        <w:pict>
          <v:shape style="position:absolute;margin-left:49.68pt;margin-top:9.617601pt;width:144.050pt;height:.1pt;mso-position-horizontal-relative:page;mso-position-vertical-relative:paragraph;z-index:-251646976;mso-wrap-distance-left:0;mso-wrap-distance-right:0" coordorigin="994,192" coordsize="2881,0" path="m994,192l3875,192e" filled="false" stroked="true" strokeweight=".599980pt" strokecolor="#000000">
            <v:path arrowok="t"/>
            <v:stroke dashstyle="solid"/>
            <w10:wrap type="topAndBottom"/>
          </v:shape>
        </w:pict>
      </w:r>
    </w:p>
    <w:p>
      <w:pPr>
        <w:pStyle w:val="BodyText"/>
        <w:spacing w:before="2"/>
        <w:rPr>
          <w:sz w:val="8"/>
        </w:rPr>
      </w:pPr>
    </w:p>
    <w:p>
      <w:pPr>
        <w:spacing w:line="186" w:lineRule="exact" w:before="97"/>
        <w:ind w:left="313" w:right="0" w:firstLine="0"/>
        <w:jc w:val="left"/>
        <w:rPr>
          <w:sz w:val="16"/>
        </w:rPr>
      </w:pPr>
      <w:r>
        <w:rPr>
          <w:position w:val="6"/>
          <w:sz w:val="10"/>
        </w:rPr>
        <w:t>8 </w:t>
      </w:r>
      <w:r>
        <w:rPr>
          <w:sz w:val="16"/>
        </w:rPr>
        <w:t>See this</w:t>
      </w:r>
      <w:hyperlink r:id="rId15">
        <w:r>
          <w:rPr>
            <w:color w:val="0000FF"/>
            <w:sz w:val="16"/>
            <w:u w:val="single" w:color="0000FF"/>
          </w:rPr>
          <w:t> ONS article</w:t>
        </w:r>
        <w:r>
          <w:rPr>
            <w:color w:val="0000FF"/>
            <w:sz w:val="16"/>
          </w:rPr>
          <w:t> </w:t>
        </w:r>
      </w:hyperlink>
      <w:r>
        <w:rPr>
          <w:sz w:val="16"/>
        </w:rPr>
        <w:t>for more information on this.</w:t>
      </w:r>
    </w:p>
    <w:p>
      <w:pPr>
        <w:spacing w:line="186" w:lineRule="exact" w:before="0"/>
        <w:ind w:left="313" w:right="0" w:firstLine="0"/>
        <w:jc w:val="left"/>
        <w:rPr>
          <w:sz w:val="16"/>
        </w:rPr>
      </w:pPr>
      <w:r>
        <w:rPr>
          <w:position w:val="6"/>
          <w:sz w:val="10"/>
        </w:rPr>
        <w:t>9 </w:t>
      </w:r>
      <w:r>
        <w:rPr>
          <w:sz w:val="16"/>
        </w:rPr>
        <w:t>See for example the decline in the</w:t>
      </w:r>
      <w:hyperlink r:id="rId16">
        <w:r>
          <w:rPr>
            <w:color w:val="0000FF"/>
            <w:sz w:val="16"/>
            <w:u w:val="single" w:color="0000FF"/>
          </w:rPr>
          <w:t> GfK measure of consumer confidence</w:t>
        </w:r>
        <w:r>
          <w:rPr>
            <w:sz w:val="16"/>
          </w:rPr>
          <w:t>.</w:t>
        </w:r>
      </w:hyperlink>
    </w:p>
    <w:p>
      <w:pPr>
        <w:spacing w:after="0" w:line="186" w:lineRule="exact"/>
        <w:jc w:val="left"/>
        <w:rPr>
          <w:sz w:val="16"/>
        </w:rPr>
        <w:sectPr>
          <w:pgSz w:w="11910" w:h="16840"/>
          <w:pgMar w:header="0" w:footer="872" w:top="1340" w:bottom="1060" w:left="680" w:right="480"/>
        </w:sectPr>
      </w:pPr>
    </w:p>
    <w:p>
      <w:pPr>
        <w:pStyle w:val="BodyText"/>
        <w:spacing w:before="81"/>
        <w:ind w:left="313"/>
      </w:pPr>
      <w:r>
        <w:rPr/>
        <w:t>already halved, being now around 1.5% and is forecasted to be below target throughout 2020, owing to the</w:t>
      </w:r>
    </w:p>
    <w:p>
      <w:pPr>
        <w:pStyle w:val="BodyText"/>
        <w:spacing w:line="357" w:lineRule="auto" w:before="116"/>
        <w:ind w:left="313" w:right="601"/>
      </w:pPr>
      <w:r>
        <w:rPr/>
        <w:t>temporary effect of falls in regulated energy and water prices. Of course, this sits in direct contradiction with the strong wage growth we have seen.</w:t>
      </w:r>
    </w:p>
    <w:p>
      <w:pPr>
        <w:pStyle w:val="BodyText"/>
        <w:spacing w:before="4"/>
        <w:rPr>
          <w:sz w:val="30"/>
        </w:rPr>
      </w:pPr>
    </w:p>
    <w:p>
      <w:pPr>
        <w:pStyle w:val="BodyText"/>
        <w:spacing w:line="360" w:lineRule="auto"/>
        <w:ind w:left="313" w:right="566"/>
      </w:pPr>
      <w:r>
        <w:rPr/>
        <w:t>Indeed, one of the more puzzling features of the UK economy over the last years has been that wage growth has been strong, while productivity has hardly grown at all and inflation has been low. Thus, something must have been happening to firms’ ‘margins’, or ‘profits’. So what is going on? My investigation of UK firms’ margins over the last years reveals a period of rising margins in 2010-14 and then falling in recent years.</w:t>
      </w:r>
    </w:p>
    <w:p>
      <w:pPr>
        <w:pStyle w:val="BodyText"/>
        <w:spacing w:before="10"/>
        <w:rPr>
          <w:sz w:val="29"/>
        </w:rPr>
      </w:pPr>
    </w:p>
    <w:p>
      <w:pPr>
        <w:pStyle w:val="BodyText"/>
        <w:spacing w:line="360" w:lineRule="auto"/>
        <w:ind w:left="313" w:right="521"/>
      </w:pPr>
      <w:r>
        <w:rPr>
          <w:b/>
        </w:rPr>
        <w:t>Chart 9 </w:t>
      </w:r>
      <w:r>
        <w:rPr/>
        <w:t>shows this through the so-called </w:t>
      </w:r>
      <w:r>
        <w:rPr>
          <w:i/>
        </w:rPr>
        <w:t>factor price frontier</w:t>
      </w:r>
      <w:r>
        <w:rPr>
          <w:i/>
          <w:position w:val="6"/>
          <w:sz w:val="13"/>
        </w:rPr>
        <w:t>10</w:t>
      </w:r>
      <w:r>
        <w:rPr/>
        <w:t>. The axes are the deviation from trend of real product wages and real capital rental rates (that is, labour and capital compensation deflated by value added deflator).</w:t>
      </w:r>
      <w:r>
        <w:rPr>
          <w:position w:val="6"/>
          <w:sz w:val="13"/>
        </w:rPr>
        <w:t>11 </w:t>
      </w:r>
      <w:r>
        <w:rPr/>
        <w:t>The points on the graphs are annual data from 1970 to 2018 de-trended by an HP filter, designed to remove any labour and capital augmenting technical change. Thus, one can think of each point as, for that year, the real labour and capital compensation the economy can support with efficiency/technology held constant. Not surprisingly then, the scatter of points is downward sloping as, for a given technology, real labour compensation can only rise if real capital compensation falls, or equivalently firms’ margins are squeezed when wages are higher.</w:t>
      </w:r>
    </w:p>
    <w:p>
      <w:pPr>
        <w:pStyle w:val="BodyText"/>
        <w:spacing w:before="1"/>
        <w:rPr>
          <w:sz w:val="30"/>
        </w:rPr>
      </w:pPr>
    </w:p>
    <w:p>
      <w:pPr>
        <w:pStyle w:val="BodyText"/>
        <w:spacing w:line="360" w:lineRule="auto"/>
        <w:ind w:left="313" w:right="511"/>
      </w:pPr>
      <w:r>
        <w:rPr/>
        <w:t>I have labelled three recent points. In 2010, following the Great Recession, we were in a period of low returns to capital and relatively higher wages. Over the next 5 years, margins were rebuilt at the expense of wages, at which point we started travelling back up the frontier to where we are today: squeezed margins leaving inflation low despite strong wage growth.</w:t>
      </w:r>
    </w:p>
    <w:p>
      <w:pPr>
        <w:pStyle w:val="BodyText"/>
        <w:spacing w:before="1"/>
        <w:rPr>
          <w:sz w:val="30"/>
        </w:rPr>
      </w:pPr>
    </w:p>
    <w:p>
      <w:pPr>
        <w:pStyle w:val="BodyText"/>
        <w:spacing w:line="360" w:lineRule="auto"/>
        <w:ind w:left="313" w:right="555"/>
      </w:pPr>
      <w:r>
        <w:rPr/>
        <w:t>Where does the economy go next? Further movements up the frontier will lower capital returns more and raise wages. Alternatively, firms could raise prices, although it seems difficult with competition strong, or real wages might flex downwards, perhaps as unemployment opens up, eroding the bargaining position of workers, already weaker with capital mobile. Thus, I would expect the pace of wage growth to slow.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r>
        <w:rPr/>
        <w:pict>
          <v:shape style="position:absolute;margin-left:49.68pt;margin-top:14.205723pt;width:144.050pt;height:.1pt;mso-position-horizontal-relative:page;mso-position-vertical-relative:paragraph;z-index:-251641856;mso-wrap-distance-left:0;mso-wrap-distance-right:0" coordorigin="994,284" coordsize="2881,0" path="m994,284l3875,284e" filled="false" stroked="true" strokeweight=".599980pt" strokecolor="#000000">
            <v:path arrowok="t"/>
            <v:stroke dashstyle="solid"/>
            <w10:wrap type="topAndBottom"/>
          </v:shape>
        </w:pict>
      </w:r>
    </w:p>
    <w:p>
      <w:pPr>
        <w:pStyle w:val="BodyText"/>
        <w:spacing w:before="2"/>
        <w:rPr>
          <w:sz w:val="8"/>
        </w:rPr>
      </w:pPr>
    </w:p>
    <w:p>
      <w:pPr>
        <w:spacing w:before="97"/>
        <w:ind w:left="313" w:right="505" w:firstLine="0"/>
        <w:jc w:val="both"/>
        <w:rPr>
          <w:sz w:val="16"/>
        </w:rPr>
      </w:pPr>
      <w:r>
        <w:rPr>
          <w:position w:val="6"/>
          <w:sz w:val="10"/>
        </w:rPr>
        <w:t>10 </w:t>
      </w:r>
      <w:r>
        <w:rPr>
          <w:sz w:val="16"/>
        </w:rPr>
        <w:t>See appendix for more details. The empirical analysis of the factor price frontier was introduced by Bruno and Sachs in their 1985 book, </w:t>
      </w:r>
      <w:r>
        <w:rPr>
          <w:i/>
          <w:sz w:val="16"/>
        </w:rPr>
        <w:t>The Economics of Worldwide Stagflation</w:t>
      </w:r>
      <w:r>
        <w:rPr>
          <w:sz w:val="16"/>
        </w:rPr>
        <w:t>. They pointed out that technology and raw material price shocks shifted the frontier. With improved measurement of value added raw material price shocks no longer shift the frontier.</w:t>
      </w:r>
    </w:p>
    <w:p>
      <w:pPr>
        <w:spacing w:line="240" w:lineRule="auto" w:before="0"/>
        <w:ind w:left="313" w:right="505" w:firstLine="0"/>
        <w:jc w:val="both"/>
        <w:rPr>
          <w:sz w:val="16"/>
        </w:rPr>
      </w:pPr>
      <w:r>
        <w:rPr>
          <w:position w:val="6"/>
          <w:sz w:val="10"/>
        </w:rPr>
        <w:t>11 </w:t>
      </w:r>
      <w:r>
        <w:rPr>
          <w:sz w:val="16"/>
        </w:rPr>
        <w:t>Define the capital rental rate as that rate such that in the national income identity value added exhausts labour and capital income. This can be further transformed with some more assumptions into a net rate of return on capital. That measure is, of course, related to various accounting measures such as </w:t>
      </w:r>
      <w:r>
        <w:rPr>
          <w:spacing w:val="-3"/>
          <w:sz w:val="16"/>
        </w:rPr>
        <w:t>EBITA </w:t>
      </w:r>
      <w:r>
        <w:rPr>
          <w:sz w:val="16"/>
        </w:rPr>
        <w:t>and to statistical agency published profit rate measures, although the triangulation between these measures is not straightforward given the different conventions about what counts as capital in national accounts (for example, dwellings and differential treatment of capital assets like software and data). There is also the issue of interpretation given that some of these measures are residually determined, although that issue would arise in any cost-based</w:t>
      </w:r>
      <w:r>
        <w:rPr>
          <w:spacing w:val="-18"/>
          <w:sz w:val="16"/>
        </w:rPr>
        <w:t> </w:t>
      </w:r>
      <w:r>
        <w:rPr>
          <w:sz w:val="16"/>
        </w:rPr>
        <w:t>method.</w:t>
      </w:r>
    </w:p>
    <w:p>
      <w:pPr>
        <w:spacing w:after="0" w:line="240" w:lineRule="auto"/>
        <w:jc w:val="both"/>
        <w:rPr>
          <w:sz w:val="16"/>
        </w:rPr>
        <w:sectPr>
          <w:pgSz w:w="11910" w:h="16840"/>
          <w:pgMar w:header="0" w:footer="872" w:top="1340" w:bottom="1060" w:left="680" w:right="480"/>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9"/>
      </w:tblGrid>
      <w:tr>
        <w:trPr>
          <w:trHeight w:val="799" w:hRule="atLeast"/>
        </w:trPr>
        <w:tc>
          <w:tcPr>
            <w:tcW w:w="10529" w:type="dxa"/>
          </w:tcPr>
          <w:p>
            <w:pPr>
              <w:pStyle w:val="TableParagraph"/>
              <w:spacing w:line="360" w:lineRule="auto"/>
              <w:ind w:left="4293" w:right="2239" w:hanging="996"/>
              <w:rPr>
                <w:b/>
                <w:sz w:val="20"/>
              </w:rPr>
            </w:pPr>
            <w:r>
              <w:rPr>
                <w:b/>
                <w:sz w:val="20"/>
              </w:rPr>
              <w:t>Chart 9: UK factor price frontier, 1971-2018 (deviation from trend)</w:t>
            </w:r>
          </w:p>
        </w:tc>
      </w:tr>
      <w:tr>
        <w:trPr>
          <w:trHeight w:val="4792" w:hRule="atLeast"/>
        </w:trPr>
        <w:tc>
          <w:tcPr>
            <w:tcW w:w="10529" w:type="dxa"/>
          </w:tcPr>
          <w:p>
            <w:pPr>
              <w:pStyle w:val="TableParagraph"/>
              <w:spacing w:before="1"/>
              <w:rPr>
                <w:sz w:val="25"/>
              </w:rPr>
            </w:pPr>
          </w:p>
          <w:p>
            <w:pPr>
              <w:pStyle w:val="TableParagraph"/>
              <w:ind w:left="1750"/>
              <w:rPr>
                <w:sz w:val="20"/>
              </w:rPr>
            </w:pPr>
            <w:r>
              <w:rPr>
                <w:sz w:val="20"/>
              </w:rPr>
              <w:drawing>
                <wp:inline distT="0" distB="0" distL="0" distR="0">
                  <wp:extent cx="4535087" cy="2779776"/>
                  <wp:effectExtent l="0" t="0" r="0" b="0"/>
                  <wp:docPr id="3" name="image7.jpeg" descr="N:\MPC\JonathanHaskel\Presentations\2019\12 Nov speech\fpf v5.png"/>
                  <wp:cNvGraphicFramePr>
                    <a:graphicFrameLocks noChangeAspect="1"/>
                  </wp:cNvGraphicFramePr>
                  <a:graphic>
                    <a:graphicData uri="http://schemas.openxmlformats.org/drawingml/2006/picture">
                      <pic:pic>
                        <pic:nvPicPr>
                          <pic:cNvPr id="4" name="image7.jpeg"/>
                          <pic:cNvPicPr/>
                        </pic:nvPicPr>
                        <pic:blipFill>
                          <a:blip r:embed="rId17" cstate="print"/>
                          <a:stretch>
                            <a:fillRect/>
                          </a:stretch>
                        </pic:blipFill>
                        <pic:spPr>
                          <a:xfrm>
                            <a:off x="0" y="0"/>
                            <a:ext cx="4535087" cy="2779776"/>
                          </a:xfrm>
                          <a:prstGeom prst="rect">
                            <a:avLst/>
                          </a:prstGeom>
                        </pic:spPr>
                      </pic:pic>
                    </a:graphicData>
                  </a:graphic>
                </wp:inline>
              </w:drawing>
            </w:r>
            <w:r>
              <w:rPr>
                <w:sz w:val="20"/>
              </w:rPr>
            </w:r>
          </w:p>
        </w:tc>
      </w:tr>
      <w:tr>
        <w:trPr>
          <w:trHeight w:val="1067" w:hRule="atLeast"/>
        </w:trPr>
        <w:tc>
          <w:tcPr>
            <w:tcW w:w="10529" w:type="dxa"/>
          </w:tcPr>
          <w:p>
            <w:pPr>
              <w:pStyle w:val="TableParagraph"/>
              <w:spacing w:before="55"/>
              <w:ind w:left="200"/>
              <w:rPr>
                <w:sz w:val="16"/>
              </w:rPr>
            </w:pPr>
            <w:r>
              <w:rPr>
                <w:sz w:val="16"/>
              </w:rPr>
              <w:t>Source: ONS and author calculations.</w:t>
            </w:r>
          </w:p>
          <w:p>
            <w:pPr>
              <w:pStyle w:val="TableParagraph"/>
              <w:spacing w:line="270" w:lineRule="atLeast" w:before="6"/>
              <w:ind w:left="200" w:right="179"/>
              <w:rPr>
                <w:sz w:val="16"/>
              </w:rPr>
            </w:pPr>
            <w:r>
              <w:rPr>
                <w:sz w:val="16"/>
              </w:rPr>
              <w:t>Note: The factor price frontier is a scatter plot of the percent deviations from trend of real capital rental rates and real product wages. Series are normalised by the price of value added and de-trended using an HP filter at an annual frequency. The blue line is the linear line of best fit. The grey points and lines are for the period 1971-2009, the black are for the period 2010 to 2018.</w:t>
            </w:r>
          </w:p>
        </w:tc>
      </w:tr>
    </w:tbl>
    <w:p>
      <w:pPr>
        <w:pStyle w:val="BodyText"/>
      </w:pPr>
    </w:p>
    <w:p>
      <w:pPr>
        <w:pStyle w:val="BodyText"/>
        <w:spacing w:before="7"/>
        <w:rPr>
          <w:sz w:val="18"/>
        </w:rPr>
      </w:pPr>
    </w:p>
    <w:p>
      <w:pPr>
        <w:pStyle w:val="BodyText"/>
        <w:spacing w:line="360" w:lineRule="auto"/>
        <w:ind w:left="313" w:right="6132"/>
      </w:pPr>
      <w:r>
        <w:rPr/>
        <w:pict>
          <v:rect style="position:absolute;margin-left:333.799988pt;margin-top:192.426575pt;width:4.9433pt;height:4.9433pt;mso-position-horizontal-relative:page;mso-position-vertical-relative:paragraph;z-index:-251640832;mso-wrap-distance-left:0;mso-wrap-distance-right:0" filled="true" fillcolor="#005e6d" stroked="false">
            <v:fill type="solid"/>
            <w10:wrap type="topAndBottom"/>
          </v:rect>
        </w:pict>
      </w:r>
      <w:r>
        <w:rPr/>
        <w:pict>
          <v:rect style="position:absolute;margin-left:363.980011pt;margin-top:192.426575pt;width:4.9433pt;height:4.9433pt;mso-position-horizontal-relative:page;mso-position-vertical-relative:paragraph;z-index:-251639808;mso-wrap-distance-left:0;mso-wrap-distance-right:0" filled="true" fillcolor="#46aa9c" stroked="false">
            <v:fill type="solid"/>
            <w10:wrap type="topAndBottom"/>
          </v:rect>
        </w:pict>
      </w:r>
      <w:r>
        <w:rPr/>
        <w:pict>
          <v:rect style="position:absolute;margin-left:396.98999pt;margin-top:192.426575pt;width:4.9433pt;height:4.9433pt;mso-position-horizontal-relative:page;mso-position-vertical-relative:paragraph;z-index:-251638784;mso-wrap-distance-left:0;mso-wrap-distance-right:0" filled="true" fillcolor="#c7cccf" stroked="false">
            <v:fill type="solid"/>
            <w10:wrap type="topAndBottom"/>
          </v:rect>
        </w:pict>
      </w:r>
      <w:r>
        <w:rPr/>
        <w:pict>
          <v:rect style="position:absolute;margin-left:430pt;margin-top:192.426575pt;width:4.9433pt;height:4.9433pt;mso-position-horizontal-relative:page;mso-position-vertical-relative:paragraph;z-index:-251637760;mso-wrap-distance-left:0;mso-wrap-distance-right:0" filled="true" fillcolor="#e9486a" stroked="false">
            <v:fill type="solid"/>
            <w10:wrap type="topAndBottom"/>
          </v:rect>
        </w:pict>
      </w:r>
      <w:r>
        <w:rPr/>
        <w:pict>
          <v:rect style="position:absolute;margin-left:467.570007pt;margin-top:192.426575pt;width:4.9433pt;height:4.9433pt;mso-position-horizontal-relative:page;mso-position-vertical-relative:paragraph;z-index:-251636736;mso-wrap-distance-left:0;mso-wrap-distance-right:0" filled="true" fillcolor="#aa0a3b" stroked="false">
            <v:fill type="solid"/>
            <w10:wrap type="topAndBottom"/>
          </v:rect>
        </w:pict>
      </w:r>
      <w:r>
        <w:rPr/>
        <w:pict>
          <v:group style="position:absolute;margin-left:294.994995pt;margin-top:32.884876pt;width:223pt;height:138.950pt;mso-position-horizontal-relative:page;mso-position-vertical-relative:paragraph;z-index:251680768" coordorigin="5900,658" coordsize="4460,2779">
            <v:line style="position:absolute" from="5907,2836" to="10303,2836" stroked="true" strokeweight=".75pt" strokecolor="#d9d9d9">
              <v:stroke dashstyle="solid"/>
            </v:line>
            <v:shape style="position:absolute;left:6364;top:2474;width:3848;height:905" coordorigin="6365,2475" coordsize="3848,905" path="m6456,3275l6365,3379,6547,3379,6456,3275xm7464,3191l7373,3191,7282,3285,7097,3285,7006,3379,7555,3379,7464,3191xm8196,3302l8105,3379,8287,3379,8196,3302xm8563,3069l8472,3225,8381,3379,9204,3379,9113,3304,9022,3153,9014,3146,8654,3146,8563,3069xm9478,2625l9386,3379,10212,3379,10202,3304,9662,3304,9571,3153,9478,2625xm10027,2475l9936,2851,9845,3079,9754,3227,9662,3304,10202,3304,10118,2702,10027,2475xm8928,3069l8837,3069,8746,3146,9014,3146,8928,3069xe" filled="true" fillcolor="#005e6d" stroked="false">
              <v:path arrowok="t"/>
              <v:fill type="solid"/>
            </v:shape>
            <v:shape style="position:absolute;left:5907;top:1209;width:4396;height:1085" coordorigin="5907,1209" coordsize="4396,1085" path="m5907,2294l10303,2294m5907,1751l10303,1751m5907,1209l10303,1209e" filled="false" stroked="true" strokeweight=".75pt" strokecolor="#d9d9d9">
              <v:path arrowok="t"/>
              <v:stroke dashstyle="solid"/>
            </v:shape>
            <v:shape style="position:absolute;left:5906;top:891;width:4397;height:2488" coordorigin="5906,891" coordsize="4397,2488" path="m6000,3275l5906,3275,5906,3379,6091,3379,6000,3275xm6456,3067l6365,3379,6456,3275,6546,3275,6456,3067xm6546,3275l6456,3275,6547,3379,6732,3379,6641,3278,6547,3278,6546,3275xm7097,3098l7006,3379,7097,3285,7190,3285,7097,3098xm7645,3191l7464,3191,7555,3379,7738,3379,7646,3199,7645,3191xm8928,2061l8837,2138,8746,2603,8105,2603,8014,2913,7922,2968,7831,3379,8105,3379,8196,3302,8427,3302,8472,3225,8563,3069,9355,3069,9295,2625,9204,2551,9113,2248,9022,2174,8928,2061xm8427,3302l8196,3302,8287,3379,8381,3379,8427,3302xm9355,3069l8928,3069,9022,3153,9113,3304,9204,3379,9386,3379,9395,3304,9386,3304,9355,3069xm10303,2474l10027,2474,10118,2702,10212,3379,10303,3379,10303,2474xm9478,1343l9386,3304,9395,3304,9478,2625,9632,2625,9571,1871,9478,1343xm9632,2625l9478,2625,9571,3153,9662,3304,9754,3227,9845,3079,9876,3002,9662,3002,9632,2625xm7555,2536l7373,2536,7282,3191,7190,3285,7282,3285,7373,3191,7645,3191,7555,2536xm8837,3069l8563,3069,8654,3146,8746,3146,8837,3069xm10118,891l10027,891,9936,1118,9845,1420,9754,2551,9662,3002,9876,3002,9936,2851,10027,2474,10303,2474,10303,1672,10212,1269,10118,891xm8472,1751l8381,2217,8287,2450,8196,2603,8746,2603,8654,2527,8563,1828,8472,1751xe" filled="true" fillcolor="#46aa9c" stroked="false">
              <v:path arrowok="t"/>
              <v:fill type="solid"/>
            </v:shape>
            <v:line style="position:absolute" from="5907,665" to="10303,665" stroked="true" strokeweight=".75pt" strokecolor="#d9d9d9">
              <v:stroke dashstyle="solid"/>
            </v:line>
            <v:shape style="position:absolute;left:5906;top:665;width:4397;height:2714" coordorigin="5906,665" coordsize="4397,2714" path="m5906,2023l5906,3275,6000,3275,6091,3379,6274,3379,6182,3275,6091,2752,6000,2440,5906,2023xm6456,2961l6365,3275,6274,3379,6365,3379,6456,3067,6538,3067,6456,2961xm6538,3067l6456,3067,6547,3278,6641,3278,6732,3379,7006,3379,7037,3283,6914,3283,6823,3278,6801,3079,6547,3079,6538,3067xm8236,2536l7555,2536,7646,3199,7738,3379,7831,3379,7922,2968,8014,2913,8105,2603,8196,2603,8236,2536xm9444,2061l8928,2061,9022,2174,9113,2248,9204,2551,9295,2625,9386,3304,9444,2061xm7295,3098l7097,3098,7190,3285,7282,3191,7295,3098xm7464,1600l7373,1600,7282,2068,7190,2349,7097,2443,7006,3191,6914,3283,7037,3283,7097,3098,7295,3098,7373,2536,8236,2536,8287,2450,8381,2217,8384,2203,7738,2203,7646,2023,7555,1881,7464,1600xm6732,2474l6641,2474,6547,3079,6801,3079,6732,2474xm9868,1343l9478,1343,9571,1871,9662,3002,9754,2551,9845,1420,9868,1343xm9459,1751l8472,1751,8563,1828,8654,2527,8746,2603,8837,2138,8928,2061,9444,2061,9459,1751xm8014,1519l7922,1735,7831,1931,7738,2203,8384,2203,8472,1751,9459,1751,9466,1595,8105,1595,8014,1519xm10303,665l10027,665,9936,741,9845,741,9754,815,9662,892,10118,892,10212,1269,10303,1672,10303,665xm8563,897l8472,1209,8381,1363,8287,1363,8196,1519,8105,1595,9466,1595,9478,1343,9868,1343,9890,1269,9386,1269,9295,1041,9255,976,8654,976,8563,897xm9571,741l9478,741,9386,1269,9890,1269,9936,1118,10027,892,9662,892,9571,741xm9113,741l9022,815,8928,820,8837,897,8746,976,9255,976,9204,892,9113,741xe" filled="true" fillcolor="#c7cccf" stroked="false">
              <v:path arrowok="t"/>
              <v:fill type="solid"/>
            </v:shape>
            <v:shape style="position:absolute;left:5906;top:665;width:4121;height:2714" coordorigin="5906,665" coordsize="4121,2714" path="m5906,873l5906,2023,6000,2440,6091,2752,6182,3275,6274,3379,6365,3275,6456,2961,6565,2961,6630,2543,6274,2543,6182,1605,6106,1082,6000,1082,5906,873xm6810,2474l6732,2474,6823,3278,6914,3283,7006,3191,7081,2575,6823,2575,6810,2474xm6565,2961l6456,2961,6547,3079,6565,2961xm7555,1132l7464,1132,7373,1226,7282,1226,7190,1319,7097,1507,7006,2068,6914,2507,6823,2575,7081,2575,7097,2443,7190,2349,7282,2068,7373,1600,7979,1600,8014,1519,8196,1519,8287,1363,8381,1363,8419,1298,7738,1298,7646,1209,7555,1132xm6456,1917l6365,2543,6630,2543,6641,2474,6810,2474,6771,2174,6547,2174,6456,1917xm7979,1600l7464,1600,7555,1881,7646,2023,7738,2203,7831,1931,7922,1735,7979,1600xm6641,1569l6547,2174,6771,2174,6732,1871,6641,1569xm8196,1519l8014,1519,8105,1595,8196,1519xm7922,1077l7831,1118,7738,1298,8419,1298,8426,1286,8014,1286,7922,1077xm9204,665l8746,665,8654,743,8381,743,8287,976,8196,976,8105,1286,8426,1286,8472,1209,8563,897,8837,897,8928,820,9022,815,9113,741,9295,741,9204,665xm9295,741l9113,741,9204,892,9295,1041,9386,1269,9439,967,9386,967,9295,741xm6091,979l6000,1082,6106,1082,6091,979xm8837,897l8563,897,8654,976,8746,976,8837,897xm9478,741l9386,967,9439,967,9478,741xm9845,741l9571,741,9662,892,9754,815,9845,741xm10027,665l9571,665,9478,741,9936,741,10027,665xe" filled="true" fillcolor="#e9486a" stroked="false">
              <v:path arrowok="t"/>
              <v:fill type="solid"/>
            </v:shape>
            <v:shape style="position:absolute;left:5906;top:665;width:3665;height:1910" coordorigin="5906,665" coordsize="3665,1910" path="m7087,1569l6641,1569,6732,1871,6823,2575,6914,2507,7006,2068,7087,1569xm8195,979l6091,979,6182,1605,6274,2543,6365,2543,6456,1917,6587,1917,6641,1569,7087,1569,7097,1507,7190,1319,7282,1226,7373,1226,7464,1132,7824,1132,7831,1118,7922,1077,8166,1077,8195,979xm6587,1917l6456,1917,6547,2174,6587,1917xm7824,1132l7555,1132,7646,1209,7738,1298,7824,1132xm8166,1077l7922,1077,8014,1286,8105,1286,8166,1077xm8746,665l5906,665,5906,873,6000,1082,6091,979,8195,979,8196,976,8287,976,8381,743,8654,743,8746,665xm9571,665l9204,665,9295,741,9386,967,9478,741,9571,665xe" filled="true" fillcolor="#aa0a3b" stroked="false">
              <v:path arrowok="t"/>
              <v:fill type="solid"/>
            </v:shape>
            <v:shape style="position:absolute;left:5907;top:665;width:4453;height:2772" coordorigin="5907,665" coordsize="4453,2772" path="m10303,3379l10303,665m10303,3379l10360,3379m10303,2836l10360,2836m10303,2294l10360,2294m10303,1751l10360,1751m10303,1209l10360,1209m10303,665l10360,665m5907,3379l10303,3379m5907,3379l5907,3436m6365,3379l6365,3436m6823,3379l6823,3436m7282,3379l7282,3436m7738,3379l7738,3436m8196,3379l8196,3436m8654,3379l8654,3436m9113,3379l9113,3436m9571,3379l9571,3436m10028,3379l10028,3436e" filled="false" stroked="true" strokeweight=".75pt" strokecolor="#585858">
              <v:path arrowok="t"/>
              <v:stroke dashstyle="solid"/>
            </v:shape>
            <w10:wrap type="none"/>
          </v:group>
        </w:pict>
      </w:r>
      <w:r>
        <w:rPr/>
        <w:pict>
          <v:shape style="position:absolute;margin-left:270.25pt;margin-top:.843352pt;width:283.5pt;height:220.9pt;mso-position-horizontal-relative:page;mso-position-vertical-relative:paragraph;z-index:2516817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9"/>
                  </w:tblGrid>
                  <w:tr>
                    <w:trPr>
                      <w:trHeight w:val="320" w:hRule="atLeast"/>
                    </w:trPr>
                    <w:tc>
                      <w:tcPr>
                        <w:tcW w:w="5669" w:type="dxa"/>
                      </w:tcPr>
                      <w:p>
                        <w:pPr>
                          <w:pStyle w:val="TableParagraph"/>
                          <w:spacing w:line="223" w:lineRule="exact"/>
                          <w:ind w:left="200"/>
                          <w:rPr>
                            <w:b/>
                            <w:sz w:val="20"/>
                          </w:rPr>
                        </w:pPr>
                        <w:r>
                          <w:rPr>
                            <w:b/>
                            <w:sz w:val="20"/>
                          </w:rPr>
                          <w:t>Chart 10: Inflation across advanced economies</w:t>
                        </w:r>
                      </w:p>
                    </w:tc>
                  </w:tr>
                  <w:tr>
                    <w:trPr>
                      <w:trHeight w:val="4097" w:hRule="atLeast"/>
                    </w:trPr>
                    <w:tc>
                      <w:tcPr>
                        <w:tcW w:w="5669" w:type="dxa"/>
                      </w:tcPr>
                      <w:p>
                        <w:pPr>
                          <w:pStyle w:val="TableParagraph"/>
                          <w:spacing w:line="162" w:lineRule="exact" w:before="91"/>
                          <w:ind w:left="3126"/>
                          <w:rPr>
                            <w:sz w:val="18"/>
                          </w:rPr>
                        </w:pPr>
                        <w:r>
                          <w:rPr>
                            <w:sz w:val="18"/>
                          </w:rPr>
                          <w:t>Proportion of countries</w:t>
                        </w:r>
                      </w:p>
                      <w:p>
                        <w:pPr>
                          <w:pStyle w:val="TableParagraph"/>
                          <w:spacing w:line="175" w:lineRule="exact"/>
                          <w:ind w:left="5067"/>
                          <w:rPr>
                            <w:rFonts w:ascii="Calibri"/>
                            <w:sz w:val="18"/>
                          </w:rPr>
                        </w:pPr>
                        <w:r>
                          <w:rPr>
                            <w:rFonts w:ascii="Calibri"/>
                            <w:sz w:val="18"/>
                          </w:rPr>
                          <w:t>100%</w:t>
                        </w:r>
                      </w:p>
                      <w:p>
                        <w:pPr>
                          <w:pStyle w:val="TableParagraph"/>
                          <w:rPr>
                            <w:sz w:val="18"/>
                          </w:rPr>
                        </w:pPr>
                      </w:p>
                      <w:p>
                        <w:pPr>
                          <w:pStyle w:val="TableParagraph"/>
                          <w:spacing w:before="116"/>
                          <w:ind w:left="5067"/>
                          <w:rPr>
                            <w:rFonts w:ascii="Calibri"/>
                            <w:sz w:val="18"/>
                          </w:rPr>
                        </w:pPr>
                        <w:r>
                          <w:rPr>
                            <w:rFonts w:ascii="Calibri"/>
                            <w:sz w:val="18"/>
                          </w:rPr>
                          <w:t>80%</w:t>
                        </w:r>
                      </w:p>
                      <w:p>
                        <w:pPr>
                          <w:pStyle w:val="TableParagraph"/>
                          <w:rPr>
                            <w:sz w:val="18"/>
                          </w:rPr>
                        </w:pPr>
                      </w:p>
                      <w:p>
                        <w:pPr>
                          <w:pStyle w:val="TableParagraph"/>
                          <w:spacing w:before="117"/>
                          <w:ind w:left="5067"/>
                          <w:rPr>
                            <w:rFonts w:ascii="Calibri"/>
                            <w:sz w:val="18"/>
                          </w:rPr>
                        </w:pPr>
                        <w:r>
                          <w:rPr>
                            <w:rFonts w:ascii="Calibri"/>
                            <w:sz w:val="18"/>
                          </w:rPr>
                          <w:t>60%</w:t>
                        </w:r>
                      </w:p>
                      <w:p>
                        <w:pPr>
                          <w:pStyle w:val="TableParagraph"/>
                          <w:rPr>
                            <w:sz w:val="18"/>
                          </w:rPr>
                        </w:pPr>
                      </w:p>
                      <w:p>
                        <w:pPr>
                          <w:pStyle w:val="TableParagraph"/>
                          <w:spacing w:before="116"/>
                          <w:ind w:left="5067"/>
                          <w:rPr>
                            <w:rFonts w:ascii="Calibri"/>
                            <w:sz w:val="18"/>
                          </w:rPr>
                        </w:pPr>
                        <w:r>
                          <w:rPr>
                            <w:rFonts w:ascii="Calibri"/>
                            <w:sz w:val="18"/>
                          </w:rPr>
                          <w:t>40%</w:t>
                        </w:r>
                      </w:p>
                      <w:p>
                        <w:pPr>
                          <w:pStyle w:val="TableParagraph"/>
                          <w:rPr>
                            <w:sz w:val="18"/>
                          </w:rPr>
                        </w:pPr>
                      </w:p>
                      <w:p>
                        <w:pPr>
                          <w:pStyle w:val="TableParagraph"/>
                          <w:spacing w:before="116"/>
                          <w:ind w:left="5067"/>
                          <w:rPr>
                            <w:rFonts w:ascii="Calibri"/>
                            <w:sz w:val="18"/>
                          </w:rPr>
                        </w:pPr>
                        <w:r>
                          <w:rPr>
                            <w:rFonts w:ascii="Calibri"/>
                            <w:sz w:val="18"/>
                          </w:rPr>
                          <w:t>20%</w:t>
                        </w:r>
                      </w:p>
                      <w:p>
                        <w:pPr>
                          <w:pStyle w:val="TableParagraph"/>
                          <w:rPr>
                            <w:sz w:val="18"/>
                          </w:rPr>
                        </w:pPr>
                      </w:p>
                      <w:p>
                        <w:pPr>
                          <w:pStyle w:val="TableParagraph"/>
                          <w:spacing w:before="116"/>
                          <w:ind w:left="5067"/>
                          <w:rPr>
                            <w:rFonts w:ascii="Calibri"/>
                            <w:sz w:val="18"/>
                          </w:rPr>
                        </w:pPr>
                        <w:r>
                          <w:rPr>
                            <w:rFonts w:ascii="Calibri"/>
                            <w:sz w:val="18"/>
                          </w:rPr>
                          <w:t>0%</w:t>
                        </w:r>
                      </w:p>
                      <w:p>
                        <w:pPr>
                          <w:pStyle w:val="TableParagraph"/>
                          <w:spacing w:before="15"/>
                          <w:ind w:left="321"/>
                          <w:rPr>
                            <w:rFonts w:ascii="Calibri"/>
                            <w:sz w:val="18"/>
                          </w:rPr>
                        </w:pPr>
                        <w:r>
                          <w:rPr>
                            <w:rFonts w:ascii="Calibri"/>
                            <w:sz w:val="18"/>
                          </w:rPr>
                          <w:t>1970 1975 1980 1985 1990 1995 2000 2005 2010 2015</w:t>
                        </w:r>
                      </w:p>
                      <w:p>
                        <w:pPr>
                          <w:pStyle w:val="TableParagraph"/>
                          <w:tabs>
                            <w:tab w:pos="2016" w:val="left" w:leader="none"/>
                            <w:tab w:pos="2677" w:val="left" w:leader="none"/>
                            <w:tab w:pos="3337" w:val="left" w:leader="none"/>
                            <w:tab w:pos="4089" w:val="left" w:leader="none"/>
                          </w:tabs>
                          <w:spacing w:before="65"/>
                          <w:ind w:left="1413"/>
                          <w:rPr>
                            <w:rFonts w:ascii="Calibri"/>
                            <w:sz w:val="18"/>
                          </w:rPr>
                        </w:pPr>
                        <w:r>
                          <w:rPr>
                            <w:rFonts w:ascii="Calibri"/>
                            <w:sz w:val="18"/>
                          </w:rPr>
                          <w:t>&lt;0%</w:t>
                          <w:tab/>
                          <w:t>0-2%</w:t>
                          <w:tab/>
                          <w:t>2-5%</w:t>
                          <w:tab/>
                          <w:t>5-10%</w:t>
                          <w:tab/>
                          <w:t>&gt;10%</w:t>
                        </w:r>
                      </w:p>
                      <w:p>
                        <w:pPr>
                          <w:pStyle w:val="TableParagraph"/>
                          <w:spacing w:before="9"/>
                          <w:rPr>
                            <w:sz w:val="21"/>
                          </w:rPr>
                        </w:pPr>
                      </w:p>
                      <w:p>
                        <w:pPr>
                          <w:pStyle w:val="TableParagraph"/>
                          <w:spacing w:line="164" w:lineRule="exact"/>
                          <w:ind w:left="200"/>
                          <w:rPr>
                            <w:sz w:val="16"/>
                          </w:rPr>
                        </w:pPr>
                        <w:r>
                          <w:rPr>
                            <w:sz w:val="16"/>
                          </w:rPr>
                          <w:t>Source: World Bank.</w:t>
                        </w:r>
                      </w:p>
                    </w:tc>
                  </w:tr>
                </w:tbl>
                <w:p>
                  <w:pPr>
                    <w:pStyle w:val="BodyText"/>
                  </w:pPr>
                </w:p>
              </w:txbxContent>
            </v:textbox>
            <w10:wrap type="none"/>
          </v:shape>
        </w:pict>
      </w:r>
      <w:r>
        <w:rPr/>
        <w:t>To summarise, over the past year the MPC has had to downgrade its view on the world and the UK economy repeatedly, with the initial period of softness in the forecast now extended and deepened. This has also extended to prices: we now observe and expect further weakness in inflation. This means that the UK outlook is becoming more similar to those of other advanced economies: as showed in </w:t>
      </w:r>
      <w:r>
        <w:rPr>
          <w:b/>
        </w:rPr>
        <w:t>chart 10</w:t>
      </w:r>
      <w:r>
        <w:rPr/>
        <w:t>, the majority of the advanced economies are experiencing inflation below 2%.</w:t>
      </w:r>
    </w:p>
    <w:p>
      <w:pPr>
        <w:pStyle w:val="Heading1"/>
        <w:numPr>
          <w:ilvl w:val="0"/>
          <w:numId w:val="1"/>
        </w:numPr>
        <w:tabs>
          <w:tab w:pos="535" w:val="left" w:leader="none"/>
        </w:tabs>
        <w:spacing w:line="240" w:lineRule="auto" w:before="161" w:after="0"/>
        <w:ind w:left="534" w:right="0" w:hanging="222"/>
        <w:jc w:val="left"/>
      </w:pPr>
      <w:r>
        <w:rPr/>
        <w:t>Risks around the present</w:t>
      </w:r>
      <w:r>
        <w:rPr>
          <w:spacing w:val="-1"/>
        </w:rPr>
        <w:t> </w:t>
      </w:r>
      <w:r>
        <w:rPr/>
        <w:t>forecast</w:t>
      </w:r>
    </w:p>
    <w:p>
      <w:pPr>
        <w:pStyle w:val="BodyText"/>
        <w:rPr>
          <w:b/>
          <w:sz w:val="22"/>
        </w:rPr>
      </w:pPr>
    </w:p>
    <w:p>
      <w:pPr>
        <w:pStyle w:val="BodyText"/>
        <w:spacing w:before="2"/>
        <w:rPr>
          <w:b/>
          <w:sz w:val="18"/>
        </w:rPr>
      </w:pPr>
    </w:p>
    <w:p>
      <w:pPr>
        <w:pStyle w:val="BodyText"/>
        <w:ind w:left="313"/>
      </w:pPr>
      <w:r>
        <w:rPr/>
        <w:t>So much for how we got here. Where are we going?</w:t>
      </w:r>
    </w:p>
    <w:p>
      <w:pPr>
        <w:pStyle w:val="BodyText"/>
        <w:rPr>
          <w:sz w:val="22"/>
        </w:rPr>
      </w:pPr>
    </w:p>
    <w:p>
      <w:pPr>
        <w:pStyle w:val="BodyText"/>
        <w:spacing w:before="10"/>
        <w:rPr>
          <w:sz w:val="17"/>
        </w:rPr>
      </w:pPr>
    </w:p>
    <w:p>
      <w:pPr>
        <w:pStyle w:val="BodyText"/>
        <w:spacing w:line="360" w:lineRule="auto" w:before="1"/>
        <w:ind w:left="313" w:right="363"/>
      </w:pPr>
      <w:r>
        <w:rPr/>
        <w:t>The current forecast from the November 2019 Monetary Policy Report exhibits some weakness in growth and inflation in the near-term, which then retreats in favour of a bounce back to a stronger and healthier outlook for both activities and prices. It is very much a forecast of two halves. This shape for the central projection has important consequences in terms of optimal monetary policy. Central banks’ flexible inflation targeting remits are often represented by quadratic preferences that penalise deviations of inflation from target and output from</w:t>
      </w:r>
    </w:p>
    <w:p>
      <w:pPr>
        <w:spacing w:after="0" w:line="360" w:lineRule="auto"/>
        <w:sectPr>
          <w:pgSz w:w="11910" w:h="16840"/>
          <w:pgMar w:header="0" w:footer="872" w:top="1420" w:bottom="1080" w:left="680" w:right="480"/>
        </w:sectPr>
      </w:pPr>
    </w:p>
    <w:p>
      <w:pPr>
        <w:pStyle w:val="BodyText"/>
        <w:spacing w:line="360" w:lineRule="auto" w:before="81"/>
        <w:ind w:left="313" w:right="988"/>
        <w:jc w:val="both"/>
      </w:pPr>
      <w:r>
        <w:rPr/>
        <w:t>potential. Applying such a set-up to the forecast, because output and inflation are so much stronger in the medium-term than in the near-term, a policymaker may seek to smooth the coming strength in demand by having</w:t>
      </w:r>
      <w:r>
        <w:rPr>
          <w:spacing w:val="-4"/>
        </w:rPr>
        <w:t> </w:t>
      </w:r>
      <w:r>
        <w:rPr/>
        <w:t>it</w:t>
      </w:r>
      <w:r>
        <w:rPr>
          <w:spacing w:val="-2"/>
        </w:rPr>
        <w:t> </w:t>
      </w:r>
      <w:r>
        <w:rPr/>
        <w:t>start</w:t>
      </w:r>
      <w:r>
        <w:rPr>
          <w:spacing w:val="-4"/>
        </w:rPr>
        <w:t> </w:t>
      </w:r>
      <w:r>
        <w:rPr/>
        <w:t>sooner</w:t>
      </w:r>
      <w:r>
        <w:rPr>
          <w:spacing w:val="-2"/>
        </w:rPr>
        <w:t> </w:t>
      </w:r>
      <w:r>
        <w:rPr/>
        <w:t>and</w:t>
      </w:r>
      <w:r>
        <w:rPr>
          <w:spacing w:val="-4"/>
        </w:rPr>
        <w:t> </w:t>
      </w:r>
      <w:r>
        <w:rPr/>
        <w:t>last</w:t>
      </w:r>
      <w:r>
        <w:rPr>
          <w:spacing w:val="-4"/>
        </w:rPr>
        <w:t> </w:t>
      </w:r>
      <w:r>
        <w:rPr/>
        <w:t>longer,</w:t>
      </w:r>
      <w:r>
        <w:rPr>
          <w:spacing w:val="-4"/>
        </w:rPr>
        <w:t> </w:t>
      </w:r>
      <w:r>
        <w:rPr/>
        <w:t>but</w:t>
      </w:r>
      <w:r>
        <w:rPr>
          <w:spacing w:val="-3"/>
        </w:rPr>
        <w:t> </w:t>
      </w:r>
      <w:r>
        <w:rPr/>
        <w:t>be</w:t>
      </w:r>
      <w:r>
        <w:rPr>
          <w:spacing w:val="-2"/>
        </w:rPr>
        <w:t> </w:t>
      </w:r>
      <w:r>
        <w:rPr/>
        <w:t>smaller</w:t>
      </w:r>
      <w:r>
        <w:rPr>
          <w:spacing w:val="-4"/>
        </w:rPr>
        <w:t> </w:t>
      </w:r>
      <w:r>
        <w:rPr/>
        <w:t>in</w:t>
      </w:r>
      <w:r>
        <w:rPr>
          <w:spacing w:val="-2"/>
        </w:rPr>
        <w:t> </w:t>
      </w:r>
      <w:r>
        <w:rPr/>
        <w:t>any</w:t>
      </w:r>
      <w:r>
        <w:rPr>
          <w:spacing w:val="-6"/>
        </w:rPr>
        <w:t> </w:t>
      </w:r>
      <w:r>
        <w:rPr/>
        <w:t>given</w:t>
      </w:r>
      <w:r>
        <w:rPr>
          <w:spacing w:val="-5"/>
        </w:rPr>
        <w:t> </w:t>
      </w:r>
      <w:r>
        <w:rPr/>
        <w:t>period.</w:t>
      </w:r>
      <w:r>
        <w:rPr>
          <w:spacing w:val="-6"/>
        </w:rPr>
        <w:t> </w:t>
      </w:r>
      <w:r>
        <w:rPr/>
        <w:t>This</w:t>
      </w:r>
      <w:r>
        <w:rPr>
          <w:spacing w:val="-3"/>
        </w:rPr>
        <w:t> </w:t>
      </w:r>
      <w:r>
        <w:rPr/>
        <w:t>is</w:t>
      </w:r>
      <w:r>
        <w:rPr>
          <w:spacing w:val="-1"/>
        </w:rPr>
        <w:t> </w:t>
      </w:r>
      <w:r>
        <w:rPr/>
        <w:t>a</w:t>
      </w:r>
      <w:r>
        <w:rPr>
          <w:spacing w:val="-2"/>
        </w:rPr>
        <w:t> </w:t>
      </w:r>
      <w:r>
        <w:rPr/>
        <w:t>common</w:t>
      </w:r>
      <w:r>
        <w:rPr>
          <w:spacing w:val="-4"/>
        </w:rPr>
        <w:t> </w:t>
      </w:r>
      <w:r>
        <w:rPr/>
        <w:t>result</w:t>
      </w:r>
      <w:r>
        <w:rPr>
          <w:spacing w:val="-4"/>
        </w:rPr>
        <w:t> </w:t>
      </w:r>
      <w:r>
        <w:rPr/>
        <w:t>in</w:t>
      </w:r>
      <w:r>
        <w:rPr>
          <w:spacing w:val="-4"/>
        </w:rPr>
        <w:t> </w:t>
      </w:r>
      <w:r>
        <w:rPr/>
        <w:t>models</w:t>
      </w:r>
    </w:p>
    <w:p>
      <w:pPr>
        <w:pStyle w:val="BodyText"/>
        <w:spacing w:line="360" w:lineRule="auto"/>
        <w:ind w:left="313" w:right="511"/>
      </w:pPr>
      <w:r>
        <w:rPr/>
        <w:t>assuming a convex ‘loss function’ for the policymaker, meaning that policy-makers prefer a long sequence of small deviations to a short sequence of large deviations. Of course, this result would not hold with different preferences</w:t>
      </w:r>
      <w:r>
        <w:rPr>
          <w:position w:val="6"/>
          <w:sz w:val="13"/>
        </w:rPr>
        <w:t>12</w:t>
      </w:r>
      <w:r>
        <w:rPr/>
        <w:t>, although I just wanted to mention this to make clear that the current central case is already consistent with some degree of loosening.</w:t>
      </w:r>
    </w:p>
    <w:p>
      <w:pPr>
        <w:pStyle w:val="BodyText"/>
        <w:rPr>
          <w:sz w:val="30"/>
        </w:rPr>
      </w:pPr>
    </w:p>
    <w:p>
      <w:pPr>
        <w:pStyle w:val="BodyText"/>
        <w:spacing w:line="360" w:lineRule="auto" w:before="1"/>
        <w:ind w:left="5386" w:right="513"/>
      </w:pPr>
      <w:r>
        <w:rPr/>
        <w:pict>
          <v:group style="position:absolute;margin-left:53.853001pt;margin-top:56.87986pt;width:216pt;height:128.1pt;mso-position-horizontal-relative:page;mso-position-vertical-relative:paragraph;z-index:251683840" coordorigin="1077,1138" coordsize="4320,2562">
            <v:rect style="position:absolute;left:1250;top:2821;width:173;height:871" filled="true" fillcolor="#00af50" stroked="false">
              <v:fill type="solid"/>
            </v:rect>
            <v:line style="position:absolute" from="1440,3634" to="1613,3634" stroked="true" strokeweight="5.71pt" strokecolor="#c00000">
              <v:stroke dashstyle="solid"/>
            </v:line>
            <v:rect style="position:absolute;left:1960;top:2276;width:173;height:1415" filled="true" fillcolor="#00af50" stroked="false">
              <v:fill type="solid"/>
            </v:rect>
            <v:rect style="position:absolute;left:2150;top:3406;width:173;height:285" filled="true" fillcolor="#c00000" stroked="false">
              <v:fill type="solid"/>
            </v:rect>
            <v:rect style="position:absolute;left:2671;top:3193;width:173;height:499" filled="true" fillcolor="#00af50" stroked="false">
              <v:fill type="solid"/>
            </v:rect>
            <v:rect style="position:absolute;left:2860;top:2852;width:173;height:839" filled="true" fillcolor="#c00000" stroked="false">
              <v:fill type="solid"/>
            </v:rect>
            <v:rect style="position:absolute;left:3379;top:2374;width:173;height:1317" filled="true" fillcolor="#00af50" stroked="false">
              <v:fill type="solid"/>
            </v:rect>
            <v:rect style="position:absolute;left:3571;top:1335;width:173;height:2356" filled="true" fillcolor="#c00000" stroked="false">
              <v:fill type="solid"/>
            </v:rect>
            <v:rect style="position:absolute;left:4089;top:3281;width:173;height:410" filled="true" fillcolor="#00af50" stroked="false">
              <v:fill type="solid"/>
            </v:rect>
            <v:rect style="position:absolute;left:4279;top:2792;width:176;height:899" filled="true" fillcolor="#c00000" stroked="false">
              <v:fill type="solid"/>
            </v:rect>
            <v:rect style="position:absolute;left:4800;top:3104;width:173;height:587" filled="true" fillcolor="#00af50" stroked="false">
              <v:fill type="solid"/>
            </v:rect>
            <v:rect style="position:absolute;left:4989;top:3085;width:173;height:607" filled="true" fillcolor="#c00000" stroked="false">
              <v:fill type="solid"/>
            </v:rect>
            <v:shape style="position:absolute;left:5336;top:1142;width:61;height:2549" coordorigin="5336,1143" coordsize="61,2549" path="m5336,3691l5336,1143m5336,3691l5397,3691m5336,3435l5397,3435m5336,3181l5397,3181m5336,2927l5397,2927m5336,2672l5397,2672m5336,2418l5397,2418m5336,2161l5397,2161m5336,1907l5397,1907m5336,1652l5397,1652m5336,1398l5397,1398m5336,1143l5397,1143e" filled="false" stroked="true" strokeweight=".5pt" strokecolor="#000000">
              <v:path arrowok="t"/>
              <v:stroke dashstyle="solid"/>
            </v:shape>
            <v:line style="position:absolute" from="1077,3691" to="5336,3691" stroked="true" strokeweight=".75pt" strokecolor="#000000">
              <v:stroke dashstyle="solid"/>
            </v:line>
            <v:rect style="position:absolute;left:1095;top:1422;width:101;height:101" filled="true" fillcolor="#00af50" stroked="false">
              <v:fill type="solid"/>
            </v:rect>
            <v:rect style="position:absolute;left:2030;top:1422;width:101;height:101" filled="true" fillcolor="#c00000" stroked="false">
              <v:fill type="solid"/>
            </v:rect>
            <w10:wrap type="none"/>
          </v:group>
        </w:pict>
      </w:r>
      <w:r>
        <w:rPr/>
        <w:pict>
          <v:shape style="position:absolute;margin-left:39.68pt;margin-top:.293337pt;width:256.9pt;height:235.3pt;mso-position-horizontal-relative:page;mso-position-vertical-relative:paragraph;z-index:251684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7"/>
                  </w:tblGrid>
                  <w:tr>
                    <w:trPr>
                      <w:trHeight w:val="666" w:hRule="atLeast"/>
                    </w:trPr>
                    <w:tc>
                      <w:tcPr>
                        <w:tcW w:w="5137" w:type="dxa"/>
                      </w:tcPr>
                      <w:p>
                        <w:pPr>
                          <w:pStyle w:val="TableParagraph"/>
                          <w:spacing w:line="223" w:lineRule="exact"/>
                          <w:ind w:left="200"/>
                          <w:rPr>
                            <w:b/>
                            <w:sz w:val="20"/>
                          </w:rPr>
                        </w:pPr>
                        <w:r>
                          <w:rPr>
                            <w:b/>
                            <w:sz w:val="20"/>
                          </w:rPr>
                          <w:t>Chart 11: Probabilities around EU withdrawal</w:t>
                        </w:r>
                      </w:p>
                      <w:p>
                        <w:pPr>
                          <w:pStyle w:val="TableParagraph"/>
                          <w:spacing w:before="111"/>
                          <w:ind w:left="200"/>
                          <w:rPr>
                            <w:b/>
                            <w:sz w:val="13"/>
                          </w:rPr>
                        </w:pPr>
                        <w:r>
                          <w:rPr>
                            <w:b/>
                            <w:sz w:val="20"/>
                          </w:rPr>
                          <w:t>outcomes</w:t>
                        </w:r>
                        <w:r>
                          <w:rPr>
                            <w:b/>
                            <w:position w:val="7"/>
                            <w:sz w:val="13"/>
                          </w:rPr>
                          <w:t>13</w:t>
                        </w:r>
                      </w:p>
                    </w:tc>
                  </w:tr>
                  <w:tr>
                    <w:trPr>
                      <w:trHeight w:val="4038" w:hRule="atLeast"/>
                    </w:trPr>
                    <w:tc>
                      <w:tcPr>
                        <w:tcW w:w="5137" w:type="dxa"/>
                      </w:tcPr>
                      <w:p>
                        <w:pPr>
                          <w:pStyle w:val="TableParagraph"/>
                          <w:spacing w:before="91"/>
                          <w:ind w:left="2335"/>
                          <w:rPr>
                            <w:sz w:val="20"/>
                          </w:rPr>
                        </w:pPr>
                        <w:r>
                          <w:rPr>
                            <w:sz w:val="20"/>
                          </w:rPr>
                          <w:t>Average probability, percent</w:t>
                        </w:r>
                      </w:p>
                      <w:p>
                        <w:pPr>
                          <w:pStyle w:val="TableParagraph"/>
                          <w:spacing w:before="24"/>
                          <w:ind w:left="4716"/>
                          <w:rPr>
                            <w:sz w:val="20"/>
                          </w:rPr>
                        </w:pPr>
                        <w:r>
                          <w:rPr>
                            <w:sz w:val="20"/>
                          </w:rPr>
                          <w:t>50</w:t>
                        </w:r>
                      </w:p>
                      <w:p>
                        <w:pPr>
                          <w:pStyle w:val="TableParagraph"/>
                          <w:tabs>
                            <w:tab w:pos="1380" w:val="left" w:leader="none"/>
                            <w:tab w:pos="4937" w:val="right" w:leader="none"/>
                          </w:tabs>
                          <w:spacing w:line="285" w:lineRule="exact" w:before="20"/>
                          <w:ind w:left="445"/>
                          <w:rPr>
                            <w:sz w:val="20"/>
                          </w:rPr>
                        </w:pPr>
                        <w:r>
                          <w:rPr>
                            <w:sz w:val="20"/>
                          </w:rPr>
                          <w:t>October</w:t>
                          <w:tab/>
                          <w:t>November</w:t>
                          <w:tab/>
                        </w:r>
                        <w:r>
                          <w:rPr>
                            <w:position w:val="8"/>
                            <w:sz w:val="20"/>
                          </w:rPr>
                          <w:t>45</w:t>
                        </w:r>
                      </w:p>
                      <w:p>
                        <w:pPr>
                          <w:pStyle w:val="TableParagraph"/>
                          <w:spacing w:line="205" w:lineRule="exact"/>
                          <w:ind w:left="4716"/>
                          <w:rPr>
                            <w:sz w:val="20"/>
                          </w:rPr>
                        </w:pPr>
                        <w:r>
                          <w:rPr>
                            <w:sz w:val="20"/>
                          </w:rPr>
                          <w:t>40</w:t>
                        </w:r>
                      </w:p>
                      <w:p>
                        <w:pPr>
                          <w:pStyle w:val="TableParagraph"/>
                          <w:spacing w:before="25"/>
                          <w:ind w:left="4716"/>
                          <w:rPr>
                            <w:sz w:val="20"/>
                          </w:rPr>
                        </w:pPr>
                        <w:r>
                          <w:rPr>
                            <w:sz w:val="20"/>
                          </w:rPr>
                          <w:t>35</w:t>
                        </w:r>
                      </w:p>
                      <w:p>
                        <w:pPr>
                          <w:pStyle w:val="TableParagraph"/>
                          <w:spacing w:before="25"/>
                          <w:ind w:left="4716"/>
                          <w:rPr>
                            <w:sz w:val="20"/>
                          </w:rPr>
                        </w:pPr>
                        <w:r>
                          <w:rPr>
                            <w:sz w:val="20"/>
                          </w:rPr>
                          <w:t>30</w:t>
                        </w:r>
                      </w:p>
                      <w:p>
                        <w:pPr>
                          <w:pStyle w:val="TableParagraph"/>
                          <w:spacing w:before="25"/>
                          <w:ind w:left="4716"/>
                          <w:rPr>
                            <w:sz w:val="20"/>
                          </w:rPr>
                        </w:pPr>
                        <w:r>
                          <w:rPr>
                            <w:sz w:val="20"/>
                          </w:rPr>
                          <w:t>25</w:t>
                        </w:r>
                      </w:p>
                      <w:p>
                        <w:pPr>
                          <w:pStyle w:val="TableParagraph"/>
                          <w:spacing w:before="25"/>
                          <w:ind w:left="4716"/>
                          <w:rPr>
                            <w:sz w:val="20"/>
                          </w:rPr>
                        </w:pPr>
                        <w:r>
                          <w:rPr>
                            <w:sz w:val="20"/>
                          </w:rPr>
                          <w:t>20</w:t>
                        </w:r>
                      </w:p>
                      <w:p>
                        <w:pPr>
                          <w:pStyle w:val="TableParagraph"/>
                          <w:spacing w:before="25"/>
                          <w:ind w:left="4716"/>
                          <w:rPr>
                            <w:sz w:val="20"/>
                          </w:rPr>
                        </w:pPr>
                        <w:r>
                          <w:rPr>
                            <w:sz w:val="20"/>
                          </w:rPr>
                          <w:t>15</w:t>
                        </w:r>
                      </w:p>
                      <w:p>
                        <w:pPr>
                          <w:pStyle w:val="TableParagraph"/>
                          <w:spacing w:before="25"/>
                          <w:ind w:left="4716"/>
                          <w:rPr>
                            <w:sz w:val="20"/>
                          </w:rPr>
                        </w:pPr>
                        <w:r>
                          <w:rPr>
                            <w:sz w:val="20"/>
                          </w:rPr>
                          <w:t>10</w:t>
                        </w:r>
                      </w:p>
                      <w:p>
                        <w:pPr>
                          <w:pStyle w:val="TableParagraph"/>
                          <w:spacing w:before="25"/>
                          <w:ind w:left="4716"/>
                          <w:rPr>
                            <w:sz w:val="20"/>
                          </w:rPr>
                        </w:pPr>
                        <w:r>
                          <w:rPr>
                            <w:w w:val="99"/>
                            <w:sz w:val="20"/>
                          </w:rPr>
                          <w:t>5</w:t>
                        </w:r>
                      </w:p>
                      <w:p>
                        <w:pPr>
                          <w:pStyle w:val="TableParagraph"/>
                          <w:spacing w:before="25"/>
                          <w:ind w:left="4716"/>
                          <w:rPr>
                            <w:sz w:val="20"/>
                          </w:rPr>
                        </w:pPr>
                        <w:r>
                          <w:rPr>
                            <w:w w:val="99"/>
                            <w:sz w:val="20"/>
                          </w:rPr>
                          <w:t>0</w:t>
                        </w:r>
                      </w:p>
                      <w:p>
                        <w:pPr>
                          <w:pStyle w:val="TableParagraph"/>
                          <w:tabs>
                            <w:tab w:pos="3197" w:val="left" w:leader="none"/>
                          </w:tabs>
                          <w:spacing w:before="8"/>
                          <w:ind w:left="277"/>
                          <w:rPr>
                            <w:sz w:val="20"/>
                          </w:rPr>
                        </w:pPr>
                        <w:r>
                          <w:rPr>
                            <w:sz w:val="20"/>
                          </w:rPr>
                          <w:t>2019 no  2019  2020</w:t>
                        </w:r>
                        <w:r>
                          <w:rPr>
                            <w:spacing w:val="28"/>
                            <w:sz w:val="20"/>
                          </w:rPr>
                          <w:t> </w:t>
                        </w:r>
                        <w:r>
                          <w:rPr>
                            <w:sz w:val="20"/>
                          </w:rPr>
                          <w:t>no </w:t>
                        </w:r>
                        <w:r>
                          <w:rPr>
                            <w:spacing w:val="13"/>
                            <w:sz w:val="20"/>
                          </w:rPr>
                          <w:t> </w:t>
                        </w:r>
                        <w:r>
                          <w:rPr>
                            <w:sz w:val="20"/>
                          </w:rPr>
                          <w:t>2020</w:t>
                          <w:tab/>
                          <w:t>2021+</w:t>
                        </w:r>
                        <w:r>
                          <w:rPr>
                            <w:spacing w:val="52"/>
                            <w:sz w:val="20"/>
                          </w:rPr>
                          <w:t> </w:t>
                        </w:r>
                        <w:r>
                          <w:rPr>
                            <w:sz w:val="20"/>
                          </w:rPr>
                          <w:t>Never</w:t>
                        </w:r>
                      </w:p>
                      <w:p>
                        <w:pPr>
                          <w:pStyle w:val="TableParagraph"/>
                          <w:tabs>
                            <w:tab w:pos="1159" w:val="left" w:leader="none"/>
                            <w:tab w:pos="1869" w:val="left" w:leader="none"/>
                            <w:tab w:pos="2579" w:val="left" w:leader="none"/>
                          </w:tabs>
                          <w:ind w:left="449"/>
                          <w:rPr>
                            <w:sz w:val="20"/>
                          </w:rPr>
                        </w:pPr>
                        <w:r>
                          <w:rPr>
                            <w:sz w:val="20"/>
                          </w:rPr>
                          <w:t>deal</w:t>
                          <w:tab/>
                          <w:t>deal</w:t>
                          <w:tab/>
                          <w:t>deal</w:t>
                          <w:tab/>
                          <w:t>deal</w:t>
                        </w:r>
                      </w:p>
                      <w:p>
                        <w:pPr>
                          <w:pStyle w:val="TableParagraph"/>
                          <w:spacing w:before="9"/>
                          <w:rPr>
                            <w:sz w:val="22"/>
                          </w:rPr>
                        </w:pPr>
                      </w:p>
                      <w:p>
                        <w:pPr>
                          <w:pStyle w:val="TableParagraph"/>
                          <w:spacing w:line="164" w:lineRule="exact"/>
                          <w:ind w:left="200"/>
                          <w:rPr>
                            <w:sz w:val="16"/>
                          </w:rPr>
                        </w:pPr>
                        <w:r>
                          <w:rPr>
                            <w:sz w:val="16"/>
                          </w:rPr>
                          <w:t>Sources: DMP Survey and Bank calculations.</w:t>
                        </w:r>
                      </w:p>
                    </w:tc>
                  </w:tr>
                </w:tbl>
                <w:p>
                  <w:pPr>
                    <w:pStyle w:val="BodyText"/>
                  </w:pPr>
                </w:p>
              </w:txbxContent>
            </v:textbox>
            <w10:wrap type="none"/>
          </v:shape>
        </w:pict>
      </w:r>
      <w:r>
        <w:rPr/>
        <w:t>I have thus no problem in agreeing with the central projection from the MPC’s latest forecast, as it already supports some near-term loosening for which I have advocated. That said, I personally place a significant amount of probability on the possibility that the path for demand and, thus, inflation may turn out lower than our central</w:t>
      </w:r>
      <w:r>
        <w:rPr>
          <w:spacing w:val="-3"/>
        </w:rPr>
        <w:t> </w:t>
      </w:r>
      <w:r>
        <w:rPr/>
        <w:t>expectations.</w:t>
      </w:r>
    </w:p>
    <w:p>
      <w:pPr>
        <w:pStyle w:val="BodyText"/>
        <w:rPr>
          <w:sz w:val="30"/>
        </w:rPr>
      </w:pPr>
    </w:p>
    <w:p>
      <w:pPr>
        <w:pStyle w:val="BodyText"/>
        <w:spacing w:line="360" w:lineRule="auto"/>
        <w:ind w:left="5386" w:right="575"/>
      </w:pPr>
      <w:r>
        <w:rPr/>
        <w:t>One source of downside risk to demand is possible protracted uncertainty from Brexit. The recent election has clarified the Parliamentary arithmetic. However, we must remember that what matters are the</w:t>
      </w:r>
    </w:p>
    <w:p>
      <w:pPr>
        <w:pStyle w:val="BodyText"/>
        <w:spacing w:line="355" w:lineRule="auto"/>
        <w:ind w:left="5386" w:right="630"/>
      </w:pPr>
      <w:r>
        <w:rPr/>
        <w:t>perceptions of uncertainty in financial markets and by consumers and firms. </w:t>
      </w:r>
      <w:r>
        <w:rPr>
          <w:b/>
        </w:rPr>
        <w:t>Chart 11 </w:t>
      </w:r>
      <w:r>
        <w:rPr/>
        <w:t>suggests that the</w:t>
      </w:r>
    </w:p>
    <w:p>
      <w:pPr>
        <w:pStyle w:val="BodyText"/>
        <w:spacing w:line="360" w:lineRule="auto" w:before="9"/>
        <w:ind w:left="313" w:right="988" w:firstLine="5072"/>
      </w:pPr>
      <w:r>
        <w:rPr/>
        <w:t>Withdrawal Agreement and Political Declaration agreed in October between the UK and the EU seem to have reduced the perceived likelihood of a no-deal Brexit markedly among firms. The current forecast reflects this as it is conditioned on a smooth transition</w:t>
      </w:r>
    </w:p>
    <w:p>
      <w:pPr>
        <w:pStyle w:val="BodyText"/>
        <w:spacing w:line="360" w:lineRule="auto"/>
        <w:ind w:left="313" w:right="520"/>
        <w:rPr>
          <w:sz w:val="13"/>
        </w:rPr>
      </w:pPr>
      <w:r>
        <w:rPr/>
        <w:t>towards a CETA-like free trade agreement between the UK and the EU.</w:t>
      </w:r>
      <w:r>
        <w:rPr>
          <w:position w:val="6"/>
          <w:sz w:val="13"/>
        </w:rPr>
        <w:t>14 </w:t>
      </w:r>
      <w:r>
        <w:rPr/>
        <w:t>However, it normally takes quite some time to sign a trade agreement. Indeed, CETA’s negotiations started in 2009</w:t>
      </w:r>
      <w:r>
        <w:rPr>
          <w:position w:val="6"/>
          <w:sz w:val="13"/>
        </w:rPr>
        <w:t>15 </w:t>
      </w:r>
      <w:r>
        <w:rPr/>
        <w:t>and the agreement has been provisionally applied only since 2017.</w:t>
      </w:r>
      <w:r>
        <w:rPr>
          <w:position w:val="6"/>
          <w:sz w:val="13"/>
        </w:rPr>
        <w:t>16</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r>
        <w:rPr/>
        <w:pict>
          <v:shape style="position:absolute;margin-left:49.68pt;margin-top:10.726846pt;width:144.050pt;height:.1pt;mso-position-horizontal-relative:page;mso-position-vertical-relative:paragraph;z-index:-251633664;mso-wrap-distance-left:0;mso-wrap-distance-right:0" coordorigin="994,215" coordsize="2881,0" path="m994,215l3875,215e" filled="false" stroked="true" strokeweight=".599980pt" strokecolor="#000000">
            <v:path arrowok="t"/>
            <v:stroke dashstyle="solid"/>
            <w10:wrap type="topAndBottom"/>
          </v:shape>
        </w:pict>
      </w:r>
    </w:p>
    <w:p>
      <w:pPr>
        <w:pStyle w:val="BodyText"/>
        <w:spacing w:before="2"/>
        <w:rPr>
          <w:sz w:val="8"/>
        </w:rPr>
      </w:pPr>
    </w:p>
    <w:p>
      <w:pPr>
        <w:spacing w:before="97"/>
        <w:ind w:left="313" w:right="505" w:firstLine="0"/>
        <w:jc w:val="both"/>
        <w:rPr>
          <w:sz w:val="16"/>
        </w:rPr>
      </w:pPr>
      <w:r>
        <w:rPr>
          <w:position w:val="6"/>
          <w:sz w:val="10"/>
        </w:rPr>
        <w:t>12 </w:t>
      </w:r>
      <w:r>
        <w:rPr>
          <w:sz w:val="16"/>
        </w:rPr>
        <w:t>In particular, the use of a quadratic objective function does not reflect the extent to which most individuals have strong preferences for minimizing the incidence of worst-case scenarios (Mishkin, 2008). Furthermore, different views from policy-makers on the timing and strength of the monetary policy transmission mechanisms may also affect this result. For example, a policy-maker who believes that monetary policy takes many lags to have effects on the economy may decide to look through the temporary weakness in the near-term.</w:t>
      </w:r>
    </w:p>
    <w:p>
      <w:pPr>
        <w:spacing w:line="240" w:lineRule="auto" w:before="0"/>
        <w:ind w:left="313" w:right="508" w:firstLine="0"/>
        <w:jc w:val="both"/>
        <w:rPr>
          <w:sz w:val="16"/>
        </w:rPr>
      </w:pPr>
      <w:r>
        <w:rPr>
          <w:position w:val="6"/>
          <w:sz w:val="10"/>
        </w:rPr>
        <w:t>13 </w:t>
      </w:r>
      <w:r>
        <w:rPr>
          <w:sz w:val="16"/>
        </w:rPr>
        <w:t>Note: the results are based on the question ‘What do you think is the percentage likelihood (probability) of the UK leaving the EU in each of the following</w:t>
      </w:r>
      <w:r>
        <w:rPr>
          <w:spacing w:val="-3"/>
          <w:sz w:val="16"/>
        </w:rPr>
        <w:t> </w:t>
      </w:r>
      <w:r>
        <w:rPr>
          <w:sz w:val="16"/>
        </w:rPr>
        <w:t>years?</w:t>
      </w:r>
    </w:p>
    <w:p>
      <w:pPr>
        <w:spacing w:line="240" w:lineRule="auto" w:before="0"/>
        <w:ind w:left="313" w:right="505" w:firstLine="0"/>
        <w:jc w:val="both"/>
        <w:rPr>
          <w:sz w:val="16"/>
        </w:rPr>
      </w:pPr>
      <w:r>
        <w:rPr>
          <w:position w:val="6"/>
          <w:sz w:val="10"/>
        </w:rPr>
        <w:t>14 </w:t>
      </w:r>
      <w:r>
        <w:rPr>
          <w:sz w:val="16"/>
        </w:rPr>
        <w:t>We assume that goods trade is tariff free, but customs checks would take effect immediately at the end of the transition period on 31 December 2020. In contrast, some regulatory barriers to trade are likely to emerge only </w:t>
      </w:r>
      <w:r>
        <w:rPr>
          <w:spacing w:val="-3"/>
          <w:sz w:val="16"/>
        </w:rPr>
        <w:t>gradually, </w:t>
      </w:r>
      <w:r>
        <w:rPr>
          <w:sz w:val="16"/>
        </w:rPr>
        <w:t>for example as goods standards diverge over time. Some services trade would also be subject to greater barriers, in particular financial services. The MPC’s forecast assumes that the impact of all these barriers on the economy is orderly though, as authorities and businesses are assumed to have taken action to be ready for the change in trading arrangements. </w:t>
      </w:r>
      <w:r>
        <w:rPr>
          <w:spacing w:val="-3"/>
          <w:sz w:val="16"/>
        </w:rPr>
        <w:t>Finally, </w:t>
      </w:r>
      <w:r>
        <w:rPr>
          <w:sz w:val="16"/>
        </w:rPr>
        <w:t>the UK is assumed to replicate a substantial proportion of EU trade arrangements  with non-EU countries. For more details on the MPC’s conditioning assumption about the UK’s eventual trading relationship with the EU,  see the</w:t>
      </w:r>
      <w:hyperlink r:id="rId11">
        <w:r>
          <w:rPr>
            <w:color w:val="0000FF"/>
            <w:sz w:val="16"/>
            <w:u w:val="single" w:color="0000FF"/>
          </w:rPr>
          <w:t> November 2019 Monetary Policy</w:t>
        </w:r>
        <w:r>
          <w:rPr>
            <w:color w:val="0000FF"/>
            <w:spacing w:val="-4"/>
            <w:sz w:val="16"/>
            <w:u w:val="single" w:color="0000FF"/>
          </w:rPr>
          <w:t> </w:t>
        </w:r>
        <w:r>
          <w:rPr>
            <w:color w:val="0000FF"/>
            <w:sz w:val="16"/>
            <w:u w:val="single" w:color="0000FF"/>
          </w:rPr>
          <w:t>Report</w:t>
        </w:r>
        <w:r>
          <w:rPr>
            <w:sz w:val="16"/>
          </w:rPr>
          <w:t>.</w:t>
        </w:r>
      </w:hyperlink>
    </w:p>
    <w:p>
      <w:pPr>
        <w:spacing w:line="183" w:lineRule="exact" w:before="0"/>
        <w:ind w:left="313" w:right="0" w:firstLine="0"/>
        <w:jc w:val="both"/>
        <w:rPr>
          <w:sz w:val="16"/>
        </w:rPr>
      </w:pPr>
      <w:r>
        <w:rPr>
          <w:position w:val="6"/>
          <w:sz w:val="10"/>
        </w:rPr>
        <w:t>15  </w:t>
      </w:r>
      <w:r>
        <w:rPr>
          <w:sz w:val="16"/>
        </w:rPr>
        <w:t>See</w:t>
      </w:r>
      <w:hyperlink r:id="rId18">
        <w:r>
          <w:rPr>
            <w:color w:val="0000FF"/>
            <w:sz w:val="16"/>
            <w:u w:val="single" w:color="0000FF"/>
          </w:rPr>
          <w:t> here</w:t>
        </w:r>
        <w:r>
          <w:rPr>
            <w:color w:val="0000FF"/>
            <w:sz w:val="16"/>
          </w:rPr>
          <w:t> </w:t>
        </w:r>
      </w:hyperlink>
      <w:r>
        <w:rPr>
          <w:sz w:val="16"/>
        </w:rPr>
        <w:t>for more</w:t>
      </w:r>
      <w:r>
        <w:rPr>
          <w:spacing w:val="-21"/>
          <w:sz w:val="16"/>
        </w:rPr>
        <w:t> </w:t>
      </w:r>
      <w:r>
        <w:rPr>
          <w:sz w:val="16"/>
        </w:rPr>
        <w:t>details.</w:t>
      </w:r>
    </w:p>
    <w:p>
      <w:pPr>
        <w:spacing w:line="186" w:lineRule="exact" w:before="0"/>
        <w:ind w:left="313" w:right="0" w:firstLine="0"/>
        <w:jc w:val="both"/>
        <w:rPr>
          <w:sz w:val="16"/>
        </w:rPr>
      </w:pPr>
      <w:r>
        <w:rPr>
          <w:position w:val="6"/>
          <w:sz w:val="10"/>
        </w:rPr>
        <w:t>16  </w:t>
      </w:r>
      <w:r>
        <w:rPr>
          <w:sz w:val="16"/>
        </w:rPr>
        <w:t>See</w:t>
      </w:r>
      <w:hyperlink r:id="rId19">
        <w:r>
          <w:rPr>
            <w:color w:val="0000FF"/>
            <w:sz w:val="16"/>
            <w:u w:val="single" w:color="0000FF"/>
          </w:rPr>
          <w:t> here</w:t>
        </w:r>
        <w:r>
          <w:rPr>
            <w:color w:val="0000FF"/>
            <w:sz w:val="16"/>
          </w:rPr>
          <w:t> </w:t>
        </w:r>
      </w:hyperlink>
      <w:r>
        <w:rPr>
          <w:sz w:val="16"/>
        </w:rPr>
        <w:t>for more</w:t>
      </w:r>
      <w:r>
        <w:rPr>
          <w:spacing w:val="-21"/>
          <w:sz w:val="16"/>
        </w:rPr>
        <w:t> </w:t>
      </w:r>
      <w:r>
        <w:rPr>
          <w:sz w:val="16"/>
        </w:rPr>
        <w:t>details.</w:t>
      </w:r>
    </w:p>
    <w:p>
      <w:pPr>
        <w:spacing w:after="0" w:line="186" w:lineRule="exact"/>
        <w:jc w:val="both"/>
        <w:rPr>
          <w:sz w:val="16"/>
        </w:rPr>
        <w:sectPr>
          <w:pgSz w:w="11910" w:h="16840"/>
          <w:pgMar w:header="0" w:footer="872" w:top="1340" w:bottom="1060" w:left="680" w:right="480"/>
        </w:sectPr>
      </w:pPr>
    </w:p>
    <w:p>
      <w:pPr>
        <w:pStyle w:val="BodyText"/>
        <w:spacing w:line="360" w:lineRule="auto" w:before="81"/>
        <w:ind w:left="313" w:right="633"/>
      </w:pPr>
      <w:r>
        <w:rPr/>
        <w:t>Uncertainty may thus continue to stay entrenched for some time as the details of the negotiated provisions and what they mean for UK businesses and households will become clearer only at a later stage as our final</w:t>
      </w:r>
    </w:p>
    <w:p>
      <w:pPr>
        <w:pStyle w:val="BodyText"/>
        <w:spacing w:line="229" w:lineRule="exact"/>
        <w:ind w:left="313"/>
        <w:rPr>
          <w:sz w:val="13"/>
        </w:rPr>
      </w:pPr>
      <w:r>
        <w:rPr/>
        <w:pict>
          <v:group style="position:absolute;margin-left:63.209999pt;margin-top:86.87281pt;width:222.4pt;height:153.450pt;mso-position-horizontal-relative:page;mso-position-vertical-relative:paragraph;z-index:-252527616" coordorigin="1264,1737" coordsize="4448,3069">
            <v:shape style="position:absolute;left:1335;top:1742;width:4367;height:3045" coordorigin="1335,1742" coordsize="4367,3045" path="m5641,4787l5641,1742m5641,4787l5702,4787m5641,4353l5702,4353m5641,3916l5702,3916m5641,3482l5702,3482m5641,3047l5702,3047m5641,2613l5702,2613m5641,2178l5702,2178m5641,1742l5702,1742m1335,4787l5641,4787e" filled="false" stroked="true" strokeweight=".5pt" strokecolor="#000000">
              <v:path arrowok="t"/>
              <v:stroke dashstyle="solid"/>
            </v:shape>
            <v:shape style="position:absolute;left:1335;top:2902;width:4306;height:1835" coordorigin="1335,2903" coordsize="4306,1835" path="m1335,2903l1814,3076,2292,3206,2770,3909,3250,4065,3727,4084,4205,3825,4685,4262,5162,4302,5641,4737e" filled="false" stroked="true" strokeweight=".75pt" strokecolor="#00af50">
              <v:path arrowok="t"/>
              <v:stroke dashstyle="solid"/>
            </v:shape>
            <v:shape style="position:absolute;left:1264;top:2832;width:4448;height:1973" coordorigin="1264,2833" coordsize="4448,1973" path="m1403,2902l1334,2833,1264,2902,1334,2972,1403,2902m1883,3075l1814,3006,1744,3075,1814,3145,1883,3075m2361,3205l2291,3135,2222,3205,2291,3274,2361,3205m2839,3908l2769,3838,2699,3908,2769,3978,2839,3908m3319,4064l3249,3994,3179,4064,3249,4134,3319,4064m3796,4083l3727,4014,3657,4083,3727,4153,3796,4083m4274,3824l4204,3754,4135,3824,4204,3894,4274,3824m4754,4261l4684,4191,4615,4261,4684,4330,4754,4261m5231,4302l5162,4232,5092,4302,5162,4371,5231,4302m5711,4736l5642,4666,5572,4736,5642,4806,5711,4736e" filled="true" fillcolor="#00af50" stroked="false">
              <v:path arrowok="t"/>
              <v:fill type="solid"/>
            </v:shape>
            <v:shape style="position:absolute;left:1335;top:2013;width:4306;height:1241" coordorigin="1335,2013" coordsize="4306,1241" path="m1335,3254l1814,3182,2292,2956,2770,2553,3250,2308,3727,2464,4205,2212,4685,2013,5162,2224,5641,2082e" filled="false" stroked="true" strokeweight=".75pt" strokecolor="#00afef">
              <v:path arrowok="t"/>
              <v:stroke dashstyle="solid"/>
            </v:shape>
            <v:shape style="position:absolute;left:1264;top:1942;width:4448;height:1380" coordorigin="1264,1942" coordsize="4448,1380" path="m1403,3253l1334,3183,1264,3253,1334,3322,1403,3253m1883,3181l1814,3111,1744,3181,1814,3250,1883,3181m2361,2955l2291,2886,2222,2955,2291,3025,2361,2955m2839,2552l2769,2482,2699,2552,2769,2622,2839,2552m3319,2307l3249,2238,3179,2307,3249,2377,3319,2307m3796,2463l3727,2394,3657,2463,3727,2533,3796,2463m4274,2211l4204,2142,4135,2211,4204,2281,4274,2211m4754,2012l4684,1942,4615,2012,4684,2082,4754,2012m5231,2223l5162,2154,5092,2223,5162,2293,5231,2223m5711,2082l5642,2012,5572,2082,5642,2151,5711,2082e" filled="true" fillcolor="#00afef" stroked="false">
              <v:path arrowok="t"/>
              <v:fill type="solid"/>
            </v:shape>
            <v:shape style="position:absolute;left:1335;top:3192;width:4306;height:785" coordorigin="1335,3192" coordsize="4306,785" path="m1335,3856l1814,3755,2292,3849,2770,3549,3250,3638,3727,3462,4205,3977,4685,3736,5162,3484,5641,3192e" filled="false" stroked="true" strokeweight=".75pt" strokecolor="#c00000">
              <v:path arrowok="t"/>
              <v:stroke dashstyle="solid"/>
            </v:shape>
            <v:shape style="position:absolute;left:1264;top:3123;width:4448;height:922" coordorigin="1264,3123" coordsize="4448,922" path="m1403,3855l1334,3786,1264,3855,1334,3925,1403,3855m1883,3754l1814,3685,1744,3754,1814,3824,1883,3754m2361,3848l2291,3778,2222,3848,2291,3918,2361,3848m2839,3548l2769,3478,2699,3548,2769,3618,2839,3548m3319,3637l3249,3567,3179,3637,3249,3706,3319,3637m3796,3462l3727,3392,3657,3462,3727,3531,3796,3462m4274,3975l4204,3906,4135,3975,4204,4045,4274,3975m4754,3735l4684,3666,4615,3735,4684,3805,4754,3735m5231,3483l5162,3414,5092,3483,5162,3553,5231,3483m5711,3193l5642,3123,5572,3193,5642,3262,5711,3193e" filled="true" fillcolor="#c00000" stroked="false">
              <v:path arrowok="t"/>
              <v:fill type="solid"/>
            </v:shape>
            <w10:wrap type="none"/>
          </v:group>
        </w:pict>
      </w:r>
      <w:r>
        <w:rPr/>
        <w:pict>
          <v:group style="position:absolute;margin-left:318.959991pt;margin-top:97.212807pt;width:208.5pt;height:141.6pt;mso-position-horizontal-relative:page;mso-position-vertical-relative:paragraph;z-index:-252526592" coordorigin="6379,1944" coordsize="4170,2832">
            <v:shape style="position:absolute;left:6542;top:2209;width:2417;height:2559" coordorigin="6542,2210" coordsize="2417,2559" path="m6902,4410l6542,4410,6542,4768,6902,4768,6902,4410m7589,2788l7229,2788,7229,4768,7589,4768,7589,2788m8275,2210l7913,2210,7913,4768,8275,4768,8275,2210m8959,4338l8599,4338,8599,4768,8959,4768,8959,4338e" filled="true" fillcolor="#ff33cc" stroked="false">
              <v:path arrowok="t"/>
              <v:fill type="solid"/>
            </v:shape>
            <v:line style="position:absolute" from="9286,4743" to="9646,4743" stroked="true" strokeweight="2.52pt" strokecolor="#ff33cc">
              <v:stroke dashstyle="solid"/>
            </v:line>
            <v:rect style="position:absolute;left:9972;top:4506;width:360;height:262" filled="true" fillcolor="#ff33cc" stroked="false">
              <v:fill type="solid"/>
            </v:rect>
            <v:shape style="position:absolute;left:10494;top:1949;width:55;height:2819" coordorigin="10495,1949" coordsize="55,2819" path="m10495,4768l10495,1949m10495,4768l10549,4768m10495,4487l10549,4487m10495,4204l10549,4204m10495,3923l10549,3923m10495,3640l10549,3640m10495,3359l10549,3359m10495,3076l10549,3076m10495,2795l10549,2795m10495,2512l10549,2512m10495,2231l10549,2231m10495,1949l10549,1949e" filled="false" stroked="true" strokeweight=".5pt" strokecolor="#000000">
              <v:path arrowok="t"/>
              <v:stroke dashstyle="solid"/>
            </v:shape>
            <v:line style="position:absolute" from="6379,4768" to="10495,4768" stroked="true" strokeweight=".75pt" strokecolor="#000000">
              <v:stroke dashstyle="solid"/>
            </v:line>
            <w10:wrap type="none"/>
          </v:group>
        </w:pict>
      </w:r>
      <w:r>
        <w:rPr/>
        <w:t>destination emerges. I find it helpful to remember that Brexit is a process, not an event.</w:t>
      </w:r>
      <w:r>
        <w:rPr>
          <w:position w:val="6"/>
          <w:sz w:val="13"/>
        </w:rPr>
        <w:t>17</w:t>
      </w:r>
    </w:p>
    <w:p>
      <w:pPr>
        <w:pStyle w:val="BodyText"/>
      </w:pPr>
    </w:p>
    <w:p>
      <w:pPr>
        <w:pStyle w:val="BodyText"/>
        <w:spacing w:before="4"/>
        <w:rPr>
          <w:sz w:val="11"/>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5"/>
        <w:gridCol w:w="4924"/>
      </w:tblGrid>
      <w:tr>
        <w:trPr>
          <w:trHeight w:val="665" w:hRule="atLeast"/>
        </w:trPr>
        <w:tc>
          <w:tcPr>
            <w:tcW w:w="5335" w:type="dxa"/>
          </w:tcPr>
          <w:p>
            <w:pPr>
              <w:pStyle w:val="TableParagraph"/>
              <w:spacing w:line="223" w:lineRule="exact"/>
              <w:ind w:left="200"/>
              <w:rPr>
                <w:b/>
                <w:sz w:val="20"/>
              </w:rPr>
            </w:pPr>
            <w:r>
              <w:rPr>
                <w:b/>
                <w:sz w:val="20"/>
              </w:rPr>
              <w:t>Chart 12: When is Brexit uncertainty expected to be</w:t>
            </w:r>
          </w:p>
          <w:p>
            <w:pPr>
              <w:pStyle w:val="TableParagraph"/>
              <w:spacing w:before="111"/>
              <w:ind w:left="200"/>
              <w:rPr>
                <w:b/>
                <w:sz w:val="13"/>
              </w:rPr>
            </w:pPr>
            <w:r>
              <w:rPr>
                <w:b/>
                <w:sz w:val="20"/>
              </w:rPr>
              <w:t>resolved?</w:t>
            </w:r>
            <w:r>
              <w:rPr>
                <w:b/>
                <w:position w:val="7"/>
                <w:sz w:val="13"/>
              </w:rPr>
              <w:t>18</w:t>
            </w:r>
          </w:p>
        </w:tc>
        <w:tc>
          <w:tcPr>
            <w:tcW w:w="4924" w:type="dxa"/>
          </w:tcPr>
          <w:p>
            <w:pPr>
              <w:pStyle w:val="TableParagraph"/>
              <w:spacing w:line="223" w:lineRule="exact"/>
              <w:ind w:left="93"/>
              <w:rPr>
                <w:b/>
                <w:sz w:val="20"/>
              </w:rPr>
            </w:pPr>
            <w:r>
              <w:rPr>
                <w:b/>
                <w:sz w:val="20"/>
              </w:rPr>
              <w:t>Chart 13: Expectations of when Brexit</w:t>
            </w:r>
          </w:p>
          <w:p>
            <w:pPr>
              <w:pStyle w:val="TableParagraph"/>
              <w:spacing w:before="111"/>
              <w:ind w:left="93"/>
              <w:rPr>
                <w:b/>
                <w:sz w:val="13"/>
              </w:rPr>
            </w:pPr>
            <w:r>
              <w:rPr>
                <w:b/>
                <w:sz w:val="20"/>
              </w:rPr>
              <w:t>uncertainty will be resolved in June 2016</w:t>
            </w:r>
            <w:r>
              <w:rPr>
                <w:b/>
                <w:position w:val="7"/>
                <w:sz w:val="13"/>
              </w:rPr>
              <w:t>19</w:t>
            </w:r>
          </w:p>
        </w:tc>
      </w:tr>
      <w:tr>
        <w:trPr>
          <w:trHeight w:val="4488" w:hRule="atLeast"/>
        </w:trPr>
        <w:tc>
          <w:tcPr>
            <w:tcW w:w="5335" w:type="dxa"/>
          </w:tcPr>
          <w:p>
            <w:pPr>
              <w:pStyle w:val="TableParagraph"/>
              <w:spacing w:before="91"/>
              <w:ind w:left="2273" w:right="86" w:hanging="310"/>
              <w:rPr>
                <w:sz w:val="20"/>
              </w:rPr>
            </w:pPr>
            <w:r>
              <w:rPr>
                <w:color w:val="404040"/>
                <w:sz w:val="18"/>
              </w:rPr>
              <w:t>Percentage of respondents who see Brexit as a source of uncertainty  </w:t>
            </w:r>
            <w:r>
              <w:rPr>
                <w:color w:val="404040"/>
                <w:spacing w:val="12"/>
                <w:sz w:val="18"/>
              </w:rPr>
              <w:t> </w:t>
            </w:r>
            <w:r>
              <w:rPr>
                <w:color w:val="404040"/>
                <w:position w:val="-7"/>
                <w:sz w:val="20"/>
              </w:rPr>
              <w:t>70</w:t>
            </w:r>
          </w:p>
          <w:p>
            <w:pPr>
              <w:pStyle w:val="TableParagraph"/>
              <w:spacing w:line="197" w:lineRule="exact" w:before="208"/>
              <w:ind w:left="5021"/>
              <w:rPr>
                <w:sz w:val="20"/>
              </w:rPr>
            </w:pPr>
            <w:r>
              <w:rPr>
                <w:color w:val="404040"/>
                <w:sz w:val="20"/>
              </w:rPr>
              <w:t>60</w:t>
            </w:r>
          </w:p>
          <w:p>
            <w:pPr>
              <w:pStyle w:val="TableParagraph"/>
              <w:spacing w:line="197" w:lineRule="exact"/>
              <w:ind w:left="3558"/>
              <w:rPr>
                <w:sz w:val="20"/>
              </w:rPr>
            </w:pPr>
            <w:r>
              <w:rPr>
                <w:color w:val="00AFEF"/>
                <w:sz w:val="20"/>
              </w:rPr>
              <w:t>During</w:t>
            </w:r>
          </w:p>
          <w:p>
            <w:pPr>
              <w:pStyle w:val="TableParagraph"/>
              <w:tabs>
                <w:tab w:pos="5021" w:val="left" w:leader="none"/>
              </w:tabs>
              <w:ind w:left="3630"/>
              <w:rPr>
                <w:sz w:val="20"/>
              </w:rPr>
            </w:pPr>
            <w:r>
              <w:rPr>
                <w:color w:val="00AFEF"/>
                <w:sz w:val="20"/>
              </w:rPr>
              <w:t>2020</w:t>
              <w:tab/>
            </w:r>
            <w:r>
              <w:rPr>
                <w:color w:val="404040"/>
                <w:position w:val="-3"/>
                <w:sz w:val="20"/>
              </w:rPr>
              <w:t>50</w:t>
            </w:r>
          </w:p>
          <w:p>
            <w:pPr>
              <w:pStyle w:val="TableParagraph"/>
              <w:tabs>
                <w:tab w:pos="5021" w:val="left" w:leader="none"/>
              </w:tabs>
              <w:spacing w:before="211"/>
              <w:ind w:left="3787"/>
              <w:rPr>
                <w:sz w:val="20"/>
              </w:rPr>
            </w:pPr>
            <w:r>
              <w:rPr>
                <w:color w:val="C00000"/>
                <w:sz w:val="20"/>
              </w:rPr>
              <w:t>2021</w:t>
              <w:tab/>
            </w:r>
            <w:r>
              <w:rPr>
                <w:color w:val="404040"/>
                <w:sz w:val="20"/>
              </w:rPr>
              <w:t>40</w:t>
            </w:r>
          </w:p>
          <w:p>
            <w:pPr>
              <w:pStyle w:val="TableParagraph"/>
              <w:spacing w:line="215" w:lineRule="exact"/>
              <w:ind w:left="3631"/>
              <w:rPr>
                <w:sz w:val="20"/>
              </w:rPr>
            </w:pPr>
            <w:r>
              <w:rPr>
                <w:color w:val="C00000"/>
                <w:sz w:val="20"/>
              </w:rPr>
              <w:t>onwards</w:t>
            </w:r>
          </w:p>
          <w:p>
            <w:pPr>
              <w:pStyle w:val="TableParagraph"/>
              <w:spacing w:line="215" w:lineRule="exact"/>
              <w:ind w:left="5021"/>
              <w:rPr>
                <w:sz w:val="20"/>
              </w:rPr>
            </w:pPr>
            <w:r>
              <w:rPr>
                <w:color w:val="404040"/>
                <w:sz w:val="20"/>
              </w:rPr>
              <w:t>30</w:t>
            </w:r>
          </w:p>
          <w:p>
            <w:pPr>
              <w:pStyle w:val="TableParagraph"/>
              <w:spacing w:before="9"/>
              <w:rPr>
                <w:sz w:val="17"/>
              </w:rPr>
            </w:pPr>
          </w:p>
          <w:p>
            <w:pPr>
              <w:pStyle w:val="TableParagraph"/>
              <w:ind w:left="5021"/>
              <w:rPr>
                <w:sz w:val="20"/>
              </w:rPr>
            </w:pPr>
            <w:r>
              <w:rPr>
                <w:color w:val="404040"/>
                <w:sz w:val="20"/>
              </w:rPr>
              <w:t>20</w:t>
            </w:r>
          </w:p>
          <w:p>
            <w:pPr>
              <w:pStyle w:val="TableParagraph"/>
              <w:tabs>
                <w:tab w:pos="5241" w:val="right" w:leader="none"/>
              </w:tabs>
              <w:spacing w:before="207"/>
              <w:ind w:left="3817"/>
              <w:rPr>
                <w:sz w:val="20"/>
              </w:rPr>
            </w:pPr>
            <w:r>
              <w:rPr>
                <w:color w:val="00AF50"/>
                <w:sz w:val="20"/>
              </w:rPr>
              <w:t>By</w:t>
            </w:r>
            <w:r>
              <w:rPr>
                <w:color w:val="00AF50"/>
                <w:spacing w:val="-1"/>
                <w:sz w:val="20"/>
              </w:rPr>
              <w:t> </w:t>
            </w:r>
            <w:r>
              <w:rPr>
                <w:color w:val="00AF50"/>
                <w:sz w:val="20"/>
              </w:rPr>
              <w:t>end</w:t>
              <w:tab/>
            </w:r>
            <w:r>
              <w:rPr>
                <w:color w:val="404040"/>
                <w:position w:val="9"/>
                <w:sz w:val="20"/>
              </w:rPr>
              <w:t>10</w:t>
            </w:r>
          </w:p>
          <w:p>
            <w:pPr>
              <w:pStyle w:val="TableParagraph"/>
              <w:tabs>
                <w:tab w:pos="5021" w:val="left" w:leader="none"/>
              </w:tabs>
              <w:ind w:left="3905"/>
              <w:rPr>
                <w:sz w:val="20"/>
              </w:rPr>
            </w:pPr>
            <w:r>
              <w:rPr>
                <w:color w:val="00AF50"/>
                <w:sz w:val="20"/>
              </w:rPr>
              <w:t>2019</w:t>
              <w:tab/>
            </w:r>
            <w:r>
              <w:rPr>
                <w:color w:val="404040"/>
                <w:position w:val="-10"/>
                <w:sz w:val="20"/>
              </w:rPr>
              <w:t>0</w:t>
            </w:r>
          </w:p>
          <w:p>
            <w:pPr>
              <w:pStyle w:val="TableParagraph"/>
              <w:tabs>
                <w:tab w:pos="2132" w:val="left" w:leader="none"/>
              </w:tabs>
              <w:spacing w:line="244" w:lineRule="auto" w:before="12"/>
              <w:ind w:left="319" w:right="305" w:firstLine="50"/>
              <w:rPr>
                <w:sz w:val="20"/>
              </w:rPr>
            </w:pPr>
            <w:r>
              <w:rPr>
                <w:color w:val="404040"/>
                <w:sz w:val="20"/>
              </w:rPr>
              <w:t>Feb Mar Apr May  Jun  Jul  Aug  Sep  Oct  Nov </w:t>
            </w:r>
            <w:r>
              <w:rPr>
                <w:color w:val="404040"/>
                <w:position w:val="6"/>
                <w:sz w:val="20"/>
              </w:rPr>
              <w:t>2019</w:t>
              <w:tab/>
            </w:r>
            <w:r>
              <w:rPr>
                <w:color w:val="404040"/>
                <w:sz w:val="20"/>
              </w:rPr>
              <w:t>Survey</w:t>
            </w:r>
            <w:r>
              <w:rPr>
                <w:color w:val="404040"/>
                <w:spacing w:val="1"/>
                <w:sz w:val="20"/>
              </w:rPr>
              <w:t> </w:t>
            </w:r>
            <w:r>
              <w:rPr>
                <w:color w:val="404040"/>
                <w:sz w:val="20"/>
              </w:rPr>
              <w:t>month</w:t>
            </w:r>
          </w:p>
          <w:p>
            <w:pPr>
              <w:pStyle w:val="TableParagraph"/>
              <w:spacing w:line="164" w:lineRule="exact" w:before="129"/>
              <w:ind w:left="200"/>
              <w:rPr>
                <w:sz w:val="16"/>
              </w:rPr>
            </w:pPr>
            <w:r>
              <w:rPr>
                <w:sz w:val="16"/>
              </w:rPr>
              <w:t>Sources: DMP Survey and Bank</w:t>
            </w:r>
            <w:r>
              <w:rPr>
                <w:spacing w:val="-22"/>
                <w:sz w:val="16"/>
              </w:rPr>
              <w:t> </w:t>
            </w:r>
            <w:r>
              <w:rPr>
                <w:sz w:val="16"/>
              </w:rPr>
              <w:t>calculations.</w:t>
            </w:r>
          </w:p>
        </w:tc>
        <w:tc>
          <w:tcPr>
            <w:tcW w:w="4924" w:type="dxa"/>
          </w:tcPr>
          <w:p>
            <w:pPr>
              <w:pStyle w:val="TableParagraph"/>
              <w:spacing w:before="91"/>
              <w:ind w:left="1805" w:right="527" w:hanging="359"/>
              <w:rPr>
                <w:sz w:val="18"/>
              </w:rPr>
            </w:pPr>
            <w:r>
              <w:rPr>
                <w:color w:val="404040"/>
                <w:sz w:val="18"/>
              </w:rPr>
              <w:t>Percentage of respondents who see Brexit as a source of uncertainty</w:t>
            </w:r>
          </w:p>
          <w:p>
            <w:pPr>
              <w:pStyle w:val="TableParagraph"/>
              <w:spacing w:before="78"/>
              <w:ind w:left="4523"/>
              <w:rPr>
                <w:sz w:val="18"/>
              </w:rPr>
            </w:pPr>
            <w:r>
              <w:rPr>
                <w:color w:val="585858"/>
                <w:sz w:val="18"/>
              </w:rPr>
              <w:t>50</w:t>
            </w:r>
          </w:p>
          <w:p>
            <w:pPr>
              <w:pStyle w:val="TableParagraph"/>
              <w:spacing w:before="75"/>
              <w:ind w:left="4523"/>
              <w:rPr>
                <w:sz w:val="18"/>
              </w:rPr>
            </w:pPr>
            <w:r>
              <w:rPr>
                <w:color w:val="585858"/>
                <w:sz w:val="18"/>
              </w:rPr>
              <w:t>45</w:t>
            </w:r>
          </w:p>
          <w:p>
            <w:pPr>
              <w:pStyle w:val="TableParagraph"/>
              <w:spacing w:before="75"/>
              <w:ind w:left="4523"/>
              <w:rPr>
                <w:sz w:val="18"/>
              </w:rPr>
            </w:pPr>
            <w:r>
              <w:rPr>
                <w:color w:val="585858"/>
                <w:sz w:val="18"/>
              </w:rPr>
              <w:t>40</w:t>
            </w:r>
          </w:p>
          <w:p>
            <w:pPr>
              <w:pStyle w:val="TableParagraph"/>
              <w:spacing w:before="75"/>
              <w:ind w:left="4523"/>
              <w:rPr>
                <w:sz w:val="18"/>
              </w:rPr>
            </w:pPr>
            <w:r>
              <w:rPr>
                <w:color w:val="585858"/>
                <w:sz w:val="18"/>
              </w:rPr>
              <w:t>35</w:t>
            </w:r>
          </w:p>
          <w:p>
            <w:pPr>
              <w:pStyle w:val="TableParagraph"/>
              <w:spacing w:before="75"/>
              <w:ind w:left="4523"/>
              <w:rPr>
                <w:sz w:val="18"/>
              </w:rPr>
            </w:pPr>
            <w:r>
              <w:rPr>
                <w:color w:val="585858"/>
                <w:sz w:val="18"/>
              </w:rPr>
              <w:t>30</w:t>
            </w:r>
          </w:p>
          <w:p>
            <w:pPr>
              <w:pStyle w:val="TableParagraph"/>
              <w:spacing w:before="75"/>
              <w:ind w:left="4523"/>
              <w:rPr>
                <w:sz w:val="18"/>
              </w:rPr>
            </w:pPr>
            <w:r>
              <w:rPr>
                <w:color w:val="585858"/>
                <w:sz w:val="18"/>
              </w:rPr>
              <w:t>25</w:t>
            </w:r>
          </w:p>
          <w:p>
            <w:pPr>
              <w:pStyle w:val="TableParagraph"/>
              <w:spacing w:before="74"/>
              <w:ind w:left="4523"/>
              <w:rPr>
                <w:sz w:val="18"/>
              </w:rPr>
            </w:pPr>
            <w:r>
              <w:rPr>
                <w:color w:val="585858"/>
                <w:sz w:val="18"/>
              </w:rPr>
              <w:t>20</w:t>
            </w:r>
          </w:p>
          <w:p>
            <w:pPr>
              <w:pStyle w:val="TableParagraph"/>
              <w:spacing w:before="76"/>
              <w:ind w:left="4523"/>
              <w:rPr>
                <w:sz w:val="18"/>
              </w:rPr>
            </w:pPr>
            <w:r>
              <w:rPr>
                <w:color w:val="585858"/>
                <w:sz w:val="18"/>
              </w:rPr>
              <w:t>15</w:t>
            </w:r>
          </w:p>
          <w:p>
            <w:pPr>
              <w:pStyle w:val="TableParagraph"/>
              <w:spacing w:before="74"/>
              <w:ind w:left="4523"/>
              <w:rPr>
                <w:sz w:val="18"/>
              </w:rPr>
            </w:pPr>
            <w:r>
              <w:rPr>
                <w:color w:val="585858"/>
                <w:sz w:val="18"/>
              </w:rPr>
              <w:t>10</w:t>
            </w:r>
          </w:p>
          <w:p>
            <w:pPr>
              <w:pStyle w:val="TableParagraph"/>
              <w:spacing w:before="75"/>
              <w:ind w:left="4523"/>
              <w:rPr>
                <w:sz w:val="18"/>
              </w:rPr>
            </w:pPr>
            <w:r>
              <w:rPr>
                <w:color w:val="585858"/>
                <w:w w:val="99"/>
                <w:sz w:val="18"/>
              </w:rPr>
              <w:t>5</w:t>
            </w:r>
          </w:p>
          <w:p>
            <w:pPr>
              <w:pStyle w:val="TableParagraph"/>
              <w:spacing w:before="75"/>
              <w:ind w:left="4523"/>
              <w:rPr>
                <w:sz w:val="18"/>
              </w:rPr>
            </w:pPr>
            <w:r>
              <w:rPr>
                <w:color w:val="585858"/>
                <w:w w:val="99"/>
                <w:sz w:val="18"/>
              </w:rPr>
              <w:t>0</w:t>
            </w:r>
          </w:p>
          <w:p>
            <w:pPr>
              <w:pStyle w:val="TableParagraph"/>
              <w:tabs>
                <w:tab w:pos="1766" w:val="left" w:leader="none"/>
                <w:tab w:pos="2452" w:val="left" w:leader="none"/>
                <w:tab w:pos="3138" w:val="left" w:leader="none"/>
                <w:tab w:pos="3825" w:val="left" w:leader="none"/>
              </w:tabs>
              <w:spacing w:before="7"/>
              <w:ind w:left="264"/>
              <w:rPr>
                <w:sz w:val="18"/>
              </w:rPr>
            </w:pPr>
            <w:r>
              <w:rPr>
                <w:color w:val="585858"/>
                <w:sz w:val="18"/>
              </w:rPr>
              <w:t>By</w:t>
            </w:r>
            <w:r>
              <w:rPr>
                <w:color w:val="585858"/>
                <w:spacing w:val="-3"/>
                <w:sz w:val="18"/>
              </w:rPr>
              <w:t> </w:t>
            </w:r>
            <w:r>
              <w:rPr>
                <w:color w:val="585858"/>
                <w:sz w:val="18"/>
              </w:rPr>
              <w:t>2017  </w:t>
            </w:r>
            <w:r>
              <w:rPr>
                <w:color w:val="585858"/>
                <w:spacing w:val="4"/>
                <w:sz w:val="18"/>
              </w:rPr>
              <w:t> </w:t>
            </w:r>
            <w:r>
              <w:rPr>
                <w:color w:val="585858"/>
                <w:sz w:val="18"/>
              </w:rPr>
              <w:t>2018</w:t>
              <w:tab/>
              <w:t>2019</w:t>
              <w:tab/>
              <w:t>2020</w:t>
              <w:tab/>
              <w:t>2021</w:t>
              <w:tab/>
              <w:t>2022</w:t>
            </w:r>
          </w:p>
          <w:p>
            <w:pPr>
              <w:pStyle w:val="TableParagraph"/>
              <w:ind w:left="3685"/>
              <w:rPr>
                <w:sz w:val="18"/>
              </w:rPr>
            </w:pPr>
            <w:r>
              <w:rPr>
                <w:color w:val="585858"/>
                <w:sz w:val="18"/>
              </w:rPr>
              <w:t>onwards</w:t>
            </w:r>
          </w:p>
          <w:p>
            <w:pPr>
              <w:pStyle w:val="TableParagraph"/>
              <w:spacing w:before="4"/>
              <w:rPr>
                <w:sz w:val="21"/>
              </w:rPr>
            </w:pPr>
          </w:p>
          <w:p>
            <w:pPr>
              <w:pStyle w:val="TableParagraph"/>
              <w:ind w:left="93"/>
              <w:rPr>
                <w:sz w:val="16"/>
              </w:rPr>
            </w:pPr>
            <w:r>
              <w:rPr>
                <w:sz w:val="16"/>
              </w:rPr>
              <w:t>Sources: DMP Survey and Bank calculations.</w:t>
            </w:r>
          </w:p>
        </w:tc>
      </w:tr>
    </w:tbl>
    <w:p>
      <w:pPr>
        <w:pStyle w:val="BodyText"/>
        <w:rPr>
          <w:sz w:val="22"/>
        </w:rPr>
      </w:pPr>
    </w:p>
    <w:p>
      <w:pPr>
        <w:pStyle w:val="BodyText"/>
        <w:spacing w:line="360" w:lineRule="auto" w:before="185"/>
        <w:ind w:left="313" w:right="556"/>
      </w:pPr>
      <w:r>
        <w:rPr/>
        <w:t>Businesses seem to share this view according to the latest results from the Decision Maker Panel survey run in November.</w:t>
      </w:r>
      <w:r>
        <w:rPr>
          <w:position w:val="6"/>
          <w:sz w:val="13"/>
        </w:rPr>
        <w:t>20 </w:t>
      </w:r>
      <w:r>
        <w:rPr/>
        <w:t>Just under 40% expected their uncertainty to persist until at least 2021, with this proportion having increased on the month and doubled since August (</w:t>
      </w:r>
      <w:r>
        <w:rPr>
          <w:b/>
        </w:rPr>
        <w:t>chart 12</w:t>
      </w:r>
      <w:r>
        <w:rPr/>
        <w:t>). The trend of Brexit-related uncertainty taking longer to resolve than previously expected is also evident if we ask firms about when they expected Brexit uncertainty to be resolved shortly after the referendum. </w:t>
      </w:r>
      <w:r>
        <w:rPr>
          <w:b/>
        </w:rPr>
        <w:t>Chart 13 </w:t>
      </w:r>
      <w:r>
        <w:rPr/>
        <w:t>indeed shows that, in June 2016, 87% of firms expected Brexit-related uncertainty to have been resolved before the end of 2019, while only 13% of firms expected their Brexit-related uncertainty to persist further into 2020 or later.</w:t>
      </w:r>
    </w:p>
    <w:p>
      <w:pPr>
        <w:pStyle w:val="BodyText"/>
        <w:spacing w:before="10"/>
      </w:pPr>
    </w:p>
    <w:p>
      <w:pPr>
        <w:pStyle w:val="BodyText"/>
        <w:spacing w:line="360" w:lineRule="auto"/>
        <w:ind w:left="313" w:right="363"/>
      </w:pPr>
      <w:r>
        <w:rPr/>
        <w:t>As I have already mentioned, I also note re-emergence of excess supply in the economy. In particular, I fear that this may be the first sign of a new and protracted slowdown. While it is true that the unemployment rate is very low, at around 4%, and indicative of a tight labour market, it is also true that this is a somewhat</w:t>
      </w:r>
    </w:p>
    <w:p>
      <w:pPr>
        <w:pStyle w:val="BodyText"/>
        <w:spacing w:line="360" w:lineRule="auto"/>
        <w:ind w:left="313" w:right="534"/>
      </w:pPr>
      <w:r>
        <w:rPr/>
        <w:t>backward-looking measure. In contrast, if we consider indicators such as vacancies posted by companies which are more forward-looking given the time it takes to hire (skilled workers at least), we discover that they have undergone a dramatic drop over the last year (</w:t>
      </w:r>
      <w:r>
        <w:rPr>
          <w:b/>
        </w:rPr>
        <w:t>chart 8</w:t>
      </w:r>
      <w:r>
        <w:rPr/>
        <w:t>). Therefore, you will not find it so surprising that I am worried that this may be signalling a forthcoming slowdown in UK employment.</w:t>
      </w:r>
    </w:p>
    <w:p>
      <w:pPr>
        <w:pStyle w:val="BodyText"/>
      </w:pPr>
    </w:p>
    <w:p>
      <w:pPr>
        <w:pStyle w:val="BodyText"/>
      </w:pPr>
    </w:p>
    <w:p>
      <w:pPr>
        <w:pStyle w:val="BodyText"/>
      </w:pPr>
    </w:p>
    <w:p>
      <w:pPr>
        <w:pStyle w:val="BodyText"/>
        <w:spacing w:before="4"/>
      </w:pPr>
      <w:r>
        <w:rPr/>
        <w:pict>
          <v:shape style="position:absolute;margin-left:49.68pt;margin-top:13.971709pt;width:144.050pt;height:.1pt;mso-position-horizontal-relative:page;mso-position-vertical-relative:paragraph;z-index:-251630592;mso-wrap-distance-left:0;mso-wrap-distance-right:0" coordorigin="994,279" coordsize="2881,0" path="m994,279l3875,279e" filled="false" stroked="true" strokeweight=".599980pt" strokecolor="#000000">
            <v:path arrowok="t"/>
            <v:stroke dashstyle="solid"/>
            <w10:wrap type="topAndBottom"/>
          </v:shape>
        </w:pict>
      </w:r>
    </w:p>
    <w:p>
      <w:pPr>
        <w:pStyle w:val="BodyText"/>
        <w:spacing w:before="2"/>
        <w:rPr>
          <w:sz w:val="8"/>
        </w:rPr>
      </w:pPr>
    </w:p>
    <w:p>
      <w:pPr>
        <w:spacing w:line="186" w:lineRule="exact" w:before="97"/>
        <w:ind w:left="313" w:right="0" w:firstLine="0"/>
        <w:jc w:val="left"/>
        <w:rPr>
          <w:sz w:val="16"/>
        </w:rPr>
      </w:pPr>
      <w:r>
        <w:rPr>
          <w:position w:val="6"/>
          <w:sz w:val="10"/>
        </w:rPr>
        <w:t>17 </w:t>
      </w:r>
      <w:r>
        <w:rPr>
          <w:sz w:val="16"/>
        </w:rPr>
        <w:t>For more discussion, see Haskel (2018).</w:t>
      </w:r>
    </w:p>
    <w:p>
      <w:pPr>
        <w:spacing w:before="0"/>
        <w:ind w:left="313" w:right="511" w:firstLine="0"/>
        <w:jc w:val="left"/>
        <w:rPr>
          <w:sz w:val="16"/>
        </w:rPr>
      </w:pPr>
      <w:r>
        <w:rPr>
          <w:position w:val="6"/>
          <w:sz w:val="10"/>
        </w:rPr>
        <w:t>18 </w:t>
      </w:r>
      <w:r>
        <w:rPr>
          <w:sz w:val="16"/>
        </w:rPr>
        <w:t>Note: the results are based on the question ‘When do you think it is most likely that the Brexit-related uncertainty facing your business will be resolved?’</w:t>
      </w:r>
    </w:p>
    <w:p>
      <w:pPr>
        <w:spacing w:line="240" w:lineRule="auto" w:before="0"/>
        <w:ind w:left="313" w:right="511" w:firstLine="0"/>
        <w:jc w:val="left"/>
        <w:rPr>
          <w:sz w:val="16"/>
        </w:rPr>
      </w:pPr>
      <w:r>
        <w:rPr>
          <w:position w:val="6"/>
          <w:sz w:val="10"/>
        </w:rPr>
        <w:t>19 </w:t>
      </w:r>
      <w:r>
        <w:rPr>
          <w:sz w:val="16"/>
        </w:rPr>
        <w:t>Note: the results are based on the question ‘Thinking back shortly after the Brexit referendum in June 2016, at that point when did you expect it was most likely that the Brexit-related uncertainty facing your business would have been resolved?’</w:t>
      </w:r>
    </w:p>
    <w:p>
      <w:pPr>
        <w:spacing w:line="186" w:lineRule="exact" w:before="0"/>
        <w:ind w:left="313" w:right="0" w:firstLine="0"/>
        <w:jc w:val="left"/>
        <w:rPr>
          <w:sz w:val="16"/>
        </w:rPr>
      </w:pPr>
      <w:r>
        <w:rPr>
          <w:position w:val="6"/>
          <w:sz w:val="10"/>
        </w:rPr>
        <w:t>20 </w:t>
      </w:r>
      <w:r>
        <w:rPr>
          <w:sz w:val="16"/>
        </w:rPr>
        <w:t>Notice the Brexit deadline was extended to 31 January 2020 before the November survey opened.</w:t>
      </w:r>
    </w:p>
    <w:p>
      <w:pPr>
        <w:spacing w:after="0" w:line="186" w:lineRule="exact"/>
        <w:jc w:val="left"/>
        <w:rPr>
          <w:sz w:val="16"/>
        </w:rPr>
        <w:sectPr>
          <w:pgSz w:w="11910" w:h="16840"/>
          <w:pgMar w:header="0" w:footer="872" w:top="1340" w:bottom="1060" w:left="680" w:right="480"/>
        </w:sectPr>
      </w:pPr>
    </w:p>
    <w:p>
      <w:pPr>
        <w:pStyle w:val="BodyText"/>
        <w:spacing w:line="360" w:lineRule="auto" w:before="81"/>
        <w:ind w:left="313" w:right="567"/>
      </w:pPr>
      <w:r>
        <w:rPr/>
        <w:t>Another possible risk around the projections is the possible smaller effects from looser monetary policy over the past years, which would implicitly mean that the current stance is more contractionary than we have previously thought. For example, the equilibrium interest rate for the UK may have gone down by more than expected in</w:t>
      </w:r>
    </w:p>
    <w:p>
      <w:pPr>
        <w:pStyle w:val="BodyText"/>
        <w:spacing w:line="360" w:lineRule="auto"/>
        <w:ind w:left="313"/>
      </w:pPr>
      <w:r>
        <w:rPr/>
        <w:t>the last years, e.g. because of the negative effects of Brexit on UK structural productivity.</w:t>
      </w:r>
      <w:r>
        <w:rPr>
          <w:position w:val="6"/>
          <w:sz w:val="13"/>
        </w:rPr>
        <w:t>21 </w:t>
      </w:r>
      <w:r>
        <w:rPr/>
        <w:t>Similarly, heightened uncertainty may have weakened the transmission mechanisms from Bank rate cuts. For example, Bunn,</w:t>
      </w:r>
    </w:p>
    <w:p>
      <w:pPr>
        <w:pStyle w:val="BodyText"/>
        <w:spacing w:line="360" w:lineRule="auto" w:before="1"/>
        <w:ind w:left="313" w:right="767"/>
        <w:rPr>
          <w:sz w:val="13"/>
        </w:rPr>
      </w:pPr>
      <w:r>
        <w:rPr/>
        <w:t>Le Roux, Reinold and Surico (2018) find that (controlling for balance sheet factors) households who are more uncertain report cutting spending by more in the face of negative income shocks, and perhaps increase by slightly less following a positive income shocks, as would be the case under a cut.</w:t>
      </w:r>
      <w:r>
        <w:rPr>
          <w:position w:val="6"/>
          <w:sz w:val="13"/>
        </w:rPr>
        <w:t>22</w:t>
      </w:r>
    </w:p>
    <w:p>
      <w:pPr>
        <w:pStyle w:val="BodyText"/>
        <w:spacing w:before="9"/>
        <w:rPr>
          <w:sz w:val="29"/>
        </w:rPr>
      </w:pPr>
    </w:p>
    <w:p>
      <w:pPr>
        <w:pStyle w:val="Heading1"/>
        <w:numPr>
          <w:ilvl w:val="0"/>
          <w:numId w:val="1"/>
        </w:numPr>
        <w:tabs>
          <w:tab w:pos="535" w:val="left" w:leader="none"/>
        </w:tabs>
        <w:spacing w:line="240" w:lineRule="auto" w:before="0" w:after="0"/>
        <w:ind w:left="534" w:right="0" w:hanging="222"/>
        <w:jc w:val="left"/>
      </w:pPr>
      <w:r>
        <w:rPr/>
        <w:t>Insuring against the ghosts of low inflation</w:t>
      </w:r>
      <w:r>
        <w:rPr>
          <w:spacing w:val="1"/>
        </w:rPr>
        <w:t> </w:t>
      </w:r>
      <w:r>
        <w:rPr/>
        <w:t>future</w:t>
      </w:r>
    </w:p>
    <w:p>
      <w:pPr>
        <w:pStyle w:val="BodyText"/>
        <w:rPr>
          <w:b/>
          <w:sz w:val="22"/>
        </w:rPr>
      </w:pPr>
    </w:p>
    <w:p>
      <w:pPr>
        <w:pStyle w:val="BodyText"/>
        <w:spacing w:before="1"/>
        <w:rPr>
          <w:b/>
          <w:sz w:val="18"/>
        </w:rPr>
      </w:pPr>
    </w:p>
    <w:p>
      <w:pPr>
        <w:pStyle w:val="BodyText"/>
        <w:spacing w:line="357" w:lineRule="auto" w:before="1"/>
        <w:ind w:left="313" w:right="1029"/>
      </w:pPr>
      <w:r>
        <w:rPr/>
        <w:t>In my view, the current data and weak near term forecast is enough to justify a cut. I would like to discuss another reason for cutting now, namely </w:t>
      </w:r>
      <w:r>
        <w:rPr>
          <w:i/>
        </w:rPr>
        <w:t>risk management</w:t>
      </w:r>
      <w:r>
        <w:rPr/>
        <w:t>.</w:t>
      </w:r>
      <w:r>
        <w:rPr>
          <w:position w:val="6"/>
          <w:sz w:val="13"/>
        </w:rPr>
        <w:t>23 </w:t>
      </w:r>
      <w:r>
        <w:rPr/>
        <w:t>What does this mean?</w:t>
      </w:r>
    </w:p>
    <w:p>
      <w:pPr>
        <w:pStyle w:val="BodyText"/>
        <w:spacing w:before="4"/>
        <w:rPr>
          <w:sz w:val="30"/>
        </w:rPr>
      </w:pPr>
    </w:p>
    <w:p>
      <w:pPr>
        <w:pStyle w:val="BodyText"/>
        <w:spacing w:line="360" w:lineRule="auto"/>
        <w:ind w:left="313" w:right="778"/>
      </w:pPr>
      <w:r>
        <w:rPr/>
        <w:t>Risk management arguments propose that the possibility of running out of monetary headroom, e.g. by being close to the Effective Lower Bound (ELB), warrants looser monetary policy in advance of it occurring</w:t>
      </w:r>
    </w:p>
    <w:p>
      <w:pPr>
        <w:pStyle w:val="BodyText"/>
        <w:spacing w:line="360" w:lineRule="auto"/>
        <w:ind w:left="313" w:right="511"/>
        <w:rPr>
          <w:sz w:val="13"/>
        </w:rPr>
      </w:pPr>
      <w:r>
        <w:rPr/>
        <w:t>(e.g. Evans et al (2015) and Adam and Billi (2007)). The idea is that an interest rate cut is a kind of </w:t>
      </w:r>
      <w:r>
        <w:rPr>
          <w:i/>
        </w:rPr>
        <w:t>insurance </w:t>
      </w:r>
      <w:r>
        <w:rPr>
          <w:i/>
        </w:rPr>
        <w:t>policy</w:t>
      </w:r>
      <w:r>
        <w:rPr/>
        <w:t>, taken out to stop growth and inflation from slowing down so much that the central banks would have nothing to do but drive the interest rate to its lower bound.</w:t>
      </w:r>
      <w:r>
        <w:rPr>
          <w:position w:val="6"/>
          <w:sz w:val="13"/>
        </w:rPr>
        <w:t>24</w:t>
      </w:r>
    </w:p>
    <w:p>
      <w:pPr>
        <w:pStyle w:val="BodyText"/>
        <w:spacing w:before="1"/>
        <w:rPr>
          <w:sz w:val="30"/>
        </w:rPr>
      </w:pPr>
    </w:p>
    <w:p>
      <w:pPr>
        <w:pStyle w:val="BodyText"/>
        <w:spacing w:line="360" w:lineRule="auto" w:before="1"/>
        <w:ind w:left="313" w:right="520"/>
      </w:pPr>
      <w:r>
        <w:rPr/>
        <w:t>Notice we would not need this insurance if a central bank’s toolkit contained alternative instruments that were perfect substitutes for changing the policy rate. In those cases, the ELB never binds and thus is never a problem. In the real world however, the effects on the economy of unconventional policies such as QE are much more uncertain than those of traditional tools. There are divergent empirical estimates of their effects, and there is uncertainty about the theoretical mechanism behind those effects.</w:t>
      </w:r>
    </w:p>
    <w:p>
      <w:pPr>
        <w:pStyle w:val="BodyText"/>
        <w:spacing w:before="10"/>
        <w:rPr>
          <w:sz w:val="29"/>
        </w:rPr>
      </w:pPr>
    </w:p>
    <w:p>
      <w:pPr>
        <w:pStyle w:val="BodyText"/>
        <w:spacing w:line="360" w:lineRule="auto"/>
        <w:ind w:left="313" w:right="790"/>
      </w:pPr>
      <w:r>
        <w:rPr/>
        <w:t>The conclusion from risk management is general, as it does not rely significantly on model specifications. For example, it holds across several assumptions on the expectations formation of the different agents in the economy.</w:t>
      </w:r>
    </w:p>
    <w:p>
      <w:pPr>
        <w:pStyle w:val="BodyText"/>
        <w:rPr>
          <w:sz w:val="30"/>
        </w:rPr>
      </w:pPr>
    </w:p>
    <w:p>
      <w:pPr>
        <w:pStyle w:val="BodyText"/>
        <w:spacing w:line="360" w:lineRule="auto" w:before="1"/>
        <w:ind w:left="313" w:right="977"/>
      </w:pPr>
      <w:r>
        <w:rPr/>
        <w:t>If agents are forward looking, looser policy through risk management of monetary policy offsets the disinflationary effect that an expectation of reaching monetary policy limits could have. This mechanism operates through the so-called expectations channel, which arises because the possibility of a binding ELB</w:t>
      </w:r>
    </w:p>
    <w:p>
      <w:pPr>
        <w:pStyle w:val="BodyText"/>
      </w:pPr>
    </w:p>
    <w:p>
      <w:pPr>
        <w:pStyle w:val="BodyText"/>
      </w:pPr>
    </w:p>
    <w:p>
      <w:pPr>
        <w:pStyle w:val="BodyText"/>
      </w:pPr>
    </w:p>
    <w:p>
      <w:pPr>
        <w:pStyle w:val="BodyText"/>
        <w:spacing w:before="8"/>
      </w:pPr>
      <w:r>
        <w:rPr/>
        <w:pict>
          <v:shape style="position:absolute;margin-left:49.68pt;margin-top:14.181162pt;width:144.050pt;height:.1pt;mso-position-horizontal-relative:page;mso-position-vertical-relative:paragraph;z-index:-251627520;mso-wrap-distance-left:0;mso-wrap-distance-right:0" coordorigin="994,284" coordsize="2881,0" path="m994,284l3875,284e" filled="false" stroked="true" strokeweight=".599980pt" strokecolor="#000000">
            <v:path arrowok="t"/>
            <v:stroke dashstyle="solid"/>
            <w10:wrap type="topAndBottom"/>
          </v:shape>
        </w:pict>
      </w:r>
    </w:p>
    <w:p>
      <w:pPr>
        <w:pStyle w:val="BodyText"/>
        <w:spacing w:before="2"/>
        <w:rPr>
          <w:sz w:val="8"/>
        </w:rPr>
      </w:pPr>
    </w:p>
    <w:p>
      <w:pPr>
        <w:spacing w:line="186" w:lineRule="exact" w:before="97"/>
        <w:ind w:left="313" w:right="0" w:firstLine="0"/>
        <w:jc w:val="both"/>
        <w:rPr>
          <w:sz w:val="16"/>
        </w:rPr>
      </w:pPr>
      <w:r>
        <w:rPr>
          <w:position w:val="6"/>
          <w:sz w:val="10"/>
        </w:rPr>
        <w:t>21 </w:t>
      </w:r>
      <w:r>
        <w:rPr>
          <w:sz w:val="16"/>
        </w:rPr>
        <w:t>See for more details Bank of England</w:t>
      </w:r>
      <w:hyperlink r:id="rId10">
        <w:r>
          <w:rPr>
            <w:color w:val="0000FF"/>
            <w:sz w:val="16"/>
            <w:u w:val="single" w:color="0000FF"/>
          </w:rPr>
          <w:t> August 2018 Inflation Report</w:t>
        </w:r>
        <w:r>
          <w:rPr>
            <w:sz w:val="16"/>
          </w:rPr>
          <w:t>.</w:t>
        </w:r>
      </w:hyperlink>
    </w:p>
    <w:p>
      <w:pPr>
        <w:spacing w:before="0"/>
        <w:ind w:left="313" w:right="514" w:firstLine="0"/>
        <w:jc w:val="both"/>
        <w:rPr>
          <w:sz w:val="16"/>
        </w:rPr>
      </w:pPr>
      <w:r>
        <w:rPr>
          <w:position w:val="6"/>
          <w:sz w:val="10"/>
        </w:rPr>
        <w:t>22 </w:t>
      </w:r>
      <w:r>
        <w:rPr>
          <w:sz w:val="16"/>
        </w:rPr>
        <w:t>Of course, when I argue that our monetary policy stance may be more contractionary, I am considering the cuts since the financial crisis in 2008 as well as possible future cuts. I note this, as the last two changes in Bank rate have been hikes.</w:t>
      </w:r>
    </w:p>
    <w:p>
      <w:pPr>
        <w:spacing w:line="240" w:lineRule="auto" w:before="0"/>
        <w:ind w:left="313" w:right="507" w:firstLine="0"/>
        <w:jc w:val="both"/>
        <w:rPr>
          <w:sz w:val="16"/>
        </w:rPr>
      </w:pPr>
      <w:r>
        <w:rPr>
          <w:position w:val="6"/>
          <w:sz w:val="10"/>
        </w:rPr>
        <w:t>23 </w:t>
      </w:r>
      <w:r>
        <w:rPr>
          <w:sz w:val="16"/>
        </w:rPr>
        <w:t>Other policy-makers before me have mentioned this as a justification for a looser stance for monetary </w:t>
      </w:r>
      <w:r>
        <w:rPr>
          <w:spacing w:val="-3"/>
          <w:sz w:val="16"/>
        </w:rPr>
        <w:t>policy, </w:t>
      </w:r>
      <w:r>
        <w:rPr>
          <w:sz w:val="16"/>
        </w:rPr>
        <w:t>e.g. Mishkin (2008) and, more </w:t>
      </w:r>
      <w:r>
        <w:rPr>
          <w:spacing w:val="-3"/>
          <w:sz w:val="16"/>
        </w:rPr>
        <w:t>recently, </w:t>
      </w:r>
      <w:r>
        <w:rPr>
          <w:sz w:val="16"/>
        </w:rPr>
        <w:t>Fed’s Chairman Powel (2018b) and Chicago Fed President Evans</w:t>
      </w:r>
      <w:r>
        <w:rPr>
          <w:spacing w:val="-1"/>
          <w:sz w:val="16"/>
        </w:rPr>
        <w:t> </w:t>
      </w:r>
      <w:r>
        <w:rPr>
          <w:sz w:val="16"/>
        </w:rPr>
        <w:t>(2019).</w:t>
      </w:r>
    </w:p>
    <w:p>
      <w:pPr>
        <w:spacing w:line="240" w:lineRule="auto" w:before="0"/>
        <w:ind w:left="313" w:right="503" w:firstLine="0"/>
        <w:jc w:val="both"/>
        <w:rPr>
          <w:sz w:val="16"/>
        </w:rPr>
      </w:pPr>
      <w:r>
        <w:rPr>
          <w:position w:val="6"/>
          <w:sz w:val="10"/>
        </w:rPr>
        <w:t>24 </w:t>
      </w:r>
      <w:r>
        <w:rPr>
          <w:sz w:val="16"/>
        </w:rPr>
        <w:t>To be precise, as observed by Greenspan (2004) and Mishkin (2008), the risk management argument may refer to any asymmetries in the outlook, not necessarily from the ELB. Thus, technically the risks that I have described in section 3 are already enough by themselves to warrant a looser path for policy than the one implied by the central forecast. For more on optimal monetary policy, risk and the ZLB, see for example recent Staff work by Seneca (2016).</w:t>
      </w:r>
    </w:p>
    <w:p>
      <w:pPr>
        <w:spacing w:after="0" w:line="240" w:lineRule="auto"/>
        <w:jc w:val="both"/>
        <w:rPr>
          <w:sz w:val="16"/>
        </w:rPr>
        <w:sectPr>
          <w:pgSz w:w="11910" w:h="16840"/>
          <w:pgMar w:header="0" w:footer="872" w:top="1340" w:bottom="1060" w:left="680" w:right="480"/>
        </w:sectPr>
      </w:pPr>
    </w:p>
    <w:p>
      <w:pPr>
        <w:pStyle w:val="BodyText"/>
        <w:spacing w:line="360" w:lineRule="auto" w:before="81"/>
        <w:ind w:left="313" w:right="511"/>
      </w:pPr>
      <w:r>
        <w:rPr/>
        <w:t>tomorrow leads to lower expected inflation</w:t>
      </w:r>
      <w:r>
        <w:rPr>
          <w:position w:val="6"/>
          <w:sz w:val="13"/>
        </w:rPr>
        <w:t>25 </w:t>
      </w:r>
      <w:r>
        <w:rPr/>
        <w:t>and output today and hence dictates some counteracting policy easing today.</w:t>
      </w:r>
    </w:p>
    <w:p>
      <w:pPr>
        <w:pStyle w:val="BodyText"/>
        <w:rPr>
          <w:sz w:val="30"/>
        </w:rPr>
      </w:pPr>
    </w:p>
    <w:p>
      <w:pPr>
        <w:pStyle w:val="BodyText"/>
        <w:spacing w:line="360" w:lineRule="auto"/>
        <w:ind w:left="313" w:right="538"/>
        <w:jc w:val="both"/>
      </w:pPr>
      <w:r>
        <w:rPr/>
        <w:t>In contrast, if agents are backward looking, looser policy increases momentum, reducing the chance of reaching constraints on </w:t>
      </w:r>
      <w:r>
        <w:rPr>
          <w:spacing w:val="-3"/>
        </w:rPr>
        <w:t>policy. </w:t>
      </w:r>
      <w:r>
        <w:rPr/>
        <w:t>This works through the so-called buffer stock channel, which occurs because, if inflation or output is intrinsically persistent, building up output or inflation today reduces the likelihood and severity of hitting the ELB tomorrow.</w:t>
      </w:r>
    </w:p>
    <w:p>
      <w:pPr>
        <w:pStyle w:val="BodyText"/>
        <w:rPr>
          <w:sz w:val="30"/>
        </w:rPr>
      </w:pPr>
    </w:p>
    <w:p>
      <w:pPr>
        <w:pStyle w:val="BodyText"/>
        <w:spacing w:line="360" w:lineRule="auto" w:before="1"/>
        <w:ind w:left="313" w:right="511"/>
      </w:pPr>
      <w:r>
        <w:rPr/>
        <w:t>Naturally, as in every insurance contract, we must ask ourselves ‘is it worth it?’ Of course, the answer depends on: (i) how likely we think the bad outcome is, and (ii) the premium we pay for the insurance.</w:t>
      </w:r>
    </w:p>
    <w:p>
      <w:pPr>
        <w:pStyle w:val="BodyText"/>
        <w:spacing w:before="10"/>
        <w:rPr>
          <w:sz w:val="29"/>
        </w:rPr>
      </w:pPr>
    </w:p>
    <w:p>
      <w:pPr>
        <w:pStyle w:val="BodyText"/>
        <w:spacing w:line="360" w:lineRule="auto" w:before="1"/>
        <w:ind w:left="313" w:right="500"/>
      </w:pPr>
      <w:r>
        <w:rPr/>
        <w:t>This first item leads us to the question of whether policy-makers might overstate the probabilities of meeting the ELB, which takes one to a broader discussion of the behavioural economics of decision-making, which I leave to another time. Here I merely note that, as I have described above, I believe there is a substantial chance of inflation being quite weak and for growth to slow down more in the near-term.</w:t>
      </w:r>
    </w:p>
    <w:p>
      <w:pPr>
        <w:pStyle w:val="BodyText"/>
        <w:spacing w:before="1"/>
        <w:rPr>
          <w:sz w:val="30"/>
        </w:rPr>
      </w:pPr>
    </w:p>
    <w:p>
      <w:pPr>
        <w:pStyle w:val="BodyText"/>
        <w:spacing w:line="360" w:lineRule="auto"/>
        <w:ind w:left="313" w:right="1200"/>
        <w:jc w:val="both"/>
      </w:pPr>
      <w:r>
        <w:rPr/>
        <w:t>On the second, I think in this context the insurance might be quite cheap. Even if it turns out that the policy-maker has overstated the probability of ending up at the ELB, we can undo the stimulus by raising</w:t>
      </w:r>
    </w:p>
    <w:p>
      <w:pPr>
        <w:pStyle w:val="BodyText"/>
        <w:spacing w:line="360" w:lineRule="auto"/>
        <w:ind w:left="313" w:right="894"/>
        <w:jc w:val="both"/>
        <w:rPr>
          <w:sz w:val="13"/>
        </w:rPr>
      </w:pPr>
      <w:r>
        <w:rPr/>
        <w:t>interest rates, given the much larger policy space we have available in terms of tighter </w:t>
      </w:r>
      <w:r>
        <w:rPr>
          <w:spacing w:val="-3"/>
        </w:rPr>
        <w:t>policy. </w:t>
      </w:r>
      <w:r>
        <w:rPr/>
        <w:t>In this sense, I believe the costs of reversing policy would be quite low as expectations are unlikely to be de-anchored from looser monetary policy after so many years of ‘lower for longer’.</w:t>
      </w:r>
      <w:r>
        <w:rPr>
          <w:position w:val="6"/>
          <w:sz w:val="13"/>
        </w:rPr>
        <w:t>26</w:t>
      </w:r>
    </w:p>
    <w:p>
      <w:pPr>
        <w:pStyle w:val="BodyText"/>
        <w:spacing w:before="8"/>
        <w:rPr>
          <w:sz w:val="29"/>
        </w:rPr>
      </w:pPr>
    </w:p>
    <w:p>
      <w:pPr>
        <w:pStyle w:val="Heading1"/>
        <w:numPr>
          <w:ilvl w:val="0"/>
          <w:numId w:val="2"/>
        </w:numPr>
        <w:tabs>
          <w:tab w:pos="535" w:val="left" w:leader="none"/>
        </w:tabs>
        <w:spacing w:line="240" w:lineRule="auto" w:before="0" w:after="0"/>
        <w:ind w:left="534" w:right="0" w:hanging="222"/>
        <w:jc w:val="left"/>
      </w:pPr>
      <w:r>
        <w:rPr/>
        <w:t>Conclusion</w:t>
      </w:r>
    </w:p>
    <w:p>
      <w:pPr>
        <w:pStyle w:val="BodyText"/>
        <w:rPr>
          <w:b/>
          <w:sz w:val="22"/>
        </w:rPr>
      </w:pPr>
    </w:p>
    <w:p>
      <w:pPr>
        <w:pStyle w:val="BodyText"/>
        <w:spacing w:before="4"/>
        <w:rPr>
          <w:b/>
          <w:sz w:val="18"/>
        </w:rPr>
      </w:pPr>
    </w:p>
    <w:p>
      <w:pPr>
        <w:pStyle w:val="BodyText"/>
        <w:spacing w:line="357" w:lineRule="auto"/>
        <w:ind w:left="313" w:right="756"/>
      </w:pPr>
      <w:r>
        <w:rPr/>
        <w:t>In this speech, I have tried to give you my personal assessment on where the UK economy is heading and, in particular, explain why I voted for a cut in November and December:</w:t>
      </w:r>
    </w:p>
    <w:p>
      <w:pPr>
        <w:pStyle w:val="BodyText"/>
        <w:spacing w:before="2"/>
        <w:rPr>
          <w:sz w:val="30"/>
        </w:rPr>
      </w:pPr>
    </w:p>
    <w:p>
      <w:pPr>
        <w:pStyle w:val="ListParagraph"/>
        <w:numPr>
          <w:ilvl w:val="1"/>
          <w:numId w:val="2"/>
        </w:numPr>
        <w:tabs>
          <w:tab w:pos="1033" w:val="left" w:leader="none"/>
          <w:tab w:pos="1035" w:val="left" w:leader="none"/>
        </w:tabs>
        <w:spacing w:line="352" w:lineRule="auto" w:before="1" w:after="0"/>
        <w:ind w:left="1034" w:right="598" w:hanging="360"/>
        <w:jc w:val="left"/>
        <w:rPr>
          <w:sz w:val="20"/>
        </w:rPr>
      </w:pPr>
      <w:r>
        <w:rPr>
          <w:sz w:val="20"/>
        </w:rPr>
        <w:t>The</w:t>
      </w:r>
      <w:r>
        <w:rPr>
          <w:spacing w:val="-7"/>
          <w:sz w:val="20"/>
        </w:rPr>
        <w:t> </w:t>
      </w:r>
      <w:r>
        <w:rPr>
          <w:sz w:val="20"/>
        </w:rPr>
        <w:t>economic</w:t>
      </w:r>
      <w:r>
        <w:rPr>
          <w:spacing w:val="-4"/>
          <w:sz w:val="20"/>
        </w:rPr>
        <w:t> </w:t>
      </w:r>
      <w:r>
        <w:rPr>
          <w:sz w:val="20"/>
        </w:rPr>
        <w:t>outlook</w:t>
      </w:r>
      <w:r>
        <w:rPr>
          <w:spacing w:val="-3"/>
          <w:sz w:val="20"/>
        </w:rPr>
        <w:t> </w:t>
      </w:r>
      <w:r>
        <w:rPr>
          <w:sz w:val="20"/>
        </w:rPr>
        <w:t>for</w:t>
      </w:r>
      <w:r>
        <w:rPr>
          <w:spacing w:val="-5"/>
          <w:sz w:val="20"/>
        </w:rPr>
        <w:t> </w:t>
      </w:r>
      <w:r>
        <w:rPr>
          <w:sz w:val="20"/>
        </w:rPr>
        <w:t>the</w:t>
      </w:r>
      <w:r>
        <w:rPr>
          <w:spacing w:val="-6"/>
          <w:sz w:val="20"/>
        </w:rPr>
        <w:t> </w:t>
      </w:r>
      <w:r>
        <w:rPr>
          <w:sz w:val="20"/>
        </w:rPr>
        <w:t>UK</w:t>
      </w:r>
      <w:r>
        <w:rPr>
          <w:spacing w:val="-5"/>
          <w:sz w:val="20"/>
        </w:rPr>
        <w:t> </w:t>
      </w:r>
      <w:r>
        <w:rPr>
          <w:sz w:val="20"/>
        </w:rPr>
        <w:t>has weakened</w:t>
      </w:r>
      <w:r>
        <w:rPr>
          <w:spacing w:val="-3"/>
          <w:sz w:val="20"/>
        </w:rPr>
        <w:t> </w:t>
      </w:r>
      <w:r>
        <w:rPr>
          <w:sz w:val="20"/>
        </w:rPr>
        <w:t>during</w:t>
      </w:r>
      <w:r>
        <w:rPr>
          <w:spacing w:val="-5"/>
          <w:sz w:val="20"/>
        </w:rPr>
        <w:t> </w:t>
      </w:r>
      <w:r>
        <w:rPr>
          <w:sz w:val="20"/>
        </w:rPr>
        <w:t>the</w:t>
      </w:r>
      <w:r>
        <w:rPr>
          <w:spacing w:val="-3"/>
          <w:sz w:val="20"/>
        </w:rPr>
        <w:t> </w:t>
      </w:r>
      <w:r>
        <w:rPr>
          <w:sz w:val="20"/>
        </w:rPr>
        <w:t>last</w:t>
      </w:r>
      <w:r>
        <w:rPr>
          <w:spacing w:val="-1"/>
          <w:sz w:val="20"/>
        </w:rPr>
        <w:t> </w:t>
      </w:r>
      <w:r>
        <w:rPr>
          <w:sz w:val="20"/>
        </w:rPr>
        <w:t>year:</w:t>
      </w:r>
      <w:r>
        <w:rPr>
          <w:spacing w:val="-5"/>
          <w:sz w:val="20"/>
        </w:rPr>
        <w:t> </w:t>
      </w:r>
      <w:r>
        <w:rPr>
          <w:sz w:val="20"/>
        </w:rPr>
        <w:t>Brexit</w:t>
      </w:r>
      <w:r>
        <w:rPr>
          <w:spacing w:val="-6"/>
          <w:sz w:val="20"/>
        </w:rPr>
        <w:t> </w:t>
      </w:r>
      <w:r>
        <w:rPr>
          <w:sz w:val="20"/>
        </w:rPr>
        <w:t>uncertainties</w:t>
      </w:r>
      <w:r>
        <w:rPr>
          <w:spacing w:val="-2"/>
          <w:sz w:val="20"/>
        </w:rPr>
        <w:t> </w:t>
      </w:r>
      <w:r>
        <w:rPr>
          <w:sz w:val="20"/>
        </w:rPr>
        <w:t>have</w:t>
      </w:r>
      <w:r>
        <w:rPr>
          <w:spacing w:val="-4"/>
          <w:sz w:val="20"/>
        </w:rPr>
        <w:t> </w:t>
      </w:r>
      <w:r>
        <w:rPr>
          <w:sz w:val="20"/>
        </w:rPr>
        <w:t>weighed on the economy and the world’s economic outlook has deteriorated. Inflation is low and projected</w:t>
      </w:r>
      <w:r>
        <w:rPr>
          <w:spacing w:val="-34"/>
          <w:sz w:val="20"/>
        </w:rPr>
        <w:t> </w:t>
      </w:r>
      <w:r>
        <w:rPr>
          <w:sz w:val="20"/>
        </w:rPr>
        <w:t>to</w:t>
      </w:r>
    </w:p>
    <w:p>
      <w:pPr>
        <w:pStyle w:val="BodyText"/>
        <w:spacing w:before="6"/>
        <w:ind w:left="1034"/>
      </w:pPr>
      <w:r>
        <w:rPr/>
        <w:t>stay low. Thus, I believe current data justifies looser monetary policy.</w:t>
      </w:r>
    </w:p>
    <w:p>
      <w:pPr>
        <w:pStyle w:val="BodyText"/>
        <w:rPr>
          <w:sz w:val="22"/>
        </w:rPr>
      </w:pPr>
    </w:p>
    <w:p>
      <w:pPr>
        <w:pStyle w:val="BodyText"/>
        <w:spacing w:before="9"/>
        <w:rPr>
          <w:sz w:val="17"/>
        </w:rPr>
      </w:pPr>
    </w:p>
    <w:p>
      <w:pPr>
        <w:pStyle w:val="ListParagraph"/>
        <w:numPr>
          <w:ilvl w:val="1"/>
          <w:numId w:val="2"/>
        </w:numPr>
        <w:tabs>
          <w:tab w:pos="1033" w:val="left" w:leader="none"/>
          <w:tab w:pos="1035" w:val="left" w:leader="none"/>
        </w:tabs>
        <w:spacing w:line="355" w:lineRule="auto" w:before="0" w:after="0"/>
        <w:ind w:left="1034" w:right="1196" w:hanging="360"/>
        <w:jc w:val="left"/>
        <w:rPr>
          <w:sz w:val="20"/>
        </w:rPr>
      </w:pPr>
      <w:r>
        <w:rPr>
          <w:sz w:val="20"/>
        </w:rPr>
        <w:t>Looking</w:t>
      </w:r>
      <w:r>
        <w:rPr>
          <w:spacing w:val="-7"/>
          <w:sz w:val="20"/>
        </w:rPr>
        <w:t> </w:t>
      </w:r>
      <w:r>
        <w:rPr>
          <w:sz w:val="20"/>
        </w:rPr>
        <w:t>forward,</w:t>
      </w:r>
      <w:r>
        <w:rPr>
          <w:spacing w:val="-6"/>
          <w:sz w:val="20"/>
        </w:rPr>
        <w:t> </w:t>
      </w:r>
      <w:r>
        <w:rPr>
          <w:sz w:val="20"/>
        </w:rPr>
        <w:t>I</w:t>
      </w:r>
      <w:r>
        <w:rPr>
          <w:spacing w:val="-4"/>
          <w:sz w:val="20"/>
        </w:rPr>
        <w:t> </w:t>
      </w:r>
      <w:r>
        <w:rPr>
          <w:sz w:val="20"/>
        </w:rPr>
        <w:t>believe</w:t>
      </w:r>
      <w:r>
        <w:rPr>
          <w:spacing w:val="-6"/>
          <w:sz w:val="20"/>
        </w:rPr>
        <w:t> </w:t>
      </w:r>
      <w:r>
        <w:rPr>
          <w:sz w:val="20"/>
        </w:rPr>
        <w:t>that</w:t>
      </w:r>
      <w:r>
        <w:rPr>
          <w:spacing w:val="-5"/>
          <w:sz w:val="20"/>
        </w:rPr>
        <w:t> </w:t>
      </w:r>
      <w:r>
        <w:rPr>
          <w:sz w:val="20"/>
        </w:rPr>
        <w:t>downside</w:t>
      </w:r>
      <w:r>
        <w:rPr>
          <w:spacing w:val="-7"/>
          <w:sz w:val="20"/>
        </w:rPr>
        <w:t> </w:t>
      </w:r>
      <w:r>
        <w:rPr>
          <w:sz w:val="20"/>
        </w:rPr>
        <w:t>risks</w:t>
      </w:r>
      <w:r>
        <w:rPr>
          <w:spacing w:val="-5"/>
          <w:sz w:val="20"/>
        </w:rPr>
        <w:t> </w:t>
      </w:r>
      <w:r>
        <w:rPr>
          <w:sz w:val="20"/>
        </w:rPr>
        <w:t>are</w:t>
      </w:r>
      <w:r>
        <w:rPr>
          <w:spacing w:val="-6"/>
          <w:sz w:val="20"/>
        </w:rPr>
        <w:t> </w:t>
      </w:r>
      <w:r>
        <w:rPr>
          <w:sz w:val="20"/>
        </w:rPr>
        <w:t>lingering</w:t>
      </w:r>
      <w:r>
        <w:rPr>
          <w:spacing w:val="-4"/>
          <w:sz w:val="20"/>
        </w:rPr>
        <w:t> </w:t>
      </w:r>
      <w:r>
        <w:rPr>
          <w:sz w:val="20"/>
        </w:rPr>
        <w:t>over</w:t>
      </w:r>
      <w:r>
        <w:rPr>
          <w:spacing w:val="-6"/>
          <w:sz w:val="20"/>
        </w:rPr>
        <w:t> </w:t>
      </w:r>
      <w:r>
        <w:rPr>
          <w:sz w:val="20"/>
        </w:rPr>
        <w:t>our</w:t>
      </w:r>
      <w:r>
        <w:rPr>
          <w:spacing w:val="-5"/>
          <w:sz w:val="20"/>
        </w:rPr>
        <w:t> </w:t>
      </w:r>
      <w:r>
        <w:rPr>
          <w:sz w:val="20"/>
        </w:rPr>
        <w:t>forecast.</w:t>
      </w:r>
      <w:r>
        <w:rPr>
          <w:spacing w:val="-6"/>
          <w:sz w:val="20"/>
        </w:rPr>
        <w:t> </w:t>
      </w:r>
      <w:r>
        <w:rPr>
          <w:sz w:val="20"/>
        </w:rPr>
        <w:t>In</w:t>
      </w:r>
      <w:r>
        <w:rPr>
          <w:spacing w:val="-6"/>
          <w:sz w:val="20"/>
        </w:rPr>
        <w:t> </w:t>
      </w:r>
      <w:r>
        <w:rPr>
          <w:sz w:val="20"/>
        </w:rPr>
        <w:t>particular,</w:t>
      </w:r>
      <w:r>
        <w:rPr>
          <w:spacing w:val="4"/>
          <w:sz w:val="20"/>
        </w:rPr>
        <w:t> </w:t>
      </w:r>
      <w:r>
        <w:rPr>
          <w:sz w:val="20"/>
        </w:rPr>
        <w:t>Brexit uncertainties may remain entrenched. Brexit is a process not an</w:t>
      </w:r>
      <w:r>
        <w:rPr>
          <w:spacing w:val="-10"/>
          <w:sz w:val="20"/>
        </w:rPr>
        <w:t> </w:t>
      </w:r>
      <w:r>
        <w:rPr>
          <w:sz w:val="20"/>
        </w:rPr>
        <w:t>event.</w:t>
      </w:r>
    </w:p>
    <w:p>
      <w:pPr>
        <w:pStyle w:val="BodyText"/>
      </w:pPr>
    </w:p>
    <w:p>
      <w:pPr>
        <w:pStyle w:val="BodyText"/>
      </w:pPr>
    </w:p>
    <w:p>
      <w:pPr>
        <w:pStyle w:val="BodyText"/>
      </w:pPr>
    </w:p>
    <w:p>
      <w:pPr>
        <w:pStyle w:val="BodyText"/>
        <w:spacing w:before="7"/>
        <w:rPr>
          <w:sz w:val="18"/>
        </w:rPr>
      </w:pPr>
      <w:r>
        <w:rPr/>
        <w:pict>
          <v:shape style="position:absolute;margin-left:49.68pt;margin-top:12.987754pt;width:144.050pt;height:.1pt;mso-position-horizontal-relative:page;mso-position-vertical-relative:paragraph;z-index:-251626496;mso-wrap-distance-left:0;mso-wrap-distance-right:0" coordorigin="994,260" coordsize="2881,0" path="m994,260l3875,260e" filled="false" stroked="true" strokeweight=".599980pt" strokecolor="#000000">
            <v:path arrowok="t"/>
            <v:stroke dashstyle="solid"/>
            <w10:wrap type="topAndBottom"/>
          </v:shape>
        </w:pict>
      </w:r>
    </w:p>
    <w:p>
      <w:pPr>
        <w:pStyle w:val="BodyText"/>
        <w:spacing w:before="2"/>
        <w:rPr>
          <w:sz w:val="8"/>
        </w:rPr>
      </w:pPr>
    </w:p>
    <w:p>
      <w:pPr>
        <w:spacing w:before="97"/>
        <w:ind w:left="313" w:right="506" w:firstLine="0"/>
        <w:jc w:val="both"/>
        <w:rPr>
          <w:sz w:val="16"/>
        </w:rPr>
      </w:pPr>
      <w:r>
        <w:rPr>
          <w:position w:val="6"/>
          <w:sz w:val="10"/>
        </w:rPr>
        <w:t>25 </w:t>
      </w:r>
      <w:r>
        <w:rPr>
          <w:sz w:val="16"/>
        </w:rPr>
        <w:t>Indeed, many measures of UK inflation compensation based on financial markets, generally considered quite forward looking, have declined in the last months. </w:t>
      </w:r>
      <w:r>
        <w:rPr>
          <w:spacing w:val="-3"/>
          <w:sz w:val="16"/>
        </w:rPr>
        <w:t>However, </w:t>
      </w:r>
      <w:r>
        <w:rPr>
          <w:sz w:val="16"/>
        </w:rPr>
        <w:t>Haberis et al (2019) showed that external forecasts for the distribution of UK inflation were inconsistent with policy having been perceived as constrained since the crisis. Of course, confounding factors such as Brexit may have played a role</w:t>
      </w:r>
      <w:r>
        <w:rPr>
          <w:spacing w:val="-1"/>
          <w:sz w:val="16"/>
        </w:rPr>
        <w:t> </w:t>
      </w:r>
      <w:r>
        <w:rPr>
          <w:sz w:val="16"/>
        </w:rPr>
        <w:t>here.</w:t>
      </w:r>
    </w:p>
    <w:p>
      <w:pPr>
        <w:spacing w:line="240" w:lineRule="auto" w:before="0"/>
        <w:ind w:left="313" w:right="505" w:firstLine="0"/>
        <w:jc w:val="both"/>
        <w:rPr>
          <w:sz w:val="16"/>
        </w:rPr>
      </w:pPr>
      <w:r>
        <w:rPr>
          <w:position w:val="6"/>
          <w:sz w:val="10"/>
        </w:rPr>
        <w:t>26 </w:t>
      </w:r>
      <w:r>
        <w:rPr>
          <w:sz w:val="16"/>
        </w:rPr>
        <w:t>Of course, there may be costs other than the ones related to reversals of monetary policy. For example, not tightening to control excess demand may risk the ‘revenge of the Phillips curve’ (Erceg et al, 2018) and financial instability (e.g. Powell, 2018a). An additional risk to tolerating positive output gaps emerges if policymakers are seen to be exploiting the non-responsiveness of inflation, e.g. because of the apparently flatter Phillips curve: systematically placing a lower weight on excess demand generates the standard ‘inflationary bias’, even if preferences over inflation are symmetric (Nobay and Peel, 2003).</w:t>
      </w:r>
    </w:p>
    <w:p>
      <w:pPr>
        <w:spacing w:after="0" w:line="240" w:lineRule="auto"/>
        <w:jc w:val="both"/>
        <w:rPr>
          <w:sz w:val="16"/>
        </w:rPr>
        <w:sectPr>
          <w:footerReference w:type="default" r:id="rId20"/>
          <w:pgSz w:w="11910" w:h="16840"/>
          <w:pgMar w:footer="872" w:header="0" w:top="1340" w:bottom="1060" w:left="680" w:right="480"/>
          <w:pgNumType w:start="12"/>
        </w:sectPr>
      </w:pPr>
    </w:p>
    <w:p>
      <w:pPr>
        <w:pStyle w:val="ListParagraph"/>
        <w:numPr>
          <w:ilvl w:val="1"/>
          <w:numId w:val="2"/>
        </w:numPr>
        <w:tabs>
          <w:tab w:pos="1033" w:val="left" w:leader="none"/>
          <w:tab w:pos="1035" w:val="left" w:leader="none"/>
        </w:tabs>
        <w:spacing w:line="355" w:lineRule="auto" w:before="79" w:after="0"/>
        <w:ind w:left="1034" w:right="599" w:hanging="360"/>
        <w:jc w:val="left"/>
        <w:rPr>
          <w:sz w:val="20"/>
        </w:rPr>
      </w:pPr>
      <w:r>
        <w:rPr>
          <w:sz w:val="20"/>
        </w:rPr>
        <w:t>In</w:t>
      </w:r>
      <w:r>
        <w:rPr>
          <w:spacing w:val="-5"/>
          <w:sz w:val="20"/>
        </w:rPr>
        <w:t> </w:t>
      </w:r>
      <w:r>
        <w:rPr>
          <w:sz w:val="20"/>
        </w:rPr>
        <w:t>addition,</w:t>
      </w:r>
      <w:r>
        <w:rPr>
          <w:spacing w:val="-4"/>
          <w:sz w:val="20"/>
        </w:rPr>
        <w:t> </w:t>
      </w:r>
      <w:r>
        <w:rPr>
          <w:sz w:val="20"/>
        </w:rPr>
        <w:t>I</w:t>
      </w:r>
      <w:r>
        <w:rPr>
          <w:spacing w:val="-2"/>
          <w:sz w:val="20"/>
        </w:rPr>
        <w:t> </w:t>
      </w:r>
      <w:r>
        <w:rPr>
          <w:sz w:val="20"/>
        </w:rPr>
        <w:t>wish</w:t>
      </w:r>
      <w:r>
        <w:rPr>
          <w:spacing w:val="-4"/>
          <w:sz w:val="20"/>
        </w:rPr>
        <w:t> </w:t>
      </w:r>
      <w:r>
        <w:rPr>
          <w:sz w:val="20"/>
        </w:rPr>
        <w:t>to</w:t>
      </w:r>
      <w:r>
        <w:rPr>
          <w:spacing w:val="-4"/>
          <w:sz w:val="20"/>
        </w:rPr>
        <w:t> </w:t>
      </w:r>
      <w:r>
        <w:rPr>
          <w:sz w:val="20"/>
        </w:rPr>
        <w:t>reduce</w:t>
      </w:r>
      <w:r>
        <w:rPr>
          <w:spacing w:val="-2"/>
          <w:sz w:val="20"/>
        </w:rPr>
        <w:t> </w:t>
      </w:r>
      <w:r>
        <w:rPr>
          <w:sz w:val="20"/>
        </w:rPr>
        <w:t>the</w:t>
      </w:r>
      <w:r>
        <w:rPr>
          <w:spacing w:val="-2"/>
          <w:sz w:val="20"/>
        </w:rPr>
        <w:t> </w:t>
      </w:r>
      <w:r>
        <w:rPr>
          <w:sz w:val="20"/>
        </w:rPr>
        <w:t>probability</w:t>
      </w:r>
      <w:r>
        <w:rPr>
          <w:spacing w:val="-5"/>
          <w:sz w:val="20"/>
        </w:rPr>
        <w:t> </w:t>
      </w:r>
      <w:r>
        <w:rPr>
          <w:sz w:val="20"/>
        </w:rPr>
        <w:t>of the</w:t>
      </w:r>
      <w:r>
        <w:rPr>
          <w:spacing w:val="-4"/>
          <w:sz w:val="20"/>
        </w:rPr>
        <w:t> </w:t>
      </w:r>
      <w:r>
        <w:rPr>
          <w:sz w:val="20"/>
        </w:rPr>
        <w:t>economy</w:t>
      </w:r>
      <w:r>
        <w:rPr>
          <w:spacing w:val="-7"/>
          <w:sz w:val="20"/>
        </w:rPr>
        <w:t> </w:t>
      </w:r>
      <w:r>
        <w:rPr>
          <w:sz w:val="20"/>
        </w:rPr>
        <w:t>of</w:t>
      </w:r>
      <w:r>
        <w:rPr>
          <w:spacing w:val="-3"/>
          <w:sz w:val="20"/>
        </w:rPr>
        <w:t> </w:t>
      </w:r>
      <w:r>
        <w:rPr>
          <w:sz w:val="20"/>
        </w:rPr>
        <w:t>getting</w:t>
      </w:r>
      <w:r>
        <w:rPr>
          <w:spacing w:val="-2"/>
          <w:sz w:val="20"/>
        </w:rPr>
        <w:t> </w:t>
      </w:r>
      <w:r>
        <w:rPr>
          <w:sz w:val="20"/>
        </w:rPr>
        <w:t>stuck at</w:t>
      </w:r>
      <w:r>
        <w:rPr>
          <w:spacing w:val="-5"/>
          <w:sz w:val="20"/>
        </w:rPr>
        <w:t> </w:t>
      </w:r>
      <w:r>
        <w:rPr>
          <w:sz w:val="20"/>
        </w:rPr>
        <w:t>the</w:t>
      </w:r>
      <w:r>
        <w:rPr>
          <w:spacing w:val="-3"/>
          <w:sz w:val="20"/>
        </w:rPr>
        <w:t> </w:t>
      </w:r>
      <w:r>
        <w:rPr>
          <w:sz w:val="20"/>
        </w:rPr>
        <w:t>effective</w:t>
      </w:r>
      <w:r>
        <w:rPr>
          <w:spacing w:val="-2"/>
          <w:sz w:val="20"/>
        </w:rPr>
        <w:t> </w:t>
      </w:r>
      <w:r>
        <w:rPr>
          <w:sz w:val="20"/>
        </w:rPr>
        <w:t>lower</w:t>
      </w:r>
      <w:r>
        <w:rPr>
          <w:spacing w:val="-1"/>
          <w:sz w:val="20"/>
        </w:rPr>
        <w:t> </w:t>
      </w:r>
      <w:r>
        <w:rPr>
          <w:sz w:val="20"/>
        </w:rPr>
        <w:t>bound, since it may be harder to get it out of that situation given our current monetary policy ammunition. Following a risk management argument, I favour a cut as </w:t>
      </w:r>
      <w:r>
        <w:rPr>
          <w:i/>
          <w:sz w:val="20"/>
        </w:rPr>
        <w:t>insurance </w:t>
      </w:r>
      <w:r>
        <w:rPr>
          <w:sz w:val="20"/>
        </w:rPr>
        <w:t>against</w:t>
      </w:r>
      <w:r>
        <w:rPr>
          <w:spacing w:val="-11"/>
          <w:sz w:val="20"/>
        </w:rPr>
        <w:t> </w:t>
      </w:r>
      <w:r>
        <w:rPr>
          <w:sz w:val="20"/>
        </w:rPr>
        <w:t>this.</w:t>
      </w:r>
    </w:p>
    <w:p>
      <w:pPr>
        <w:pStyle w:val="BodyText"/>
        <w:spacing w:before="8"/>
        <w:rPr>
          <w:sz w:val="30"/>
        </w:rPr>
      </w:pPr>
    </w:p>
    <w:p>
      <w:pPr>
        <w:pStyle w:val="BodyText"/>
        <w:spacing w:line="360" w:lineRule="auto"/>
        <w:ind w:left="313" w:right="567"/>
      </w:pPr>
      <w:r>
        <w:rPr/>
        <w:t>What would cause me to change my mind? It might be that the world economy stabilises, for example if US and China were able to conclude their trade talks in a timely and positive manner and the pace of recovery in the Euro Area improved. It might also turn out the path to our future trading relationship with the EU and others is smoother, quicker and clearer than I currently expect. If the mist and dark clouds hovering over our economic future dissipate, I would expect a revival of confidence and productive economic activity, which would all else equal return us to the path of a slow and gradual rise in the Bank rate over the forecast horizon, similar to the outlook when I joined the MPC in September 2018.</w:t>
      </w:r>
    </w:p>
    <w:p>
      <w:pPr>
        <w:spacing w:after="0" w:line="360" w:lineRule="auto"/>
        <w:sectPr>
          <w:pgSz w:w="11910" w:h="16840"/>
          <w:pgMar w:header="0" w:footer="872" w:top="1340" w:bottom="1140" w:left="680" w:right="480"/>
        </w:sectPr>
      </w:pPr>
    </w:p>
    <w:p>
      <w:pPr>
        <w:pStyle w:val="Heading1"/>
        <w:ind w:left="313" w:firstLine="0"/>
      </w:pPr>
      <w:r>
        <w:rPr/>
        <w:t>References</w:t>
      </w:r>
    </w:p>
    <w:p>
      <w:pPr>
        <w:pStyle w:val="BodyText"/>
        <w:rPr>
          <w:b/>
          <w:sz w:val="22"/>
        </w:rPr>
      </w:pPr>
    </w:p>
    <w:p>
      <w:pPr>
        <w:pStyle w:val="BodyText"/>
        <w:spacing w:before="10"/>
        <w:rPr>
          <w:b/>
          <w:sz w:val="17"/>
        </w:rPr>
      </w:pPr>
    </w:p>
    <w:p>
      <w:pPr>
        <w:spacing w:line="360" w:lineRule="auto" w:before="0"/>
        <w:ind w:left="313" w:right="701" w:firstLine="0"/>
        <w:jc w:val="left"/>
        <w:rPr>
          <w:sz w:val="20"/>
        </w:rPr>
      </w:pPr>
      <w:r>
        <w:rPr>
          <w:b/>
          <w:sz w:val="20"/>
        </w:rPr>
        <w:t>Adam, K. and Billi, R. M. (2007)</w:t>
      </w:r>
      <w:r>
        <w:rPr>
          <w:sz w:val="20"/>
        </w:rPr>
        <w:t>. Discretionary monetary policy and the zero lower bound on nominal interest rates. </w:t>
      </w:r>
      <w:r>
        <w:rPr>
          <w:i/>
          <w:sz w:val="20"/>
        </w:rPr>
        <w:t>Journal of Monetary Economics, Elsevier</w:t>
      </w:r>
      <w:r>
        <w:rPr>
          <w:sz w:val="20"/>
        </w:rPr>
        <w:t>, vol. 54(3), pages 728-752, April.</w:t>
      </w:r>
    </w:p>
    <w:p>
      <w:pPr>
        <w:pStyle w:val="BodyText"/>
        <w:spacing w:before="2"/>
        <w:rPr>
          <w:sz w:val="30"/>
        </w:rPr>
      </w:pPr>
    </w:p>
    <w:p>
      <w:pPr>
        <w:spacing w:before="0"/>
        <w:ind w:left="313" w:right="0" w:firstLine="0"/>
        <w:jc w:val="left"/>
        <w:rPr>
          <w:sz w:val="20"/>
        </w:rPr>
      </w:pPr>
      <w:r>
        <w:rPr>
          <w:b/>
          <w:sz w:val="20"/>
        </w:rPr>
        <w:t>Bank of England (2018)</w:t>
      </w:r>
      <w:r>
        <w:rPr>
          <w:sz w:val="20"/>
        </w:rPr>
        <w:t>. </w:t>
      </w:r>
      <w:r>
        <w:rPr>
          <w:i/>
          <w:sz w:val="20"/>
        </w:rPr>
        <w:t>Inflation Report</w:t>
      </w:r>
      <w:r>
        <w:rPr>
          <w:sz w:val="20"/>
        </w:rPr>
        <w:t>, August 2018.</w:t>
      </w:r>
    </w:p>
    <w:p>
      <w:pPr>
        <w:pStyle w:val="BodyText"/>
        <w:rPr>
          <w:sz w:val="22"/>
        </w:rPr>
      </w:pPr>
    </w:p>
    <w:p>
      <w:pPr>
        <w:pStyle w:val="BodyText"/>
        <w:spacing w:before="10"/>
        <w:rPr>
          <w:sz w:val="17"/>
        </w:rPr>
      </w:pPr>
    </w:p>
    <w:p>
      <w:pPr>
        <w:spacing w:before="1"/>
        <w:ind w:left="313" w:right="0" w:firstLine="0"/>
        <w:jc w:val="left"/>
        <w:rPr>
          <w:sz w:val="20"/>
        </w:rPr>
      </w:pPr>
      <w:r>
        <w:rPr>
          <w:b/>
          <w:sz w:val="20"/>
        </w:rPr>
        <w:t>Bank of England (2019)</w:t>
      </w:r>
      <w:r>
        <w:rPr>
          <w:sz w:val="20"/>
        </w:rPr>
        <w:t>. </w:t>
      </w:r>
      <w:r>
        <w:rPr>
          <w:i/>
          <w:sz w:val="20"/>
        </w:rPr>
        <w:t>Monetary Policy Report</w:t>
      </w:r>
      <w:r>
        <w:rPr>
          <w:sz w:val="20"/>
        </w:rPr>
        <w:t>, November 2019.</w:t>
      </w:r>
    </w:p>
    <w:p>
      <w:pPr>
        <w:pStyle w:val="BodyText"/>
        <w:rPr>
          <w:sz w:val="22"/>
        </w:rPr>
      </w:pPr>
    </w:p>
    <w:p>
      <w:pPr>
        <w:pStyle w:val="BodyText"/>
        <w:spacing w:before="1"/>
        <w:rPr>
          <w:sz w:val="18"/>
        </w:rPr>
      </w:pPr>
    </w:p>
    <w:p>
      <w:pPr>
        <w:spacing w:before="0"/>
        <w:ind w:left="313" w:right="0" w:firstLine="0"/>
        <w:jc w:val="left"/>
        <w:rPr>
          <w:sz w:val="20"/>
        </w:rPr>
      </w:pPr>
      <w:r>
        <w:rPr>
          <w:b/>
          <w:sz w:val="20"/>
        </w:rPr>
        <w:t>Bruno, M. and Sachs, J. (1985)</w:t>
      </w:r>
      <w:r>
        <w:rPr>
          <w:sz w:val="20"/>
        </w:rPr>
        <w:t>. </w:t>
      </w:r>
      <w:r>
        <w:rPr>
          <w:i/>
          <w:sz w:val="20"/>
        </w:rPr>
        <w:t>The Economics of Worldwide Stagflation</w:t>
      </w:r>
      <w:r>
        <w:rPr>
          <w:sz w:val="20"/>
        </w:rPr>
        <w:t>. Harvard University Press.</w:t>
      </w:r>
    </w:p>
    <w:p>
      <w:pPr>
        <w:pStyle w:val="BodyText"/>
        <w:rPr>
          <w:sz w:val="22"/>
        </w:rPr>
      </w:pPr>
    </w:p>
    <w:p>
      <w:pPr>
        <w:pStyle w:val="BodyText"/>
        <w:spacing w:before="10"/>
        <w:rPr>
          <w:sz w:val="17"/>
        </w:rPr>
      </w:pPr>
    </w:p>
    <w:p>
      <w:pPr>
        <w:spacing w:line="362" w:lineRule="auto" w:before="0"/>
        <w:ind w:left="313" w:right="568" w:firstLine="0"/>
        <w:jc w:val="left"/>
        <w:rPr>
          <w:b/>
          <w:sz w:val="20"/>
        </w:rPr>
      </w:pPr>
      <w:r>
        <w:rPr>
          <w:b/>
          <w:sz w:val="20"/>
        </w:rPr>
        <w:t>Bunn, P., Le Roux, J., Reinold, K. and Surico, P. (2018)</w:t>
      </w:r>
      <w:r>
        <w:rPr>
          <w:sz w:val="20"/>
        </w:rPr>
        <w:t>. The consumption response to positive and negative income shocks. </w:t>
      </w:r>
      <w:r>
        <w:rPr>
          <w:i/>
          <w:sz w:val="20"/>
        </w:rPr>
        <w:t>Journal of Monetary Economics</w:t>
      </w:r>
      <w:r>
        <w:rPr>
          <w:sz w:val="20"/>
        </w:rPr>
        <w:t>, Elsevier, vol. 96(C), pages 1-15</w:t>
      </w:r>
      <w:r>
        <w:rPr>
          <w:b/>
          <w:sz w:val="20"/>
        </w:rPr>
        <w:t>.</w:t>
      </w:r>
    </w:p>
    <w:p>
      <w:pPr>
        <w:pStyle w:val="BodyText"/>
        <w:spacing w:before="7"/>
        <w:rPr>
          <w:b/>
          <w:sz w:val="29"/>
        </w:rPr>
      </w:pPr>
    </w:p>
    <w:p>
      <w:pPr>
        <w:spacing w:line="362" w:lineRule="auto" w:before="0"/>
        <w:ind w:left="313" w:right="774" w:firstLine="0"/>
        <w:jc w:val="both"/>
        <w:rPr>
          <w:sz w:val="20"/>
        </w:rPr>
      </w:pPr>
      <w:r>
        <w:rPr>
          <w:b/>
          <w:sz w:val="20"/>
        </w:rPr>
        <w:t>Evans, C., Fisher, J., Gourio, </w:t>
      </w:r>
      <w:r>
        <w:rPr>
          <w:b/>
          <w:spacing w:val="-11"/>
          <w:sz w:val="20"/>
        </w:rPr>
        <w:t>F. </w:t>
      </w:r>
      <w:r>
        <w:rPr>
          <w:b/>
          <w:sz w:val="20"/>
        </w:rPr>
        <w:t>and Krane, S. (2015)</w:t>
      </w:r>
      <w:r>
        <w:rPr>
          <w:sz w:val="20"/>
        </w:rPr>
        <w:t>. Risk Management for Monetary Policy Near the Zero Lower</w:t>
      </w:r>
      <w:r>
        <w:rPr>
          <w:spacing w:val="-4"/>
          <w:sz w:val="20"/>
        </w:rPr>
        <w:t> </w:t>
      </w:r>
      <w:r>
        <w:rPr>
          <w:sz w:val="20"/>
        </w:rPr>
        <w:t>Bound.</w:t>
      </w:r>
      <w:r>
        <w:rPr>
          <w:spacing w:val="-5"/>
          <w:sz w:val="20"/>
        </w:rPr>
        <w:t> </w:t>
      </w:r>
      <w:r>
        <w:rPr>
          <w:sz w:val="20"/>
        </w:rPr>
        <w:t>Brookings</w:t>
      </w:r>
      <w:r>
        <w:rPr>
          <w:spacing w:val="-4"/>
          <w:sz w:val="20"/>
        </w:rPr>
        <w:t> </w:t>
      </w:r>
      <w:r>
        <w:rPr>
          <w:sz w:val="20"/>
        </w:rPr>
        <w:t>Papers</w:t>
      </w:r>
      <w:r>
        <w:rPr>
          <w:spacing w:val="-5"/>
          <w:sz w:val="20"/>
        </w:rPr>
        <w:t> </w:t>
      </w:r>
      <w:r>
        <w:rPr>
          <w:sz w:val="20"/>
        </w:rPr>
        <w:t>on</w:t>
      </w:r>
      <w:r>
        <w:rPr>
          <w:spacing w:val="-6"/>
          <w:sz w:val="20"/>
        </w:rPr>
        <w:t> </w:t>
      </w:r>
      <w:r>
        <w:rPr>
          <w:sz w:val="20"/>
        </w:rPr>
        <w:t>Economic</w:t>
      </w:r>
      <w:r>
        <w:rPr>
          <w:spacing w:val="-16"/>
          <w:sz w:val="20"/>
        </w:rPr>
        <w:t> </w:t>
      </w:r>
      <w:r>
        <w:rPr>
          <w:sz w:val="20"/>
        </w:rPr>
        <w:t>Activity,</w:t>
      </w:r>
      <w:r>
        <w:rPr>
          <w:spacing w:val="-5"/>
          <w:sz w:val="20"/>
        </w:rPr>
        <w:t> </w:t>
      </w:r>
      <w:r>
        <w:rPr>
          <w:sz w:val="20"/>
        </w:rPr>
        <w:t>Economic</w:t>
      </w:r>
      <w:r>
        <w:rPr>
          <w:spacing w:val="-6"/>
          <w:sz w:val="20"/>
        </w:rPr>
        <w:t> </w:t>
      </w:r>
      <w:r>
        <w:rPr>
          <w:sz w:val="20"/>
        </w:rPr>
        <w:t>Studies</w:t>
      </w:r>
      <w:r>
        <w:rPr>
          <w:spacing w:val="-6"/>
          <w:sz w:val="20"/>
        </w:rPr>
        <w:t> </w:t>
      </w:r>
      <w:r>
        <w:rPr>
          <w:sz w:val="20"/>
        </w:rPr>
        <w:t>Program.</w:t>
      </w:r>
      <w:r>
        <w:rPr>
          <w:spacing w:val="1"/>
          <w:sz w:val="20"/>
        </w:rPr>
        <w:t> </w:t>
      </w:r>
      <w:r>
        <w:rPr>
          <w:i/>
          <w:sz w:val="20"/>
        </w:rPr>
        <w:t>The</w:t>
      </w:r>
      <w:r>
        <w:rPr>
          <w:i/>
          <w:spacing w:val="-8"/>
          <w:sz w:val="20"/>
        </w:rPr>
        <w:t> </w:t>
      </w:r>
      <w:r>
        <w:rPr>
          <w:i/>
          <w:sz w:val="20"/>
        </w:rPr>
        <w:t>Brookings</w:t>
      </w:r>
      <w:r>
        <w:rPr>
          <w:i/>
          <w:spacing w:val="-5"/>
          <w:sz w:val="20"/>
        </w:rPr>
        <w:t> </w:t>
      </w:r>
      <w:r>
        <w:rPr>
          <w:i/>
          <w:sz w:val="20"/>
        </w:rPr>
        <w:t>Institution</w:t>
      </w:r>
      <w:r>
        <w:rPr>
          <w:sz w:val="20"/>
        </w:rPr>
        <w:t>, vol. 46(1) (Spring), pages</w:t>
      </w:r>
      <w:r>
        <w:rPr>
          <w:spacing w:val="-1"/>
          <w:sz w:val="20"/>
        </w:rPr>
        <w:t> </w:t>
      </w:r>
      <w:r>
        <w:rPr>
          <w:sz w:val="20"/>
        </w:rPr>
        <w:t>141-219.</w:t>
      </w:r>
    </w:p>
    <w:p>
      <w:pPr>
        <w:pStyle w:val="BodyText"/>
        <w:spacing w:before="5"/>
        <w:rPr>
          <w:sz w:val="29"/>
        </w:rPr>
      </w:pPr>
    </w:p>
    <w:p>
      <w:pPr>
        <w:spacing w:line="360" w:lineRule="auto" w:before="0"/>
        <w:ind w:left="313" w:right="811" w:firstLine="0"/>
        <w:jc w:val="both"/>
        <w:rPr>
          <w:sz w:val="20"/>
        </w:rPr>
      </w:pPr>
      <w:r>
        <w:rPr>
          <w:b/>
          <w:sz w:val="20"/>
        </w:rPr>
        <w:t>Erceg, C., Hebden, J., </w:t>
      </w:r>
      <w:r>
        <w:rPr>
          <w:b/>
          <w:spacing w:val="-3"/>
          <w:sz w:val="20"/>
        </w:rPr>
        <w:t>Kiley, </w:t>
      </w:r>
      <w:r>
        <w:rPr>
          <w:b/>
          <w:sz w:val="20"/>
        </w:rPr>
        <w:t>M., López-Salido, D. and </w:t>
      </w:r>
      <w:r>
        <w:rPr>
          <w:b/>
          <w:spacing w:val="-3"/>
          <w:sz w:val="20"/>
        </w:rPr>
        <w:t>Tetlow, </w:t>
      </w:r>
      <w:r>
        <w:rPr>
          <w:b/>
          <w:sz w:val="20"/>
        </w:rPr>
        <w:t>R. (2018)</w:t>
      </w:r>
      <w:r>
        <w:rPr>
          <w:sz w:val="20"/>
        </w:rPr>
        <w:t>. Some Implications of Uncertainty and Misperception for Monetary </w:t>
      </w:r>
      <w:r>
        <w:rPr>
          <w:spacing w:val="-3"/>
          <w:sz w:val="20"/>
        </w:rPr>
        <w:t>Policy. </w:t>
      </w:r>
      <w:r>
        <w:rPr>
          <w:i/>
          <w:sz w:val="20"/>
        </w:rPr>
        <w:t>Finance and Economics Discussion </w:t>
      </w:r>
      <w:r>
        <w:rPr>
          <w:sz w:val="20"/>
        </w:rPr>
        <w:t>Series 2018-059. Washington.</w:t>
      </w:r>
    </w:p>
    <w:p>
      <w:pPr>
        <w:pStyle w:val="BodyText"/>
        <w:spacing w:before="3"/>
        <w:ind w:left="313"/>
      </w:pPr>
      <w:r>
        <w:rPr/>
        <w:t>Board of Governors of the Federal Reserve System, August.</w:t>
      </w:r>
    </w:p>
    <w:p>
      <w:pPr>
        <w:pStyle w:val="BodyText"/>
        <w:rPr>
          <w:sz w:val="22"/>
        </w:rPr>
      </w:pPr>
    </w:p>
    <w:p>
      <w:pPr>
        <w:pStyle w:val="BodyText"/>
        <w:spacing w:before="8"/>
        <w:rPr>
          <w:sz w:val="17"/>
        </w:rPr>
      </w:pPr>
    </w:p>
    <w:p>
      <w:pPr>
        <w:spacing w:line="360" w:lineRule="auto" w:before="0"/>
        <w:ind w:left="313" w:right="1029" w:firstLine="0"/>
        <w:jc w:val="left"/>
        <w:rPr>
          <w:sz w:val="20"/>
        </w:rPr>
      </w:pPr>
      <w:r>
        <w:rPr>
          <w:b/>
          <w:sz w:val="20"/>
        </w:rPr>
        <w:t>Evans, C. (2019)</w:t>
      </w:r>
      <w:r>
        <w:rPr>
          <w:sz w:val="20"/>
        </w:rPr>
        <w:t>. Risk Management and the Credibility of Monetary Policy. </w:t>
      </w:r>
      <w:r>
        <w:rPr>
          <w:i/>
          <w:sz w:val="20"/>
        </w:rPr>
        <w:t>Speech at the New York </w:t>
      </w:r>
      <w:r>
        <w:rPr>
          <w:i/>
          <w:sz w:val="20"/>
        </w:rPr>
        <w:t>Association of Business Economists (NYABE) </w:t>
      </w:r>
      <w:r>
        <w:rPr>
          <w:sz w:val="20"/>
        </w:rPr>
        <w:t>Economic Luncheon in New York, NY.</w:t>
      </w:r>
    </w:p>
    <w:p>
      <w:pPr>
        <w:pStyle w:val="BodyText"/>
        <w:rPr>
          <w:sz w:val="30"/>
        </w:rPr>
      </w:pPr>
    </w:p>
    <w:p>
      <w:pPr>
        <w:spacing w:line="360" w:lineRule="auto" w:before="0"/>
        <w:ind w:left="313" w:right="511" w:firstLine="0"/>
        <w:jc w:val="left"/>
        <w:rPr>
          <w:sz w:val="20"/>
        </w:rPr>
      </w:pPr>
      <w:r>
        <w:rPr>
          <w:b/>
          <w:sz w:val="20"/>
        </w:rPr>
        <w:t>Greenspan, A. (2004)</w:t>
      </w:r>
      <w:r>
        <w:rPr>
          <w:sz w:val="20"/>
        </w:rPr>
        <w:t>. Risk and Uncertainty in Monetary Policy. </w:t>
      </w:r>
      <w:r>
        <w:rPr>
          <w:i/>
          <w:sz w:val="20"/>
        </w:rPr>
        <w:t>Remarks at the Meetings of the American </w:t>
      </w:r>
      <w:r>
        <w:rPr>
          <w:i/>
          <w:sz w:val="20"/>
        </w:rPr>
        <w:t>Economic Association</w:t>
      </w:r>
      <w:r>
        <w:rPr>
          <w:sz w:val="20"/>
        </w:rPr>
        <w:t>, San Diego, California.</w:t>
      </w:r>
    </w:p>
    <w:p>
      <w:pPr>
        <w:pStyle w:val="BodyText"/>
        <w:spacing w:before="2"/>
        <w:rPr>
          <w:sz w:val="30"/>
        </w:rPr>
      </w:pPr>
    </w:p>
    <w:p>
      <w:pPr>
        <w:spacing w:line="360" w:lineRule="auto" w:before="0"/>
        <w:ind w:left="313" w:right="1000" w:firstLine="0"/>
        <w:jc w:val="left"/>
        <w:rPr>
          <w:sz w:val="20"/>
        </w:rPr>
      </w:pPr>
      <w:r>
        <w:rPr>
          <w:b/>
          <w:sz w:val="20"/>
        </w:rPr>
        <w:t>Haberis, A., Masolo, R. M. and Reinold, K. (2019)</w:t>
      </w:r>
      <w:r>
        <w:rPr>
          <w:sz w:val="20"/>
        </w:rPr>
        <w:t>. Deflation Probability and the Scope for Monetary Loosening in the United Kingdom. </w:t>
      </w:r>
      <w:r>
        <w:rPr>
          <w:i/>
          <w:sz w:val="20"/>
        </w:rPr>
        <w:t>International Journal of Central Banking, International Journal of Central </w:t>
      </w:r>
      <w:r>
        <w:rPr>
          <w:i/>
          <w:sz w:val="20"/>
        </w:rPr>
        <w:t>Banking</w:t>
      </w:r>
      <w:r>
        <w:rPr>
          <w:sz w:val="20"/>
        </w:rPr>
        <w:t>, vol. 15(1), pages 233-277, March.</w:t>
      </w:r>
    </w:p>
    <w:p>
      <w:pPr>
        <w:pStyle w:val="BodyText"/>
        <w:rPr>
          <w:sz w:val="30"/>
        </w:rPr>
      </w:pPr>
    </w:p>
    <w:p>
      <w:pPr>
        <w:spacing w:before="0"/>
        <w:ind w:left="313" w:right="0" w:firstLine="0"/>
        <w:jc w:val="left"/>
        <w:rPr>
          <w:sz w:val="20"/>
        </w:rPr>
      </w:pPr>
      <w:r>
        <w:rPr>
          <w:b/>
          <w:sz w:val="20"/>
        </w:rPr>
        <w:t>Haskel, J. (2018)</w:t>
      </w:r>
      <w:r>
        <w:rPr>
          <w:sz w:val="20"/>
        </w:rPr>
        <w:t>. Will UK investment bounce back?. </w:t>
      </w:r>
      <w:r>
        <w:rPr>
          <w:i/>
          <w:sz w:val="20"/>
        </w:rPr>
        <w:t>Speech at University of Birmingham</w:t>
      </w:r>
      <w:r>
        <w:rPr>
          <w:sz w:val="20"/>
        </w:rPr>
        <w:t>.</w:t>
      </w:r>
    </w:p>
    <w:p>
      <w:pPr>
        <w:pStyle w:val="BodyText"/>
        <w:rPr>
          <w:sz w:val="22"/>
        </w:rPr>
      </w:pPr>
    </w:p>
    <w:p>
      <w:pPr>
        <w:pStyle w:val="BodyText"/>
        <w:rPr>
          <w:sz w:val="18"/>
        </w:rPr>
      </w:pPr>
    </w:p>
    <w:p>
      <w:pPr>
        <w:spacing w:line="360" w:lineRule="auto" w:before="0"/>
        <w:ind w:left="313" w:right="718" w:firstLine="0"/>
        <w:jc w:val="both"/>
        <w:rPr>
          <w:sz w:val="20"/>
        </w:rPr>
      </w:pPr>
      <w:r>
        <w:rPr>
          <w:b/>
          <w:sz w:val="20"/>
        </w:rPr>
        <w:t>Mishkin, </w:t>
      </w:r>
      <w:r>
        <w:rPr>
          <w:b/>
          <w:spacing w:val="-11"/>
          <w:sz w:val="20"/>
        </w:rPr>
        <w:t>F. </w:t>
      </w:r>
      <w:r>
        <w:rPr>
          <w:b/>
          <w:sz w:val="20"/>
        </w:rPr>
        <w:t>S. (2008)</w:t>
      </w:r>
      <w:r>
        <w:rPr>
          <w:sz w:val="20"/>
        </w:rPr>
        <w:t>. Monetary Policy Flexibility, Risk Management, and Financial Disruptions. </w:t>
      </w:r>
      <w:r>
        <w:rPr>
          <w:i/>
          <w:sz w:val="20"/>
        </w:rPr>
        <w:t>Speech at the </w:t>
      </w:r>
      <w:r>
        <w:rPr>
          <w:i/>
          <w:sz w:val="20"/>
        </w:rPr>
        <w:t>Federal Reserve Bank of New York</w:t>
      </w:r>
      <w:r>
        <w:rPr>
          <w:sz w:val="20"/>
        </w:rPr>
        <w:t>, New </w:t>
      </w:r>
      <w:r>
        <w:rPr>
          <w:spacing w:val="-4"/>
          <w:sz w:val="20"/>
        </w:rPr>
        <w:t>York, </w:t>
      </w:r>
      <w:r>
        <w:rPr>
          <w:sz w:val="20"/>
        </w:rPr>
        <w:t>New </w:t>
      </w:r>
      <w:r>
        <w:rPr>
          <w:spacing w:val="-4"/>
          <w:sz w:val="20"/>
        </w:rPr>
        <w:t>York.</w:t>
      </w:r>
    </w:p>
    <w:p>
      <w:pPr>
        <w:pStyle w:val="BodyText"/>
        <w:spacing w:before="11"/>
        <w:rPr>
          <w:sz w:val="29"/>
        </w:rPr>
      </w:pPr>
    </w:p>
    <w:p>
      <w:pPr>
        <w:spacing w:line="360" w:lineRule="auto" w:before="0"/>
        <w:ind w:left="313" w:right="710" w:firstLine="0"/>
        <w:jc w:val="both"/>
        <w:rPr>
          <w:sz w:val="20"/>
        </w:rPr>
      </w:pPr>
      <w:r>
        <w:rPr>
          <w:b/>
          <w:spacing w:val="-3"/>
          <w:sz w:val="20"/>
        </w:rPr>
        <w:t>Nobay,</w:t>
      </w:r>
      <w:r>
        <w:rPr>
          <w:b/>
          <w:spacing w:val="-6"/>
          <w:sz w:val="20"/>
        </w:rPr>
        <w:t> </w:t>
      </w:r>
      <w:r>
        <w:rPr>
          <w:b/>
          <w:spacing w:val="-3"/>
          <w:sz w:val="20"/>
        </w:rPr>
        <w:t>A.</w:t>
      </w:r>
      <w:r>
        <w:rPr>
          <w:b/>
          <w:spacing w:val="-1"/>
          <w:sz w:val="20"/>
        </w:rPr>
        <w:t> </w:t>
      </w:r>
      <w:r>
        <w:rPr>
          <w:b/>
          <w:sz w:val="20"/>
        </w:rPr>
        <w:t>and</w:t>
      </w:r>
      <w:r>
        <w:rPr>
          <w:b/>
          <w:spacing w:val="-2"/>
          <w:sz w:val="20"/>
        </w:rPr>
        <w:t> </w:t>
      </w:r>
      <w:r>
        <w:rPr>
          <w:b/>
          <w:sz w:val="20"/>
        </w:rPr>
        <w:t>Peel,</w:t>
      </w:r>
      <w:r>
        <w:rPr>
          <w:b/>
          <w:spacing w:val="-4"/>
          <w:sz w:val="20"/>
        </w:rPr>
        <w:t> </w:t>
      </w:r>
      <w:r>
        <w:rPr>
          <w:b/>
          <w:sz w:val="20"/>
        </w:rPr>
        <w:t>D.</w:t>
      </w:r>
      <w:r>
        <w:rPr>
          <w:b/>
          <w:spacing w:val="-4"/>
          <w:sz w:val="20"/>
        </w:rPr>
        <w:t> </w:t>
      </w:r>
      <w:r>
        <w:rPr>
          <w:b/>
          <w:sz w:val="20"/>
        </w:rPr>
        <w:t>(2003)</w:t>
      </w:r>
      <w:r>
        <w:rPr>
          <w:sz w:val="20"/>
        </w:rPr>
        <w:t>.</w:t>
      </w:r>
      <w:r>
        <w:rPr>
          <w:spacing w:val="-3"/>
          <w:sz w:val="20"/>
        </w:rPr>
        <w:t> </w:t>
      </w:r>
      <w:r>
        <w:rPr>
          <w:sz w:val="20"/>
        </w:rPr>
        <w:t>Optimal</w:t>
      </w:r>
      <w:r>
        <w:rPr>
          <w:spacing w:val="-4"/>
          <w:sz w:val="20"/>
        </w:rPr>
        <w:t> </w:t>
      </w:r>
      <w:r>
        <w:rPr>
          <w:sz w:val="20"/>
        </w:rPr>
        <w:t>Discretionary</w:t>
      </w:r>
      <w:r>
        <w:rPr>
          <w:spacing w:val="-4"/>
          <w:sz w:val="20"/>
        </w:rPr>
        <w:t> </w:t>
      </w:r>
      <w:r>
        <w:rPr>
          <w:sz w:val="20"/>
        </w:rPr>
        <w:t>Monetary</w:t>
      </w:r>
      <w:r>
        <w:rPr>
          <w:spacing w:val="-4"/>
          <w:sz w:val="20"/>
        </w:rPr>
        <w:t> </w:t>
      </w:r>
      <w:r>
        <w:rPr>
          <w:sz w:val="20"/>
        </w:rPr>
        <w:t>Policy</w:t>
      </w:r>
      <w:r>
        <w:rPr>
          <w:spacing w:val="-5"/>
          <w:sz w:val="20"/>
        </w:rPr>
        <w:t> </w:t>
      </w:r>
      <w:r>
        <w:rPr>
          <w:sz w:val="20"/>
        </w:rPr>
        <w:t>in</w:t>
      </w:r>
      <w:r>
        <w:rPr>
          <w:spacing w:val="-3"/>
          <w:sz w:val="20"/>
        </w:rPr>
        <w:t> </w:t>
      </w:r>
      <w:r>
        <w:rPr>
          <w:sz w:val="20"/>
        </w:rPr>
        <w:t>a</w:t>
      </w:r>
      <w:r>
        <w:rPr>
          <w:spacing w:val="-1"/>
          <w:sz w:val="20"/>
        </w:rPr>
        <w:t> </w:t>
      </w:r>
      <w:r>
        <w:rPr>
          <w:sz w:val="20"/>
        </w:rPr>
        <w:t>Model</w:t>
      </w:r>
      <w:r>
        <w:rPr>
          <w:spacing w:val="-2"/>
          <w:sz w:val="20"/>
        </w:rPr>
        <w:t> </w:t>
      </w:r>
      <w:r>
        <w:rPr>
          <w:sz w:val="20"/>
        </w:rPr>
        <w:t>of</w:t>
      </w:r>
      <w:r>
        <w:rPr>
          <w:spacing w:val="-13"/>
          <w:sz w:val="20"/>
        </w:rPr>
        <w:t> </w:t>
      </w:r>
      <w:r>
        <w:rPr>
          <w:sz w:val="20"/>
        </w:rPr>
        <w:t>Asymmetric</w:t>
      </w:r>
      <w:r>
        <w:rPr>
          <w:spacing w:val="-2"/>
          <w:sz w:val="20"/>
        </w:rPr>
        <w:t> </w:t>
      </w:r>
      <w:r>
        <w:rPr>
          <w:sz w:val="20"/>
        </w:rPr>
        <w:t>Central</w:t>
      </w:r>
      <w:r>
        <w:rPr>
          <w:spacing w:val="-3"/>
          <w:sz w:val="20"/>
        </w:rPr>
        <w:t> </w:t>
      </w:r>
      <w:r>
        <w:rPr>
          <w:sz w:val="20"/>
        </w:rPr>
        <w:t>Bank Preferences. </w:t>
      </w:r>
      <w:r>
        <w:rPr>
          <w:i/>
          <w:sz w:val="20"/>
        </w:rPr>
        <w:t>The Economic Journal</w:t>
      </w:r>
      <w:r>
        <w:rPr>
          <w:sz w:val="20"/>
        </w:rPr>
        <w:t>, 113(489),</w:t>
      </w:r>
      <w:r>
        <w:rPr>
          <w:spacing w:val="-1"/>
          <w:sz w:val="20"/>
        </w:rPr>
        <w:t> </w:t>
      </w:r>
      <w:r>
        <w:rPr>
          <w:sz w:val="20"/>
        </w:rPr>
        <w:t>657-665.</w:t>
      </w:r>
    </w:p>
    <w:p>
      <w:pPr>
        <w:spacing w:after="0" w:line="360" w:lineRule="auto"/>
        <w:jc w:val="both"/>
        <w:rPr>
          <w:sz w:val="20"/>
        </w:rPr>
        <w:sectPr>
          <w:pgSz w:w="11910" w:h="16840"/>
          <w:pgMar w:header="0" w:footer="872" w:top="1340" w:bottom="1140" w:left="680" w:right="480"/>
        </w:sectPr>
      </w:pPr>
    </w:p>
    <w:p>
      <w:pPr>
        <w:pStyle w:val="BodyText"/>
        <w:spacing w:line="362" w:lineRule="auto" w:before="79"/>
        <w:ind w:left="313" w:right="1029"/>
      </w:pPr>
      <w:r>
        <w:rPr>
          <w:b/>
        </w:rPr>
        <w:t>ONS (2019)</w:t>
      </w:r>
      <w:r>
        <w:rPr/>
        <w:t>. A review of households’ mixed income estimates and plans for upcoming improvements. December 2019.</w:t>
      </w:r>
    </w:p>
    <w:p>
      <w:pPr>
        <w:pStyle w:val="BodyText"/>
        <w:spacing w:before="6"/>
        <w:rPr>
          <w:sz w:val="29"/>
        </w:rPr>
      </w:pPr>
    </w:p>
    <w:p>
      <w:pPr>
        <w:spacing w:line="360" w:lineRule="auto" w:before="0"/>
        <w:ind w:left="313" w:right="573" w:firstLine="0"/>
        <w:jc w:val="left"/>
        <w:rPr>
          <w:sz w:val="20"/>
        </w:rPr>
      </w:pPr>
      <w:r>
        <w:rPr>
          <w:b/>
          <w:sz w:val="20"/>
        </w:rPr>
        <w:t>Powell, J. H. (2018a)</w:t>
      </w:r>
      <w:r>
        <w:rPr>
          <w:sz w:val="20"/>
        </w:rPr>
        <w:t>. Monetary Policy at a Time of Uncertainty and Tight Labor Markets. Speech at "Price and Wage-Setting in Advanced Economies," an </w:t>
      </w:r>
      <w:r>
        <w:rPr>
          <w:i/>
          <w:sz w:val="20"/>
        </w:rPr>
        <w:t>ECB Forum on Central Banking</w:t>
      </w:r>
      <w:r>
        <w:rPr>
          <w:sz w:val="20"/>
        </w:rPr>
        <w:t>, Sintra, Portugal.</w:t>
      </w:r>
    </w:p>
    <w:p>
      <w:pPr>
        <w:pStyle w:val="BodyText"/>
        <w:rPr>
          <w:sz w:val="30"/>
        </w:rPr>
      </w:pPr>
    </w:p>
    <w:p>
      <w:pPr>
        <w:spacing w:line="360" w:lineRule="auto" w:before="0"/>
        <w:ind w:left="313" w:right="1029" w:firstLine="0"/>
        <w:jc w:val="left"/>
        <w:rPr>
          <w:sz w:val="20"/>
        </w:rPr>
      </w:pPr>
      <w:r>
        <w:rPr>
          <w:b/>
          <w:sz w:val="20"/>
        </w:rPr>
        <w:t>Powell, J. H. (2018b)</w:t>
      </w:r>
      <w:r>
        <w:rPr>
          <w:sz w:val="20"/>
        </w:rPr>
        <w:t>. Monetary Policy and Risk Management at a Time of Low Inflation and Low Unemployment. Speech at the "Revolution or Evolution? Reexamining Economic Paradigms</w:t>
      </w:r>
      <w:r>
        <w:rPr>
          <w:i/>
          <w:sz w:val="20"/>
        </w:rPr>
        <w:t>" 60th Annual </w:t>
      </w:r>
      <w:r>
        <w:rPr>
          <w:i/>
          <w:sz w:val="20"/>
        </w:rPr>
        <w:t>Meeting of the National Association for Business Economics, Boston</w:t>
      </w:r>
      <w:r>
        <w:rPr>
          <w:sz w:val="20"/>
        </w:rPr>
        <w:t>, Massachusetts.</w:t>
      </w:r>
    </w:p>
    <w:p>
      <w:pPr>
        <w:pStyle w:val="BodyText"/>
        <w:rPr>
          <w:sz w:val="30"/>
        </w:rPr>
      </w:pPr>
    </w:p>
    <w:p>
      <w:pPr>
        <w:spacing w:line="362" w:lineRule="auto" w:before="0"/>
        <w:ind w:left="313" w:right="733" w:firstLine="0"/>
        <w:jc w:val="left"/>
        <w:rPr>
          <w:sz w:val="20"/>
        </w:rPr>
      </w:pPr>
      <w:r>
        <w:rPr>
          <w:b/>
          <w:sz w:val="20"/>
        </w:rPr>
        <w:t>Seneca, M. (2016)</w:t>
      </w:r>
      <w:r>
        <w:rPr>
          <w:sz w:val="20"/>
        </w:rPr>
        <w:t>. Risk shocks close to the zero lower bound. </w:t>
      </w:r>
      <w:r>
        <w:rPr>
          <w:i/>
          <w:sz w:val="20"/>
        </w:rPr>
        <w:t>Bank of England working papers 606</w:t>
      </w:r>
      <w:r>
        <w:rPr>
          <w:sz w:val="20"/>
        </w:rPr>
        <w:t>, Bank of England.</w:t>
      </w:r>
    </w:p>
    <w:p>
      <w:pPr>
        <w:spacing w:after="0" w:line="362" w:lineRule="auto"/>
        <w:jc w:val="left"/>
        <w:rPr>
          <w:sz w:val="20"/>
        </w:rPr>
        <w:sectPr>
          <w:pgSz w:w="11910" w:h="16840"/>
          <w:pgMar w:header="0" w:footer="872" w:top="1340" w:bottom="1140" w:left="680" w:right="480"/>
        </w:sectPr>
      </w:pPr>
    </w:p>
    <w:p>
      <w:pPr>
        <w:pStyle w:val="Heading1"/>
        <w:ind w:left="313" w:firstLine="0"/>
      </w:pPr>
      <w:r>
        <w:rPr/>
        <w:t>Appendix</w:t>
      </w:r>
    </w:p>
    <w:p>
      <w:pPr>
        <w:pStyle w:val="BodyText"/>
        <w:rPr>
          <w:b/>
          <w:sz w:val="22"/>
        </w:rPr>
      </w:pPr>
    </w:p>
    <w:p>
      <w:pPr>
        <w:pStyle w:val="BodyText"/>
        <w:spacing w:before="10"/>
        <w:rPr>
          <w:b/>
          <w:sz w:val="17"/>
        </w:rPr>
      </w:pPr>
    </w:p>
    <w:p>
      <w:pPr>
        <w:spacing w:before="0"/>
        <w:ind w:left="313" w:right="0" w:firstLine="0"/>
        <w:jc w:val="left"/>
        <w:rPr>
          <w:b/>
          <w:sz w:val="20"/>
        </w:rPr>
      </w:pPr>
      <w:r>
        <w:rPr>
          <w:b/>
          <w:sz w:val="20"/>
          <w:u w:val="thick"/>
        </w:rPr>
        <w:t>The factor price frontier</w:t>
      </w:r>
    </w:p>
    <w:p>
      <w:pPr>
        <w:pStyle w:val="BodyText"/>
        <w:spacing w:before="3"/>
        <w:rPr>
          <w:b/>
          <w:sz w:val="12"/>
        </w:rPr>
      </w:pPr>
    </w:p>
    <w:p>
      <w:pPr>
        <w:pStyle w:val="BodyText"/>
        <w:spacing w:before="92"/>
        <w:ind w:left="313"/>
      </w:pPr>
      <w:r>
        <w:rPr/>
        <w:t>The following national income relation holds as an identity:</w:t>
      </w:r>
    </w:p>
    <w:p>
      <w:pPr>
        <w:pStyle w:val="BodyText"/>
        <w:spacing w:before="9"/>
        <w:rPr>
          <w:sz w:val="18"/>
        </w:rPr>
      </w:pPr>
    </w:p>
    <w:p>
      <w:pPr>
        <w:pStyle w:val="BodyText"/>
        <w:tabs>
          <w:tab w:pos="5614" w:val="left" w:leader="none"/>
        </w:tabs>
        <w:ind w:right="508"/>
        <w:jc w:val="right"/>
        <w:rPr>
          <w:rFonts w:ascii="Cambria Math" w:eastAsia="Cambria Math"/>
        </w:rPr>
      </w:pPr>
      <w:r>
        <w:rPr>
          <w:rFonts w:ascii="Cambria Math" w:eastAsia="Cambria Math"/>
          <w:spacing w:val="-10"/>
        </w:rPr>
        <w:t>𝑃</w:t>
      </w:r>
      <w:r>
        <w:rPr>
          <w:rFonts w:ascii="Cambria Math" w:eastAsia="Cambria Math"/>
          <w:spacing w:val="-10"/>
          <w:position w:val="-3"/>
          <w:sz w:val="14"/>
        </w:rPr>
        <w:t>𝑣</w:t>
      </w:r>
      <w:r>
        <w:rPr>
          <w:rFonts w:ascii="Cambria Math" w:eastAsia="Cambria Math"/>
          <w:spacing w:val="-10"/>
        </w:rPr>
        <w:t>𝑉  </w:t>
      </w:r>
      <w:r>
        <w:rPr>
          <w:rFonts w:ascii="Cambria Math" w:eastAsia="Cambria Math"/>
        </w:rPr>
        <w:t>=  𝑊𝐿 + </w:t>
      </w:r>
      <w:r>
        <w:rPr>
          <w:rFonts w:ascii="Cambria Math" w:eastAsia="Cambria Math"/>
          <w:spacing w:val="-12"/>
        </w:rPr>
        <w:t>𝑃</w:t>
      </w:r>
      <w:r>
        <w:rPr>
          <w:rFonts w:ascii="Cambria Math" w:eastAsia="Cambria Math"/>
          <w:spacing w:val="-12"/>
          <w:position w:val="-3"/>
          <w:sz w:val="14"/>
        </w:rPr>
        <w:t>𝑘 </w:t>
      </w:r>
      <w:r>
        <w:rPr>
          <w:rFonts w:ascii="Cambria Math" w:eastAsia="Cambria Math"/>
        </w:rPr>
        <w:t>𝐾</w:t>
      </w:r>
      <w:r>
        <w:rPr>
          <w:rFonts w:ascii="Cambria Math" w:eastAsia="Cambria Math"/>
          <w:spacing w:val="-26"/>
        </w:rPr>
        <w:t> </w:t>
      </w:r>
      <w:r>
        <w:rPr>
          <w:rFonts w:ascii="Cambria Math" w:eastAsia="Cambria Math"/>
        </w:rPr>
        <w:t>+</w:t>
      </w:r>
      <w:r>
        <w:rPr>
          <w:rFonts w:ascii="Cambria Math" w:eastAsia="Cambria Math"/>
          <w:spacing w:val="-1"/>
        </w:rPr>
        <w:t> </w:t>
      </w:r>
      <w:r>
        <w:rPr>
          <w:rFonts w:ascii="Cambria Math" w:eastAsia="Cambria Math"/>
        </w:rPr>
        <w:t>𝜋</w:t>
        <w:tab/>
      </w:r>
      <w:r>
        <w:rPr>
          <w:rFonts w:ascii="Cambria Math" w:eastAsia="Cambria Math"/>
          <w:spacing w:val="-1"/>
          <w:w w:val="95"/>
          <w:position w:val="1"/>
        </w:rPr>
        <w:t>(</w:t>
      </w:r>
      <w:r>
        <w:rPr>
          <w:rFonts w:ascii="Cambria Math" w:eastAsia="Cambria Math"/>
          <w:spacing w:val="-1"/>
          <w:w w:val="95"/>
        </w:rPr>
        <w:t>1</w:t>
      </w:r>
      <w:r>
        <w:rPr>
          <w:rFonts w:ascii="Cambria Math" w:eastAsia="Cambria Math"/>
          <w:spacing w:val="-1"/>
          <w:w w:val="95"/>
          <w:position w:val="1"/>
        </w:rPr>
        <w:t>)</w:t>
      </w:r>
    </w:p>
    <w:p>
      <w:pPr>
        <w:pStyle w:val="BodyText"/>
        <w:spacing w:before="8"/>
        <w:rPr>
          <w:rFonts w:ascii="Cambria Math"/>
          <w:sz w:val="17"/>
        </w:rPr>
      </w:pPr>
    </w:p>
    <w:p>
      <w:pPr>
        <w:pStyle w:val="BodyText"/>
        <w:ind w:left="313"/>
      </w:pPr>
      <w:r>
        <w:rPr/>
        <w:t>Where </w:t>
      </w:r>
      <w:r>
        <w:rPr>
          <w:rFonts w:ascii="Cambria Math" w:eastAsia="Cambria Math"/>
        </w:rPr>
        <w:t>𝑃</w:t>
      </w:r>
      <w:r>
        <w:rPr>
          <w:rFonts w:ascii="Cambria Math" w:eastAsia="Cambria Math"/>
          <w:position w:val="-3"/>
          <w:sz w:val="14"/>
        </w:rPr>
        <w:t>𝑉 </w:t>
      </w:r>
      <w:r>
        <w:rPr/>
        <w:t>and V are the price and volume of value added: W and L are the price and volume of labour services.</w:t>
      </w:r>
    </w:p>
    <w:p>
      <w:pPr>
        <w:pStyle w:val="BodyText"/>
        <w:spacing w:line="345" w:lineRule="auto" w:before="92"/>
        <w:ind w:left="313" w:right="511"/>
      </w:pPr>
      <w:r>
        <w:rPr>
          <w:rFonts w:ascii="Cambria Math" w:hAnsi="Cambria Math" w:eastAsia="Cambria Math"/>
        </w:rPr>
        <w:t>𝑃</w:t>
      </w:r>
      <w:r>
        <w:rPr>
          <w:rFonts w:ascii="Cambria Math" w:hAnsi="Cambria Math" w:eastAsia="Cambria Math"/>
          <w:position w:val="-3"/>
          <w:sz w:val="14"/>
        </w:rPr>
        <w:t>𝐾 </w:t>
      </w:r>
      <w:r>
        <w:rPr/>
        <w:t>is the rental cost of capital services, K and </w:t>
      </w:r>
      <w:r>
        <w:rPr>
          <w:rFonts w:ascii="Cambria Math" w:hAnsi="Cambria Math" w:eastAsia="Cambria Math"/>
        </w:rPr>
        <w:t>𝜋 </w:t>
      </w:r>
      <w:r>
        <w:rPr/>
        <w:t>are ‘abnormal’ profits. Thus in principal we can think of firms as potentially renting capital goods in a competitive rental market, and then earning abnormal profits </w:t>
      </w:r>
      <w:r>
        <w:rPr>
          <w:rFonts w:ascii="Cambria Math" w:hAnsi="Cambria Math" w:eastAsia="Cambria Math"/>
        </w:rPr>
        <w:t>𝜋 </w:t>
      </w:r>
      <w:r>
        <w:rPr/>
        <w:t>over and above those costs in an imperfect product market. From this identity, we can decompose the log difference of</w:t>
      </w:r>
    </w:p>
    <w:p>
      <w:pPr>
        <w:pStyle w:val="BodyText"/>
        <w:spacing w:before="15"/>
        <w:ind w:left="313"/>
      </w:pPr>
      <w:r>
        <w:rPr/>
        <w:t>the price of value added </w:t>
      </w:r>
      <w:r>
        <w:rPr>
          <w:rFonts w:ascii="Cambria Math" w:eastAsia="Cambria Math"/>
        </w:rPr>
        <w:t>𝑑𝑝</w:t>
      </w:r>
      <w:r>
        <w:rPr>
          <w:rFonts w:ascii="Cambria Math" w:eastAsia="Cambria Math"/>
          <w:position w:val="-3"/>
          <w:sz w:val="14"/>
        </w:rPr>
        <w:t>𝑣 </w:t>
      </w:r>
      <w:r>
        <w:rPr/>
        <w:t>as follows:</w:t>
      </w:r>
    </w:p>
    <w:p>
      <w:pPr>
        <w:pStyle w:val="BodyText"/>
        <w:spacing w:before="9"/>
        <w:rPr>
          <w:sz w:val="26"/>
        </w:rPr>
      </w:pPr>
    </w:p>
    <w:p>
      <w:pPr>
        <w:pStyle w:val="BodyText"/>
        <w:tabs>
          <w:tab w:pos="6807" w:val="left" w:leader="none"/>
        </w:tabs>
        <w:ind w:right="508"/>
        <w:jc w:val="right"/>
        <w:rPr>
          <w:rFonts w:ascii="Cambria Math" w:eastAsia="Cambria Math"/>
        </w:rPr>
      </w:pPr>
      <w:r>
        <w:rPr>
          <w:rFonts w:ascii="Cambria Math" w:eastAsia="Cambria Math"/>
        </w:rPr>
        <w:t>𝑑𝑝</w:t>
      </w:r>
      <w:r>
        <w:rPr>
          <w:rFonts w:ascii="Cambria Math" w:eastAsia="Cambria Math"/>
          <w:position w:val="-3"/>
          <w:sz w:val="14"/>
        </w:rPr>
        <w:t>𝑣  </w:t>
      </w:r>
      <w:r>
        <w:rPr>
          <w:rFonts w:ascii="Cambria Math" w:eastAsia="Cambria Math"/>
        </w:rPr>
        <w:t>+ 𝑑𝑣  = 𝜎</w:t>
      </w:r>
      <w:r>
        <w:rPr>
          <w:rFonts w:ascii="Cambria Math" w:eastAsia="Cambria Math"/>
          <w:position w:val="-3"/>
          <w:sz w:val="14"/>
        </w:rPr>
        <w:t>𝐿</w:t>
      </w:r>
      <w:r>
        <w:rPr>
          <w:rFonts w:ascii="Cambria Math" w:eastAsia="Cambria Math"/>
          <w:position w:val="1"/>
        </w:rPr>
        <w:t>(</w:t>
      </w:r>
      <w:r>
        <w:rPr>
          <w:rFonts w:ascii="Cambria Math" w:eastAsia="Cambria Math"/>
        </w:rPr>
        <w:t>𝑑𝑙 + 𝑑𝑤</w:t>
      </w:r>
      <w:r>
        <w:rPr>
          <w:rFonts w:ascii="Cambria Math" w:eastAsia="Cambria Math"/>
          <w:position w:val="1"/>
        </w:rPr>
        <w:t>) </w:t>
      </w:r>
      <w:r>
        <w:rPr>
          <w:rFonts w:ascii="Cambria Math" w:eastAsia="Cambria Math"/>
        </w:rPr>
        <w:t>+ 𝜎</w:t>
      </w:r>
      <w:r>
        <w:rPr>
          <w:rFonts w:ascii="Cambria Math" w:eastAsia="Cambria Math"/>
          <w:position w:val="-3"/>
          <w:sz w:val="14"/>
        </w:rPr>
        <w:t>𝐾</w:t>
      </w:r>
      <w:r>
        <w:rPr>
          <w:rFonts w:ascii="Cambria Math" w:eastAsia="Cambria Math"/>
          <w:position w:val="1"/>
        </w:rPr>
        <w:t>(</w:t>
      </w:r>
      <w:r>
        <w:rPr>
          <w:rFonts w:ascii="Cambria Math" w:eastAsia="Cambria Math"/>
        </w:rPr>
        <w:t>𝑑𝑝</w:t>
      </w:r>
      <w:r>
        <w:rPr>
          <w:rFonts w:ascii="Cambria Math" w:eastAsia="Cambria Math"/>
          <w:position w:val="-3"/>
          <w:sz w:val="14"/>
        </w:rPr>
        <w:t>𝑘  </w:t>
      </w:r>
      <w:r>
        <w:rPr>
          <w:rFonts w:ascii="Cambria Math" w:eastAsia="Cambria Math"/>
        </w:rPr>
        <w:t>+ 𝑑𝑘</w:t>
      </w:r>
      <w:r>
        <w:rPr>
          <w:rFonts w:ascii="Cambria Math" w:eastAsia="Cambria Math"/>
          <w:position w:val="1"/>
        </w:rPr>
        <w:t>)</w:t>
      </w:r>
      <w:r>
        <w:rPr>
          <w:rFonts w:ascii="Cambria Math" w:eastAsia="Cambria Math"/>
          <w:spacing w:val="-5"/>
          <w:position w:val="1"/>
        </w:rPr>
        <w:t> </w:t>
      </w:r>
      <w:r>
        <w:rPr>
          <w:rFonts w:ascii="Cambria Math" w:eastAsia="Cambria Math"/>
        </w:rPr>
        <w:t>+</w:t>
      </w:r>
      <w:r>
        <w:rPr>
          <w:rFonts w:ascii="Cambria Math" w:eastAsia="Cambria Math"/>
          <w:spacing w:val="1"/>
        </w:rPr>
        <w:t> </w:t>
      </w:r>
      <w:r>
        <w:rPr>
          <w:rFonts w:ascii="Cambria Math" w:eastAsia="Cambria Math"/>
        </w:rPr>
        <w:t>𝜎</w:t>
      </w:r>
      <w:r>
        <w:rPr>
          <w:rFonts w:ascii="Cambria Math" w:eastAsia="Cambria Math"/>
          <w:position w:val="-3"/>
          <w:sz w:val="14"/>
        </w:rPr>
        <w:t>𝜋</w:t>
      </w:r>
      <w:r>
        <w:rPr>
          <w:rFonts w:ascii="Cambria Math" w:eastAsia="Cambria Math"/>
        </w:rPr>
        <w:t>𝑑𝜋</w:t>
        <w:tab/>
      </w:r>
      <w:r>
        <w:rPr>
          <w:rFonts w:ascii="Cambria Math" w:eastAsia="Cambria Math"/>
          <w:spacing w:val="-1"/>
          <w:w w:val="95"/>
          <w:position w:val="1"/>
        </w:rPr>
        <w:t>(</w:t>
      </w:r>
      <w:r>
        <w:rPr>
          <w:rFonts w:ascii="Cambria Math" w:eastAsia="Cambria Math"/>
          <w:spacing w:val="-1"/>
          <w:w w:val="95"/>
        </w:rPr>
        <w:t>2</w:t>
      </w:r>
      <w:r>
        <w:rPr>
          <w:rFonts w:ascii="Cambria Math" w:eastAsia="Cambria Math"/>
          <w:spacing w:val="-1"/>
          <w:w w:val="95"/>
          <w:position w:val="1"/>
        </w:rPr>
        <w:t>)</w:t>
      </w:r>
    </w:p>
    <w:p>
      <w:pPr>
        <w:pStyle w:val="BodyText"/>
        <w:spacing w:before="3"/>
        <w:rPr>
          <w:rFonts w:ascii="Cambria Math"/>
          <w:sz w:val="10"/>
        </w:rPr>
      </w:pPr>
    </w:p>
    <w:p>
      <w:pPr>
        <w:spacing w:after="0"/>
        <w:rPr>
          <w:rFonts w:ascii="Cambria Math"/>
          <w:sz w:val="10"/>
        </w:rPr>
        <w:sectPr>
          <w:pgSz w:w="11910" w:h="16840"/>
          <w:pgMar w:header="0" w:footer="872" w:top="1340" w:bottom="1140" w:left="680" w:right="480"/>
        </w:sectPr>
      </w:pPr>
    </w:p>
    <w:p>
      <w:pPr>
        <w:spacing w:before="65"/>
        <w:ind w:left="3002" w:right="0" w:firstLine="0"/>
        <w:jc w:val="left"/>
        <w:rPr>
          <w:rFonts w:ascii="Cambria Math" w:hAnsi="Cambria Math" w:eastAsia="Cambria Math"/>
          <w:sz w:val="20"/>
        </w:rPr>
      </w:pPr>
      <w:r>
        <w:rPr>
          <w:rFonts w:ascii="Cambria Math" w:hAnsi="Cambria Math" w:eastAsia="Cambria Math"/>
          <w:sz w:val="20"/>
        </w:rPr>
        <w:t>𝑑𝑝</w:t>
      </w:r>
      <w:r>
        <w:rPr>
          <w:rFonts w:ascii="Cambria Math" w:hAnsi="Cambria Math" w:eastAsia="Cambria Math"/>
          <w:position w:val="-3"/>
          <w:sz w:val="14"/>
        </w:rPr>
        <w:t>𝑣 </w:t>
      </w:r>
      <w:r>
        <w:rPr>
          <w:rFonts w:ascii="Cambria Math" w:hAnsi="Cambria Math" w:eastAsia="Cambria Math"/>
          <w:sz w:val="20"/>
        </w:rPr>
        <w:t>= 𝜎</w:t>
      </w:r>
      <w:r>
        <w:rPr>
          <w:rFonts w:ascii="Cambria Math" w:hAnsi="Cambria Math" w:eastAsia="Cambria Math"/>
          <w:position w:val="-3"/>
          <w:sz w:val="14"/>
        </w:rPr>
        <w:t>𝐿</w:t>
      </w:r>
      <w:r>
        <w:rPr>
          <w:rFonts w:ascii="Cambria Math" w:hAnsi="Cambria Math" w:eastAsia="Cambria Math"/>
          <w:sz w:val="20"/>
        </w:rPr>
        <w:t>𝑑𝑤 + </w:t>
      </w:r>
      <w:r>
        <w:rPr>
          <w:rFonts w:ascii="Cambria Math" w:hAnsi="Cambria Math" w:eastAsia="Cambria Math"/>
          <w:spacing w:val="-3"/>
          <w:sz w:val="20"/>
        </w:rPr>
        <w:t>𝜎</w:t>
      </w:r>
      <w:r>
        <w:rPr>
          <w:rFonts w:ascii="Cambria Math" w:hAnsi="Cambria Math" w:eastAsia="Cambria Math"/>
          <w:spacing w:val="-3"/>
          <w:position w:val="-3"/>
          <w:sz w:val="14"/>
        </w:rPr>
        <w:t>𝐾</w:t>
      </w:r>
      <w:r>
        <w:rPr>
          <w:rFonts w:ascii="Cambria Math" w:hAnsi="Cambria Math" w:eastAsia="Cambria Math"/>
          <w:spacing w:val="-3"/>
          <w:sz w:val="20"/>
        </w:rPr>
        <w:t>𝑑𝑝</w:t>
      </w:r>
      <w:r>
        <w:rPr>
          <w:rFonts w:ascii="Cambria Math" w:hAnsi="Cambria Math" w:eastAsia="Cambria Math"/>
          <w:spacing w:val="-3"/>
          <w:position w:val="-3"/>
          <w:sz w:val="14"/>
        </w:rPr>
        <w:t>𝐾 </w:t>
      </w:r>
      <w:r>
        <w:rPr>
          <w:rFonts w:ascii="Cambria Math" w:hAnsi="Cambria Math" w:eastAsia="Cambria Math"/>
          <w:sz w:val="20"/>
        </w:rPr>
        <w:t>+ 𝜎</w:t>
      </w:r>
      <w:r>
        <w:rPr>
          <w:rFonts w:ascii="Cambria Math" w:hAnsi="Cambria Math" w:eastAsia="Cambria Math"/>
          <w:position w:val="-3"/>
          <w:sz w:val="14"/>
        </w:rPr>
        <w:t>𝜋</w:t>
      </w:r>
      <w:r>
        <w:rPr>
          <w:rFonts w:ascii="Cambria Math" w:hAnsi="Cambria Math" w:eastAsia="Cambria Math"/>
          <w:sz w:val="20"/>
        </w:rPr>
        <w:t>𝑑𝜋 − </w:t>
      </w:r>
      <w:r>
        <w:rPr>
          <w:rFonts w:ascii="Cambria Math" w:hAnsi="Cambria Math" w:eastAsia="Cambria Math"/>
          <w:spacing w:val="-71"/>
          <w:position w:val="1"/>
          <w:sz w:val="20"/>
        </w:rPr>
        <w:t>{</w:t>
      </w:r>
      <w:r>
        <w:rPr>
          <w:rFonts w:ascii="Cambria Math" w:hAnsi="Cambria Math" w:eastAsia="Cambria Math"/>
          <w:spacing w:val="-71"/>
          <w:position w:val="-1"/>
          <w:sz w:val="20"/>
        </w:rPr>
        <w:t>⏟</w:t>
      </w:r>
      <w:r>
        <w:rPr>
          <w:rFonts w:ascii="Cambria Math" w:hAnsi="Cambria Math" w:eastAsia="Cambria Math"/>
          <w:spacing w:val="-71"/>
          <w:sz w:val="20"/>
        </w:rPr>
        <w:t>𝑑</w:t>
      </w:r>
      <w:r>
        <w:rPr>
          <w:rFonts w:ascii="Cambria Math" w:hAnsi="Cambria Math" w:eastAsia="Cambria Math"/>
          <w:position w:val="-1"/>
          <w:sz w:val="20"/>
        </w:rPr>
        <w:t> </w:t>
      </w:r>
      <w:r>
        <w:rPr>
          <w:rFonts w:ascii="Cambria Math" w:hAnsi="Cambria Math" w:eastAsia="Cambria Math"/>
          <w:spacing w:val="-37"/>
          <w:sz w:val="20"/>
        </w:rPr>
        <w:t>𝑣</w:t>
      </w:r>
      <w:r>
        <w:rPr>
          <w:rFonts w:ascii="Cambria Math" w:hAnsi="Cambria Math" w:eastAsia="Cambria Math"/>
          <w:spacing w:val="-37"/>
          <w:position w:val="-1"/>
          <w:sz w:val="20"/>
        </w:rPr>
        <w:t> </w:t>
      </w:r>
      <w:r>
        <w:rPr>
          <w:rFonts w:ascii="Cambria Math" w:hAnsi="Cambria Math" w:eastAsia="Cambria Math"/>
          <w:spacing w:val="-118"/>
          <w:sz w:val="20"/>
        </w:rPr>
        <w:t>−</w:t>
      </w:r>
      <w:r>
        <w:rPr>
          <w:rFonts w:ascii="Cambria Math" w:hAnsi="Cambria Math" w:eastAsia="Cambria Math"/>
          <w:spacing w:val="126"/>
          <w:position w:val="-1"/>
          <w:sz w:val="20"/>
        </w:rPr>
        <w:t> </w:t>
      </w:r>
      <w:r>
        <w:rPr>
          <w:rFonts w:ascii="Cambria Math" w:hAnsi="Cambria Math" w:eastAsia="Cambria Math"/>
          <w:spacing w:val="-45"/>
          <w:sz w:val="20"/>
        </w:rPr>
        <w:t>𝜎</w:t>
      </w:r>
      <w:r>
        <w:rPr>
          <w:rFonts w:ascii="Cambria Math" w:hAnsi="Cambria Math" w:eastAsia="Cambria Math"/>
          <w:spacing w:val="-45"/>
          <w:position w:val="-1"/>
          <w:sz w:val="20"/>
        </w:rPr>
        <w:t> </w:t>
      </w:r>
      <w:r>
        <w:rPr>
          <w:rFonts w:ascii="Cambria Math" w:hAnsi="Cambria Math" w:eastAsia="Cambria Math"/>
          <w:spacing w:val="11"/>
          <w:position w:val="-3"/>
          <w:sz w:val="14"/>
        </w:rPr>
        <w:t>𝑘</w:t>
      </w:r>
      <w:r>
        <w:rPr>
          <w:rFonts w:ascii="Cambria Math" w:hAnsi="Cambria Math" w:eastAsia="Cambria Math"/>
          <w:spacing w:val="11"/>
          <w:position w:val="-1"/>
          <w:sz w:val="14"/>
        </w:rPr>
        <w:t> </w:t>
      </w:r>
      <w:r>
        <w:rPr>
          <w:rFonts w:ascii="Cambria Math" w:hAnsi="Cambria Math" w:eastAsia="Cambria Math"/>
          <w:spacing w:val="-32"/>
          <w:sz w:val="20"/>
        </w:rPr>
        <w:t>𝑑𝑘</w:t>
      </w:r>
      <w:r>
        <w:rPr>
          <w:rFonts w:ascii="Cambria Math" w:hAnsi="Cambria Math" w:eastAsia="Cambria Math"/>
          <w:spacing w:val="-32"/>
          <w:position w:val="-1"/>
          <w:sz w:val="20"/>
        </w:rPr>
        <w:t> </w:t>
      </w:r>
      <w:r>
        <w:rPr>
          <w:rFonts w:ascii="Cambria Math" w:hAnsi="Cambria Math" w:eastAsia="Cambria Math"/>
          <w:spacing w:val="-147"/>
          <w:sz w:val="20"/>
        </w:rPr>
        <w:t>−</w:t>
      </w:r>
      <w:r>
        <w:rPr>
          <w:rFonts w:ascii="Cambria Math" w:hAnsi="Cambria Math" w:eastAsia="Cambria Math"/>
          <w:spacing w:val="156"/>
          <w:position w:val="-1"/>
          <w:sz w:val="20"/>
        </w:rPr>
        <w:t> </w:t>
      </w:r>
      <w:r>
        <w:rPr>
          <w:rFonts w:ascii="Cambria Math" w:hAnsi="Cambria Math" w:eastAsia="Cambria Math"/>
          <w:spacing w:val="-74"/>
          <w:sz w:val="20"/>
        </w:rPr>
        <w:t>𝜎</w:t>
      </w:r>
      <w:r>
        <w:rPr>
          <w:rFonts w:ascii="Cambria Math" w:hAnsi="Cambria Math" w:eastAsia="Cambria Math"/>
          <w:spacing w:val="19"/>
          <w:position w:val="-1"/>
          <w:sz w:val="20"/>
        </w:rPr>
        <w:t> </w:t>
      </w:r>
      <w:r>
        <w:rPr>
          <w:rFonts w:ascii="Cambria Math" w:hAnsi="Cambria Math" w:eastAsia="Cambria Math"/>
          <w:spacing w:val="-19"/>
          <w:position w:val="-3"/>
          <w:sz w:val="14"/>
        </w:rPr>
        <w:t>𝐿</w:t>
      </w:r>
      <w:r>
        <w:rPr>
          <w:rFonts w:ascii="Cambria Math" w:hAnsi="Cambria Math" w:eastAsia="Cambria Math"/>
          <w:spacing w:val="-19"/>
          <w:position w:val="-1"/>
          <w:sz w:val="14"/>
        </w:rPr>
        <w:t> </w:t>
      </w:r>
      <w:r>
        <w:rPr>
          <w:rFonts w:ascii="Cambria Math" w:hAnsi="Cambria Math" w:eastAsia="Cambria Math"/>
          <w:spacing w:val="-19"/>
          <w:sz w:val="20"/>
        </w:rPr>
        <w:t>𝑑</w:t>
      </w:r>
      <w:r>
        <w:rPr>
          <w:rFonts w:ascii="Cambria Math" w:hAnsi="Cambria Math" w:eastAsia="Cambria Math"/>
          <w:spacing w:val="-19"/>
          <w:position w:val="-1"/>
          <w:sz w:val="20"/>
        </w:rPr>
        <w:t> </w:t>
      </w:r>
      <w:r>
        <w:rPr>
          <w:rFonts w:ascii="Cambria Math" w:hAnsi="Cambria Math" w:eastAsia="Cambria Math"/>
          <w:spacing w:val="3"/>
          <w:sz w:val="20"/>
        </w:rPr>
        <w:t>𝑙</w:t>
      </w:r>
      <w:r>
        <w:rPr>
          <w:rFonts w:ascii="Cambria Math" w:hAnsi="Cambria Math" w:eastAsia="Cambria Math"/>
          <w:spacing w:val="3"/>
          <w:position w:val="1"/>
          <w:sz w:val="20"/>
        </w:rPr>
        <w:t>}</w:t>
      </w:r>
    </w:p>
    <w:p>
      <w:pPr>
        <w:spacing w:before="36"/>
        <w:ind w:left="0" w:right="230" w:firstLine="0"/>
        <w:jc w:val="right"/>
        <w:rPr>
          <w:rFonts w:ascii="Cambria Math" w:hAnsi="Cambria Math" w:eastAsia="Cambria Math"/>
          <w:sz w:val="14"/>
        </w:rPr>
      </w:pPr>
      <w:r>
        <w:rPr>
          <w:rFonts w:ascii="Cambria Math" w:hAnsi="Cambria Math" w:eastAsia="Cambria Math"/>
          <w:w w:val="110"/>
          <w:sz w:val="14"/>
        </w:rPr>
        <w:t>𝜎−𝑤𝑒𝑖𝑔ℎ𝑡𝑒𝑑 𝑚𝑓𝑝</w:t>
      </w:r>
    </w:p>
    <w:p>
      <w:pPr>
        <w:spacing w:before="65"/>
        <w:ind w:left="0" w:right="551" w:firstLine="0"/>
        <w:jc w:val="right"/>
        <w:rPr>
          <w:rFonts w:ascii="Cambria Math"/>
          <w:sz w:val="20"/>
        </w:rPr>
      </w:pPr>
      <w:r>
        <w:rPr/>
        <w:br w:type="column"/>
      </w:r>
      <w:r>
        <w:rPr>
          <w:rFonts w:ascii="Cambria Math"/>
          <w:w w:val="95"/>
          <w:position w:val="1"/>
          <w:sz w:val="20"/>
        </w:rPr>
        <w:t>(</w:t>
      </w:r>
      <w:r>
        <w:rPr>
          <w:rFonts w:ascii="Cambria Math"/>
          <w:w w:val="95"/>
          <w:sz w:val="20"/>
        </w:rPr>
        <w:t>3</w:t>
      </w:r>
      <w:r>
        <w:rPr>
          <w:rFonts w:ascii="Cambria Math"/>
          <w:w w:val="95"/>
          <w:position w:val="1"/>
          <w:sz w:val="20"/>
        </w:rPr>
        <w:t>)</w:t>
      </w:r>
    </w:p>
    <w:p>
      <w:pPr>
        <w:spacing w:after="0"/>
        <w:jc w:val="right"/>
        <w:rPr>
          <w:rFonts w:ascii="Cambria Math"/>
          <w:sz w:val="20"/>
        </w:rPr>
        <w:sectPr>
          <w:type w:val="continuous"/>
          <w:pgSz w:w="11910" w:h="16840"/>
          <w:pgMar w:top="880" w:bottom="280" w:left="680" w:right="480"/>
          <w:cols w:num="2" w:equalWidth="0">
            <w:col w:w="7428" w:space="40"/>
            <w:col w:w="3282"/>
          </w:cols>
        </w:sectPr>
      </w:pPr>
    </w:p>
    <w:p>
      <w:pPr>
        <w:spacing w:line="256" w:lineRule="exact" w:before="0"/>
        <w:ind w:left="4471" w:right="4664" w:firstLine="0"/>
        <w:jc w:val="center"/>
        <w:rPr>
          <w:rFonts w:ascii="Cambria Math" w:eastAsia="Cambria Math"/>
          <w:sz w:val="20"/>
        </w:rPr>
      </w:pPr>
      <w:r>
        <w:rPr>
          <w:rFonts w:ascii="Cambria Math" w:eastAsia="Cambria Math"/>
          <w:sz w:val="20"/>
        </w:rPr>
        <w:t>𝜎</w:t>
      </w:r>
      <w:r>
        <w:rPr>
          <w:rFonts w:ascii="Cambria Math" w:eastAsia="Cambria Math"/>
          <w:position w:val="-3"/>
          <w:sz w:val="14"/>
        </w:rPr>
        <w:t>𝐿   </w:t>
      </w:r>
      <w:r>
        <w:rPr>
          <w:rFonts w:ascii="Cambria Math" w:eastAsia="Cambria Math"/>
          <w:sz w:val="20"/>
        </w:rPr>
        <w:t>+ 𝜎</w:t>
      </w:r>
      <w:r>
        <w:rPr>
          <w:rFonts w:ascii="Cambria Math" w:eastAsia="Cambria Math"/>
          <w:position w:val="-3"/>
          <w:sz w:val="14"/>
        </w:rPr>
        <w:t>𝐾   </w:t>
      </w:r>
      <w:r>
        <w:rPr>
          <w:rFonts w:ascii="Cambria Math" w:eastAsia="Cambria Math"/>
          <w:sz w:val="20"/>
        </w:rPr>
        <w:t>+ 𝜎</w:t>
      </w:r>
      <w:r>
        <w:rPr>
          <w:rFonts w:ascii="Cambria Math" w:eastAsia="Cambria Math"/>
          <w:position w:val="-3"/>
          <w:sz w:val="14"/>
        </w:rPr>
        <w:t>𝜋   </w:t>
      </w:r>
      <w:r>
        <w:rPr>
          <w:rFonts w:ascii="Cambria Math" w:eastAsia="Cambria Math"/>
          <w:sz w:val="20"/>
        </w:rPr>
        <w:t>= 1</w:t>
      </w:r>
    </w:p>
    <w:p>
      <w:pPr>
        <w:pStyle w:val="BodyText"/>
        <w:spacing w:before="5"/>
        <w:rPr>
          <w:rFonts w:ascii="Cambria Math"/>
          <w:sz w:val="17"/>
        </w:rPr>
      </w:pPr>
    </w:p>
    <w:p>
      <w:pPr>
        <w:pStyle w:val="BodyText"/>
        <w:spacing w:line="360" w:lineRule="auto"/>
        <w:ind w:left="313" w:right="511"/>
      </w:pPr>
      <w:r>
        <w:rPr/>
        <w:t>Where </w:t>
      </w:r>
      <w:r>
        <w:rPr>
          <w:rFonts w:ascii="Cambria Math" w:eastAsia="Cambria Math"/>
        </w:rPr>
        <w:t>𝜎 </w:t>
      </w:r>
      <w:r>
        <w:rPr/>
        <w:t>are the factor shares of labour, capital and profits and mfp is multifactor productivity growth (and lower case letters denote natural logs). Setting aside for the moment the issue of abnormal profits and other measurement issues surrounding the labour share (mixed income) i.e. either subsuming </w:t>
      </w:r>
      <w:r>
        <w:rPr>
          <w:rFonts w:ascii="Cambria Math" w:eastAsia="Cambria Math"/>
        </w:rPr>
        <w:t>𝜋 </w:t>
      </w:r>
      <w:r>
        <w:rPr/>
        <w:t>into the capital share and/or assuming </w:t>
      </w:r>
      <w:r>
        <w:rPr>
          <w:rFonts w:ascii="Cambria Math" w:eastAsia="Cambria Math"/>
        </w:rPr>
        <w:t>𝜎</w:t>
      </w:r>
      <w:r>
        <w:rPr>
          <w:rFonts w:ascii="Cambria Math" w:eastAsia="Cambria Math"/>
          <w:position w:val="-3"/>
          <w:sz w:val="14"/>
        </w:rPr>
        <w:t>𝜋</w:t>
      </w:r>
      <w:r>
        <w:rPr>
          <w:rFonts w:ascii="Cambria Math" w:eastAsia="Cambria Math"/>
        </w:rPr>
        <w:t>~0 </w:t>
      </w:r>
      <w:r>
        <w:rPr/>
        <w:t>, we can re-write (3) as:</w:t>
      </w:r>
    </w:p>
    <w:p>
      <w:pPr>
        <w:pStyle w:val="BodyText"/>
        <w:spacing w:before="1"/>
        <w:rPr>
          <w:sz w:val="10"/>
        </w:rPr>
      </w:pPr>
    </w:p>
    <w:p>
      <w:pPr>
        <w:spacing w:after="0"/>
        <w:rPr>
          <w:sz w:val="10"/>
        </w:rPr>
        <w:sectPr>
          <w:type w:val="continuous"/>
          <w:pgSz w:w="11910" w:h="16840"/>
          <w:pgMar w:top="880" w:bottom="280" w:left="680" w:right="480"/>
        </w:sectPr>
      </w:pPr>
    </w:p>
    <w:p>
      <w:pPr>
        <w:spacing w:line="287" w:lineRule="exact" w:before="68"/>
        <w:ind w:left="0" w:right="5" w:firstLine="0"/>
        <w:jc w:val="right"/>
        <w:rPr>
          <w:rFonts w:ascii="Cambria Math" w:hAnsi="Cambria Math" w:eastAsia="Cambria Math"/>
          <w:sz w:val="14"/>
        </w:rPr>
      </w:pPr>
      <w:r>
        <w:rPr>
          <w:rFonts w:ascii="Cambria Math" w:hAnsi="Cambria Math" w:eastAsia="Cambria Math"/>
          <w:sz w:val="20"/>
        </w:rPr>
        <w:t>𝑑𝑝</w:t>
      </w:r>
      <w:r>
        <w:rPr>
          <w:rFonts w:ascii="Cambria Math" w:hAnsi="Cambria Math" w:eastAsia="Cambria Math"/>
          <w:position w:val="-3"/>
          <w:sz w:val="14"/>
        </w:rPr>
        <w:t>𝑣  </w:t>
      </w:r>
      <w:r>
        <w:rPr>
          <w:rFonts w:ascii="Cambria Math" w:hAnsi="Cambria Math" w:eastAsia="Cambria Math"/>
          <w:sz w:val="20"/>
        </w:rPr>
        <w:t>= </w:t>
      </w:r>
      <w:r>
        <w:rPr>
          <w:rFonts w:ascii="Cambria Math" w:hAnsi="Cambria Math" w:eastAsia="Cambria Math"/>
          <w:spacing w:val="-3"/>
          <w:sz w:val="20"/>
        </w:rPr>
        <w:t>𝑠</w:t>
      </w:r>
      <w:r>
        <w:rPr>
          <w:rFonts w:ascii="Cambria Math" w:hAnsi="Cambria Math" w:eastAsia="Cambria Math"/>
          <w:spacing w:val="-3"/>
          <w:position w:val="-3"/>
          <w:sz w:val="14"/>
        </w:rPr>
        <w:t>𝐿 </w:t>
      </w:r>
      <w:r>
        <w:rPr>
          <w:rFonts w:ascii="Cambria Math" w:hAnsi="Cambria Math" w:eastAsia="Cambria Math"/>
          <w:sz w:val="20"/>
        </w:rPr>
        <w:t>𝑑𝑤 + </w:t>
      </w:r>
      <w:r>
        <w:rPr>
          <w:rFonts w:ascii="Cambria Math" w:hAnsi="Cambria Math" w:eastAsia="Cambria Math"/>
          <w:spacing w:val="-3"/>
          <w:sz w:val="20"/>
        </w:rPr>
        <w:t>𝑠</w:t>
      </w:r>
      <w:r>
        <w:rPr>
          <w:rFonts w:ascii="Cambria Math" w:hAnsi="Cambria Math" w:eastAsia="Cambria Math"/>
          <w:spacing w:val="-3"/>
          <w:position w:val="-3"/>
          <w:sz w:val="14"/>
        </w:rPr>
        <w:t>𝐾 </w:t>
      </w:r>
      <w:r>
        <w:rPr>
          <w:rFonts w:ascii="Cambria Math" w:hAnsi="Cambria Math" w:eastAsia="Cambria Math"/>
          <w:spacing w:val="13"/>
          <w:position w:val="-3"/>
          <w:sz w:val="14"/>
        </w:rPr>
        <w:t> </w:t>
      </w:r>
      <w:r>
        <w:rPr>
          <w:rFonts w:ascii="Cambria Math" w:hAnsi="Cambria Math" w:eastAsia="Cambria Math"/>
          <w:spacing w:val="-13"/>
          <w:sz w:val="20"/>
        </w:rPr>
        <w:t>𝑑</w:t>
      </w:r>
      <w:r>
        <w:rPr>
          <w:rFonts w:ascii="Cambria Math" w:hAnsi="Cambria Math" w:eastAsia="Cambria Math"/>
          <w:spacing w:val="-13"/>
          <w:position w:val="4"/>
          <w:sz w:val="20"/>
        </w:rPr>
        <w:t>̃</w:t>
      </w:r>
      <w:r>
        <w:rPr>
          <w:rFonts w:ascii="Cambria Math" w:hAnsi="Cambria Math" w:eastAsia="Cambria Math"/>
          <w:spacing w:val="-13"/>
          <w:sz w:val="20"/>
        </w:rPr>
        <w:t>𝑝</w:t>
      </w:r>
      <w:r>
        <w:rPr>
          <w:rFonts w:ascii="Cambria Math" w:hAnsi="Cambria Math" w:eastAsia="Cambria Math"/>
          <w:spacing w:val="-13"/>
          <w:position w:val="-3"/>
          <w:sz w:val="14"/>
        </w:rPr>
        <w:t>𝐾</w:t>
      </w:r>
    </w:p>
    <w:p>
      <w:pPr>
        <w:spacing w:line="230" w:lineRule="exact" w:before="0"/>
        <w:ind w:left="0" w:right="0" w:firstLine="0"/>
        <w:jc w:val="right"/>
        <w:rPr>
          <w:rFonts w:ascii="Cambria Math" w:eastAsia="Cambria Math"/>
          <w:sz w:val="20"/>
        </w:rPr>
      </w:pPr>
      <w:r>
        <w:rPr>
          <w:rFonts w:ascii="Cambria Math" w:eastAsia="Cambria Math"/>
          <w:spacing w:val="-3"/>
          <w:sz w:val="20"/>
        </w:rPr>
        <w:t>𝑠</w:t>
      </w:r>
      <w:r>
        <w:rPr>
          <w:rFonts w:ascii="Cambria Math" w:eastAsia="Cambria Math"/>
          <w:spacing w:val="-3"/>
          <w:position w:val="-3"/>
          <w:sz w:val="14"/>
        </w:rPr>
        <w:t>𝐿  </w:t>
      </w:r>
      <w:r>
        <w:rPr>
          <w:rFonts w:ascii="Cambria Math" w:eastAsia="Cambria Math"/>
          <w:sz w:val="20"/>
        </w:rPr>
        <w:t>+ </w:t>
      </w:r>
      <w:r>
        <w:rPr>
          <w:rFonts w:ascii="Cambria Math" w:eastAsia="Cambria Math"/>
          <w:spacing w:val="-3"/>
          <w:sz w:val="20"/>
        </w:rPr>
        <w:t>𝑠</w:t>
      </w:r>
      <w:r>
        <w:rPr>
          <w:rFonts w:ascii="Cambria Math" w:eastAsia="Cambria Math"/>
          <w:spacing w:val="-3"/>
          <w:position w:val="-3"/>
          <w:sz w:val="14"/>
        </w:rPr>
        <w:t>𝐾   </w:t>
      </w:r>
      <w:r>
        <w:rPr>
          <w:rFonts w:ascii="Cambria Math" w:eastAsia="Cambria Math"/>
          <w:sz w:val="20"/>
        </w:rPr>
        <w:t>=</w:t>
      </w:r>
      <w:r>
        <w:rPr>
          <w:rFonts w:ascii="Cambria Math" w:eastAsia="Cambria Math"/>
          <w:spacing w:val="-1"/>
          <w:sz w:val="20"/>
        </w:rPr>
        <w:t> </w:t>
      </w:r>
      <w:r>
        <w:rPr>
          <w:rFonts w:ascii="Cambria Math" w:eastAsia="Cambria Math"/>
          <w:sz w:val="20"/>
        </w:rPr>
        <w:t>1</w:t>
      </w:r>
    </w:p>
    <w:p>
      <w:pPr>
        <w:pStyle w:val="BodyText"/>
        <w:spacing w:before="68"/>
        <w:ind w:left="12"/>
        <w:rPr>
          <w:rFonts w:ascii="Cambria Math" w:hAnsi="Cambria Math" w:eastAsia="Cambria Math"/>
        </w:rPr>
      </w:pPr>
      <w:r>
        <w:rPr/>
        <w:br w:type="column"/>
      </w:r>
      <w:r>
        <w:rPr>
          <w:rFonts w:ascii="Cambria Math" w:hAnsi="Cambria Math" w:eastAsia="Cambria Math"/>
          <w:w w:val="99"/>
        </w:rPr>
        <w:t>−</w:t>
      </w:r>
      <w:r>
        <w:rPr>
          <w:rFonts w:ascii="Cambria Math" w:hAnsi="Cambria Math" w:eastAsia="Cambria Math"/>
          <w:spacing w:val="1"/>
        </w:rPr>
        <w:t> </w:t>
      </w:r>
      <w:r>
        <w:rPr>
          <w:rFonts w:ascii="Cambria Math" w:hAnsi="Cambria Math" w:eastAsia="Cambria Math"/>
          <w:w w:val="99"/>
        </w:rPr>
        <w:t>𝑑</w:t>
      </w:r>
      <w:r>
        <w:rPr>
          <w:rFonts w:ascii="Cambria Math" w:hAnsi="Cambria Math" w:eastAsia="Cambria Math"/>
          <w:spacing w:val="6"/>
        </w:rPr>
        <w:t> </w:t>
      </w:r>
      <w:r>
        <w:rPr>
          <w:rFonts w:ascii="Cambria Math" w:hAnsi="Cambria Math" w:eastAsia="Cambria Math"/>
          <w:spacing w:val="-153"/>
          <w:w w:val="99"/>
        </w:rPr>
        <w:t>𝑚</w:t>
      </w:r>
      <w:r>
        <w:rPr>
          <w:rFonts w:ascii="Cambria Math" w:hAnsi="Cambria Math" w:eastAsia="Cambria Math"/>
          <w:spacing w:val="-207"/>
          <w:w w:val="99"/>
          <w:position w:val="4"/>
        </w:rPr>
        <w:t>̃</w:t>
      </w:r>
      <w:r>
        <w:rPr>
          <w:rFonts w:ascii="Cambria Math" w:hAnsi="Cambria Math" w:eastAsia="Cambria Math"/>
          <w:w w:val="99"/>
        </w:rPr>
        <w:t>𝑓𝑝</w:t>
      </w:r>
    </w:p>
    <w:p>
      <w:pPr>
        <w:spacing w:before="98"/>
        <w:ind w:left="0" w:right="551" w:firstLine="0"/>
        <w:jc w:val="right"/>
        <w:rPr>
          <w:rFonts w:ascii="Cambria Math"/>
          <w:sz w:val="20"/>
        </w:rPr>
      </w:pPr>
      <w:r>
        <w:rPr/>
        <w:br w:type="column"/>
      </w:r>
      <w:r>
        <w:rPr>
          <w:rFonts w:ascii="Cambria Math"/>
          <w:w w:val="95"/>
          <w:position w:val="1"/>
          <w:sz w:val="20"/>
        </w:rPr>
        <w:t>(</w:t>
      </w:r>
      <w:r>
        <w:rPr>
          <w:rFonts w:ascii="Cambria Math"/>
          <w:w w:val="95"/>
          <w:sz w:val="20"/>
        </w:rPr>
        <w:t>4</w:t>
      </w:r>
      <w:r>
        <w:rPr>
          <w:rFonts w:ascii="Cambria Math"/>
          <w:w w:val="95"/>
          <w:position w:val="1"/>
          <w:sz w:val="20"/>
        </w:rPr>
        <w:t>)</w:t>
      </w:r>
    </w:p>
    <w:p>
      <w:pPr>
        <w:spacing w:after="0"/>
        <w:jc w:val="right"/>
        <w:rPr>
          <w:rFonts w:ascii="Cambria Math"/>
          <w:sz w:val="20"/>
        </w:rPr>
        <w:sectPr>
          <w:type w:val="continuous"/>
          <w:pgSz w:w="11910" w:h="16840"/>
          <w:pgMar w:top="880" w:bottom="280" w:left="680" w:right="480"/>
          <w:cols w:num="3" w:equalWidth="0">
            <w:col w:w="5768" w:space="40"/>
            <w:col w:w="762" w:space="39"/>
            <w:col w:w="4141"/>
          </w:cols>
        </w:sectPr>
      </w:pPr>
    </w:p>
    <w:p>
      <w:pPr>
        <w:pStyle w:val="BodyText"/>
        <w:spacing w:line="272" w:lineRule="exact"/>
        <w:ind w:left="3317"/>
        <w:rPr>
          <w:rFonts w:ascii="Cambria Math" w:hAnsi="Cambria Math" w:eastAsia="Cambria Math"/>
        </w:rPr>
      </w:pPr>
      <w:r>
        <w:rPr/>
        <w:pict>
          <v:shape style="position:absolute;margin-left:316.029999pt;margin-top:6.686315pt;width:5.05pt;height:7pt;mso-position-horizontal-relative:page;mso-position-vertical-relative:paragraph;z-index:-252523520" type="#_x0000_t20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sz w:val="14"/>
                    </w:rPr>
                    <w:t>𝐾</w:t>
                  </w:r>
                </w:p>
              </w:txbxContent>
            </v:textbox>
            <w10:wrap type="none"/>
          </v:shape>
        </w:pict>
      </w:r>
      <w:r>
        <w:rPr>
          <w:rFonts w:ascii="Cambria Math" w:hAnsi="Cambria Math" w:eastAsia="Cambria Math"/>
          <w:w w:val="99"/>
        </w:rPr>
        <w:t>0</w:t>
      </w:r>
      <w:r>
        <w:rPr>
          <w:rFonts w:ascii="Cambria Math" w:hAnsi="Cambria Math" w:eastAsia="Cambria Math"/>
          <w:spacing w:val="11"/>
        </w:rPr>
        <w:t> </w:t>
      </w:r>
      <w:r>
        <w:rPr>
          <w:rFonts w:ascii="Cambria Math" w:hAnsi="Cambria Math" w:eastAsia="Cambria Math"/>
          <w:w w:val="99"/>
        </w:rPr>
        <w:t>=</w:t>
      </w:r>
      <w:r>
        <w:rPr>
          <w:rFonts w:ascii="Cambria Math" w:hAnsi="Cambria Math" w:eastAsia="Cambria Math"/>
          <w:spacing w:val="13"/>
        </w:rPr>
        <w:t> </w:t>
      </w:r>
      <w:r>
        <w:rPr>
          <w:rFonts w:ascii="Cambria Math" w:hAnsi="Cambria Math" w:eastAsia="Cambria Math"/>
          <w:spacing w:val="-6"/>
          <w:w w:val="99"/>
        </w:rPr>
        <w:t>𝑠</w:t>
      </w:r>
      <w:r>
        <w:rPr>
          <w:rFonts w:ascii="Cambria Math" w:hAnsi="Cambria Math" w:eastAsia="Cambria Math"/>
          <w:spacing w:val="12"/>
          <w:w w:val="102"/>
          <w:position w:val="-3"/>
          <w:sz w:val="14"/>
        </w:rPr>
        <w:t>𝐿</w:t>
      </w:r>
      <w:r>
        <w:rPr>
          <w:rFonts w:ascii="Cambria Math" w:hAnsi="Cambria Math" w:eastAsia="Cambria Math"/>
          <w:spacing w:val="1"/>
          <w:w w:val="99"/>
        </w:rPr>
        <w:t>(</w:t>
      </w:r>
      <w:r>
        <w:rPr>
          <w:rFonts w:ascii="Cambria Math" w:hAnsi="Cambria Math" w:eastAsia="Cambria Math"/>
          <w:spacing w:val="-1"/>
          <w:w w:val="99"/>
        </w:rPr>
        <w:t>𝑑</w:t>
      </w:r>
      <w:r>
        <w:rPr>
          <w:rFonts w:ascii="Cambria Math" w:hAnsi="Cambria Math" w:eastAsia="Cambria Math"/>
          <w:w w:val="99"/>
        </w:rPr>
        <w:t>𝑤</w:t>
      </w:r>
      <w:r>
        <w:rPr>
          <w:rFonts w:ascii="Cambria Math" w:hAnsi="Cambria Math" w:eastAsia="Cambria Math"/>
          <w:spacing w:val="5"/>
        </w:rPr>
        <w:t> </w:t>
      </w:r>
      <w:r>
        <w:rPr>
          <w:rFonts w:ascii="Cambria Math" w:hAnsi="Cambria Math" w:eastAsia="Cambria Math"/>
          <w:w w:val="99"/>
        </w:rPr>
        <w:t>−</w:t>
      </w:r>
      <w:r>
        <w:rPr>
          <w:rFonts w:ascii="Cambria Math" w:hAnsi="Cambria Math" w:eastAsia="Cambria Math"/>
          <w:spacing w:val="1"/>
        </w:rPr>
        <w:t> </w:t>
      </w:r>
      <w:r>
        <w:rPr>
          <w:rFonts w:ascii="Cambria Math" w:hAnsi="Cambria Math" w:eastAsia="Cambria Math"/>
          <w:spacing w:val="6"/>
          <w:w w:val="99"/>
        </w:rPr>
        <w:t>𝑑</w:t>
      </w:r>
      <w:r>
        <w:rPr>
          <w:rFonts w:ascii="Cambria Math" w:hAnsi="Cambria Math" w:eastAsia="Cambria Math"/>
          <w:spacing w:val="-8"/>
          <w:w w:val="99"/>
        </w:rPr>
        <w:t>𝑝</w:t>
      </w:r>
      <w:r>
        <w:rPr>
          <w:rFonts w:ascii="Cambria Math" w:hAnsi="Cambria Math" w:eastAsia="Cambria Math"/>
          <w:spacing w:val="12"/>
          <w:w w:val="103"/>
          <w:position w:val="-3"/>
          <w:sz w:val="14"/>
        </w:rPr>
        <w:t>𝑣</w:t>
      </w:r>
      <w:r>
        <w:rPr>
          <w:rFonts w:ascii="Cambria Math" w:hAnsi="Cambria Math" w:eastAsia="Cambria Math"/>
          <w:w w:val="99"/>
        </w:rPr>
        <w:t>)</w:t>
      </w:r>
      <w:r>
        <w:rPr>
          <w:rFonts w:ascii="Cambria Math" w:hAnsi="Cambria Math" w:eastAsia="Cambria Math"/>
        </w:rPr>
        <w:t> </w:t>
      </w:r>
      <w:r>
        <w:rPr>
          <w:rFonts w:ascii="Cambria Math" w:hAnsi="Cambria Math" w:eastAsia="Cambria Math"/>
          <w:w w:val="99"/>
        </w:rPr>
        <w:t>+</w:t>
      </w:r>
      <w:r>
        <w:rPr>
          <w:rFonts w:ascii="Cambria Math" w:hAnsi="Cambria Math" w:eastAsia="Cambria Math"/>
          <w:spacing w:val="1"/>
        </w:rPr>
        <w:t> </w:t>
      </w:r>
      <w:r>
        <w:rPr>
          <w:rFonts w:ascii="Cambria Math" w:hAnsi="Cambria Math" w:eastAsia="Cambria Math"/>
          <w:spacing w:val="-6"/>
          <w:w w:val="99"/>
        </w:rPr>
        <w:t>𝑠</w:t>
      </w:r>
      <w:r>
        <w:rPr>
          <w:rFonts w:ascii="Cambria Math" w:hAnsi="Cambria Math" w:eastAsia="Cambria Math"/>
          <w:w w:val="102"/>
          <w:position w:val="-3"/>
          <w:sz w:val="14"/>
        </w:rPr>
        <w:t>𝐾</w:t>
      </w:r>
      <w:r>
        <w:rPr>
          <w:rFonts w:ascii="Cambria Math" w:hAnsi="Cambria Math" w:eastAsia="Cambria Math"/>
          <w:position w:val="-3"/>
          <w:sz w:val="14"/>
        </w:rPr>
        <w:t> </w:t>
      </w:r>
      <w:r>
        <w:rPr>
          <w:rFonts w:ascii="Cambria Math" w:hAnsi="Cambria Math" w:eastAsia="Cambria Math"/>
          <w:spacing w:val="-4"/>
          <w:position w:val="-3"/>
          <w:sz w:val="14"/>
        </w:rPr>
        <w:t> </w:t>
      </w:r>
      <w:r>
        <w:rPr>
          <w:rFonts w:ascii="Cambria Math" w:hAnsi="Cambria Math" w:eastAsia="Cambria Math"/>
          <w:spacing w:val="1"/>
          <w:w w:val="99"/>
        </w:rPr>
        <w:t>(</w:t>
      </w:r>
      <w:r>
        <w:rPr>
          <w:rFonts w:ascii="Cambria Math" w:hAnsi="Cambria Math" w:eastAsia="Cambria Math"/>
          <w:spacing w:val="-1"/>
          <w:w w:val="99"/>
        </w:rPr>
        <w:t>𝑑</w:t>
      </w:r>
      <w:r>
        <w:rPr>
          <w:rFonts w:ascii="Cambria Math" w:hAnsi="Cambria Math" w:eastAsia="Cambria Math"/>
          <w:w w:val="99"/>
        </w:rPr>
        <w:t>𝑝</w:t>
      </w:r>
      <w:r>
        <w:rPr>
          <w:rFonts w:ascii="Cambria Math" w:hAnsi="Cambria Math" w:eastAsia="Cambria Math"/>
        </w:rPr>
        <w:t> </w:t>
      </w:r>
      <w:r>
        <w:rPr>
          <w:rFonts w:ascii="Cambria Math" w:hAnsi="Cambria Math" w:eastAsia="Cambria Math"/>
          <w:spacing w:val="-10"/>
        </w:rPr>
        <w:t> </w:t>
      </w:r>
      <w:r>
        <w:rPr>
          <w:rFonts w:ascii="Cambria Math" w:hAnsi="Cambria Math" w:eastAsia="Cambria Math"/>
          <w:spacing w:val="-285"/>
          <w:w w:val="99"/>
          <w:position w:val="5"/>
        </w:rPr>
        <w:t>̃</w:t>
      </w:r>
      <w:r>
        <w:rPr>
          <w:rFonts w:ascii="Cambria Math" w:hAnsi="Cambria Math" w:eastAsia="Cambria Math"/>
          <w:w w:val="99"/>
        </w:rPr>
        <w:t>−</w:t>
      </w:r>
      <w:r>
        <w:rPr>
          <w:rFonts w:ascii="Cambria Math" w:hAnsi="Cambria Math" w:eastAsia="Cambria Math"/>
          <w:spacing w:val="-1"/>
        </w:rPr>
        <w:t> </w:t>
      </w:r>
      <w:r>
        <w:rPr>
          <w:rFonts w:ascii="Cambria Math" w:hAnsi="Cambria Math" w:eastAsia="Cambria Math"/>
          <w:spacing w:val="6"/>
          <w:w w:val="99"/>
        </w:rPr>
        <w:t>𝑑</w:t>
      </w:r>
      <w:r>
        <w:rPr>
          <w:rFonts w:ascii="Cambria Math" w:hAnsi="Cambria Math" w:eastAsia="Cambria Math"/>
          <w:spacing w:val="-8"/>
          <w:w w:val="99"/>
        </w:rPr>
        <w:t>𝑝</w:t>
      </w:r>
      <w:r>
        <w:rPr>
          <w:rFonts w:ascii="Cambria Math" w:hAnsi="Cambria Math" w:eastAsia="Cambria Math"/>
          <w:spacing w:val="14"/>
          <w:w w:val="103"/>
          <w:position w:val="-3"/>
          <w:sz w:val="14"/>
        </w:rPr>
        <w:t>𝑣</w:t>
      </w:r>
      <w:r>
        <w:rPr>
          <w:rFonts w:ascii="Cambria Math" w:hAnsi="Cambria Math" w:eastAsia="Cambria Math"/>
          <w:w w:val="99"/>
        </w:rPr>
        <w:t>)</w:t>
      </w:r>
      <w:r>
        <w:rPr>
          <w:rFonts w:ascii="Cambria Math" w:hAnsi="Cambria Math" w:eastAsia="Cambria Math"/>
        </w:rPr>
        <w:t> </w:t>
      </w:r>
      <w:r>
        <w:rPr>
          <w:rFonts w:ascii="Cambria Math" w:hAnsi="Cambria Math" w:eastAsia="Cambria Math"/>
          <w:w w:val="99"/>
        </w:rPr>
        <w:t>−</w:t>
      </w:r>
      <w:r>
        <w:rPr>
          <w:rFonts w:ascii="Cambria Math" w:hAnsi="Cambria Math" w:eastAsia="Cambria Math"/>
          <w:spacing w:val="-1"/>
        </w:rPr>
        <w:t> </w:t>
      </w:r>
      <w:r>
        <w:rPr>
          <w:rFonts w:ascii="Cambria Math" w:hAnsi="Cambria Math" w:eastAsia="Cambria Math"/>
          <w:w w:val="99"/>
        </w:rPr>
        <w:t>𝑑</w:t>
      </w:r>
      <w:r>
        <w:rPr>
          <w:rFonts w:ascii="Cambria Math" w:hAnsi="Cambria Math" w:eastAsia="Cambria Math"/>
          <w:spacing w:val="8"/>
        </w:rPr>
        <w:t> </w:t>
      </w:r>
      <w:r>
        <w:rPr>
          <w:rFonts w:ascii="Cambria Math" w:hAnsi="Cambria Math" w:eastAsia="Cambria Math"/>
          <w:spacing w:val="-153"/>
          <w:w w:val="99"/>
        </w:rPr>
        <w:t>𝑚</w:t>
      </w:r>
      <w:r>
        <w:rPr>
          <w:rFonts w:ascii="Cambria Math" w:hAnsi="Cambria Math" w:eastAsia="Cambria Math"/>
          <w:spacing w:val="-207"/>
          <w:w w:val="99"/>
          <w:position w:val="4"/>
        </w:rPr>
        <w:t>̃</w:t>
      </w:r>
      <w:r>
        <w:rPr>
          <w:rFonts w:ascii="Cambria Math" w:hAnsi="Cambria Math" w:eastAsia="Cambria Math"/>
          <w:w w:val="99"/>
        </w:rPr>
        <w:t>𝑓𝑝</w:t>
      </w:r>
    </w:p>
    <w:p>
      <w:pPr>
        <w:spacing w:before="1"/>
        <w:ind w:left="0" w:right="551" w:firstLine="0"/>
        <w:jc w:val="right"/>
        <w:rPr>
          <w:rFonts w:ascii="Cambria Math"/>
          <w:sz w:val="20"/>
        </w:rPr>
      </w:pPr>
      <w:r>
        <w:rPr/>
        <w:br w:type="column"/>
      </w:r>
      <w:r>
        <w:rPr>
          <w:rFonts w:ascii="Cambria Math"/>
          <w:w w:val="95"/>
          <w:position w:val="1"/>
          <w:sz w:val="20"/>
        </w:rPr>
        <w:t>(</w:t>
      </w:r>
      <w:r>
        <w:rPr>
          <w:rFonts w:ascii="Cambria Math"/>
          <w:w w:val="95"/>
          <w:sz w:val="20"/>
        </w:rPr>
        <w:t>5</w:t>
      </w:r>
      <w:r>
        <w:rPr>
          <w:rFonts w:ascii="Cambria Math"/>
          <w:w w:val="95"/>
          <w:position w:val="1"/>
          <w:sz w:val="20"/>
        </w:rPr>
        <w:t>)</w:t>
      </w:r>
    </w:p>
    <w:p>
      <w:pPr>
        <w:spacing w:after="0"/>
        <w:jc w:val="right"/>
        <w:rPr>
          <w:rFonts w:ascii="Cambria Math"/>
          <w:sz w:val="20"/>
        </w:rPr>
        <w:sectPr>
          <w:type w:val="continuous"/>
          <w:pgSz w:w="11910" w:h="16840"/>
          <w:pgMar w:top="880" w:bottom="280" w:left="680" w:right="480"/>
          <w:cols w:num="2" w:equalWidth="0">
            <w:col w:w="7189" w:space="40"/>
            <w:col w:w="3521"/>
          </w:cols>
        </w:sectPr>
      </w:pPr>
    </w:p>
    <w:p>
      <w:pPr>
        <w:pStyle w:val="BodyText"/>
        <w:spacing w:before="6"/>
        <w:rPr>
          <w:rFonts w:ascii="Cambria Math"/>
          <w:sz w:val="9"/>
        </w:rPr>
      </w:pPr>
    </w:p>
    <w:p>
      <w:pPr>
        <w:pStyle w:val="BodyText"/>
        <w:spacing w:line="350" w:lineRule="auto" w:before="93"/>
        <w:ind w:left="313" w:right="498"/>
      </w:pPr>
      <w:r>
        <w:rPr/>
        <w:t>The price of value added has therefore been decomposed into changes in share-weighted wages and returns to capital minus measured multifactor productivity growth (which uses as a weight on capital </w:t>
      </w:r>
      <w:r>
        <w:rPr>
          <w:rFonts w:ascii="Cambria Math" w:hAnsi="Cambria Math" w:eastAsia="Cambria Math"/>
        </w:rPr>
        <w:t>1 − 𝑠</w:t>
      </w:r>
      <w:r>
        <w:rPr>
          <w:rFonts w:ascii="Cambria Math" w:hAnsi="Cambria Math" w:eastAsia="Cambria Math"/>
          <w:position w:val="-3"/>
          <w:sz w:val="14"/>
        </w:rPr>
        <w:t>𝐿</w:t>
      </w:r>
      <w:r>
        <w:rPr/>
        <w:t>). Note these shares are the measured shares from national accounts where </w:t>
      </w:r>
      <w:r>
        <w:rPr>
          <w:rFonts w:ascii="Cambria Math" w:hAnsi="Cambria Math" w:eastAsia="Cambria Math"/>
        </w:rPr>
        <w:t>𝑠</w:t>
      </w:r>
      <w:r>
        <w:rPr>
          <w:rFonts w:ascii="Cambria Math" w:hAnsi="Cambria Math" w:eastAsia="Cambria Math"/>
          <w:position w:val="-3"/>
          <w:sz w:val="14"/>
        </w:rPr>
        <w:t>𝐿 </w:t>
      </w:r>
      <w:r>
        <w:rPr/>
        <w:t>is share of national income going to compensation of employees and the self-employed. Equation 5 tells us that, controlling for productivity, increases in the share weighted relative price of labour must be offset with falls in the share weighted relative price of capital. This relationship is illustrated in </w:t>
      </w:r>
      <w:r>
        <w:rPr>
          <w:b/>
        </w:rPr>
        <w:t>chart 9 </w:t>
      </w:r>
      <w:r>
        <w:rPr/>
        <w:t>(</w:t>
      </w:r>
      <w:r>
        <w:rPr>
          <w:b/>
        </w:rPr>
        <w:t>panel A</w:t>
      </w:r>
      <w:r>
        <w:rPr/>
        <w:t>) where productivity growth has been controlled for (roughly) by de-trending real labour and capital prices using a simple Hodrick-Prescott filter.</w:t>
      </w:r>
    </w:p>
    <w:sectPr>
      <w:type w:val="continuous"/>
      <w:pgSz w:w="11910" w:h="16840"/>
      <w:pgMar w:top="88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type id="_x0000_t202" o:spt="202" coordsize="21600,21600" path="m,l,21600r21600,l21600,xe">
          <v:stroke joinstyle="miter"/>
          <v:path gradientshapeok="t" o:connecttype="rect"/>
        </v:shapetype>
        <v:shape style="position:absolute;margin-left:534pt;margin-top:783.577576pt;width:14.95pt;height:11pt;mso-position-horizontal-relative:page;mso-position-vertical-relative:page;z-index:-252556288" type="#_x0000_t202" filled="false" stroked="false">
          <v:textbox inset="0,0,0,0">
            <w:txbxContent>
              <w:p>
                <w:pPr>
                  <w:spacing w:before="15"/>
                  <w:ind w:left="60" w:right="0" w:firstLine="0"/>
                  <w:jc w:val="left"/>
                  <w:rPr>
                    <w:sz w:val="16"/>
                  </w:rPr>
                </w:pPr>
                <w:r>
                  <w:rPr/>
                  <w:fldChar w:fldCharType="begin"/>
                </w:r>
                <w:r>
                  <w:rPr>
                    <w:sz w:val="16"/>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4pt;margin-top:783.577576pt;width:14.9pt;height:11pt;mso-position-horizontal-relative:page;mso-position-vertical-relative:page;z-index:-252555264" type="#_x0000_t202" filled="false" stroked="false">
          <v:textbox inset="0,0,0,0">
            <w:txbxContent>
              <w:p>
                <w:pPr>
                  <w:spacing w:before="15"/>
                  <w:ind w:left="60" w:right="0" w:firstLine="0"/>
                  <w:jc w:val="left"/>
                  <w:rPr>
                    <w:sz w:val="16"/>
                  </w:rPr>
                </w:pPr>
                <w:r>
                  <w:rPr/>
                  <w:fldChar w:fldCharType="begin"/>
                </w:r>
                <w:r>
                  <w:rPr>
                    <w:sz w:val="16"/>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534" w:hanging="221"/>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034" w:hanging="360"/>
      </w:pPr>
      <w:rPr>
        <w:rFonts w:hint="default" w:ascii="Symbol" w:hAnsi="Symbol" w:eastAsia="Symbol" w:cs="Symbol"/>
        <w:w w:val="99"/>
        <w:sz w:val="20"/>
        <w:szCs w:val="20"/>
        <w:lang w:val="en-gb" w:eastAsia="en-gb" w:bidi="en-gb"/>
      </w:rPr>
    </w:lvl>
    <w:lvl w:ilvl="2">
      <w:start w:val="0"/>
      <w:numFmt w:val="bullet"/>
      <w:lvlText w:val="•"/>
      <w:lvlJc w:val="left"/>
      <w:pPr>
        <w:ind w:left="2118" w:hanging="360"/>
      </w:pPr>
      <w:rPr>
        <w:rFonts w:hint="default"/>
        <w:lang w:val="en-gb" w:eastAsia="en-gb" w:bidi="en-gb"/>
      </w:rPr>
    </w:lvl>
    <w:lvl w:ilvl="3">
      <w:start w:val="0"/>
      <w:numFmt w:val="bullet"/>
      <w:lvlText w:val="•"/>
      <w:lvlJc w:val="left"/>
      <w:pPr>
        <w:ind w:left="3196" w:hanging="360"/>
      </w:pPr>
      <w:rPr>
        <w:rFonts w:hint="default"/>
        <w:lang w:val="en-gb" w:eastAsia="en-gb" w:bidi="en-gb"/>
      </w:rPr>
    </w:lvl>
    <w:lvl w:ilvl="4">
      <w:start w:val="0"/>
      <w:numFmt w:val="bullet"/>
      <w:lvlText w:val="•"/>
      <w:lvlJc w:val="left"/>
      <w:pPr>
        <w:ind w:left="4275" w:hanging="360"/>
      </w:pPr>
      <w:rPr>
        <w:rFonts w:hint="default"/>
        <w:lang w:val="en-gb" w:eastAsia="en-gb" w:bidi="en-gb"/>
      </w:rPr>
    </w:lvl>
    <w:lvl w:ilvl="5">
      <w:start w:val="0"/>
      <w:numFmt w:val="bullet"/>
      <w:lvlText w:val="•"/>
      <w:lvlJc w:val="left"/>
      <w:pPr>
        <w:ind w:left="5353" w:hanging="360"/>
      </w:pPr>
      <w:rPr>
        <w:rFonts w:hint="default"/>
        <w:lang w:val="en-gb" w:eastAsia="en-gb" w:bidi="en-gb"/>
      </w:rPr>
    </w:lvl>
    <w:lvl w:ilvl="6">
      <w:start w:val="0"/>
      <w:numFmt w:val="bullet"/>
      <w:lvlText w:val="•"/>
      <w:lvlJc w:val="left"/>
      <w:pPr>
        <w:ind w:left="6432" w:hanging="360"/>
      </w:pPr>
      <w:rPr>
        <w:rFonts w:hint="default"/>
        <w:lang w:val="en-gb" w:eastAsia="en-gb" w:bidi="en-gb"/>
      </w:rPr>
    </w:lvl>
    <w:lvl w:ilvl="7">
      <w:start w:val="0"/>
      <w:numFmt w:val="bullet"/>
      <w:lvlText w:val="•"/>
      <w:lvlJc w:val="left"/>
      <w:pPr>
        <w:ind w:left="7510" w:hanging="360"/>
      </w:pPr>
      <w:rPr>
        <w:rFonts w:hint="default"/>
        <w:lang w:val="en-gb" w:eastAsia="en-gb" w:bidi="en-gb"/>
      </w:rPr>
    </w:lvl>
    <w:lvl w:ilvl="8">
      <w:start w:val="0"/>
      <w:numFmt w:val="bullet"/>
      <w:lvlText w:val="•"/>
      <w:lvlJc w:val="left"/>
      <w:pPr>
        <w:ind w:left="8589" w:hanging="360"/>
      </w:pPr>
      <w:rPr>
        <w:rFonts w:hint="default"/>
        <w:lang w:val="en-gb" w:eastAsia="en-gb" w:bidi="en-gb"/>
      </w:rPr>
    </w:lvl>
  </w:abstractNum>
  <w:abstractNum w:abstractNumId="0">
    <w:multiLevelType w:val="hybridMultilevel"/>
    <w:lvl w:ilvl="0">
      <w:start w:val="1"/>
      <w:numFmt w:val="decimal"/>
      <w:lvlText w:val="%1."/>
      <w:lvlJc w:val="left"/>
      <w:pPr>
        <w:ind w:left="534" w:hanging="222"/>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034" w:hanging="360"/>
      </w:pPr>
      <w:rPr>
        <w:rFonts w:hint="default" w:ascii="Symbol" w:hAnsi="Symbol" w:eastAsia="Symbol" w:cs="Symbol"/>
        <w:w w:val="99"/>
        <w:sz w:val="20"/>
        <w:szCs w:val="20"/>
        <w:lang w:val="en-gb" w:eastAsia="en-gb" w:bidi="en-gb"/>
      </w:rPr>
    </w:lvl>
    <w:lvl w:ilvl="2">
      <w:start w:val="0"/>
      <w:numFmt w:val="bullet"/>
      <w:lvlText w:val="•"/>
      <w:lvlJc w:val="left"/>
      <w:pPr>
        <w:ind w:left="2118" w:hanging="360"/>
      </w:pPr>
      <w:rPr>
        <w:rFonts w:hint="default"/>
        <w:lang w:val="en-gb" w:eastAsia="en-gb" w:bidi="en-gb"/>
      </w:rPr>
    </w:lvl>
    <w:lvl w:ilvl="3">
      <w:start w:val="0"/>
      <w:numFmt w:val="bullet"/>
      <w:lvlText w:val="•"/>
      <w:lvlJc w:val="left"/>
      <w:pPr>
        <w:ind w:left="3196" w:hanging="360"/>
      </w:pPr>
      <w:rPr>
        <w:rFonts w:hint="default"/>
        <w:lang w:val="en-gb" w:eastAsia="en-gb" w:bidi="en-gb"/>
      </w:rPr>
    </w:lvl>
    <w:lvl w:ilvl="4">
      <w:start w:val="0"/>
      <w:numFmt w:val="bullet"/>
      <w:lvlText w:val="•"/>
      <w:lvlJc w:val="left"/>
      <w:pPr>
        <w:ind w:left="4275" w:hanging="360"/>
      </w:pPr>
      <w:rPr>
        <w:rFonts w:hint="default"/>
        <w:lang w:val="en-gb" w:eastAsia="en-gb" w:bidi="en-gb"/>
      </w:rPr>
    </w:lvl>
    <w:lvl w:ilvl="5">
      <w:start w:val="0"/>
      <w:numFmt w:val="bullet"/>
      <w:lvlText w:val="•"/>
      <w:lvlJc w:val="left"/>
      <w:pPr>
        <w:ind w:left="5353" w:hanging="360"/>
      </w:pPr>
      <w:rPr>
        <w:rFonts w:hint="default"/>
        <w:lang w:val="en-gb" w:eastAsia="en-gb" w:bidi="en-gb"/>
      </w:rPr>
    </w:lvl>
    <w:lvl w:ilvl="6">
      <w:start w:val="0"/>
      <w:numFmt w:val="bullet"/>
      <w:lvlText w:val="•"/>
      <w:lvlJc w:val="left"/>
      <w:pPr>
        <w:ind w:left="6432" w:hanging="360"/>
      </w:pPr>
      <w:rPr>
        <w:rFonts w:hint="default"/>
        <w:lang w:val="en-gb" w:eastAsia="en-gb" w:bidi="en-gb"/>
      </w:rPr>
    </w:lvl>
    <w:lvl w:ilvl="7">
      <w:start w:val="0"/>
      <w:numFmt w:val="bullet"/>
      <w:lvlText w:val="•"/>
      <w:lvlJc w:val="left"/>
      <w:pPr>
        <w:ind w:left="7510" w:hanging="360"/>
      </w:pPr>
      <w:rPr>
        <w:rFonts w:hint="default"/>
        <w:lang w:val="en-gb" w:eastAsia="en-gb" w:bidi="en-gb"/>
      </w:rPr>
    </w:lvl>
    <w:lvl w:ilvl="8">
      <w:start w:val="0"/>
      <w:numFmt w:val="bullet"/>
      <w:lvlText w:val="•"/>
      <w:lvlJc w:val="left"/>
      <w:pPr>
        <w:ind w:left="8589"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534" w:hanging="22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4"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news/speeches"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bankofengland.co.uk/inflation-report/2018/august-2018" TargetMode="External"/><Relationship Id="rId11" Type="http://schemas.openxmlformats.org/officeDocument/2006/relationships/hyperlink" Target="https://www.bankofengland.co.uk/monetary-policy-report/2019/november-2019"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ons.gov.uk/economy/nationalaccounts/uksectoraccounts/articles/nationalaccountsarticles/areviewofhouseholdsmixedincomeestimatesandplansforupcomingimprovements" TargetMode="External"/><Relationship Id="rId16" Type="http://schemas.openxmlformats.org/officeDocument/2006/relationships/hyperlink" Target="https://www.gfk.com/en-gb/insights/press-release/uk-consumer-confidence-flatlines-at-14-for-november-2019/" TargetMode="External"/><Relationship Id="rId17" Type="http://schemas.openxmlformats.org/officeDocument/2006/relationships/image" Target="media/image7.jpeg"/><Relationship Id="rId18" Type="http://schemas.openxmlformats.org/officeDocument/2006/relationships/hyperlink" Target="https://www.europarl.europa.eu/document/activities/cont/201004/20100413ATT72653/20100413ATT72653EN.pdf" TargetMode="External"/><Relationship Id="rId19" Type="http://schemas.openxmlformats.org/officeDocument/2006/relationships/hyperlink" Target="https://ec.europa.eu/trade/policy/countries-and-regions/negotiations-and-agreements/#_partly-in-place" TargetMode="External"/><Relationship Id="rId20" Type="http://schemas.openxmlformats.org/officeDocument/2006/relationships/footer" Target="footer2.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Jonathan Haskel at the Resolution Foundation, London, on Friday 20 December 2019</dc:subject>
  <dc:title>Speech given by Jonathan Haskel at the Resolution Foundation, London, on Friday 20 December 2019</dc:title>
  <dcterms:created xsi:type="dcterms:W3CDTF">2020-06-02T17:13:42Z</dcterms:created>
  <dcterms:modified xsi:type="dcterms:W3CDTF">2020-06-02T17:13:42Z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LastSaved">
    <vt:filetime>2020-06-02T00:00:00Z</vt:filetime>
  </property>
</Properties>
</file>