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shape style="position:absolute;margin-left:38.880001pt;margin-top:760.919983pt;width:517.4500pt;height:.25pt;mso-position-horizontal-relative:page;mso-position-vertical-relative:page;z-index:15729152" coordorigin="778,15218" coordsize="10349,5" path="m11126,15218l10423,15218,10418,15218,778,15218,778,15223,10418,15223,10423,15223,11126,15223,11126,15218xe" filled="true" fillcolor="#000000" stroked="false">
            <v:path arrowok="t"/>
            <v:fill type="solid"/>
            <w10:wrap type="none"/>
          </v:shape>
        </w:pict>
      </w:r>
      <w:r>
        <w:rPr>
          <w:sz w:val="20"/>
        </w:rPr>
        <w:drawing>
          <wp:inline distT="0" distB="0" distL="0" distR="0">
            <wp:extent cx="2344288"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8"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250" w:firstLine="0"/>
        <w:jc w:val="left"/>
        <w:rPr>
          <w:rFonts w:ascii="Arial"/>
          <w:b/>
          <w:sz w:val="32"/>
        </w:rPr>
      </w:pPr>
      <w:r>
        <w:rPr/>
        <w:pict>
          <v:shape style="position:absolute;margin-left:50.520004pt;margin-top:-21.942204pt;width:488.3pt;height:1.45pt;mso-position-horizontal-relative:page;mso-position-vertical-relative:paragraph;z-index:15728640" coordorigin="1010,-439" coordsize="9766,29" path="m10776,-439l8242,-439,8227,-439,8213,-439,1010,-439,1010,-410,8213,-410,8227,-410,8242,-410,10776,-410,10776,-439xe" filled="true" fillcolor="#000000" stroked="false">
            <v:path arrowok="t"/>
            <v:fill type="solid"/>
            <w10:wrap type="none"/>
          </v:shape>
        </w:pict>
      </w:r>
      <w:r>
        <w:rPr>
          <w:rFonts w:ascii="Arial"/>
          <w:b/>
          <w:color w:val="6A719F"/>
          <w:sz w:val="32"/>
        </w:rPr>
        <w:t>Asset Prices, Financial Imbalances and Monetary Policy: Are Inflation Targets Enough?</w:t>
      </w:r>
    </w:p>
    <w:p>
      <w:pPr>
        <w:pStyle w:val="BodyText"/>
        <w:spacing w:before="280"/>
        <w:ind w:left="352"/>
        <w:rPr>
          <w:rFonts w:ascii="Arial"/>
        </w:rPr>
      </w:pPr>
      <w:r>
        <w:rPr>
          <w:rFonts w:ascii="Arial"/>
        </w:rPr>
        <w:t>Speech given by</w:t>
      </w:r>
    </w:p>
    <w:p>
      <w:pPr>
        <w:pStyle w:val="BodyText"/>
        <w:spacing w:line="360" w:lineRule="auto" w:before="137"/>
        <w:ind w:left="352" w:right="254"/>
        <w:rPr>
          <w:rFonts w:ascii="Arial"/>
        </w:rPr>
      </w:pPr>
      <w:r>
        <w:rPr>
          <w:rFonts w:ascii="Arial"/>
        </w:rPr>
        <w:t>Charles Bean, Chief Economist and Member of the Member Policy Committee, Bank of England</w:t>
      </w:r>
    </w:p>
    <w:p>
      <w:pPr>
        <w:pStyle w:val="BodyText"/>
        <w:spacing w:before="1"/>
        <w:rPr>
          <w:rFonts w:ascii="Arial"/>
          <w:sz w:val="36"/>
        </w:rPr>
      </w:pPr>
    </w:p>
    <w:p>
      <w:pPr>
        <w:pStyle w:val="BodyText"/>
        <w:spacing w:line="360" w:lineRule="auto"/>
        <w:ind w:left="352" w:right="4455"/>
        <w:rPr>
          <w:rFonts w:ascii="Arial"/>
        </w:rPr>
      </w:pPr>
      <w:r>
        <w:rPr>
          <w:rFonts w:ascii="Arial"/>
        </w:rPr>
        <w:t>At the Bank for International Settlements, Basel 29 March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93"/>
        <w:ind w:left="352" w:right="203" w:firstLine="0"/>
        <w:jc w:val="left"/>
        <w:rPr>
          <w:rFonts w:ascii="Arial"/>
          <w:sz w:val="20"/>
        </w:rPr>
      </w:pPr>
      <w:r>
        <w:rPr>
          <w:rFonts w:ascii="Arial"/>
          <w:sz w:val="20"/>
        </w:rPr>
        <w:t>The views expressed are those of the author and do not reflect those of either the Bank of England or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6"/>
      </w:pPr>
      <w:r>
        <w:rPr/>
        <w:t>Abstract</w:t>
      </w:r>
    </w:p>
    <w:p>
      <w:pPr>
        <w:pStyle w:val="BodyText"/>
        <w:spacing w:before="6"/>
        <w:rPr>
          <w:b/>
          <w:sz w:val="34"/>
        </w:rPr>
      </w:pPr>
    </w:p>
    <w:p>
      <w:pPr>
        <w:pStyle w:val="BodyText"/>
        <w:spacing w:line="300" w:lineRule="auto"/>
        <w:ind w:left="245" w:right="404"/>
      </w:pPr>
      <w:r>
        <w:rPr/>
        <w:t>Some commentators have recently argued that an exclusive focus of monetary policy on achieving price stability is inappropriate in a world where asset price misalignments and financial imbalances are increasingly prevalent. This paper reviews the argument that monetary policy should react to asset price movements and/or financial imbalances over and above their impact on the inflation outlook. I conclude that, while monetary policy makers probably should take note of such developments, the macroeconomic implications can be adequately embraced within an appropriately flexible and forward-looking concept of inflation targets. In a simple New Keynesian model, modified to allow for capital and debt accumulation, I then show that the possibility of credit crunches may affect the design of the optimal policy in subtle and unexpected ways. Finally I discuss recent developments in the UK household sector as a practical example of the problem of assessing whether an asset price is misaligned or diagnosing whether balance sheet developments pose a threat to the</w:t>
      </w:r>
      <w:r>
        <w:rPr>
          <w:spacing w:val="-1"/>
        </w:rPr>
        <w:t> </w:t>
      </w:r>
      <w:r>
        <w:rPr/>
        <w:t>outlook.</w:t>
      </w:r>
    </w:p>
    <w:p>
      <w:pPr>
        <w:spacing w:before="230"/>
        <w:ind w:left="245" w:right="0" w:firstLine="0"/>
        <w:jc w:val="left"/>
        <w:rPr>
          <w:sz w:val="24"/>
        </w:rPr>
      </w:pPr>
      <w:r>
        <w:rPr>
          <w:i/>
          <w:sz w:val="24"/>
        </w:rPr>
        <w:t>JEL Classification: </w:t>
      </w:r>
      <w:r>
        <w:rPr>
          <w:sz w:val="24"/>
        </w:rPr>
        <w:t>E52, E58, E44</w:t>
      </w:r>
    </w:p>
    <w:p>
      <w:pPr>
        <w:pStyle w:val="BodyText"/>
        <w:spacing w:before="67"/>
        <w:ind w:left="245"/>
      </w:pPr>
      <w:r>
        <w:rPr>
          <w:i/>
        </w:rPr>
        <w:t>Key Words: </w:t>
      </w:r>
      <w:r>
        <w:rPr/>
        <w:t>Asset prices, financial imbalances, monetary policy, inflation targets.</w:t>
      </w:r>
    </w:p>
    <w:p>
      <w:pPr>
        <w:spacing w:after="0"/>
        <w:sectPr>
          <w:footerReference w:type="default" r:id="rId7"/>
          <w:pgSz w:w="12240" w:h="15840"/>
          <w:pgMar w:footer="237" w:header="0" w:top="860" w:bottom="420" w:left="1720" w:right="1560"/>
          <w:pgNumType w:start="2"/>
        </w:sectPr>
      </w:pPr>
    </w:p>
    <w:p>
      <w:pPr>
        <w:pStyle w:val="Heading6"/>
        <w:numPr>
          <w:ilvl w:val="0"/>
          <w:numId w:val="1"/>
        </w:numPr>
        <w:tabs>
          <w:tab w:pos="965" w:val="left" w:leader="none"/>
          <w:tab w:pos="966" w:val="left" w:leader="none"/>
        </w:tabs>
        <w:spacing w:line="240" w:lineRule="auto" w:before="76" w:after="0"/>
        <w:ind w:left="965" w:right="0" w:hanging="721"/>
        <w:jc w:val="left"/>
      </w:pPr>
      <w:r>
        <w:rPr/>
        <w:t>Introduction</w:t>
      </w:r>
    </w:p>
    <w:p>
      <w:pPr>
        <w:pStyle w:val="BodyText"/>
        <w:rPr>
          <w:b/>
          <w:sz w:val="37"/>
        </w:rPr>
      </w:pPr>
    </w:p>
    <w:p>
      <w:pPr>
        <w:pStyle w:val="BodyText"/>
        <w:spacing w:line="360" w:lineRule="auto"/>
        <w:ind w:left="245" w:right="497"/>
      </w:pPr>
      <w:r>
        <w:rPr/>
        <w:t>On the face of it, the last decade and a half has been a period of relative success for many developed-country central banks. By the standards of the previous fifteen years inflation has been low and relatively stable. Moreover this has not been achieved at the expense of the real side of the economy, as growth has also been relatively stable and unemployment has been falling in a number of countries.</w:t>
      </w:r>
    </w:p>
    <w:p>
      <w:pPr>
        <w:pStyle w:val="BodyText"/>
        <w:rPr>
          <w:sz w:val="36"/>
        </w:rPr>
      </w:pPr>
    </w:p>
    <w:p>
      <w:pPr>
        <w:pStyle w:val="BodyText"/>
        <w:spacing w:line="360" w:lineRule="auto"/>
        <w:ind w:left="245" w:right="410"/>
      </w:pPr>
      <w:r>
        <w:rPr/>
        <w:t>Notwithstanding the good macroeconomic outturns there has, however, been a growing concern that the achievement of price stability may be associated with heightened risks of financial instability, particularly so in the aftermath of the collapse of the dot-com bubble and the more recent wider correction to share values.</w:t>
      </w:r>
    </w:p>
    <w:p>
      <w:pPr>
        <w:pStyle w:val="BodyText"/>
        <w:spacing w:line="360" w:lineRule="auto" w:before="1"/>
        <w:ind w:left="245" w:right="397"/>
      </w:pPr>
      <w:r>
        <w:rPr/>
        <w:t>Appreciating asset values and debt accumulation have, in some countries, led to stretched household and corporate balance sheets that are vulnerable to the sort of equity price corrections witnessed in the recent past. That has led some commentators to question the quasi-consensus that monetary policy should be directed exclusively at maintaining price stability, and that the role of monetary policy in combating financial instability should be restricted to minimising any adverse consequences on activity (and so on inflation) when over-valuations are corrected or as financial imbalances unwind.</w:t>
      </w:r>
    </w:p>
    <w:p>
      <w:pPr>
        <w:pStyle w:val="BodyText"/>
        <w:spacing w:before="10"/>
        <w:rPr>
          <w:sz w:val="35"/>
        </w:rPr>
      </w:pPr>
    </w:p>
    <w:p>
      <w:pPr>
        <w:pStyle w:val="BodyText"/>
        <w:ind w:left="245"/>
      </w:pPr>
      <w:r>
        <w:rPr/>
        <w:t>The heterodox view is neatly summarised by Crockett (2003; italics in original):</w:t>
      </w:r>
    </w:p>
    <w:p>
      <w:pPr>
        <w:pStyle w:val="BodyText"/>
        <w:rPr>
          <w:sz w:val="26"/>
        </w:rPr>
      </w:pPr>
    </w:p>
    <w:p>
      <w:pPr>
        <w:pStyle w:val="BodyText"/>
        <w:rPr>
          <w:sz w:val="22"/>
        </w:rPr>
      </w:pPr>
    </w:p>
    <w:p>
      <w:pPr>
        <w:pStyle w:val="BodyText"/>
        <w:spacing w:line="360" w:lineRule="auto"/>
        <w:ind w:left="965" w:right="451"/>
      </w:pPr>
      <w:r>
        <w:rPr/>
        <w:t>“(I)n a monetary regime in which the central bank’s operational objective is expressed </w:t>
      </w:r>
      <w:r>
        <w:rPr>
          <w:i/>
        </w:rPr>
        <w:t>exclusively </w:t>
      </w:r>
      <w:r>
        <w:rPr/>
        <w:t>in terms of short-term inflation, there may be insufficient protection against the build up of financial imbalances that lies at the root of much of the financial instability we observe. This could be so if the focus on short-term inflation control meant that the authorities did not tighten monetary policy sufficiently pre-emptively to lean against excessive credit expansion and asset price increases. In jargon, if the monetary policy reaction function does not incorporate financial imbalances, the monetary anchor may fail to deliver financial stability.”</w:t>
      </w:r>
    </w:p>
    <w:p>
      <w:pPr>
        <w:spacing w:after="0" w:line="360" w:lineRule="auto"/>
        <w:sectPr>
          <w:pgSz w:w="12240" w:h="15840"/>
          <w:pgMar w:header="0" w:footer="237" w:top="860" w:bottom="420" w:left="1720" w:right="1560"/>
        </w:sectPr>
      </w:pPr>
    </w:p>
    <w:p>
      <w:pPr>
        <w:pStyle w:val="BodyText"/>
        <w:spacing w:line="360" w:lineRule="auto" w:before="75"/>
        <w:ind w:left="245" w:right="404"/>
      </w:pPr>
      <w:r>
        <w:rPr/>
        <w:t>In this paper I examine the view that inflation targeting alone, whether explicit or implicit, is not enough and that there is instead a case for an additional monetary response to asset price movements and/or developing financial imbalances in order to reduce the risks of future financial instability. My view, in a nutshell, is that (flexible) inflation targeting is best thought of as a description of the objective function of the policy maker rather than entailing an explicit monetary policy reaction function. The abrupt unwinding of asset price misalignments and/or financial imbalances that may lead to financial instability will also invariably be associated with significant macroeconomic instability. A forward-looking flexible inflation targeting central bank should bear in mind those longer-run consequences of asset price bubbles and financial imbalances in the setting current interest rates. There is thus no need for an additional response of monetary policy to be specified, though inflation targeting central banks may need to look out further into the future than is usual in order to take on board these considerations.</w:t>
      </w:r>
    </w:p>
    <w:p>
      <w:pPr>
        <w:pStyle w:val="BodyText"/>
        <w:spacing w:before="1"/>
        <w:rPr>
          <w:sz w:val="36"/>
        </w:rPr>
      </w:pPr>
    </w:p>
    <w:p>
      <w:pPr>
        <w:pStyle w:val="BodyText"/>
        <w:spacing w:line="360" w:lineRule="auto" w:before="1"/>
        <w:ind w:left="245" w:right="457"/>
      </w:pPr>
      <w:r>
        <w:rPr/>
        <w:t>The remainder of the paper is organised as follows. In the next section, I review some of the recent literature on the extent to which monetary policy should respond to asset prices, and in particular to asset price bubbles. While it may well be appropriate for interest rates to respond to asset prices, among many other economic indicators, I conclude that such a response is consistent with inflation targeting. In the subsequent section I characterise the optimal monetary policy in a simple New Keynesian macroeconomic model in which financial imbalances play a role and where their subsequent unwinding may lead to a credit crunch or similar financial distress. The possibility of credit crunches turns out to affect the design of the optimal policy in a subtle and rather surprising way. I also consider a variety of other ways that incipient financial imbalances could impinge on the conduct of an optimal monetary policy.</w:t>
      </w:r>
    </w:p>
    <w:p>
      <w:pPr>
        <w:pStyle w:val="BodyText"/>
        <w:spacing w:line="360" w:lineRule="auto"/>
        <w:ind w:left="245" w:right="690"/>
      </w:pPr>
      <w:r>
        <w:rPr/>
        <w:t>Finally I illustrate some of the difficulties in deciding whether an asset price is misaligned, or an imbalance poses a potential threat to macroeconomic stability, by considering the recent evolution of house prices and consumer debt in the United Kingdom.</w:t>
      </w:r>
    </w:p>
    <w:p>
      <w:pPr>
        <w:spacing w:after="0" w:line="360" w:lineRule="auto"/>
        <w:sectPr>
          <w:pgSz w:w="12240" w:h="15840"/>
          <w:pgMar w:header="0" w:footer="237" w:top="860" w:bottom="420" w:left="1720" w:right="1560"/>
        </w:sectPr>
      </w:pPr>
    </w:p>
    <w:p>
      <w:pPr>
        <w:pStyle w:val="Heading6"/>
        <w:numPr>
          <w:ilvl w:val="0"/>
          <w:numId w:val="1"/>
        </w:numPr>
        <w:tabs>
          <w:tab w:pos="965" w:val="left" w:leader="none"/>
          <w:tab w:pos="966" w:val="left" w:leader="none"/>
        </w:tabs>
        <w:spacing w:line="240" w:lineRule="auto" w:before="78" w:after="0"/>
        <w:ind w:left="965" w:right="0" w:hanging="721"/>
        <w:jc w:val="left"/>
      </w:pPr>
      <w:r>
        <w:rPr/>
        <w:t>Asset prices and monetary policy: some recent</w:t>
      </w:r>
      <w:r>
        <w:rPr>
          <w:spacing w:val="-9"/>
        </w:rPr>
        <w:t> </w:t>
      </w:r>
      <w:r>
        <w:rPr/>
        <w:t>views</w:t>
      </w:r>
    </w:p>
    <w:p>
      <w:pPr>
        <w:pStyle w:val="BodyText"/>
        <w:rPr>
          <w:b/>
          <w:sz w:val="30"/>
        </w:rPr>
      </w:pPr>
    </w:p>
    <w:p>
      <w:pPr>
        <w:pStyle w:val="BodyText"/>
        <w:spacing w:line="360" w:lineRule="auto" w:before="227"/>
        <w:ind w:left="245" w:right="471"/>
      </w:pPr>
      <w:r>
        <w:rPr/>
        <w:t>The conventional view that monetary policy can do little more than deal with the fall- out from the unwinding of asset price bubbles has been clearly ennunciated by Chairman Greenspan (2002):</w:t>
      </w:r>
    </w:p>
    <w:p>
      <w:pPr>
        <w:pStyle w:val="BodyText"/>
        <w:rPr>
          <w:sz w:val="36"/>
        </w:rPr>
      </w:pPr>
    </w:p>
    <w:p>
      <w:pPr>
        <w:pStyle w:val="BodyText"/>
        <w:spacing w:line="360" w:lineRule="auto" w:before="1"/>
        <w:ind w:left="965" w:right="509"/>
      </w:pPr>
      <w:r>
        <w:rPr/>
        <w:t>“Such data suggest that nothing short of a sharp increase in short-term rates that engenders a significant economic retrenchment is sufficient to check a nascent bubble. The notion that a well-timed incremental tightening could have been calibrated to prevent the late 1990s bubble is almost surely an illusion. Instead, we…need to focus on policies to mitigate the fallout when it occurs and, hopefully, ease the transition to the next expansion."</w:t>
      </w:r>
    </w:p>
    <w:p>
      <w:pPr>
        <w:pStyle w:val="BodyText"/>
        <w:spacing w:before="1"/>
        <w:rPr>
          <w:sz w:val="36"/>
        </w:rPr>
      </w:pPr>
    </w:p>
    <w:p>
      <w:pPr>
        <w:pStyle w:val="BodyText"/>
        <w:spacing w:line="360" w:lineRule="auto"/>
        <w:ind w:left="245" w:right="457"/>
      </w:pPr>
      <w:r>
        <w:rPr/>
        <w:t>But not everyone subscribes to this view, and there has recently been a lively literature debating the extent to which monetary policy should respond to asset price movements (see e.g. Batini and Nelson (2000), Bernanke and Gertler (1999, 2001), Cecchetti, Genberg, Lipsky and Wadhwani (2000), Cecchetti, Genberg and Wadhwani (2003), Taylor (2001). Thus on the one hand Bernanke and Gertler (1999) conclude</w:t>
      </w:r>
      <w:r>
        <w:rPr>
          <w:spacing w:val="-2"/>
        </w:rPr>
        <w:t> </w:t>
      </w:r>
      <w:r>
        <w:rPr/>
        <w:t>that:</w:t>
      </w:r>
    </w:p>
    <w:p>
      <w:pPr>
        <w:pStyle w:val="BodyText"/>
        <w:spacing w:before="10"/>
        <w:rPr>
          <w:sz w:val="35"/>
        </w:rPr>
      </w:pPr>
    </w:p>
    <w:p>
      <w:pPr>
        <w:pStyle w:val="BodyText"/>
        <w:spacing w:line="360" w:lineRule="auto" w:before="1"/>
        <w:ind w:left="965" w:right="437"/>
      </w:pPr>
      <w:r>
        <w:rPr/>
        <w:t>“The inflation targeting approach dictates that central banks should adjust monetary policy actively and pre-emptively to offset incipient inflationary and deflationary pressures. Importantly for present purposes, it also implies that policy should not respond to changes in asset prices, except insofar as they signal changes in expected inflation.”</w:t>
      </w:r>
    </w:p>
    <w:p>
      <w:pPr>
        <w:pStyle w:val="BodyText"/>
        <w:rPr>
          <w:sz w:val="36"/>
        </w:rPr>
      </w:pPr>
    </w:p>
    <w:p>
      <w:pPr>
        <w:pStyle w:val="BodyText"/>
        <w:ind w:left="245"/>
      </w:pPr>
      <w:r>
        <w:rPr/>
        <w:t>Against this, Cecchetti, Genberg, Lipsky and Wadhwani argue</w:t>
      </w:r>
    </w:p>
    <w:p>
      <w:pPr>
        <w:pStyle w:val="BodyText"/>
        <w:rPr>
          <w:sz w:val="26"/>
        </w:rPr>
      </w:pPr>
    </w:p>
    <w:p>
      <w:pPr>
        <w:pStyle w:val="BodyText"/>
        <w:rPr>
          <w:sz w:val="22"/>
        </w:rPr>
      </w:pPr>
    </w:p>
    <w:p>
      <w:pPr>
        <w:pStyle w:val="BodyText"/>
        <w:spacing w:line="360" w:lineRule="auto"/>
        <w:ind w:left="965" w:right="483"/>
      </w:pPr>
      <w:r>
        <w:rPr/>
        <w:t>“A central bank concerned with both hitting an inflation target at a given time horizon, and achieving as smooth a path as possible for inflation, is likely to achieve superior performance by adjusting its policy instruments not only to inflation (or its inflation forecast) and the output gap, but to asset prices as well. Typically modifying the policy framework in this way could also reduce</w:t>
      </w:r>
    </w:p>
    <w:p>
      <w:pPr>
        <w:spacing w:after="0" w:line="360" w:lineRule="auto"/>
        <w:sectPr>
          <w:pgSz w:w="12240" w:h="15840"/>
          <w:pgMar w:header="0" w:footer="237" w:top="860" w:bottom="420" w:left="1720" w:right="1560"/>
        </w:sectPr>
      </w:pPr>
    </w:p>
    <w:p>
      <w:pPr>
        <w:pStyle w:val="BodyText"/>
        <w:spacing w:line="360" w:lineRule="auto" w:before="75"/>
        <w:ind w:left="965"/>
      </w:pPr>
      <w:r>
        <w:rPr/>
        <w:t>output volatility. We emphasize that this conclusion is based on our view that reacting to asset prices in the normal course of policymaking will reduce the likelihood of asset price bubbles forming, thus reducing the risk of boom-bust investment cycles.”</w:t>
      </w:r>
    </w:p>
    <w:p>
      <w:pPr>
        <w:pStyle w:val="BodyText"/>
        <w:spacing w:before="1"/>
        <w:rPr>
          <w:sz w:val="36"/>
        </w:rPr>
      </w:pPr>
    </w:p>
    <w:p>
      <w:pPr>
        <w:pStyle w:val="BodyText"/>
        <w:spacing w:line="360" w:lineRule="auto"/>
        <w:ind w:left="245" w:right="440"/>
      </w:pPr>
      <w:r>
        <w:rPr/>
        <w:t>Each of these contributions evaluate the appropriateness of a policy response to asset prices by exploring the efficacy of a variety of interest rate reaction functions in simple calibrated stochastic model economies in which asset prices play some explicit role.  Thus both Bernanke and Gertler (1999, 2001) and Cecchetti et al. (2000) employ a dynamic New Keynesian model, modified to allow for credit market frictions and exogenous asset price bubbles. The credit market frictions arise from agency problems in the credit market, so that internal finance is cheaper than external finance and the external finance premium depends on the firm’s financial position. </w:t>
      </w:r>
      <w:r>
        <w:rPr>
          <w:spacing w:val="-3"/>
        </w:rPr>
        <w:t>In </w:t>
      </w:r>
      <w:r>
        <w:rPr/>
        <w:t>particular a rise in the firm’s share price increases the available collateral and leads to a reduction in the marginal cost of external funds, and a consequent increase in borrowing and investment. Furthermore the equity price may differ from fundamentals by an exogenous and stochastic bubble component, which grows exponentially but may collapse. During the build up of such a bubble the external finance premium falls, and investment, aggregate demand and future potential output rise, whereas when the bubble collapses the processes</w:t>
      </w:r>
      <w:r>
        <w:rPr>
          <w:spacing w:val="-14"/>
        </w:rPr>
        <w:t> </w:t>
      </w:r>
      <w:r>
        <w:rPr/>
        <w:t>reverses.</w:t>
      </w:r>
    </w:p>
    <w:p>
      <w:pPr>
        <w:pStyle w:val="BodyText"/>
        <w:spacing w:before="1"/>
        <w:rPr>
          <w:sz w:val="36"/>
        </w:rPr>
      </w:pPr>
    </w:p>
    <w:p>
      <w:pPr>
        <w:pStyle w:val="BodyText"/>
        <w:spacing w:line="360" w:lineRule="auto"/>
        <w:ind w:left="245" w:right="564"/>
      </w:pPr>
      <w:r>
        <w:rPr/>
        <w:t>But despite the apparent similarity of the models employed, the two sets of authors come to strikingly different conclusions about whether it is wise for the monetary authorities to condition their short-term interest rate on the equity price. Cecchetti, Genberg and Wadhwani argue that a key difference lies in different assumptions about what shocks are present and exactly what the monetary authorities are allowed to observe.</w:t>
      </w:r>
    </w:p>
    <w:p>
      <w:pPr>
        <w:pStyle w:val="BodyText"/>
        <w:spacing w:before="10"/>
        <w:rPr>
          <w:sz w:val="35"/>
        </w:rPr>
      </w:pPr>
    </w:p>
    <w:p>
      <w:pPr>
        <w:pStyle w:val="BodyText"/>
        <w:spacing w:line="360" w:lineRule="auto"/>
        <w:ind w:left="245" w:right="438"/>
      </w:pPr>
      <w:r>
        <w:rPr/>
        <w:t>Similarly Batini and Nelson explore whether feedback to the interest rate from the exchange rate (which may or may not contain a bubble) is advisable in a New Keynesian model of a small open economy in which the real exchange rate influences both demand and supply and the exchange rate is determined via uncovered interest parity. They find that for an optimised rule, there is apparently no gain to reacting separately to the exchange rate. Yet Cecchetti et al., using essentially the same model,</w:t>
      </w:r>
    </w:p>
    <w:p>
      <w:pPr>
        <w:spacing w:after="0" w:line="360" w:lineRule="auto"/>
        <w:sectPr>
          <w:pgSz w:w="12240" w:h="15840"/>
          <w:pgMar w:header="0" w:footer="237" w:top="860" w:bottom="420" w:left="1720" w:right="1560"/>
        </w:sectPr>
      </w:pPr>
    </w:p>
    <w:p>
      <w:pPr>
        <w:pStyle w:val="BodyText"/>
        <w:spacing w:line="360" w:lineRule="auto" w:before="75"/>
        <w:ind w:left="245" w:right="490"/>
      </w:pPr>
      <w:r>
        <w:rPr/>
        <w:t>find that under some circumstances feedback from the exchange rate leads to higher welfare than not responding. Again the key difference appears to lie in the assumptions about what shocks are present and exactly what the monetary authorities know.</w:t>
      </w:r>
    </w:p>
    <w:p>
      <w:pPr>
        <w:pStyle w:val="BodyText"/>
        <w:spacing w:before="1"/>
        <w:rPr>
          <w:sz w:val="36"/>
        </w:rPr>
      </w:pPr>
    </w:p>
    <w:p>
      <w:pPr>
        <w:pStyle w:val="BodyText"/>
        <w:spacing w:line="360" w:lineRule="auto"/>
        <w:ind w:left="245" w:right="403"/>
      </w:pPr>
      <w:r>
        <w:rPr/>
        <w:t>Now at one level it may not seem terribly surprising that different assumptions about the stochastic structure of the economy and what the authorities can observe/infer may lead to different conclusions about the appropriateness of adjusting interest rates in the light of asset price movements.  And few people would disagree that the authorities should take account of asset price movements insofar as they affect the outlook for output and inflation. But the question is whether some </w:t>
      </w:r>
      <w:r>
        <w:rPr>
          <w:i/>
        </w:rPr>
        <w:t>additional </w:t>
      </w:r>
      <w:r>
        <w:rPr/>
        <w:t>response is called for, as the above quotes should make clear. In addressing this issue, I think it is fruitful to look at exactly how the above authors go about trying to answer that question.</w:t>
      </w:r>
    </w:p>
    <w:p>
      <w:pPr>
        <w:pStyle w:val="BodyText"/>
        <w:rPr>
          <w:sz w:val="36"/>
        </w:rPr>
      </w:pPr>
    </w:p>
    <w:p>
      <w:pPr>
        <w:pStyle w:val="BodyText"/>
        <w:spacing w:line="360" w:lineRule="auto" w:before="1"/>
        <w:ind w:left="245" w:right="464"/>
      </w:pPr>
      <w:r>
        <w:rPr/>
        <w:t>Essentially all these contributions evaluate whether the addition of asset prices - or an estimate of the bubble component therein – to a simple feedback rule for the policy rate instrument leads to a lower value of a suitable loss function. Two general classes of simple rule are employed. Either an augmented Taylor rule:</w:t>
      </w:r>
    </w:p>
    <w:p>
      <w:pPr>
        <w:pStyle w:val="BodyText"/>
        <w:spacing w:before="7"/>
        <w:rPr>
          <w:sz w:val="33"/>
        </w:rPr>
      </w:pPr>
    </w:p>
    <w:p>
      <w:pPr>
        <w:pStyle w:val="ListParagraph"/>
        <w:numPr>
          <w:ilvl w:val="0"/>
          <w:numId w:val="2"/>
        </w:numPr>
        <w:tabs>
          <w:tab w:pos="1097" w:val="left" w:leader="none"/>
          <w:tab w:pos="1098" w:val="left" w:leader="none"/>
        </w:tabs>
        <w:spacing w:line="240" w:lineRule="auto" w:before="0" w:after="0"/>
        <w:ind w:left="1097" w:right="0" w:hanging="853"/>
        <w:jc w:val="left"/>
        <w:rPr>
          <w:sz w:val="24"/>
        </w:rPr>
      </w:pPr>
      <w:r>
        <w:rPr>
          <w:sz w:val="24"/>
        </w:rPr>
        <w:t>i</w:t>
      </w:r>
      <w:r>
        <w:rPr>
          <w:sz w:val="24"/>
          <w:vertAlign w:val="subscript"/>
        </w:rPr>
        <w:t>t</w:t>
      </w:r>
      <w:r>
        <w:rPr>
          <w:sz w:val="24"/>
          <w:vertAlign w:val="baseline"/>
        </w:rPr>
        <w:t> = i*</w:t>
      </w:r>
      <w:r>
        <w:rPr>
          <w:sz w:val="24"/>
          <w:vertAlign w:val="subscript"/>
        </w:rPr>
        <w:t>t</w:t>
      </w:r>
      <w:r>
        <w:rPr>
          <w:sz w:val="24"/>
          <w:vertAlign w:val="baseline"/>
        </w:rPr>
        <w:t> + </w:t>
      </w:r>
      <w:r>
        <w:rPr>
          <w:rFonts w:ascii="Arial"/>
          <w:sz w:val="24"/>
          <w:vertAlign w:val="baseline"/>
        </w:rPr>
        <w:t>$</w:t>
      </w:r>
      <w:r>
        <w:rPr>
          <w:rFonts w:ascii="Comic Sans MS"/>
          <w:sz w:val="24"/>
          <w:vertAlign w:val="subscript"/>
        </w:rPr>
        <w:t>n</w:t>
      </w:r>
      <w:r>
        <w:rPr>
          <w:rFonts w:ascii="Arial"/>
          <w:sz w:val="24"/>
          <w:vertAlign w:val="baseline"/>
        </w:rPr>
        <w:t>n</w:t>
      </w:r>
      <w:r>
        <w:rPr>
          <w:sz w:val="24"/>
          <w:vertAlign w:val="subscript"/>
        </w:rPr>
        <w:t>t</w:t>
      </w:r>
      <w:r>
        <w:rPr>
          <w:sz w:val="24"/>
          <w:vertAlign w:val="baseline"/>
        </w:rPr>
        <w:t> + </w:t>
      </w:r>
      <w:r>
        <w:rPr>
          <w:rFonts w:ascii="Arial"/>
          <w:sz w:val="24"/>
          <w:vertAlign w:val="baseline"/>
        </w:rPr>
        <w:t>$</w:t>
      </w:r>
      <w:r>
        <w:rPr>
          <w:sz w:val="24"/>
          <w:vertAlign w:val="subscript"/>
        </w:rPr>
        <w:t>y</w:t>
      </w:r>
      <w:r>
        <w:rPr>
          <w:sz w:val="24"/>
          <w:vertAlign w:val="baseline"/>
        </w:rPr>
        <w:t>x</w:t>
      </w:r>
      <w:r>
        <w:rPr>
          <w:sz w:val="24"/>
          <w:vertAlign w:val="subscript"/>
        </w:rPr>
        <w:t>t</w:t>
      </w:r>
      <w:r>
        <w:rPr>
          <w:sz w:val="24"/>
          <w:vertAlign w:val="baseline"/>
        </w:rPr>
        <w:t> +</w:t>
      </w:r>
      <w:r>
        <w:rPr>
          <w:spacing w:val="1"/>
          <w:sz w:val="24"/>
          <w:vertAlign w:val="baseline"/>
        </w:rPr>
        <w:t> </w:t>
      </w:r>
      <w:r>
        <w:rPr>
          <w:rFonts w:ascii="Arial"/>
          <w:sz w:val="24"/>
          <w:vertAlign w:val="baseline"/>
        </w:rPr>
        <w:t>$</w:t>
      </w:r>
      <w:r>
        <w:rPr>
          <w:sz w:val="24"/>
          <w:vertAlign w:val="subscript"/>
        </w:rPr>
        <w:t>q</w:t>
      </w:r>
      <w:r>
        <w:rPr>
          <w:sz w:val="24"/>
          <w:vertAlign w:val="baseline"/>
        </w:rPr>
        <w:t>q</w:t>
      </w:r>
      <w:r>
        <w:rPr>
          <w:sz w:val="24"/>
          <w:vertAlign w:val="subscript"/>
        </w:rPr>
        <w:t>t</w:t>
      </w:r>
      <w:r>
        <w:rPr>
          <w:sz w:val="24"/>
          <w:vertAlign w:val="baseline"/>
        </w:rPr>
        <w:t>,</w:t>
      </w:r>
    </w:p>
    <w:p>
      <w:pPr>
        <w:pStyle w:val="BodyText"/>
        <w:rPr>
          <w:sz w:val="28"/>
        </w:rPr>
      </w:pPr>
    </w:p>
    <w:p>
      <w:pPr>
        <w:pStyle w:val="BodyText"/>
        <w:spacing w:line="364" w:lineRule="auto" w:before="224"/>
        <w:ind w:left="245" w:right="417"/>
      </w:pPr>
      <w:r>
        <w:rPr/>
        <w:t>where i</w:t>
      </w:r>
      <w:r>
        <w:rPr>
          <w:vertAlign w:val="subscript"/>
        </w:rPr>
        <w:t>t</w:t>
      </w:r>
      <w:r>
        <w:rPr>
          <w:vertAlign w:val="baseline"/>
        </w:rPr>
        <w:t> is the nominal interest rate, i*</w:t>
      </w:r>
      <w:r>
        <w:rPr>
          <w:vertAlign w:val="subscript"/>
        </w:rPr>
        <w:t>t</w:t>
      </w:r>
      <w:r>
        <w:rPr>
          <w:vertAlign w:val="baseline"/>
        </w:rPr>
        <w:t> is the “natural” level of the nominal interest rate, </w:t>
      </w:r>
      <w:r>
        <w:rPr>
          <w:rFonts w:ascii="Arial" w:hAnsi="Arial"/>
          <w:vertAlign w:val="baseline"/>
        </w:rPr>
        <w:t>n</w:t>
      </w:r>
      <w:r>
        <w:rPr>
          <w:vertAlign w:val="subscript"/>
        </w:rPr>
        <w:t>t</w:t>
      </w:r>
      <w:r>
        <w:rPr>
          <w:vertAlign w:val="baseline"/>
        </w:rPr>
        <w:t> is inflation (strictly, the deviation from target), x</w:t>
      </w:r>
      <w:r>
        <w:rPr>
          <w:vertAlign w:val="subscript"/>
        </w:rPr>
        <w:t>t</w:t>
      </w:r>
      <w:r>
        <w:rPr>
          <w:vertAlign w:val="baseline"/>
        </w:rPr>
        <w:t> is the deviation of output from its flexible-price level, ie the output gap, and q</w:t>
      </w:r>
      <w:r>
        <w:rPr>
          <w:vertAlign w:val="subscript"/>
        </w:rPr>
        <w:t>t</w:t>
      </w:r>
      <w:r>
        <w:rPr>
          <w:vertAlign w:val="baseline"/>
        </w:rPr>
        <w:t> is an asset price (relative to some suitably defined normal or equilibrium value). Or else an augmented inflation- forecast-targeting rule:</w:t>
      </w:r>
    </w:p>
    <w:p>
      <w:pPr>
        <w:pStyle w:val="BodyText"/>
        <w:spacing w:before="9"/>
        <w:rPr>
          <w:sz w:val="33"/>
        </w:rPr>
      </w:pPr>
    </w:p>
    <w:p>
      <w:pPr>
        <w:pStyle w:val="ListParagraph"/>
        <w:numPr>
          <w:ilvl w:val="0"/>
          <w:numId w:val="2"/>
        </w:numPr>
        <w:tabs>
          <w:tab w:pos="1097" w:val="left" w:leader="none"/>
          <w:tab w:pos="1098" w:val="left" w:leader="none"/>
        </w:tabs>
        <w:spacing w:line="240" w:lineRule="auto" w:before="0" w:after="0"/>
        <w:ind w:left="1097" w:right="0" w:hanging="853"/>
        <w:jc w:val="left"/>
        <w:rPr>
          <w:sz w:val="24"/>
        </w:rPr>
      </w:pPr>
      <w:r>
        <w:rPr>
          <w:sz w:val="24"/>
        </w:rPr>
        <w:t>i</w:t>
      </w:r>
      <w:r>
        <w:rPr>
          <w:sz w:val="24"/>
          <w:vertAlign w:val="subscript"/>
        </w:rPr>
        <w:t>t</w:t>
      </w:r>
      <w:r>
        <w:rPr>
          <w:sz w:val="24"/>
          <w:vertAlign w:val="baseline"/>
        </w:rPr>
        <w:t> = i*</w:t>
      </w:r>
      <w:r>
        <w:rPr>
          <w:sz w:val="24"/>
          <w:vertAlign w:val="subscript"/>
        </w:rPr>
        <w:t>t</w:t>
      </w:r>
      <w:r>
        <w:rPr>
          <w:sz w:val="24"/>
          <w:vertAlign w:val="baseline"/>
        </w:rPr>
        <w:t> + </w:t>
      </w:r>
      <w:r>
        <w:rPr>
          <w:rFonts w:ascii="Arial" w:hAnsi="Arial"/>
          <w:sz w:val="24"/>
          <w:vertAlign w:val="baseline"/>
        </w:rPr>
        <w:t>µ</w:t>
      </w:r>
      <w:r>
        <w:rPr>
          <w:rFonts w:ascii="Comic Sans MS" w:hAnsi="Comic Sans MS"/>
          <w:sz w:val="24"/>
          <w:vertAlign w:val="subscript"/>
        </w:rPr>
        <w:t>n</w:t>
      </w:r>
      <w:r>
        <w:rPr>
          <w:sz w:val="24"/>
          <w:vertAlign w:val="baseline"/>
        </w:rPr>
        <w:t>E</w:t>
      </w:r>
      <w:r>
        <w:rPr>
          <w:sz w:val="24"/>
          <w:vertAlign w:val="subscript"/>
        </w:rPr>
        <w:t>t</w:t>
      </w:r>
      <w:r>
        <w:rPr>
          <w:rFonts w:ascii="Arial" w:hAnsi="Arial"/>
          <w:sz w:val="24"/>
          <w:vertAlign w:val="baseline"/>
        </w:rPr>
        <w:t>n</w:t>
      </w:r>
      <w:r>
        <w:rPr>
          <w:sz w:val="24"/>
          <w:vertAlign w:val="subscript"/>
        </w:rPr>
        <w:t>t+k</w:t>
      </w:r>
      <w:r>
        <w:rPr>
          <w:sz w:val="24"/>
          <w:vertAlign w:val="baseline"/>
        </w:rPr>
        <w:t> +</w:t>
      </w:r>
      <w:r>
        <w:rPr>
          <w:spacing w:val="-2"/>
          <w:sz w:val="24"/>
          <w:vertAlign w:val="baseline"/>
        </w:rPr>
        <w:t> </w:t>
      </w:r>
      <w:r>
        <w:rPr>
          <w:rFonts w:ascii="Arial" w:hAnsi="Arial"/>
          <w:sz w:val="24"/>
          <w:vertAlign w:val="baseline"/>
        </w:rPr>
        <w:t>µ</w:t>
      </w:r>
      <w:r>
        <w:rPr>
          <w:sz w:val="24"/>
          <w:vertAlign w:val="subscript"/>
        </w:rPr>
        <w:t>q</w:t>
      </w:r>
      <w:r>
        <w:rPr>
          <w:sz w:val="24"/>
          <w:vertAlign w:val="baseline"/>
        </w:rPr>
        <w:t>q</w:t>
      </w:r>
      <w:r>
        <w:rPr>
          <w:sz w:val="24"/>
          <w:vertAlign w:val="subscript"/>
        </w:rPr>
        <w:t>t</w:t>
      </w:r>
      <w:r>
        <w:rPr>
          <w:sz w:val="24"/>
          <w:vertAlign w:val="baseline"/>
        </w:rPr>
        <w:t>,</w:t>
      </w:r>
    </w:p>
    <w:p>
      <w:pPr>
        <w:pStyle w:val="BodyText"/>
        <w:rPr>
          <w:sz w:val="28"/>
        </w:rPr>
      </w:pPr>
    </w:p>
    <w:p>
      <w:pPr>
        <w:pStyle w:val="BodyText"/>
        <w:spacing w:line="360" w:lineRule="auto" w:before="224"/>
        <w:ind w:left="245" w:right="634"/>
      </w:pPr>
      <w:r>
        <w:rPr/>
        <w:t>where E</w:t>
      </w:r>
      <w:r>
        <w:rPr>
          <w:vertAlign w:val="subscript"/>
        </w:rPr>
        <w:t>t</w:t>
      </w:r>
      <w:r>
        <w:rPr>
          <w:vertAlign w:val="baseline"/>
        </w:rPr>
        <w:t> denotes the mathematical expectation conditional on information available to the policy maker at time t and k is some suitably chosen time horizon.</w:t>
      </w:r>
    </w:p>
    <w:p>
      <w:pPr>
        <w:spacing w:after="0" w:line="360" w:lineRule="auto"/>
        <w:sectPr>
          <w:pgSz w:w="12240" w:h="15840"/>
          <w:pgMar w:header="0" w:footer="237" w:top="860" w:bottom="420" w:left="1720" w:right="1560"/>
        </w:sectPr>
      </w:pPr>
    </w:p>
    <w:p>
      <w:pPr>
        <w:pStyle w:val="BodyText"/>
        <w:spacing w:line="360" w:lineRule="auto" w:before="75"/>
        <w:ind w:left="245" w:right="923"/>
      </w:pPr>
      <w:r>
        <w:rPr/>
        <w:t>The authorities are assumed to have a period loss function that is quadratic in the deviation of inflation from target and in the output gap:</w:t>
      </w:r>
    </w:p>
    <w:p>
      <w:pPr>
        <w:pStyle w:val="BodyText"/>
        <w:spacing w:before="3"/>
        <w:rPr>
          <w:sz w:val="37"/>
        </w:rPr>
      </w:pPr>
    </w:p>
    <w:p>
      <w:pPr>
        <w:pStyle w:val="ListParagraph"/>
        <w:numPr>
          <w:ilvl w:val="0"/>
          <w:numId w:val="2"/>
        </w:numPr>
        <w:tabs>
          <w:tab w:pos="1097" w:val="left" w:leader="none"/>
          <w:tab w:pos="1098" w:val="left" w:leader="none"/>
        </w:tabs>
        <w:spacing w:line="240" w:lineRule="auto" w:before="0" w:after="0"/>
        <w:ind w:left="1097" w:right="0" w:hanging="853"/>
        <w:jc w:val="left"/>
        <w:rPr>
          <w:sz w:val="24"/>
        </w:rPr>
      </w:pPr>
      <w:r>
        <w:rPr/>
        <w:pict>
          <v:shape style="position:absolute;margin-left:201.479996pt;margin-top:5.651282pt;width:2.25pt;height:8.950pt;mso-position-horizontal-relative:page;mso-position-vertical-relative:paragraph;z-index:-16353792" type="#_x0000_t202" filled="false" stroked="false">
            <v:textbox inset="0,0,0,0">
              <w:txbxContent>
                <w:p>
                  <w:pPr>
                    <w:spacing w:line="178" w:lineRule="exact" w:before="0"/>
                    <w:ind w:left="0" w:right="0" w:firstLine="0"/>
                    <w:jc w:val="left"/>
                    <w:rPr>
                      <w:sz w:val="16"/>
                    </w:rPr>
                  </w:pPr>
                  <w:r>
                    <w:rPr>
                      <w:w w:val="100"/>
                      <w:sz w:val="16"/>
                    </w:rPr>
                    <w:t>t</w:t>
                  </w:r>
                </w:p>
              </w:txbxContent>
            </v:textbox>
            <w10:wrap type="none"/>
          </v:shape>
        </w:pict>
      </w:r>
      <w:r>
        <w:rPr>
          <w:sz w:val="24"/>
        </w:rPr>
        <w:t>L</w:t>
      </w:r>
      <w:r>
        <w:rPr>
          <w:sz w:val="24"/>
          <w:vertAlign w:val="subscript"/>
        </w:rPr>
        <w:t>t</w:t>
      </w:r>
      <w:r>
        <w:rPr>
          <w:sz w:val="24"/>
          <w:vertAlign w:val="baseline"/>
        </w:rPr>
        <w:t> = </w:t>
      </w:r>
      <w:r>
        <w:rPr>
          <w:rFonts w:ascii="Arial"/>
          <w:sz w:val="24"/>
          <w:vertAlign w:val="baseline"/>
        </w:rPr>
        <w:t>n</w:t>
      </w:r>
      <w:r>
        <w:rPr>
          <w:sz w:val="24"/>
          <w:vertAlign w:val="subscript"/>
        </w:rPr>
        <w:t>t</w:t>
      </w:r>
      <w:r>
        <w:rPr>
          <w:sz w:val="24"/>
          <w:vertAlign w:val="superscript"/>
        </w:rPr>
        <w:t>2</w:t>
      </w:r>
      <w:r>
        <w:rPr>
          <w:sz w:val="24"/>
          <w:vertAlign w:val="baseline"/>
        </w:rPr>
        <w:t> + </w:t>
      </w:r>
      <w:r>
        <w:rPr>
          <w:rFonts w:ascii="Arial"/>
          <w:sz w:val="24"/>
          <w:vertAlign w:val="baseline"/>
        </w:rPr>
        <w:t>Z</w:t>
      </w:r>
      <w:r>
        <w:rPr>
          <w:sz w:val="24"/>
          <w:vertAlign w:val="baseline"/>
        </w:rPr>
        <w:t>x</w:t>
      </w:r>
      <w:r>
        <w:rPr>
          <w:spacing w:val="-16"/>
          <w:sz w:val="24"/>
          <w:vertAlign w:val="baseline"/>
        </w:rPr>
        <w:t> </w:t>
      </w:r>
      <w:r>
        <w:rPr>
          <w:sz w:val="24"/>
          <w:vertAlign w:val="superscript"/>
        </w:rPr>
        <w:t>2</w:t>
      </w:r>
      <w:r>
        <w:rPr>
          <w:sz w:val="24"/>
          <w:vertAlign w:val="baseline"/>
        </w:rPr>
        <w:t>,</w:t>
      </w:r>
    </w:p>
    <w:p>
      <w:pPr>
        <w:pStyle w:val="BodyText"/>
        <w:rPr>
          <w:sz w:val="32"/>
        </w:rPr>
      </w:pPr>
    </w:p>
    <w:p>
      <w:pPr>
        <w:pStyle w:val="BodyText"/>
        <w:spacing w:line="360" w:lineRule="auto" w:before="196"/>
        <w:ind w:left="245" w:right="1197"/>
      </w:pPr>
      <w:r>
        <w:rPr/>
        <w:t>where for simplicity the inflation target is set to zero. The associated expected objective function, </w:t>
      </w:r>
      <w:r>
        <w:rPr>
          <w:b/>
          <w:i/>
        </w:rPr>
        <w:t>L</w:t>
      </w:r>
      <w:r>
        <w:rPr>
          <w:vertAlign w:val="subscript"/>
        </w:rPr>
        <w:t>t</w:t>
      </w:r>
      <w:r>
        <w:rPr>
          <w:vertAlign w:val="baseline"/>
        </w:rPr>
        <w:t>, is</w:t>
      </w:r>
    </w:p>
    <w:p>
      <w:pPr>
        <w:pStyle w:val="BodyText"/>
        <w:spacing w:before="3"/>
        <w:rPr>
          <w:sz w:val="37"/>
        </w:rPr>
      </w:pPr>
    </w:p>
    <w:p>
      <w:pPr>
        <w:pStyle w:val="BodyText"/>
        <w:tabs>
          <w:tab w:pos="1097" w:val="left" w:leader="none"/>
        </w:tabs>
        <w:ind w:left="245"/>
      </w:pPr>
      <w:r>
        <w:rPr/>
        <w:t>(4)</w:t>
        <w:tab/>
      </w:r>
      <w:r>
        <w:rPr>
          <w:b/>
          <w:i/>
        </w:rPr>
        <w:t>L</w:t>
      </w:r>
      <w:r>
        <w:rPr>
          <w:vertAlign w:val="subscript"/>
        </w:rPr>
        <w:t>t</w:t>
      </w:r>
      <w:r>
        <w:rPr>
          <w:vertAlign w:val="baseline"/>
        </w:rPr>
        <w:t> = E</w:t>
      </w:r>
      <w:r>
        <w:rPr>
          <w:vertAlign w:val="subscript"/>
        </w:rPr>
        <w:t>t</w:t>
      </w:r>
      <w:r>
        <w:rPr>
          <w:vertAlign w:val="baseline"/>
        </w:rPr>
        <w:t>[(1-</w:t>
      </w:r>
      <w:r>
        <w:rPr>
          <w:rFonts w:ascii="Arial" w:hAnsi="Arial"/>
          <w:vertAlign w:val="baseline"/>
        </w:rPr>
        <w:t>þ</w:t>
      </w:r>
      <w:r>
        <w:rPr>
          <w:vertAlign w:val="baseline"/>
        </w:rPr>
        <w:t>)L</w:t>
      </w:r>
      <w:r>
        <w:rPr>
          <w:vertAlign w:val="subscript"/>
        </w:rPr>
        <w:t>t</w:t>
      </w:r>
      <w:r>
        <w:rPr>
          <w:vertAlign w:val="baseline"/>
        </w:rPr>
        <w:t> +</w:t>
      </w:r>
      <w:r>
        <w:rPr>
          <w:spacing w:val="-3"/>
          <w:vertAlign w:val="baseline"/>
        </w:rPr>
        <w:t> </w:t>
      </w:r>
      <w:r>
        <w:rPr>
          <w:rFonts w:ascii="Arial" w:hAnsi="Arial"/>
          <w:vertAlign w:val="baseline"/>
        </w:rPr>
        <w:t>þ</w:t>
      </w:r>
      <w:r>
        <w:rPr>
          <w:b/>
          <w:i/>
          <w:vertAlign w:val="baseline"/>
        </w:rPr>
        <w:t>L</w:t>
      </w:r>
      <w:r>
        <w:rPr>
          <w:vertAlign w:val="subscript"/>
        </w:rPr>
        <w:t>t+1</w:t>
      </w:r>
      <w:r>
        <w:rPr>
          <w:vertAlign w:val="baseline"/>
        </w:rPr>
        <w:t>]</w:t>
      </w:r>
      <w:r>
        <w:rPr>
          <w:vertAlign w:val="subscript"/>
        </w:rPr>
        <w:t>,</w:t>
      </w:r>
    </w:p>
    <w:p>
      <w:pPr>
        <w:pStyle w:val="BodyText"/>
        <w:rPr>
          <w:sz w:val="28"/>
        </w:rPr>
      </w:pPr>
    </w:p>
    <w:p>
      <w:pPr>
        <w:pStyle w:val="BodyText"/>
        <w:spacing w:before="2"/>
        <w:rPr>
          <w:sz w:val="22"/>
        </w:rPr>
      </w:pPr>
    </w:p>
    <w:p>
      <w:pPr>
        <w:pStyle w:val="BodyText"/>
        <w:spacing w:line="364" w:lineRule="auto" w:before="1"/>
        <w:ind w:left="245" w:right="404"/>
      </w:pPr>
      <w:r>
        <w:rPr/>
        <w:t>where </w:t>
      </w:r>
      <w:r>
        <w:rPr>
          <w:rFonts w:ascii="Arial" w:hAnsi="Arial"/>
        </w:rPr>
        <w:t>þ </w:t>
      </w:r>
      <w:r>
        <w:rPr/>
        <w:t>is a discount factor and E</w:t>
      </w:r>
      <w:r>
        <w:rPr>
          <w:vertAlign w:val="subscript"/>
        </w:rPr>
        <w:t>t</w:t>
      </w:r>
      <w:r>
        <w:rPr>
          <w:vertAlign w:val="baseline"/>
        </w:rPr>
        <w:t> denotes the mathematical expectation conditional on information available to the policymaker at time t (usually taken below to include the current realisations of shocks). As </w:t>
      </w:r>
      <w:r>
        <w:rPr>
          <w:rFonts w:ascii="Arial" w:hAnsi="Arial"/>
          <w:vertAlign w:val="baseline"/>
        </w:rPr>
        <w:t>þ </w:t>
      </w:r>
      <w:r>
        <w:rPr>
          <w:vertAlign w:val="baseline"/>
        </w:rPr>
        <w:t>tends to unity, so this loss function tends to a simple weighted average of the conditional variances of inflation about the target and of the output gap. One can then think of searching over the parameters in the Taylor- type rule (1) and the inflation-forecast-targeting (2) rules to find the values of the feedback coefficients that minimise the loss function (3 and 4) and this is what the papers in this literature in essence do.</w:t>
      </w:r>
    </w:p>
    <w:p>
      <w:pPr>
        <w:pStyle w:val="BodyText"/>
        <w:spacing w:before="6"/>
        <w:rPr>
          <w:sz w:val="35"/>
        </w:rPr>
      </w:pPr>
    </w:p>
    <w:p>
      <w:pPr>
        <w:pStyle w:val="BodyText"/>
        <w:spacing w:line="360" w:lineRule="auto"/>
        <w:ind w:left="245" w:right="482"/>
      </w:pPr>
      <w:r>
        <w:rPr/>
        <w:t>However, it is worth recalling that, despite their appeal, Taylor-type rules imply feedback from a relatively restricted state vector and the optimal feedback rule can be written as a Taylor rule only in very simple settings. The same is true of inflation- forecast-targeting rules, which furthermore are dynamically inconsistent (see Svensson, 2001). A relevant question is why we should be interested in whether an asset price, or indeed any other variable for that matter, appears in some ad hoc class of feedback rule, even though the coefficients of that rule may have been optimised? It seems more instructive to ask first what an optimal rule looks like, and then consider how asset prices ought to figure in it. One might then go on to consider whether particular simple rules represent sufficiently close approximations to the optimal rule to be useful guideposts for policy.</w:t>
      </w:r>
    </w:p>
    <w:p>
      <w:pPr>
        <w:spacing w:after="0" w:line="360" w:lineRule="auto"/>
        <w:sectPr>
          <w:pgSz w:w="12240" w:h="15840"/>
          <w:pgMar w:header="0" w:footer="237" w:top="860" w:bottom="420" w:left="1720" w:right="1560"/>
        </w:sectPr>
      </w:pPr>
    </w:p>
    <w:p>
      <w:pPr>
        <w:pStyle w:val="BodyText"/>
        <w:spacing w:line="360" w:lineRule="auto" w:before="75"/>
        <w:ind w:left="245" w:right="404"/>
      </w:pPr>
      <w:r>
        <w:rPr/>
        <w:t>In order to say more we need first to assume something about the structure of the economy. Suppose, for illustrative purposes, the demand side is given by a forward- looking IS schedule, including the asset price:</w:t>
      </w:r>
    </w:p>
    <w:p>
      <w:pPr>
        <w:pStyle w:val="BodyText"/>
        <w:spacing w:before="4"/>
        <w:rPr>
          <w:sz w:val="37"/>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z w:val="24"/>
        </w:rPr>
        <w:t>x</w:t>
      </w:r>
      <w:r>
        <w:rPr>
          <w:sz w:val="24"/>
          <w:vertAlign w:val="subscript"/>
        </w:rPr>
        <w:t>t</w:t>
      </w:r>
      <w:r>
        <w:rPr>
          <w:sz w:val="24"/>
          <w:vertAlign w:val="baseline"/>
        </w:rPr>
        <w:t> = E</w:t>
      </w:r>
      <w:r>
        <w:rPr>
          <w:sz w:val="24"/>
          <w:vertAlign w:val="subscript"/>
        </w:rPr>
        <w:t>t</w:t>
      </w:r>
      <w:r>
        <w:rPr>
          <w:sz w:val="24"/>
          <w:vertAlign w:val="baseline"/>
        </w:rPr>
        <w:t>x</w:t>
      </w:r>
      <w:r>
        <w:rPr>
          <w:sz w:val="24"/>
          <w:vertAlign w:val="subscript"/>
        </w:rPr>
        <w:t>t+1</w:t>
      </w:r>
      <w:r>
        <w:rPr>
          <w:sz w:val="24"/>
          <w:vertAlign w:val="baseline"/>
        </w:rPr>
        <w:t> – (i</w:t>
      </w:r>
      <w:r>
        <w:rPr>
          <w:sz w:val="24"/>
          <w:vertAlign w:val="subscript"/>
        </w:rPr>
        <w:t>t</w:t>
      </w:r>
      <w:r>
        <w:rPr>
          <w:sz w:val="24"/>
          <w:vertAlign w:val="baseline"/>
        </w:rPr>
        <w:t> – E</w:t>
      </w:r>
      <w:r>
        <w:rPr>
          <w:sz w:val="24"/>
          <w:vertAlign w:val="subscript"/>
        </w:rPr>
        <w:t>t</w:t>
      </w:r>
      <w:r>
        <w:rPr>
          <w:rFonts w:ascii="Arial" w:hAnsi="Arial"/>
          <w:sz w:val="24"/>
          <w:vertAlign w:val="baseline"/>
        </w:rPr>
        <w:t>n</w:t>
      </w:r>
      <w:r>
        <w:rPr>
          <w:sz w:val="24"/>
          <w:vertAlign w:val="subscript"/>
        </w:rPr>
        <w:t>t+1</w:t>
      </w:r>
      <w:r>
        <w:rPr>
          <w:sz w:val="24"/>
          <w:vertAlign w:val="baseline"/>
        </w:rPr>
        <w:t> – r*</w:t>
      </w:r>
      <w:r>
        <w:rPr>
          <w:sz w:val="24"/>
          <w:vertAlign w:val="subscript"/>
        </w:rPr>
        <w:t>t</w:t>
      </w:r>
      <w:r>
        <w:rPr>
          <w:sz w:val="24"/>
          <w:vertAlign w:val="baseline"/>
        </w:rPr>
        <w:t>)/</w:t>
      </w:r>
      <w:r>
        <w:rPr>
          <w:rFonts w:ascii="Arial" w:hAnsi="Arial"/>
          <w:sz w:val="24"/>
          <w:vertAlign w:val="baseline"/>
        </w:rPr>
        <w:t>o </w:t>
      </w:r>
      <w:r>
        <w:rPr>
          <w:sz w:val="24"/>
          <w:vertAlign w:val="baseline"/>
        </w:rPr>
        <w:t>+ </w:t>
      </w:r>
      <w:r>
        <w:rPr>
          <w:rFonts w:ascii="Arial" w:hAnsi="Arial"/>
          <w:sz w:val="24"/>
          <w:vertAlign w:val="baseline"/>
        </w:rPr>
        <w:t>z</w:t>
      </w:r>
      <w:r>
        <w:rPr>
          <w:sz w:val="24"/>
          <w:vertAlign w:val="baseline"/>
        </w:rPr>
        <w:t>q</w:t>
      </w:r>
      <w:r>
        <w:rPr>
          <w:sz w:val="24"/>
          <w:vertAlign w:val="subscript"/>
        </w:rPr>
        <w:t>t</w:t>
      </w:r>
      <w:r>
        <w:rPr>
          <w:sz w:val="24"/>
          <w:vertAlign w:val="baseline"/>
        </w:rPr>
        <w:t> +</w:t>
      </w:r>
      <w:r>
        <w:rPr>
          <w:spacing w:val="-12"/>
          <w:sz w:val="24"/>
          <w:vertAlign w:val="baseline"/>
        </w:rPr>
        <w:t> </w:t>
      </w:r>
      <w:r>
        <w:rPr>
          <w:sz w:val="24"/>
          <w:vertAlign w:val="baseline"/>
        </w:rPr>
        <w:t>v</w:t>
      </w:r>
      <w:r>
        <w:rPr>
          <w:sz w:val="24"/>
          <w:vertAlign w:val="subscript"/>
        </w:rPr>
        <w:t>t</w:t>
      </w:r>
      <w:r>
        <w:rPr>
          <w:sz w:val="24"/>
          <w:vertAlign w:val="baseline"/>
        </w:rPr>
        <w:t>,</w:t>
      </w:r>
    </w:p>
    <w:p>
      <w:pPr>
        <w:pStyle w:val="BodyText"/>
        <w:rPr>
          <w:sz w:val="28"/>
        </w:rPr>
      </w:pPr>
    </w:p>
    <w:p>
      <w:pPr>
        <w:pStyle w:val="BodyText"/>
        <w:spacing w:line="360" w:lineRule="auto" w:before="242"/>
        <w:ind w:left="245" w:right="565"/>
      </w:pPr>
      <w:r>
        <w:rPr/>
        <w:t>where r*</w:t>
      </w:r>
      <w:r>
        <w:rPr>
          <w:vertAlign w:val="subscript"/>
        </w:rPr>
        <w:t>t</w:t>
      </w:r>
      <w:r>
        <w:rPr>
          <w:vertAlign w:val="baseline"/>
        </w:rPr>
        <w:t> is the flexible-price real interest rate (ie the natural real interest rate) and v</w:t>
      </w:r>
      <w:r>
        <w:rPr>
          <w:vertAlign w:val="subscript"/>
        </w:rPr>
        <w:t>t</w:t>
      </w:r>
      <w:r>
        <w:rPr>
          <w:vertAlign w:val="baseline"/>
        </w:rPr>
        <w:t> is an aggregate demand shock. The IS schedule is augmented by a suitable intertemporal arbitrage condition determining the asset price (including, perhaps, a bubble component or a stochastic risk premium). And the supply side is given by a New Keynesian Phillips curve</w:t>
      </w:r>
    </w:p>
    <w:p>
      <w:pPr>
        <w:pStyle w:val="BodyText"/>
        <w:spacing w:before="2"/>
        <w:rPr>
          <w:sz w:val="37"/>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rFonts w:ascii="Arial" w:hAnsi="Arial"/>
          <w:sz w:val="24"/>
        </w:rPr>
        <w:t>n</w:t>
      </w:r>
      <w:r>
        <w:rPr>
          <w:sz w:val="24"/>
          <w:vertAlign w:val="subscript"/>
        </w:rPr>
        <w:t>t</w:t>
      </w:r>
      <w:r>
        <w:rPr>
          <w:sz w:val="24"/>
          <w:vertAlign w:val="baseline"/>
        </w:rPr>
        <w:t> = </w:t>
      </w:r>
      <w:r>
        <w:rPr>
          <w:rFonts w:ascii="Arial" w:hAnsi="Arial"/>
          <w:sz w:val="24"/>
          <w:vertAlign w:val="baseline"/>
        </w:rPr>
        <w:t>þ</w:t>
      </w:r>
      <w:r>
        <w:rPr>
          <w:sz w:val="24"/>
          <w:vertAlign w:val="baseline"/>
        </w:rPr>
        <w:t>E</w:t>
      </w:r>
      <w:r>
        <w:rPr>
          <w:sz w:val="24"/>
          <w:vertAlign w:val="subscript"/>
        </w:rPr>
        <w:t>t</w:t>
      </w:r>
      <w:r>
        <w:rPr>
          <w:rFonts w:ascii="Arial" w:hAnsi="Arial"/>
          <w:sz w:val="24"/>
          <w:vertAlign w:val="baseline"/>
        </w:rPr>
        <w:t>n</w:t>
      </w:r>
      <w:r>
        <w:rPr>
          <w:sz w:val="24"/>
          <w:vertAlign w:val="subscript"/>
        </w:rPr>
        <w:t>t+1</w:t>
      </w:r>
      <w:r>
        <w:rPr>
          <w:sz w:val="24"/>
          <w:vertAlign w:val="baseline"/>
        </w:rPr>
        <w:t> + </w:t>
      </w:r>
      <w:r>
        <w:rPr>
          <w:rFonts w:ascii="Arial" w:hAnsi="Arial"/>
          <w:sz w:val="24"/>
          <w:vertAlign w:val="baseline"/>
        </w:rPr>
        <w:t>n</w:t>
      </w:r>
      <w:r>
        <w:rPr>
          <w:sz w:val="24"/>
          <w:vertAlign w:val="baseline"/>
        </w:rPr>
        <w:t>x</w:t>
      </w:r>
      <w:r>
        <w:rPr>
          <w:sz w:val="24"/>
          <w:vertAlign w:val="subscript"/>
        </w:rPr>
        <w:t>t</w:t>
      </w:r>
      <w:r>
        <w:rPr>
          <w:sz w:val="24"/>
          <w:vertAlign w:val="baseline"/>
        </w:rPr>
        <w:t> +</w:t>
      </w:r>
      <w:r>
        <w:rPr>
          <w:spacing w:val="-1"/>
          <w:sz w:val="24"/>
          <w:vertAlign w:val="baseline"/>
        </w:rPr>
        <w:t> </w:t>
      </w:r>
      <w:r>
        <w:rPr>
          <w:sz w:val="24"/>
          <w:vertAlign w:val="baseline"/>
        </w:rPr>
        <w:t>u</w:t>
      </w:r>
      <w:r>
        <w:rPr>
          <w:sz w:val="24"/>
          <w:vertAlign w:val="subscript"/>
        </w:rPr>
        <w:t>t</w:t>
      </w:r>
      <w:r>
        <w:rPr>
          <w:sz w:val="24"/>
          <w:vertAlign w:val="baseline"/>
        </w:rPr>
        <w:t>,</w:t>
      </w:r>
    </w:p>
    <w:p>
      <w:pPr>
        <w:pStyle w:val="BodyText"/>
        <w:rPr>
          <w:sz w:val="28"/>
        </w:rPr>
      </w:pPr>
    </w:p>
    <w:p>
      <w:pPr>
        <w:pStyle w:val="BodyText"/>
        <w:spacing w:line="360" w:lineRule="auto" w:before="242"/>
        <w:ind w:left="245" w:right="666"/>
      </w:pPr>
      <w:r>
        <w:rPr/>
        <w:t>where u</w:t>
      </w:r>
      <w:r>
        <w:rPr>
          <w:vertAlign w:val="subscript"/>
        </w:rPr>
        <w:t>t</w:t>
      </w:r>
      <w:r>
        <w:rPr>
          <w:vertAlign w:val="baseline"/>
        </w:rPr>
        <w:t> is a supply (cost) shock. For simplicity both shocks are taken to be serially uncorrelated.</w:t>
      </w:r>
    </w:p>
    <w:p>
      <w:pPr>
        <w:pStyle w:val="BodyText"/>
        <w:spacing w:before="11"/>
        <w:rPr>
          <w:sz w:val="35"/>
        </w:rPr>
      </w:pPr>
    </w:p>
    <w:p>
      <w:pPr>
        <w:pStyle w:val="BodyText"/>
        <w:spacing w:line="367" w:lineRule="auto"/>
        <w:ind w:left="245" w:right="689"/>
      </w:pPr>
      <w:r>
        <w:rPr/>
        <w:t>Then, as shown by Svensson and Woodford (1999), Svensson (2002) and Giannoni and Woodford (2002), the optimal policy under commitment, from the “timeless perspective”, satisfies the first-order condition, for all k </w:t>
      </w:r>
      <w:r>
        <w:rPr>
          <w:rFonts w:ascii="Arial" w:hAnsi="Arial"/>
        </w:rPr>
        <w:t>S </w:t>
      </w:r>
      <w:r>
        <w:rPr/>
        <w:t>0:</w:t>
      </w:r>
    </w:p>
    <w:p>
      <w:pPr>
        <w:pStyle w:val="BodyText"/>
        <w:spacing w:before="4"/>
        <w:rPr>
          <w:sz w:val="37"/>
        </w:rPr>
      </w:pPr>
    </w:p>
    <w:p>
      <w:pPr>
        <w:pStyle w:val="ListParagraph"/>
        <w:numPr>
          <w:ilvl w:val="0"/>
          <w:numId w:val="3"/>
        </w:numPr>
        <w:tabs>
          <w:tab w:pos="1097" w:val="left" w:leader="none"/>
          <w:tab w:pos="1098" w:val="left" w:leader="none"/>
        </w:tabs>
        <w:spacing w:line="240" w:lineRule="auto" w:before="1" w:after="0"/>
        <w:ind w:left="1097" w:right="0" w:hanging="853"/>
        <w:jc w:val="left"/>
        <w:rPr>
          <w:sz w:val="24"/>
        </w:rPr>
      </w:pPr>
      <w:r>
        <w:rPr>
          <w:sz w:val="24"/>
        </w:rPr>
        <w:t>E</w:t>
      </w:r>
      <w:r>
        <w:rPr>
          <w:sz w:val="24"/>
          <w:vertAlign w:val="subscript"/>
        </w:rPr>
        <w:t>t</w:t>
      </w:r>
      <w:r>
        <w:rPr>
          <w:rFonts w:ascii="Arial" w:hAnsi="Arial"/>
          <w:sz w:val="24"/>
          <w:vertAlign w:val="baseline"/>
        </w:rPr>
        <w:t>n</w:t>
      </w:r>
      <w:r>
        <w:rPr>
          <w:sz w:val="24"/>
          <w:vertAlign w:val="subscript"/>
        </w:rPr>
        <w:t>t+k</w:t>
      </w:r>
      <w:r>
        <w:rPr>
          <w:sz w:val="24"/>
          <w:vertAlign w:val="baseline"/>
        </w:rPr>
        <w:t> = – (</w:t>
      </w:r>
      <w:r>
        <w:rPr>
          <w:rFonts w:ascii="Arial" w:hAnsi="Arial"/>
          <w:sz w:val="24"/>
          <w:vertAlign w:val="baseline"/>
        </w:rPr>
        <w:t>Z</w:t>
      </w:r>
      <w:r>
        <w:rPr>
          <w:sz w:val="24"/>
          <w:vertAlign w:val="baseline"/>
        </w:rPr>
        <w:t>/</w:t>
      </w:r>
      <w:r>
        <w:rPr>
          <w:rFonts w:ascii="Arial" w:hAnsi="Arial"/>
          <w:sz w:val="24"/>
          <w:vertAlign w:val="baseline"/>
        </w:rPr>
        <w:t>n</w:t>
      </w:r>
      <w:r>
        <w:rPr>
          <w:sz w:val="24"/>
          <w:vertAlign w:val="baseline"/>
        </w:rPr>
        <w:t>)(E</w:t>
      </w:r>
      <w:r>
        <w:rPr>
          <w:sz w:val="24"/>
          <w:vertAlign w:val="subscript"/>
        </w:rPr>
        <w:t>t</w:t>
      </w:r>
      <w:r>
        <w:rPr>
          <w:sz w:val="24"/>
          <w:vertAlign w:val="baseline"/>
        </w:rPr>
        <w:t>x</w:t>
      </w:r>
      <w:r>
        <w:rPr>
          <w:sz w:val="24"/>
          <w:vertAlign w:val="subscript"/>
        </w:rPr>
        <w:t>t+k</w:t>
      </w:r>
      <w:r>
        <w:rPr>
          <w:sz w:val="24"/>
          <w:vertAlign w:val="baseline"/>
        </w:rPr>
        <w:t> –</w:t>
      </w:r>
      <w:r>
        <w:rPr>
          <w:spacing w:val="-24"/>
          <w:sz w:val="24"/>
          <w:vertAlign w:val="baseline"/>
        </w:rPr>
        <w:t> </w:t>
      </w:r>
      <w:r>
        <w:rPr>
          <w:sz w:val="24"/>
          <w:vertAlign w:val="baseline"/>
        </w:rPr>
        <w:t>E</w:t>
      </w:r>
      <w:r>
        <w:rPr>
          <w:sz w:val="24"/>
          <w:vertAlign w:val="subscript"/>
        </w:rPr>
        <w:t>t</w:t>
      </w:r>
      <w:r>
        <w:rPr>
          <w:sz w:val="24"/>
          <w:vertAlign w:val="baseline"/>
        </w:rPr>
        <w:t>x</w:t>
      </w:r>
      <w:r>
        <w:rPr>
          <w:sz w:val="24"/>
          <w:vertAlign w:val="subscript"/>
        </w:rPr>
        <w:t>t+k-1</w:t>
      </w:r>
      <w:r>
        <w:rPr>
          <w:sz w:val="24"/>
          <w:vertAlign w:val="baseline"/>
        </w:rPr>
        <w:t>).</w:t>
      </w:r>
    </w:p>
    <w:p>
      <w:pPr>
        <w:pStyle w:val="BodyText"/>
        <w:rPr>
          <w:sz w:val="28"/>
        </w:rPr>
      </w:pPr>
    </w:p>
    <w:p>
      <w:pPr>
        <w:pStyle w:val="BodyText"/>
        <w:spacing w:line="360" w:lineRule="auto" w:before="242"/>
        <w:ind w:left="245" w:right="556"/>
      </w:pPr>
      <w:r>
        <w:rPr/>
        <w:t>This optimal targeting rule describes a plan that the conditional expectations of the two target variables should satisfy</w:t>
      </w:r>
      <w:r>
        <w:rPr>
          <w:vertAlign w:val="superscript"/>
        </w:rPr>
        <w:t>1</w:t>
      </w:r>
      <w:r>
        <w:rPr>
          <w:vertAlign w:val="baseline"/>
        </w:rPr>
        <w:t>. This optimal plan equates the marginal rate of transformation between output and inflation that is embodied in the supply schedule with the marginal rate of substitution that is embodied in the loss function. It ensures that inflation will be brought back to target, but at a rate that recognises the consequences for activity. Svensson has characterised an optimality condition of this type as describing “flexible inflation-forecast targeting”.</w:t>
      </w:r>
    </w:p>
    <w:p>
      <w:pPr>
        <w:pStyle w:val="BodyText"/>
        <w:spacing w:before="1"/>
        <w:rPr>
          <w:sz w:val="23"/>
        </w:rPr>
      </w:pPr>
      <w:r>
        <w:rPr/>
        <w:pict>
          <v:rect style="position:absolute;margin-left:98.279999pt;margin-top:15.23707pt;width:144pt;height:.48pt;mso-position-horizontal-relative:page;mso-position-vertical-relative:paragraph;z-index:-15727104;mso-wrap-distance-left:0;mso-wrap-distance-right:0" filled="true" fillcolor="#000000" stroked="false">
            <v:fill type="solid"/>
            <w10:wrap type="topAndBottom"/>
          </v:rect>
        </w:pict>
      </w:r>
    </w:p>
    <w:p>
      <w:pPr>
        <w:spacing w:line="212" w:lineRule="exact" w:before="71"/>
        <w:ind w:left="245" w:right="0" w:firstLine="0"/>
        <w:jc w:val="left"/>
        <w:rPr>
          <w:sz w:val="20"/>
        </w:rPr>
      </w:pPr>
      <w:r>
        <w:rPr>
          <w:sz w:val="20"/>
          <w:vertAlign w:val="superscript"/>
        </w:rPr>
        <w:t>1</w:t>
      </w:r>
      <w:r>
        <w:rPr>
          <w:sz w:val="20"/>
          <w:vertAlign w:val="baseline"/>
        </w:rPr>
        <w:t> Suppose instead supply were given by an accelerationist Phillips curve: </w:t>
      </w:r>
      <w:r>
        <w:rPr>
          <w:rFonts w:ascii="Trebuchet MS" w:hAnsi="Trebuchet MS"/>
          <w:sz w:val="20"/>
          <w:vertAlign w:val="baseline"/>
        </w:rPr>
        <w:t>n</w:t>
      </w:r>
      <w:r>
        <w:rPr>
          <w:sz w:val="20"/>
          <w:vertAlign w:val="subscript"/>
        </w:rPr>
        <w:t>t</w:t>
      </w:r>
      <w:r>
        <w:rPr>
          <w:sz w:val="20"/>
          <w:vertAlign w:val="baseline"/>
        </w:rPr>
        <w:t> – </w:t>
      </w:r>
      <w:r>
        <w:rPr>
          <w:rFonts w:ascii="Trebuchet MS" w:hAnsi="Trebuchet MS"/>
          <w:sz w:val="20"/>
          <w:vertAlign w:val="baseline"/>
        </w:rPr>
        <w:t>n</w:t>
      </w:r>
      <w:r>
        <w:rPr>
          <w:sz w:val="20"/>
          <w:vertAlign w:val="subscript"/>
        </w:rPr>
        <w:t>t-1</w:t>
      </w:r>
      <w:r>
        <w:rPr>
          <w:sz w:val="20"/>
          <w:vertAlign w:val="baseline"/>
        </w:rPr>
        <w:t> = </w:t>
      </w:r>
      <w:r>
        <w:rPr>
          <w:rFonts w:ascii="Trebuchet MS" w:hAnsi="Trebuchet MS"/>
          <w:sz w:val="20"/>
          <w:vertAlign w:val="baseline"/>
        </w:rPr>
        <w:t>n</w:t>
      </w:r>
      <w:r>
        <w:rPr>
          <w:sz w:val="20"/>
          <w:vertAlign w:val="baseline"/>
        </w:rPr>
        <w:t>x</w:t>
      </w:r>
      <w:r>
        <w:rPr>
          <w:sz w:val="20"/>
          <w:vertAlign w:val="subscript"/>
        </w:rPr>
        <w:t>t</w:t>
      </w:r>
      <w:r>
        <w:rPr>
          <w:sz w:val="20"/>
          <w:vertAlign w:val="baseline"/>
        </w:rPr>
        <w:t> + u</w:t>
      </w:r>
      <w:r>
        <w:rPr>
          <w:sz w:val="20"/>
          <w:vertAlign w:val="subscript"/>
        </w:rPr>
        <w:t>t</w:t>
      </w:r>
      <w:r>
        <w:rPr>
          <w:sz w:val="20"/>
          <w:vertAlign w:val="baseline"/>
        </w:rPr>
        <w:t>. The</w:t>
      </w:r>
    </w:p>
    <w:p>
      <w:pPr>
        <w:spacing w:line="168" w:lineRule="exact" w:before="7"/>
        <w:ind w:left="245" w:right="0" w:firstLine="0"/>
        <w:jc w:val="left"/>
        <w:rPr>
          <w:sz w:val="20"/>
        </w:rPr>
      </w:pPr>
      <w:r>
        <w:rPr>
          <w:sz w:val="20"/>
        </w:rPr>
        <w:t>optimality condition would then be: E [</w:t>
      </w:r>
      <w:r>
        <w:rPr>
          <w:rFonts w:ascii="Trebuchet MS" w:hAnsi="Trebuchet MS"/>
          <w:sz w:val="20"/>
        </w:rPr>
        <w:t>Σ </w:t>
      </w:r>
      <w:r>
        <w:rPr>
          <w:rFonts w:ascii="Arial" w:hAnsi="Arial"/>
          <w:i/>
          <w:position w:val="13"/>
          <w:sz w:val="13"/>
        </w:rPr>
        <w:t>œ </w:t>
      </w:r>
      <w:r>
        <w:rPr>
          <w:rFonts w:ascii="Trebuchet MS" w:hAnsi="Trebuchet MS"/>
          <w:sz w:val="20"/>
        </w:rPr>
        <w:t>þ</w:t>
      </w:r>
      <w:r>
        <w:rPr>
          <w:sz w:val="20"/>
          <w:vertAlign w:val="superscript"/>
        </w:rPr>
        <w:t>k</w:t>
      </w:r>
      <w:r>
        <w:rPr>
          <w:rFonts w:ascii="Trebuchet MS" w:hAnsi="Trebuchet MS"/>
          <w:sz w:val="20"/>
          <w:vertAlign w:val="baseline"/>
        </w:rPr>
        <w:t>n </w:t>
      </w:r>
      <w:r>
        <w:rPr>
          <w:sz w:val="20"/>
          <w:vertAlign w:val="baseline"/>
        </w:rPr>
        <w:t>] = -(</w:t>
      </w:r>
      <w:r>
        <w:rPr>
          <w:rFonts w:ascii="Trebuchet MS" w:hAnsi="Trebuchet MS"/>
          <w:sz w:val="20"/>
          <w:vertAlign w:val="baseline"/>
        </w:rPr>
        <w:t>Z</w:t>
      </w:r>
      <w:r>
        <w:rPr>
          <w:sz w:val="20"/>
          <w:vertAlign w:val="baseline"/>
        </w:rPr>
        <w:t>/</w:t>
      </w:r>
      <w:r>
        <w:rPr>
          <w:rFonts w:ascii="Trebuchet MS" w:hAnsi="Trebuchet MS"/>
          <w:sz w:val="20"/>
          <w:vertAlign w:val="baseline"/>
        </w:rPr>
        <w:t>n</w:t>
      </w:r>
      <w:r>
        <w:rPr>
          <w:sz w:val="20"/>
          <w:vertAlign w:val="baseline"/>
        </w:rPr>
        <w:t>)E x . Consequently the argument that asset</w:t>
      </w:r>
    </w:p>
    <w:p>
      <w:pPr>
        <w:spacing w:after="0" w:line="168" w:lineRule="exact"/>
        <w:jc w:val="left"/>
        <w:rPr>
          <w:sz w:val="20"/>
        </w:rPr>
        <w:sectPr>
          <w:pgSz w:w="12240" w:h="15840"/>
          <w:pgMar w:header="0" w:footer="237" w:top="860" w:bottom="420" w:left="1720" w:right="1560"/>
        </w:sectPr>
      </w:pPr>
    </w:p>
    <w:p>
      <w:pPr>
        <w:spacing w:line="176" w:lineRule="exact" w:before="0"/>
        <w:ind w:left="0" w:right="0" w:firstLine="0"/>
        <w:jc w:val="right"/>
        <w:rPr>
          <w:sz w:val="13"/>
        </w:rPr>
      </w:pPr>
      <w:r>
        <w:rPr>
          <w:position w:val="4"/>
          <w:sz w:val="13"/>
        </w:rPr>
        <w:t>t </w:t>
      </w:r>
      <w:r>
        <w:rPr>
          <w:sz w:val="13"/>
        </w:rPr>
        <w:t>k=0</w:t>
      </w:r>
    </w:p>
    <w:p>
      <w:pPr>
        <w:spacing w:line="144" w:lineRule="exact" w:before="0"/>
        <w:ind w:left="293" w:right="0" w:firstLine="0"/>
        <w:jc w:val="left"/>
        <w:rPr>
          <w:sz w:val="13"/>
        </w:rPr>
      </w:pPr>
      <w:r>
        <w:rPr/>
        <w:br w:type="column"/>
      </w:r>
      <w:r>
        <w:rPr>
          <w:sz w:val="13"/>
        </w:rPr>
        <w:t>t+k</w:t>
      </w:r>
    </w:p>
    <w:p>
      <w:pPr>
        <w:spacing w:line="144" w:lineRule="exact" w:before="0"/>
        <w:ind w:left="831" w:right="0" w:firstLine="0"/>
        <w:jc w:val="left"/>
        <w:rPr>
          <w:sz w:val="13"/>
        </w:rPr>
      </w:pPr>
      <w:r>
        <w:rPr/>
        <w:br w:type="column"/>
      </w:r>
      <w:r>
        <w:rPr>
          <w:sz w:val="13"/>
        </w:rPr>
        <w:t>t t+k</w:t>
      </w:r>
    </w:p>
    <w:p>
      <w:pPr>
        <w:spacing w:after="0" w:line="144" w:lineRule="exact"/>
        <w:jc w:val="left"/>
        <w:rPr>
          <w:sz w:val="13"/>
        </w:rPr>
        <w:sectPr>
          <w:type w:val="continuous"/>
          <w:pgSz w:w="12240" w:h="15840"/>
          <w:pgMar w:top="1180" w:bottom="280" w:left="1720" w:right="1560"/>
          <w:cols w:num="3" w:equalWidth="0">
            <w:col w:w="3707" w:space="40"/>
            <w:col w:w="472" w:space="39"/>
            <w:col w:w="4702"/>
          </w:cols>
        </w:sectPr>
      </w:pPr>
    </w:p>
    <w:p>
      <w:pPr>
        <w:spacing w:line="221" w:lineRule="exact" w:before="0"/>
        <w:ind w:left="245" w:right="0" w:firstLine="0"/>
        <w:jc w:val="left"/>
        <w:rPr>
          <w:sz w:val="20"/>
        </w:rPr>
      </w:pPr>
      <w:r>
        <w:rPr>
          <w:sz w:val="20"/>
        </w:rPr>
        <w:t>prices only matter insofar as they affect expected inflation or growth still holds.</w:t>
      </w:r>
    </w:p>
    <w:p>
      <w:pPr>
        <w:spacing w:after="0" w:line="221" w:lineRule="exact"/>
        <w:jc w:val="left"/>
        <w:rPr>
          <w:sz w:val="20"/>
        </w:rPr>
        <w:sectPr>
          <w:type w:val="continuous"/>
          <w:pgSz w:w="12240" w:h="15840"/>
          <w:pgMar w:top="1180" w:bottom="280" w:left="1720" w:right="1560"/>
        </w:sectPr>
      </w:pPr>
    </w:p>
    <w:p>
      <w:pPr>
        <w:pStyle w:val="BodyText"/>
        <w:spacing w:line="360" w:lineRule="auto" w:before="70"/>
        <w:ind w:left="245" w:right="578"/>
      </w:pPr>
      <w:r>
        <w:rPr/>
        <w:t>Combining the first-order conditions for periods t and t+1 with the supply schedule (6), one can also characterise the optimal choice of the output gap in terms of lagged activity and the supply shock as:</w:t>
      </w:r>
    </w:p>
    <w:p>
      <w:pPr>
        <w:pStyle w:val="BodyText"/>
        <w:rPr>
          <w:sz w:val="36"/>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z w:val="24"/>
        </w:rPr>
        <w:t>x</w:t>
      </w:r>
      <w:r>
        <w:rPr>
          <w:sz w:val="24"/>
          <w:vertAlign w:val="subscript"/>
        </w:rPr>
        <w:t>t</w:t>
      </w:r>
      <w:r>
        <w:rPr>
          <w:sz w:val="24"/>
          <w:vertAlign w:val="baseline"/>
        </w:rPr>
        <w:t> = γ</w:t>
      </w:r>
      <w:r>
        <w:rPr>
          <w:sz w:val="24"/>
          <w:vertAlign w:val="subscript"/>
        </w:rPr>
        <w:t>x</w:t>
      </w:r>
      <w:r>
        <w:rPr>
          <w:sz w:val="24"/>
          <w:vertAlign w:val="baseline"/>
        </w:rPr>
        <w:t>x</w:t>
      </w:r>
      <w:r>
        <w:rPr>
          <w:sz w:val="24"/>
          <w:vertAlign w:val="subscript"/>
        </w:rPr>
        <w:t>t-1</w:t>
      </w:r>
      <w:r>
        <w:rPr>
          <w:sz w:val="24"/>
          <w:vertAlign w:val="baseline"/>
        </w:rPr>
        <w:t> +</w:t>
      </w:r>
      <w:r>
        <w:rPr>
          <w:spacing w:val="-2"/>
          <w:sz w:val="24"/>
          <w:vertAlign w:val="baseline"/>
        </w:rPr>
        <w:t> </w:t>
      </w:r>
      <w:r>
        <w:rPr>
          <w:sz w:val="24"/>
          <w:vertAlign w:val="baseline"/>
        </w:rPr>
        <w:t>γ</w:t>
      </w:r>
      <w:r>
        <w:rPr>
          <w:sz w:val="24"/>
          <w:vertAlign w:val="subscript"/>
        </w:rPr>
        <w:t>u</w:t>
      </w:r>
      <w:r>
        <w:rPr>
          <w:sz w:val="24"/>
          <w:vertAlign w:val="baseline"/>
        </w:rPr>
        <w:t>u</w:t>
      </w:r>
      <w:r>
        <w:rPr>
          <w:sz w:val="24"/>
          <w:vertAlign w:val="subscript"/>
        </w:rPr>
        <w:t>t</w:t>
      </w:r>
      <w:r>
        <w:rPr>
          <w:sz w:val="24"/>
          <w:vertAlign w:val="baseline"/>
        </w:rPr>
        <w:t>,</w:t>
      </w:r>
    </w:p>
    <w:p>
      <w:pPr>
        <w:pStyle w:val="BodyText"/>
        <w:rPr>
          <w:sz w:val="28"/>
        </w:rPr>
      </w:pPr>
    </w:p>
    <w:p>
      <w:pPr>
        <w:pStyle w:val="BodyText"/>
        <w:spacing w:before="230"/>
        <w:ind w:left="245"/>
      </w:pPr>
      <w:r>
        <w:rPr/>
        <w:t>where γ</w:t>
      </w:r>
      <w:r>
        <w:rPr>
          <w:vertAlign w:val="subscript"/>
        </w:rPr>
        <w:t>x</w:t>
      </w:r>
      <w:r>
        <w:rPr>
          <w:vertAlign w:val="baseline"/>
        </w:rPr>
        <w:t> = {[(1+β+κ</w:t>
      </w:r>
      <w:r>
        <w:rPr>
          <w:vertAlign w:val="superscript"/>
        </w:rPr>
        <w:t>2</w:t>
      </w:r>
      <w:r>
        <w:rPr>
          <w:vertAlign w:val="baseline"/>
        </w:rPr>
        <w:t>/λ) – [(1+β+κ</w:t>
      </w:r>
      <w:r>
        <w:rPr>
          <w:vertAlign w:val="superscript"/>
        </w:rPr>
        <w:t>2</w:t>
      </w:r>
      <w:r>
        <w:rPr>
          <w:vertAlign w:val="baseline"/>
        </w:rPr>
        <w:t>/λ)</w:t>
      </w:r>
      <w:r>
        <w:rPr>
          <w:vertAlign w:val="superscript"/>
        </w:rPr>
        <w:t>2</w:t>
      </w:r>
      <w:r>
        <w:rPr>
          <w:vertAlign w:val="baseline"/>
        </w:rPr>
        <w:t> – 4β]</w:t>
      </w:r>
      <w:r>
        <w:rPr>
          <w:vertAlign w:val="superscript"/>
        </w:rPr>
        <w:t>1/2</w:t>
      </w:r>
      <w:r>
        <w:rPr>
          <w:vertAlign w:val="baseline"/>
        </w:rPr>
        <w:t>}/2β and γ</w:t>
      </w:r>
      <w:r>
        <w:rPr>
          <w:vertAlign w:val="subscript"/>
        </w:rPr>
        <w:t>u</w:t>
      </w:r>
      <w:r>
        <w:rPr>
          <w:vertAlign w:val="baseline"/>
        </w:rPr>
        <w:t> = –κγ</w:t>
      </w:r>
      <w:r>
        <w:rPr>
          <w:vertAlign w:val="subscript"/>
        </w:rPr>
        <w:t>x</w:t>
      </w:r>
      <w:r>
        <w:rPr>
          <w:vertAlign w:val="baseline"/>
        </w:rPr>
        <w:t>/λ.</w:t>
      </w:r>
    </w:p>
    <w:p>
      <w:pPr>
        <w:pStyle w:val="BodyText"/>
        <w:rPr>
          <w:sz w:val="32"/>
        </w:rPr>
      </w:pPr>
    </w:p>
    <w:p>
      <w:pPr>
        <w:pStyle w:val="BodyText"/>
        <w:spacing w:line="360" w:lineRule="auto" w:before="184"/>
        <w:ind w:left="245" w:right="537"/>
      </w:pPr>
      <w:r>
        <w:rPr/>
        <w:t>A key feature of condition (7) is that it contains neither the policy instrument</w:t>
      </w:r>
      <w:r>
        <w:rPr>
          <w:vertAlign w:val="superscript"/>
        </w:rPr>
        <w:t>2</w:t>
      </w:r>
      <w:r>
        <w:rPr>
          <w:vertAlign w:val="baseline"/>
        </w:rPr>
        <w:t>, nor indeed anything to do with the structure of the demand side of the economy. In particular there is no role for asset prices. So in that sense the analysis supports the conventional wisdom as summarised in the quote above from Bernanke and Gertler - with the modification that policy responds to changes in asset prices only insofar as they signal changes in expected inflation or </w:t>
      </w:r>
      <w:r>
        <w:rPr>
          <w:i/>
          <w:vertAlign w:val="baseline"/>
        </w:rPr>
        <w:t>growth</w:t>
      </w:r>
      <w:r>
        <w:rPr>
          <w:vertAlign w:val="baseline"/>
        </w:rPr>
        <w:t>.</w:t>
      </w:r>
    </w:p>
    <w:p>
      <w:pPr>
        <w:pStyle w:val="BodyText"/>
        <w:spacing w:before="11"/>
        <w:rPr>
          <w:sz w:val="35"/>
        </w:rPr>
      </w:pPr>
    </w:p>
    <w:p>
      <w:pPr>
        <w:pStyle w:val="BodyText"/>
        <w:spacing w:line="360" w:lineRule="auto"/>
        <w:ind w:left="245" w:right="457"/>
      </w:pPr>
      <w:r>
        <w:rPr/>
        <w:t>Is this a reasonable interpretation of what inflation-targeting central banks are about, as opposed to an inflation-forecast-targeting rule like (2)? Take for instance the statutory objective of the Bank of England since it was given operational independence in 1997. The </w:t>
      </w:r>
      <w:r>
        <w:rPr>
          <w:i/>
        </w:rPr>
        <w:t>Bank of England Act </w:t>
      </w:r>
      <w:r>
        <w:rPr/>
        <w:t>(1998) charges the Bank “to maintain price stability, and subject to that to support the economic policy of (the) government, including the objectives for growth and employment”. An annual </w:t>
      </w:r>
      <w:r>
        <w:rPr>
          <w:i/>
        </w:rPr>
        <w:t>Remit </w:t>
      </w:r>
      <w:r>
        <w:rPr/>
        <w:t>from the Chancellor of the Exchequer then defines price stability - currently as an annual rate of inflation of 2.5% for RPIX at all times – and also fleshes out the “economic policy of the government”, namely the maintenance of a high and stable rate of growth. This can be thought of as defining the bliss point for inflation, but instructing the Monetary Policy Committee to seek to achieve it in a way that avoids undue volatility in economic activity. However, the remit is non-specific about the relative weight that we should put on deviations of output from potential and deviations of inflation from target. Both King (1997) and Bean (1998) discuss the UK</w:t>
      </w:r>
    </w:p>
    <w:p>
      <w:pPr>
        <w:pStyle w:val="BodyText"/>
        <w:rPr>
          <w:sz w:val="20"/>
        </w:rPr>
      </w:pPr>
    </w:p>
    <w:p>
      <w:pPr>
        <w:pStyle w:val="BodyText"/>
        <w:rPr>
          <w:sz w:val="20"/>
        </w:rPr>
      </w:pPr>
    </w:p>
    <w:p>
      <w:pPr>
        <w:pStyle w:val="BodyText"/>
        <w:spacing w:before="3"/>
        <w:rPr>
          <w:sz w:val="22"/>
        </w:rPr>
      </w:pPr>
      <w:r>
        <w:rPr/>
        <w:pict>
          <v:rect style="position:absolute;margin-left:98.279999pt;margin-top:14.756123pt;width:144pt;height:.48pt;mso-position-horizontal-relative:page;mso-position-vertical-relative:paragraph;z-index:-15726592;mso-wrap-distance-left:0;mso-wrap-distance-right:0" filled="true" fillcolor="#000000" stroked="false">
            <v:fill type="solid"/>
            <w10:wrap type="topAndBottom"/>
          </v:rect>
        </w:pict>
      </w:r>
    </w:p>
    <w:p>
      <w:pPr>
        <w:spacing w:before="53"/>
        <w:ind w:left="245" w:right="657" w:firstLine="0"/>
        <w:jc w:val="both"/>
        <w:rPr>
          <w:sz w:val="20"/>
        </w:rPr>
      </w:pPr>
      <w:r>
        <w:rPr>
          <w:sz w:val="20"/>
          <w:vertAlign w:val="superscript"/>
        </w:rPr>
        <w:t>2</w:t>
      </w:r>
      <w:r>
        <w:rPr>
          <w:sz w:val="20"/>
          <w:vertAlign w:val="baseline"/>
        </w:rPr>
        <w:t> If the objective function contains a term in the interest rate, as in Woodford (1999), then the policy instrument appears in the optimality condition. It is then, however, a rather different animal from the instrument rules (1) and (2).</w:t>
      </w:r>
    </w:p>
    <w:p>
      <w:pPr>
        <w:spacing w:after="0"/>
        <w:jc w:val="both"/>
        <w:rPr>
          <w:sz w:val="20"/>
        </w:rPr>
        <w:sectPr>
          <w:pgSz w:w="12240" w:h="15840"/>
          <w:pgMar w:header="0" w:footer="237" w:top="1280" w:bottom="420" w:left="1720" w:right="1560"/>
        </w:sectPr>
      </w:pPr>
    </w:p>
    <w:p>
      <w:pPr>
        <w:pStyle w:val="BodyText"/>
        <w:spacing w:line="360" w:lineRule="auto" w:before="75"/>
        <w:ind w:left="245" w:right="544"/>
      </w:pPr>
      <w:r>
        <w:rPr/>
        <w:t>inflation-targeting regime in these terms; the latter also explores the consequences of the incompleteness of the remit.</w:t>
      </w:r>
    </w:p>
    <w:p>
      <w:pPr>
        <w:pStyle w:val="BodyText"/>
        <w:spacing w:before="1"/>
        <w:rPr>
          <w:sz w:val="36"/>
        </w:rPr>
      </w:pPr>
    </w:p>
    <w:p>
      <w:pPr>
        <w:pStyle w:val="BodyText"/>
        <w:spacing w:line="360" w:lineRule="auto"/>
        <w:ind w:left="245" w:right="424"/>
      </w:pPr>
      <w:r>
        <w:rPr/>
        <w:t>Similarly the objectives of the Reserve Bank of Australia (RBA), another inflation- targeting central bank, as laid out in the </w:t>
      </w:r>
      <w:r>
        <w:rPr>
          <w:i/>
        </w:rPr>
        <w:t>Reserve Bank Act </w:t>
      </w:r>
      <w:r>
        <w:rPr/>
        <w:t>(1959) are “to ensure that...monetary and banking policy...is directed ...(so as to) contribute to: the stability of the currency...; the maintenance of full employment...; and the economic prosperity and welfare of the people”. The counterpart of the UK </w:t>
      </w:r>
      <w:r>
        <w:rPr>
          <w:i/>
        </w:rPr>
        <w:t>Remit </w:t>
      </w:r>
      <w:r>
        <w:rPr/>
        <w:t>from the Chancellor in Australia is the joint </w:t>
      </w:r>
      <w:r>
        <w:rPr>
          <w:i/>
        </w:rPr>
        <w:t>Statement on the Conduct of Monetary Policy </w:t>
      </w:r>
      <w:r>
        <w:rPr/>
        <w:t>between the Governor and the Treasurer. The target is for an inflation rate for the underlying CPI of 2-3% “over the cycle”. Again the “first-level” target for inflation is specified explicitly, together with a general injunction that the central bank should care about the level of activity. I think this view of what monetary policy makers are seeking to achieve is also a fair description of central banks like the Federal Reserve or the European Central Bank that do not describe themselves explicitly as inflation targeters.</w:t>
      </w:r>
    </w:p>
    <w:p>
      <w:pPr>
        <w:pStyle w:val="BodyText"/>
        <w:rPr>
          <w:sz w:val="36"/>
        </w:rPr>
      </w:pPr>
    </w:p>
    <w:p>
      <w:pPr>
        <w:pStyle w:val="BodyText"/>
        <w:spacing w:line="360" w:lineRule="auto" w:before="1"/>
        <w:ind w:left="245" w:right="408"/>
      </w:pPr>
      <w:r>
        <w:rPr/>
        <w:t>But that does leave open the extent to which asset prices should affect the setting of the instrument, because they will affect the outlook for growth and inflation. Given the optimality condition (7), or its counterpart for the output gap written in terms of observables (8), the IS schedule (5) can be used to back out the associated value of the instrument, i</w:t>
      </w:r>
      <w:r>
        <w:rPr>
          <w:vertAlign w:val="subscript"/>
        </w:rPr>
        <w:t>t</w:t>
      </w:r>
      <w:r>
        <w:rPr>
          <w:vertAlign w:val="baseline"/>
        </w:rPr>
        <w:t>. Clearly this reaction function in general will contain the asset price, q</w:t>
      </w:r>
      <w:r>
        <w:rPr>
          <w:vertAlign w:val="subscript"/>
        </w:rPr>
        <w:t>t</w:t>
      </w:r>
      <w:r>
        <w:rPr>
          <w:vertAlign w:val="baseline"/>
        </w:rPr>
        <w:t>. But finding that the inclusion of asset prices in an augmented Taylor or inflation- forecast-targeting rule reduces the expected loss should not be taken as implying an independent role for asset prices </w:t>
      </w:r>
      <w:r>
        <w:rPr>
          <w:i/>
          <w:vertAlign w:val="baseline"/>
        </w:rPr>
        <w:t>beyond </w:t>
      </w:r>
      <w:r>
        <w:rPr>
          <w:vertAlign w:val="baseline"/>
        </w:rPr>
        <w:t>their implications for the outlook for inflation or</w:t>
      </w:r>
      <w:r>
        <w:rPr>
          <w:spacing w:val="-2"/>
          <w:vertAlign w:val="baseline"/>
        </w:rPr>
        <w:t> </w:t>
      </w:r>
      <w:r>
        <w:rPr>
          <w:vertAlign w:val="baseline"/>
        </w:rPr>
        <w:t>growth.</w:t>
      </w:r>
    </w:p>
    <w:p>
      <w:pPr>
        <w:pStyle w:val="BodyText"/>
        <w:rPr>
          <w:sz w:val="36"/>
        </w:rPr>
      </w:pPr>
    </w:p>
    <w:p>
      <w:pPr>
        <w:pStyle w:val="BodyText"/>
        <w:spacing w:line="360" w:lineRule="auto"/>
        <w:ind w:left="245" w:right="494"/>
      </w:pPr>
      <w:r>
        <w:rPr/>
        <w:t>The substantive issue, then, is whether asset prices movements are likely to be informative about the prospects for inflation and growth. Here it is worth recalling the difficulty of establishing significant and stable econometric relationships between asset prices and subsequent movements in output or inflation; see e.g. Stock and Watson (2001) for a recent survey. But there are good reasons why such links should be unstable as asset prices can move for a variety of reasons, each of which may have different implications for growth and</w:t>
      </w:r>
      <w:r>
        <w:rPr>
          <w:spacing w:val="-5"/>
        </w:rPr>
        <w:t> </w:t>
      </w:r>
      <w:r>
        <w:rPr/>
        <w:t>inflation.</w:t>
      </w:r>
    </w:p>
    <w:p>
      <w:pPr>
        <w:spacing w:after="0" w:line="360" w:lineRule="auto"/>
        <w:sectPr>
          <w:pgSz w:w="12240" w:h="15840"/>
          <w:pgMar w:header="0" w:footer="237" w:top="860" w:bottom="420" w:left="1720" w:right="1560"/>
        </w:sectPr>
      </w:pPr>
    </w:p>
    <w:p>
      <w:pPr>
        <w:pStyle w:val="BodyText"/>
        <w:spacing w:line="360" w:lineRule="auto" w:before="70"/>
        <w:ind w:left="245" w:right="404"/>
      </w:pPr>
      <w:r>
        <w:rPr/>
        <w:t>For instance, even if valued according to their fundamentals, equity prices could fall because of a reduction in expected future earnings, an increase in the expected risk- free discount rate, or a change in the equity risk premium. And that reduction in earnings might come about because of e.g. a fall in the expected rate of growth of productivity, an increase in corporate taxes, or an increase in product market competition. And finally equity prices may include a non-fundamental or bubble component. But these various shocks all have rather different implications for growth and inflation, either qualitatively or quantitatively.</w:t>
      </w:r>
    </w:p>
    <w:p>
      <w:pPr>
        <w:pStyle w:val="BodyText"/>
        <w:spacing w:before="10"/>
        <w:rPr>
          <w:sz w:val="35"/>
        </w:rPr>
      </w:pPr>
    </w:p>
    <w:p>
      <w:pPr>
        <w:pStyle w:val="BodyText"/>
        <w:spacing w:line="360" w:lineRule="auto" w:before="1"/>
        <w:ind w:left="245" w:right="417"/>
      </w:pPr>
      <w:r>
        <w:rPr/>
        <w:t>That suggests that an automatic response to any single asset price is likely to be in general inappropriate, as stressed by Goodfriend (2002). As an aside we might note that this applies not only to equity prices, but also to exchange rates. Monetary Conditions Indices (MCIs) that weight together nominal interest rates and the exchange rate are often used to indicate whether monetary conditions have changed, on the argument that a fall in the exchange rate – seen as a monetary variable - boosts demand in the same way as does a reduction in nominal interest rates. But this ignores the fact that the exchange rate can change for a variety of reasons, including shifts in preferences or productive potential at home or abroad, changes in current or expected interest rates, changes in portfolio preferences and risk premia, and bubbles and fads. The nature of the shock will affect the appropriate monetary response.</w:t>
      </w:r>
    </w:p>
    <w:p>
      <w:pPr>
        <w:pStyle w:val="BodyText"/>
        <w:rPr>
          <w:sz w:val="36"/>
        </w:rPr>
      </w:pPr>
    </w:p>
    <w:p>
      <w:pPr>
        <w:pStyle w:val="BodyText"/>
        <w:spacing w:line="360" w:lineRule="auto"/>
        <w:ind w:left="245" w:right="427"/>
      </w:pPr>
      <w:r>
        <w:rPr/>
        <w:t>The danger in following MCIs slavishly in setting policy is well illustrated by the experience of New Zealand during the Asia crisis. An MCI was at that time used as the operating target for implementing monetary policy, so the depreciation of the New Zealand dollar during 1997-8 led more or less automatically to an increase in domestic interest rates. But the depreciation of the Kiwi dollar was part of a more general depreciation of currencies in the region, and was associated with a contraction in the markets for New Zealand exports. A more appropriate monetary response would have been to reduce interest rates rather than raise them, as in fact the Reserve Bank of Australia did. That Australian economic performance was noticeably better than that of New Zealand over this period was no accident, and prompted the abandonment of the MCI as the operating target of monetary policy the following year.</w:t>
      </w:r>
    </w:p>
    <w:p>
      <w:pPr>
        <w:spacing w:after="0" w:line="360" w:lineRule="auto"/>
        <w:sectPr>
          <w:pgSz w:w="12240" w:h="15840"/>
          <w:pgMar w:header="0" w:footer="237" w:top="1280" w:bottom="420" w:left="1720" w:right="1560"/>
        </w:sectPr>
      </w:pPr>
    </w:p>
    <w:p>
      <w:pPr>
        <w:pStyle w:val="BodyText"/>
        <w:spacing w:line="360" w:lineRule="auto" w:before="70"/>
        <w:ind w:left="245" w:right="421"/>
      </w:pPr>
      <w:r>
        <w:rPr/>
        <w:t>But the fact that asset prices may move for a variety of reasons is not a justification for ignoring them completely. Rather, as stressed by Cecchetti at al., it is an argument for using the full array of asset prices and other information in order to try to extract an estimate of the underlying shocks driving them. Drawing such inferences from the co-movements of a set of variables is something that empirical economists and policy makers frequently do already and even an imperfect estimate of the underlying shocks is better than ignoring the information altogether. The case in principle for exploiting the information contained in asset prices thus seems irrefutable, though the difficulties involved in doing so may be considerable and due recognition needs to be paid to the imprecision of the resulting</w:t>
      </w:r>
      <w:r>
        <w:rPr>
          <w:spacing w:val="-6"/>
        </w:rPr>
        <w:t> </w:t>
      </w:r>
      <w:r>
        <w:rPr/>
        <w:t>estimates.</w:t>
      </w:r>
    </w:p>
    <w:p>
      <w:pPr>
        <w:pStyle w:val="BodyText"/>
        <w:spacing w:before="2"/>
        <w:rPr>
          <w:sz w:val="36"/>
        </w:rPr>
      </w:pPr>
    </w:p>
    <w:p>
      <w:pPr>
        <w:pStyle w:val="Heading6"/>
        <w:numPr>
          <w:ilvl w:val="0"/>
          <w:numId w:val="1"/>
        </w:numPr>
        <w:tabs>
          <w:tab w:pos="965" w:val="left" w:leader="none"/>
          <w:tab w:pos="966" w:val="left" w:leader="none"/>
        </w:tabs>
        <w:spacing w:line="240" w:lineRule="auto" w:before="1" w:after="0"/>
        <w:ind w:left="965" w:right="0" w:hanging="721"/>
        <w:jc w:val="left"/>
      </w:pPr>
      <w:r>
        <w:rPr/>
        <w:t>Financial imbalances and monetary</w:t>
      </w:r>
      <w:r>
        <w:rPr>
          <w:spacing w:val="-8"/>
        </w:rPr>
        <w:t> </w:t>
      </w:r>
      <w:r>
        <w:rPr/>
        <w:t>policy</w:t>
      </w:r>
    </w:p>
    <w:p>
      <w:pPr>
        <w:pStyle w:val="BodyText"/>
        <w:rPr>
          <w:b/>
          <w:sz w:val="30"/>
        </w:rPr>
      </w:pPr>
    </w:p>
    <w:p>
      <w:pPr>
        <w:pStyle w:val="BodyText"/>
        <w:spacing w:line="360" w:lineRule="auto" w:before="227"/>
        <w:ind w:left="245" w:right="403"/>
      </w:pPr>
      <w:r>
        <w:rPr/>
        <w:t>Borio and Lowe (2002) argue persuasively that the issue is not really whether monetary policy should respond to asset price bubbles per se. Rather booms and busts in asset prices – which may reflect the presence of bubbles, but may also reflect swings in assessments of the underlying fundamentals – should be seen as part of a broader set of symptoms that typically also include a build-up of debt and frequently a high rate of capital accumulation. Thus during a period of exuberance – irrational or otherwise – optimism about future returns drives up asset values, prompting private agents to borrow in order to finance capital accumulation. Moreover, appreciating asset values raise the value of collateral, hence facilitating the accumulation of debt.</w:t>
      </w:r>
    </w:p>
    <w:p>
      <w:pPr>
        <w:pStyle w:val="BodyText"/>
        <w:spacing w:line="360" w:lineRule="auto"/>
        <w:ind w:left="245" w:right="429"/>
      </w:pPr>
      <w:r>
        <w:rPr/>
        <w:t>During the upswing, balance sheets may look healthy as the appreciation in asset values offsets the build-up of debt. But if that optimism turns to pessimism, leading to a correction in asset valuations and a sharp deterioration in net worth, then financial distress may be the result as the financial imbalances are exposed. That is particularly likely to be the case if financial intermediaries respond to the deterioration in their own and their creditors balance sheets by tightening credit conditions. This process may apply to the corporate sector and productive capital, but may equally well apply to the household sector and housing capital.</w:t>
      </w:r>
    </w:p>
    <w:p>
      <w:pPr>
        <w:spacing w:after="0" w:line="360" w:lineRule="auto"/>
        <w:sectPr>
          <w:pgSz w:w="12240" w:h="15840"/>
          <w:pgMar w:header="0" w:footer="237" w:top="1280" w:bottom="420" w:left="1720" w:right="1560"/>
        </w:sectPr>
      </w:pPr>
    </w:p>
    <w:p>
      <w:pPr>
        <w:pStyle w:val="BodyText"/>
        <w:spacing w:line="360" w:lineRule="auto" w:before="75"/>
        <w:ind w:left="245" w:right="414"/>
      </w:pPr>
      <w:r>
        <w:rPr/>
        <w:t>Borio and Lowe also argue that while low and stable inflation may promote financial stability overall, such financial imbalances can nevertheless build up in a low inflation environment. Indeed beneficial supply shocks – resulting either from faster productivity growth or from structural or institutional reform – are likely both to lower inflationary pressure and to foster the build-up of such imbalances. And that may be aggravated when monetary policy has a high degree of counter-inflationary credibility as excessive expansion in aggregate demand beyond the natural rate of output may have only limited impact on inflationary</w:t>
      </w:r>
      <w:r>
        <w:rPr>
          <w:spacing w:val="-12"/>
        </w:rPr>
        <w:t> </w:t>
      </w:r>
      <w:r>
        <w:rPr/>
        <w:t>pressures.</w:t>
      </w:r>
    </w:p>
    <w:p>
      <w:pPr>
        <w:pStyle w:val="BodyText"/>
        <w:spacing w:before="1"/>
        <w:rPr>
          <w:sz w:val="36"/>
        </w:rPr>
      </w:pPr>
    </w:p>
    <w:p>
      <w:pPr>
        <w:pStyle w:val="BodyText"/>
        <w:spacing w:line="360" w:lineRule="auto"/>
        <w:ind w:left="245" w:right="633"/>
      </w:pPr>
      <w:r>
        <w:rPr/>
        <w:t>In order to explore some of the implications of debt-financed asset accumulation for the conduct of monetary policy, I shall employ a simple New Keynesian macroeconomic model of the sort considered above, though modified to allow for debt-financed capital accumulation and the possibility of credit crunches.</w:t>
      </w:r>
    </w:p>
    <w:p>
      <w:pPr>
        <w:pStyle w:val="BodyText"/>
        <w:spacing w:before="11"/>
        <w:rPr>
          <w:sz w:val="35"/>
        </w:rPr>
      </w:pPr>
    </w:p>
    <w:p>
      <w:pPr>
        <w:pStyle w:val="BodyText"/>
        <w:spacing w:line="360" w:lineRule="auto"/>
        <w:ind w:left="245" w:right="580"/>
      </w:pPr>
      <w:r>
        <w:rPr/>
        <w:t>There are two types of agents in the economy: households and firms. Households, who are infinitely lived, supply labour, consume and can borrow and lend freely. All debt lasts a single period and is denominated in real terms. Households also own a non-tradable diversified portfolio of shares in firms, so that all profits are returned to households in lump-sum form. Firms are monopolistic competitors, and nominal prices are fixed with a fraction of prices being re-set each period as in the standard New Keynesian Phillips curve. Capital lasts a single period, has to be installed a period in advance, and is financed entirely by borrowing from households.</w:t>
      </w:r>
    </w:p>
    <w:p>
      <w:pPr>
        <w:pStyle w:val="BodyText"/>
        <w:spacing w:before="3"/>
        <w:rPr>
          <w:sz w:val="37"/>
        </w:rPr>
      </w:pPr>
    </w:p>
    <w:p>
      <w:pPr>
        <w:pStyle w:val="BodyText"/>
        <w:spacing w:line="360" w:lineRule="auto"/>
        <w:ind w:left="245" w:right="444"/>
      </w:pPr>
      <w:r>
        <w:rPr/>
        <w:t>Credit crunches occur with a fixed probability, </w:t>
      </w:r>
      <w:r>
        <w:rPr>
          <w:rFonts w:ascii="Arial" w:hAnsi="Arial"/>
        </w:rPr>
        <w:t>q</w:t>
      </w:r>
      <w:r>
        <w:rPr/>
        <w:t>. When they do occur their effect is to lower the level of supply in the economy. One rationalisation for this could be that a credit crunch leads to bankruptcies and the necessary administration or reorganisation</w:t>
      </w:r>
      <w:r>
        <w:rPr>
          <w:spacing w:val="-6"/>
        </w:rPr>
        <w:t> </w:t>
      </w:r>
      <w:r>
        <w:rPr/>
        <w:t>of</w:t>
      </w:r>
      <w:r>
        <w:rPr>
          <w:spacing w:val="-5"/>
        </w:rPr>
        <w:t> </w:t>
      </w:r>
      <w:r>
        <w:rPr/>
        <w:t>the</w:t>
      </w:r>
      <w:r>
        <w:rPr>
          <w:spacing w:val="-5"/>
        </w:rPr>
        <w:t> </w:t>
      </w:r>
      <w:r>
        <w:rPr/>
        <w:t>firm’s</w:t>
      </w:r>
      <w:r>
        <w:rPr>
          <w:spacing w:val="-5"/>
        </w:rPr>
        <w:t> </w:t>
      </w:r>
      <w:r>
        <w:rPr/>
        <w:t>assets</w:t>
      </w:r>
      <w:r>
        <w:rPr>
          <w:spacing w:val="-5"/>
        </w:rPr>
        <w:t> </w:t>
      </w:r>
      <w:r>
        <w:rPr/>
        <w:t>absorbs</w:t>
      </w:r>
      <w:r>
        <w:rPr>
          <w:spacing w:val="-7"/>
        </w:rPr>
        <w:t> </w:t>
      </w:r>
      <w:r>
        <w:rPr/>
        <w:t>resources.</w:t>
      </w:r>
      <w:r>
        <w:rPr>
          <w:spacing w:val="-2"/>
        </w:rPr>
        <w:t> </w:t>
      </w:r>
      <w:r>
        <w:rPr/>
        <w:t>Another</w:t>
      </w:r>
      <w:r>
        <w:rPr>
          <w:spacing w:val="-2"/>
        </w:rPr>
        <w:t> </w:t>
      </w:r>
      <w:r>
        <w:rPr/>
        <w:t>could</w:t>
      </w:r>
      <w:r>
        <w:rPr>
          <w:spacing w:val="-5"/>
        </w:rPr>
        <w:t> </w:t>
      </w:r>
      <w:r>
        <w:rPr/>
        <w:t>be</w:t>
      </w:r>
      <w:r>
        <w:rPr>
          <w:spacing w:val="-5"/>
        </w:rPr>
        <w:t> </w:t>
      </w:r>
      <w:r>
        <w:rPr/>
        <w:t>that</w:t>
      </w:r>
      <w:r>
        <w:rPr>
          <w:spacing w:val="-5"/>
        </w:rPr>
        <w:t> </w:t>
      </w:r>
      <w:r>
        <w:rPr/>
        <w:t>firms</w:t>
      </w:r>
      <w:r>
        <w:rPr>
          <w:spacing w:val="-5"/>
        </w:rPr>
        <w:t> </w:t>
      </w:r>
      <w:r>
        <w:rPr/>
        <w:t>need access to working capital within the period in order to pay their workers, buy inputs, etc. If firms cannot get access to the required working capital then their supply will necessarily be curtailed. So in effect a credit crunch is treated as a negative shock to total factor productivity, though it reflects events in financial markets rather than a change in the technical capabilities of the economy. Moreover, if a credit crunch does occur, it is assumed to be more severe the higher is the level of </w:t>
      </w:r>
      <w:r>
        <w:rPr>
          <w:i/>
        </w:rPr>
        <w:t>overall</w:t>
      </w:r>
      <w:r>
        <w:rPr>
          <w:i/>
          <w:spacing w:val="-20"/>
        </w:rPr>
        <w:t> </w:t>
      </w:r>
      <w:r>
        <w:rPr/>
        <w:t>debt</w:t>
      </w:r>
    </w:p>
    <w:p>
      <w:pPr>
        <w:spacing w:after="0" w:line="360" w:lineRule="auto"/>
        <w:sectPr>
          <w:pgSz w:w="12240" w:h="15840"/>
          <w:pgMar w:header="0" w:footer="237" w:top="860" w:bottom="420" w:left="1720" w:right="1560"/>
        </w:sectPr>
      </w:pPr>
    </w:p>
    <w:p>
      <w:pPr>
        <w:pStyle w:val="BodyText"/>
        <w:spacing w:line="360" w:lineRule="auto" w:before="75"/>
        <w:ind w:left="245" w:right="796"/>
      </w:pPr>
      <w:r>
        <w:rPr/>
        <w:t>outstanding. An individual firm’s borrowing decision has a negligible impact on overall debt. Consequently firms ignore the impact that their borrowing has on the severity of any future credit crunch, ie there is a negative externality present.</w:t>
      </w:r>
    </w:p>
    <w:p>
      <w:pPr>
        <w:pStyle w:val="BodyText"/>
        <w:rPr>
          <w:sz w:val="36"/>
        </w:rPr>
      </w:pPr>
    </w:p>
    <w:p>
      <w:pPr>
        <w:pStyle w:val="BodyText"/>
        <w:ind w:left="245"/>
      </w:pPr>
      <w:r>
        <w:rPr/>
        <w:t>The production function is Cobb-Douglas in capital and labour:</w:t>
      </w:r>
    </w:p>
    <w:p>
      <w:pPr>
        <w:pStyle w:val="BodyText"/>
        <w:rPr>
          <w:sz w:val="26"/>
        </w:rPr>
      </w:pPr>
    </w:p>
    <w:p>
      <w:pPr>
        <w:pStyle w:val="BodyText"/>
        <w:rPr>
          <w:sz w:val="22"/>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pacing w:val="-3"/>
          <w:sz w:val="24"/>
        </w:rPr>
        <w:t>y</w:t>
      </w:r>
      <w:r>
        <w:rPr>
          <w:spacing w:val="-3"/>
          <w:sz w:val="24"/>
          <w:vertAlign w:val="subscript"/>
        </w:rPr>
        <w:t>t</w:t>
      </w:r>
      <w:r>
        <w:rPr>
          <w:spacing w:val="-3"/>
          <w:sz w:val="24"/>
          <w:vertAlign w:val="baseline"/>
        </w:rPr>
        <w:t> </w:t>
      </w:r>
      <w:r>
        <w:rPr>
          <w:sz w:val="24"/>
          <w:vertAlign w:val="baseline"/>
        </w:rPr>
        <w:t>= a</w:t>
      </w:r>
      <w:r>
        <w:rPr>
          <w:sz w:val="24"/>
          <w:vertAlign w:val="subscript"/>
        </w:rPr>
        <w:t>t</w:t>
      </w:r>
      <w:r>
        <w:rPr>
          <w:sz w:val="24"/>
          <w:vertAlign w:val="baseline"/>
        </w:rPr>
        <w:t> + αk</w:t>
      </w:r>
      <w:r>
        <w:rPr>
          <w:sz w:val="24"/>
          <w:vertAlign w:val="subscript"/>
        </w:rPr>
        <w:t>t</w:t>
      </w:r>
      <w:r>
        <w:rPr>
          <w:sz w:val="24"/>
          <w:vertAlign w:val="baseline"/>
        </w:rPr>
        <w:t> +</w:t>
      </w:r>
      <w:r>
        <w:rPr>
          <w:spacing w:val="4"/>
          <w:sz w:val="24"/>
          <w:vertAlign w:val="baseline"/>
        </w:rPr>
        <w:t> </w:t>
      </w:r>
      <w:r>
        <w:rPr>
          <w:sz w:val="24"/>
          <w:vertAlign w:val="baseline"/>
        </w:rPr>
        <w:t>(1–α)n</w:t>
      </w:r>
      <w:r>
        <w:rPr>
          <w:sz w:val="24"/>
          <w:vertAlign w:val="subscript"/>
        </w:rPr>
        <w:t>t</w:t>
      </w:r>
      <w:r>
        <w:rPr>
          <w:sz w:val="24"/>
          <w:vertAlign w:val="baseline"/>
        </w:rPr>
        <w:t>,</w:t>
      </w:r>
    </w:p>
    <w:p>
      <w:pPr>
        <w:pStyle w:val="BodyText"/>
        <w:rPr>
          <w:sz w:val="28"/>
        </w:rPr>
      </w:pPr>
    </w:p>
    <w:p>
      <w:pPr>
        <w:pStyle w:val="BodyText"/>
        <w:spacing w:line="360" w:lineRule="auto" w:before="230"/>
        <w:ind w:left="245" w:right="407"/>
      </w:pPr>
      <w:r>
        <w:rPr/>
        <w:t>where </w:t>
      </w:r>
      <w:r>
        <w:rPr>
          <w:spacing w:val="-3"/>
        </w:rPr>
        <w:t>y</w:t>
      </w:r>
      <w:r>
        <w:rPr>
          <w:spacing w:val="-3"/>
          <w:vertAlign w:val="subscript"/>
        </w:rPr>
        <w:t>t</w:t>
      </w:r>
      <w:r>
        <w:rPr>
          <w:spacing w:val="-3"/>
          <w:vertAlign w:val="baseline"/>
        </w:rPr>
        <w:t> </w:t>
      </w:r>
      <w:r>
        <w:rPr>
          <w:vertAlign w:val="baseline"/>
        </w:rPr>
        <w:t>is (the logarithm of) output in period t, a</w:t>
      </w:r>
      <w:r>
        <w:rPr>
          <w:vertAlign w:val="subscript"/>
        </w:rPr>
        <w:t>t</w:t>
      </w:r>
      <w:r>
        <w:rPr>
          <w:vertAlign w:val="baseline"/>
        </w:rPr>
        <w:t> is (the logarithm of) total factor productivity in period t, k</w:t>
      </w:r>
      <w:r>
        <w:rPr>
          <w:vertAlign w:val="subscript"/>
        </w:rPr>
        <w:t>t</w:t>
      </w:r>
      <w:r>
        <w:rPr>
          <w:vertAlign w:val="baseline"/>
        </w:rPr>
        <w:t> is (the logarithm of) the capital stock at the start of period t, inherited from the previous period and n</w:t>
      </w:r>
      <w:r>
        <w:rPr>
          <w:vertAlign w:val="subscript"/>
        </w:rPr>
        <w:t>t</w:t>
      </w:r>
      <w:r>
        <w:rPr>
          <w:vertAlign w:val="baseline"/>
        </w:rPr>
        <w:t> is (the logarithm of) employment in period t. Total factor productivity is given by the</w:t>
      </w:r>
      <w:r>
        <w:rPr>
          <w:spacing w:val="-13"/>
          <w:vertAlign w:val="baseline"/>
        </w:rPr>
        <w:t> </w:t>
      </w:r>
      <w:r>
        <w:rPr>
          <w:vertAlign w:val="baseline"/>
        </w:rPr>
        <w:t>process:</w:t>
      </w:r>
    </w:p>
    <w:p>
      <w:pPr>
        <w:pStyle w:val="BodyText"/>
        <w:spacing w:before="3"/>
        <w:rPr>
          <w:sz w:val="37"/>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z w:val="24"/>
        </w:rPr>
        <w:t>a</w:t>
      </w:r>
      <w:r>
        <w:rPr>
          <w:sz w:val="24"/>
          <w:vertAlign w:val="subscript"/>
        </w:rPr>
        <w:t>t</w:t>
      </w:r>
      <w:r>
        <w:rPr>
          <w:sz w:val="24"/>
          <w:vertAlign w:val="baseline"/>
        </w:rPr>
        <w:t> = e</w:t>
      </w:r>
      <w:r>
        <w:rPr>
          <w:sz w:val="24"/>
          <w:vertAlign w:val="subscript"/>
        </w:rPr>
        <w:t>t</w:t>
      </w:r>
      <w:r>
        <w:rPr>
          <w:sz w:val="24"/>
          <w:vertAlign w:val="baseline"/>
        </w:rPr>
        <w:t> - </w:t>
      </w:r>
      <w:r>
        <w:rPr>
          <w:rFonts w:ascii="Arial" w:hAnsi="Arial"/>
          <w:sz w:val="24"/>
          <w:vertAlign w:val="baseline"/>
        </w:rPr>
        <w:t>s</w:t>
      </w:r>
      <w:r>
        <w:rPr>
          <w:sz w:val="24"/>
          <w:vertAlign w:val="subscript"/>
        </w:rPr>
        <w:t>t</w:t>
      </w:r>
      <w:r>
        <w:rPr>
          <w:sz w:val="24"/>
          <w:vertAlign w:val="baseline"/>
        </w:rPr>
        <w:t>[</w:t>
      </w:r>
      <w:r>
        <w:rPr>
          <w:rFonts w:ascii="Arial" w:hAnsi="Arial"/>
          <w:sz w:val="24"/>
          <w:vertAlign w:val="baseline"/>
        </w:rPr>
        <w:t>α</w:t>
      </w:r>
      <w:r>
        <w:rPr>
          <w:rFonts w:ascii="Arial" w:hAnsi="Arial"/>
          <w:spacing w:val="-51"/>
          <w:sz w:val="24"/>
          <w:vertAlign w:val="baseline"/>
        </w:rPr>
        <w:t> </w:t>
      </w:r>
      <w:r>
        <w:rPr>
          <w:sz w:val="24"/>
          <w:vertAlign w:val="baseline"/>
        </w:rPr>
        <w:t>+ </w:t>
      </w:r>
      <w:r>
        <w:rPr>
          <w:rFonts w:ascii="Arial" w:hAnsi="Arial"/>
          <w:sz w:val="24"/>
          <w:vertAlign w:val="baseline"/>
        </w:rPr>
        <w:t>m</w:t>
      </w:r>
      <w:r>
        <w:rPr>
          <w:sz w:val="24"/>
          <w:vertAlign w:val="baseline"/>
        </w:rPr>
        <w:t>(d</w:t>
      </w:r>
      <w:r>
        <w:rPr>
          <w:sz w:val="24"/>
          <w:vertAlign w:val="subscript"/>
        </w:rPr>
        <w:t>t</w:t>
      </w:r>
      <w:r>
        <w:rPr>
          <w:sz w:val="24"/>
          <w:vertAlign w:val="baseline"/>
        </w:rPr>
        <w:t> – E</w:t>
      </w:r>
      <w:r>
        <w:rPr>
          <w:sz w:val="24"/>
          <w:vertAlign w:val="subscript"/>
        </w:rPr>
        <w:t>t-1</w:t>
      </w:r>
      <w:r>
        <w:rPr>
          <w:sz w:val="24"/>
          <w:vertAlign w:val="baseline"/>
        </w:rPr>
        <w:t>y</w:t>
      </w:r>
      <w:r>
        <w:rPr>
          <w:sz w:val="24"/>
          <w:vertAlign w:val="subscript"/>
        </w:rPr>
        <w:t>t</w:t>
      </w:r>
      <w:r>
        <w:rPr>
          <w:sz w:val="24"/>
          <w:vertAlign w:val="baseline"/>
        </w:rPr>
        <w:t>)],</w:t>
      </w:r>
    </w:p>
    <w:p>
      <w:pPr>
        <w:pStyle w:val="BodyText"/>
        <w:rPr>
          <w:sz w:val="28"/>
        </w:rPr>
      </w:pPr>
    </w:p>
    <w:p>
      <w:pPr>
        <w:pStyle w:val="BodyText"/>
        <w:spacing w:before="3"/>
        <w:rPr>
          <w:sz w:val="22"/>
        </w:rPr>
      </w:pPr>
    </w:p>
    <w:p>
      <w:pPr>
        <w:pStyle w:val="BodyText"/>
        <w:spacing w:line="362" w:lineRule="auto"/>
        <w:ind w:left="245" w:right="375"/>
      </w:pPr>
      <w:r>
        <w:rPr/>
        <w:t>where e</w:t>
      </w:r>
      <w:r>
        <w:rPr>
          <w:vertAlign w:val="subscript"/>
        </w:rPr>
        <w:t>t</w:t>
      </w:r>
      <w:r>
        <w:rPr>
          <w:vertAlign w:val="baseline"/>
        </w:rPr>
        <w:t> is a shock to the technology, d</w:t>
      </w:r>
      <w:r>
        <w:rPr>
          <w:vertAlign w:val="subscript"/>
        </w:rPr>
        <w:t>t</w:t>
      </w:r>
      <w:r>
        <w:rPr>
          <w:vertAlign w:val="baseline"/>
        </w:rPr>
        <w:t> is the (logarithm of) debt outstanding and </w:t>
      </w:r>
      <w:r>
        <w:rPr>
          <w:rFonts w:ascii="Arial"/>
          <w:vertAlign w:val="baseline"/>
        </w:rPr>
        <w:t>s</w:t>
      </w:r>
      <w:r>
        <w:rPr>
          <w:vertAlign w:val="subscript"/>
        </w:rPr>
        <w:t>t</w:t>
      </w:r>
      <w:r>
        <w:rPr>
          <w:vertAlign w:val="baseline"/>
        </w:rPr>
        <w:t> is an indicator variable that takes the value unity if a credit crunch occurs and zero otherwise. The severity of the credit crunch is assumed to depend on the debt-output ratio. We write (10) in terms of expected output at the start of the period rather than realised output because the latter depends on whether a credit crunch occurs or not.</w:t>
      </w:r>
    </w:p>
    <w:p>
      <w:pPr>
        <w:pStyle w:val="BodyText"/>
        <w:spacing w:line="360" w:lineRule="auto"/>
        <w:ind w:left="245" w:right="983"/>
      </w:pPr>
      <w:r>
        <w:rPr/>
        <w:t>Making the extent of the credit crunch depend on ex post output complicates the analysis considerably.</w:t>
      </w:r>
    </w:p>
    <w:p>
      <w:pPr>
        <w:pStyle w:val="BodyText"/>
        <w:spacing w:before="10"/>
        <w:rPr>
          <w:sz w:val="35"/>
        </w:rPr>
      </w:pPr>
    </w:p>
    <w:p>
      <w:pPr>
        <w:pStyle w:val="BodyText"/>
        <w:ind w:left="245"/>
      </w:pPr>
      <w:r>
        <w:rPr/>
        <w:t>Equation (9) may be inverted to give labour demand conditional on the level of output</w:t>
      </w:r>
    </w:p>
    <w:p>
      <w:pPr>
        <w:pStyle w:val="BodyText"/>
        <w:rPr>
          <w:sz w:val="26"/>
        </w:rPr>
      </w:pPr>
    </w:p>
    <w:p>
      <w:pPr>
        <w:pStyle w:val="BodyText"/>
        <w:rPr>
          <w:sz w:val="22"/>
        </w:rPr>
      </w:pPr>
    </w:p>
    <w:p>
      <w:pPr>
        <w:pStyle w:val="BodyText"/>
        <w:tabs>
          <w:tab w:pos="1097" w:val="left" w:leader="none"/>
        </w:tabs>
        <w:ind w:left="245"/>
      </w:pPr>
      <w:r>
        <w:rPr/>
        <w:t>(11)</w:t>
        <w:tab/>
        <w:t>n</w:t>
      </w:r>
      <w:r>
        <w:rPr>
          <w:vertAlign w:val="subscript"/>
        </w:rPr>
        <w:t>t</w:t>
      </w:r>
      <w:r>
        <w:rPr>
          <w:vertAlign w:val="baseline"/>
        </w:rPr>
        <w:t> = (y</w:t>
      </w:r>
      <w:r>
        <w:rPr>
          <w:vertAlign w:val="subscript"/>
        </w:rPr>
        <w:t>t</w:t>
      </w:r>
      <w:r>
        <w:rPr>
          <w:vertAlign w:val="baseline"/>
        </w:rPr>
        <w:t> – a</w:t>
      </w:r>
      <w:r>
        <w:rPr>
          <w:vertAlign w:val="subscript"/>
        </w:rPr>
        <w:t>t</w:t>
      </w:r>
      <w:r>
        <w:rPr>
          <w:vertAlign w:val="baseline"/>
        </w:rPr>
        <w:t> –</w:t>
      </w:r>
      <w:r>
        <w:rPr>
          <w:spacing w:val="-2"/>
          <w:vertAlign w:val="baseline"/>
        </w:rPr>
        <w:t> </w:t>
      </w:r>
      <w:r>
        <w:rPr>
          <w:vertAlign w:val="baseline"/>
        </w:rPr>
        <w:t>αk</w:t>
      </w:r>
      <w:r>
        <w:rPr>
          <w:vertAlign w:val="subscript"/>
        </w:rPr>
        <w:t>t</w:t>
      </w:r>
      <w:r>
        <w:rPr>
          <w:vertAlign w:val="baseline"/>
        </w:rPr>
        <w:t>)/(1–α),</w:t>
      </w:r>
    </w:p>
    <w:p>
      <w:pPr>
        <w:pStyle w:val="BodyText"/>
        <w:rPr>
          <w:sz w:val="28"/>
        </w:rPr>
      </w:pPr>
    </w:p>
    <w:p>
      <w:pPr>
        <w:pStyle w:val="BodyText"/>
        <w:spacing w:line="360" w:lineRule="auto" w:before="230"/>
        <w:ind w:left="245" w:right="477"/>
      </w:pPr>
      <w:r>
        <w:rPr/>
        <w:t>The demand for capital is then obtained by minimising expected costs, conditional on the expected future level of output and recognising that employment will subsequently be determined through the labour requirement equation (11):</w:t>
      </w:r>
    </w:p>
    <w:p>
      <w:pPr>
        <w:pStyle w:val="BodyText"/>
        <w:rPr>
          <w:sz w:val="36"/>
        </w:rPr>
      </w:pPr>
    </w:p>
    <w:p>
      <w:pPr>
        <w:pStyle w:val="ListParagraph"/>
        <w:numPr>
          <w:ilvl w:val="0"/>
          <w:numId w:val="4"/>
        </w:numPr>
        <w:tabs>
          <w:tab w:pos="1097" w:val="left" w:leader="none"/>
          <w:tab w:pos="1098" w:val="left" w:leader="none"/>
        </w:tabs>
        <w:spacing w:line="240" w:lineRule="auto" w:before="0" w:after="0"/>
        <w:ind w:left="1097" w:right="0" w:hanging="853"/>
        <w:jc w:val="left"/>
        <w:rPr>
          <w:sz w:val="24"/>
        </w:rPr>
      </w:pPr>
      <w:r>
        <w:rPr>
          <w:sz w:val="24"/>
        </w:rPr>
        <w:t>k</w:t>
      </w:r>
      <w:r>
        <w:rPr>
          <w:sz w:val="24"/>
          <w:vertAlign w:val="subscript"/>
        </w:rPr>
        <w:t>t+1</w:t>
      </w:r>
      <w:r>
        <w:rPr>
          <w:sz w:val="24"/>
          <w:vertAlign w:val="baseline"/>
        </w:rPr>
        <w:t> = E</w:t>
      </w:r>
      <w:r>
        <w:rPr>
          <w:sz w:val="24"/>
          <w:vertAlign w:val="subscript"/>
        </w:rPr>
        <w:t>t</w:t>
      </w:r>
      <w:r>
        <w:rPr>
          <w:sz w:val="24"/>
          <w:vertAlign w:val="baseline"/>
        </w:rPr>
        <w:t>y</w:t>
      </w:r>
      <w:r>
        <w:rPr>
          <w:sz w:val="24"/>
          <w:vertAlign w:val="subscript"/>
        </w:rPr>
        <w:t>t+1</w:t>
      </w:r>
      <w:r>
        <w:rPr>
          <w:sz w:val="24"/>
          <w:vertAlign w:val="baseline"/>
        </w:rPr>
        <w:t> – E</w:t>
      </w:r>
      <w:r>
        <w:rPr>
          <w:sz w:val="24"/>
          <w:vertAlign w:val="subscript"/>
        </w:rPr>
        <w:t>t</w:t>
      </w:r>
      <w:r>
        <w:rPr>
          <w:sz w:val="24"/>
          <w:vertAlign w:val="baseline"/>
        </w:rPr>
        <w:t>a</w:t>
      </w:r>
      <w:r>
        <w:rPr>
          <w:sz w:val="24"/>
          <w:vertAlign w:val="subscript"/>
        </w:rPr>
        <w:t>t+1</w:t>
      </w:r>
      <w:r>
        <w:rPr>
          <w:sz w:val="24"/>
          <w:vertAlign w:val="baseline"/>
        </w:rPr>
        <w:t> + (1–α)(E</w:t>
      </w:r>
      <w:r>
        <w:rPr>
          <w:sz w:val="24"/>
          <w:vertAlign w:val="subscript"/>
        </w:rPr>
        <w:t>t</w:t>
      </w:r>
      <w:r>
        <w:rPr>
          <w:sz w:val="24"/>
          <w:vertAlign w:val="baseline"/>
        </w:rPr>
        <w:t>w</w:t>
      </w:r>
      <w:r>
        <w:rPr>
          <w:sz w:val="24"/>
          <w:vertAlign w:val="subscript"/>
        </w:rPr>
        <w:t>t+1</w:t>
      </w:r>
      <w:r>
        <w:rPr>
          <w:sz w:val="24"/>
          <w:vertAlign w:val="baseline"/>
        </w:rPr>
        <w:t> – E</w:t>
      </w:r>
      <w:r>
        <w:rPr>
          <w:sz w:val="24"/>
          <w:vertAlign w:val="subscript"/>
        </w:rPr>
        <w:t>t</w:t>
      </w:r>
      <w:r>
        <w:rPr>
          <w:sz w:val="24"/>
          <w:vertAlign w:val="baseline"/>
        </w:rPr>
        <w:t>p</w:t>
      </w:r>
      <w:r>
        <w:rPr>
          <w:sz w:val="24"/>
          <w:vertAlign w:val="subscript"/>
        </w:rPr>
        <w:t>t+1</w:t>
      </w:r>
      <w:r>
        <w:rPr>
          <w:sz w:val="24"/>
          <w:vertAlign w:val="baseline"/>
        </w:rPr>
        <w:t> – r</w:t>
      </w:r>
      <w:r>
        <w:rPr>
          <w:sz w:val="24"/>
          <w:vertAlign w:val="subscript"/>
        </w:rPr>
        <w:t>t</w:t>
      </w:r>
      <w:r>
        <w:rPr>
          <w:sz w:val="24"/>
          <w:vertAlign w:val="baseline"/>
        </w:rPr>
        <w:t> +</w:t>
      </w:r>
      <w:r>
        <w:rPr>
          <w:spacing w:val="-10"/>
          <w:sz w:val="24"/>
          <w:vertAlign w:val="baseline"/>
        </w:rPr>
        <w:t> </w:t>
      </w:r>
      <w:r>
        <w:rPr>
          <w:sz w:val="24"/>
          <w:vertAlign w:val="baseline"/>
        </w:rPr>
        <w:t>v</w:t>
      </w:r>
      <w:r>
        <w:rPr>
          <w:sz w:val="24"/>
          <w:vertAlign w:val="subscript"/>
        </w:rPr>
        <w:t>t</w:t>
      </w:r>
      <w:r>
        <w:rPr>
          <w:sz w:val="24"/>
          <w:vertAlign w:val="baseline"/>
        </w:rPr>
        <w:t>)</w:t>
      </w:r>
    </w:p>
    <w:p>
      <w:pPr>
        <w:spacing w:after="0" w:line="240" w:lineRule="auto"/>
        <w:jc w:val="left"/>
        <w:rPr>
          <w:sz w:val="24"/>
        </w:rPr>
        <w:sectPr>
          <w:pgSz w:w="12240" w:h="15840"/>
          <w:pgMar w:header="0" w:footer="237" w:top="860" w:bottom="420" w:left="1720" w:right="1560"/>
        </w:sectPr>
      </w:pPr>
    </w:p>
    <w:p>
      <w:pPr>
        <w:spacing w:before="75"/>
        <w:ind w:left="1505" w:right="0" w:firstLine="0"/>
        <w:jc w:val="left"/>
        <w:rPr>
          <w:sz w:val="24"/>
        </w:rPr>
      </w:pPr>
      <w:r>
        <w:rPr>
          <w:sz w:val="24"/>
        </w:rPr>
        <w:t>= E</w:t>
      </w:r>
      <w:r>
        <w:rPr>
          <w:position w:val="-2"/>
          <w:sz w:val="16"/>
        </w:rPr>
        <w:t>t</w:t>
      </w:r>
      <w:r>
        <w:rPr>
          <w:sz w:val="24"/>
        </w:rPr>
        <w:t>n</w:t>
      </w:r>
      <w:r>
        <w:rPr>
          <w:position w:val="-2"/>
          <w:sz w:val="16"/>
        </w:rPr>
        <w:t>t+1 </w:t>
      </w:r>
      <w:r>
        <w:rPr>
          <w:sz w:val="24"/>
        </w:rPr>
        <w:t>+ E</w:t>
      </w:r>
      <w:r>
        <w:rPr>
          <w:position w:val="-2"/>
          <w:sz w:val="16"/>
        </w:rPr>
        <w:t>t</w:t>
      </w:r>
      <w:r>
        <w:rPr>
          <w:sz w:val="24"/>
        </w:rPr>
        <w:t>w</w:t>
      </w:r>
      <w:r>
        <w:rPr>
          <w:position w:val="-2"/>
          <w:sz w:val="16"/>
        </w:rPr>
        <w:t>t+1 </w:t>
      </w:r>
      <w:r>
        <w:rPr>
          <w:sz w:val="24"/>
        </w:rPr>
        <w:t>– E</w:t>
      </w:r>
      <w:r>
        <w:rPr>
          <w:position w:val="-2"/>
          <w:sz w:val="16"/>
        </w:rPr>
        <w:t>t</w:t>
      </w:r>
      <w:r>
        <w:rPr>
          <w:sz w:val="24"/>
        </w:rPr>
        <w:t>p</w:t>
      </w:r>
      <w:r>
        <w:rPr>
          <w:position w:val="-2"/>
          <w:sz w:val="16"/>
        </w:rPr>
        <w:t>t+1 </w:t>
      </w:r>
      <w:r>
        <w:rPr>
          <w:sz w:val="24"/>
        </w:rPr>
        <w:t>– r</w:t>
      </w:r>
      <w:r>
        <w:rPr>
          <w:position w:val="-2"/>
          <w:sz w:val="16"/>
        </w:rPr>
        <w:t>t </w:t>
      </w:r>
      <w:r>
        <w:rPr>
          <w:sz w:val="24"/>
        </w:rPr>
        <w:t>+ v</w:t>
      </w:r>
      <w:r>
        <w:rPr>
          <w:position w:val="-2"/>
          <w:sz w:val="16"/>
        </w:rPr>
        <w:t>t</w:t>
      </w:r>
      <w:r>
        <w:rPr>
          <w:sz w:val="24"/>
        </w:rPr>
        <w:t>,</w:t>
      </w:r>
    </w:p>
    <w:p>
      <w:pPr>
        <w:pStyle w:val="BodyText"/>
        <w:rPr>
          <w:sz w:val="28"/>
        </w:rPr>
      </w:pPr>
    </w:p>
    <w:p>
      <w:pPr>
        <w:pStyle w:val="BodyText"/>
        <w:spacing w:line="360" w:lineRule="auto" w:before="217"/>
        <w:ind w:left="245" w:right="410"/>
      </w:pPr>
      <w:r>
        <w:rPr/>
        <w:t>where w</w:t>
      </w:r>
      <w:r>
        <w:rPr>
          <w:vertAlign w:val="subscript"/>
        </w:rPr>
        <w:t>t</w:t>
      </w:r>
      <w:r>
        <w:rPr>
          <w:vertAlign w:val="baseline"/>
        </w:rPr>
        <w:t> is (the logarithm of) the nominal wage in period t, p</w:t>
      </w:r>
      <w:r>
        <w:rPr>
          <w:vertAlign w:val="subscript"/>
        </w:rPr>
        <w:t>t</w:t>
      </w:r>
      <w:r>
        <w:rPr>
          <w:vertAlign w:val="baseline"/>
        </w:rPr>
        <w:t> is (the logarithm of) the price level in period t, r</w:t>
      </w:r>
      <w:r>
        <w:rPr>
          <w:vertAlign w:val="subscript"/>
        </w:rPr>
        <w:t>t</w:t>
      </w:r>
      <w:r>
        <w:rPr>
          <w:vertAlign w:val="baseline"/>
        </w:rPr>
        <w:t> is the real rate of return on debt and v</w:t>
      </w:r>
      <w:r>
        <w:rPr>
          <w:vertAlign w:val="subscript"/>
        </w:rPr>
        <w:t>t</w:t>
      </w:r>
      <w:r>
        <w:rPr>
          <w:vertAlign w:val="baseline"/>
        </w:rPr>
        <w:t> can be thought of as representing a shock to “animal spirits”, ie irrationally over- or under-optimistic expectations. For simplicity, v</w:t>
      </w:r>
      <w:r>
        <w:rPr>
          <w:vertAlign w:val="subscript"/>
        </w:rPr>
        <w:t>t</w:t>
      </w:r>
      <w:r>
        <w:rPr>
          <w:vertAlign w:val="baseline"/>
        </w:rPr>
        <w:t> is assumed to be serially uncorrelated, and here and elsewhere inessential constants are normalised to zero through appropriate choice of units.</w:t>
      </w:r>
    </w:p>
    <w:p>
      <w:pPr>
        <w:pStyle w:val="BodyText"/>
        <w:spacing w:before="1"/>
        <w:rPr>
          <w:sz w:val="36"/>
        </w:rPr>
      </w:pPr>
    </w:p>
    <w:p>
      <w:pPr>
        <w:pStyle w:val="BodyText"/>
        <w:spacing w:line="360" w:lineRule="auto" w:before="1"/>
        <w:ind w:left="245" w:right="563"/>
      </w:pPr>
      <w:r>
        <w:rPr/>
        <w:t>Following Calvo (1983), prices are set on a staggered basis, with those firms that are able to change their price choosing an optimal one based on expected marginal cost.</w:t>
      </w:r>
    </w:p>
    <w:p>
      <w:pPr>
        <w:pStyle w:val="BodyText"/>
        <w:spacing w:before="3"/>
        <w:rPr>
          <w:sz w:val="37"/>
        </w:rPr>
      </w:pPr>
    </w:p>
    <w:p>
      <w:pPr>
        <w:pStyle w:val="ListParagraph"/>
        <w:numPr>
          <w:ilvl w:val="0"/>
          <w:numId w:val="4"/>
        </w:numPr>
        <w:tabs>
          <w:tab w:pos="1097" w:val="left" w:leader="none"/>
          <w:tab w:pos="1098" w:val="left" w:leader="none"/>
        </w:tabs>
        <w:spacing w:line="240" w:lineRule="auto" w:before="0" w:after="0"/>
        <w:ind w:left="1097" w:right="0" w:hanging="853"/>
        <w:jc w:val="left"/>
        <w:rPr>
          <w:sz w:val="24"/>
        </w:rPr>
      </w:pPr>
      <w:r>
        <w:rPr>
          <w:rFonts w:ascii="Arial" w:hAnsi="Arial"/>
          <w:sz w:val="24"/>
        </w:rPr>
        <w:t>n</w:t>
      </w:r>
      <w:r>
        <w:rPr>
          <w:sz w:val="24"/>
          <w:vertAlign w:val="subscript"/>
        </w:rPr>
        <w:t>t</w:t>
      </w:r>
      <w:r>
        <w:rPr>
          <w:sz w:val="24"/>
          <w:vertAlign w:val="baseline"/>
        </w:rPr>
        <w:t> = </w:t>
      </w:r>
      <w:r>
        <w:rPr>
          <w:rFonts w:ascii="Arial" w:hAnsi="Arial"/>
          <w:sz w:val="24"/>
          <w:vertAlign w:val="baseline"/>
        </w:rPr>
        <w:t>þ</w:t>
      </w:r>
      <w:r>
        <w:rPr>
          <w:sz w:val="24"/>
          <w:vertAlign w:val="baseline"/>
        </w:rPr>
        <w:t>E</w:t>
      </w:r>
      <w:r>
        <w:rPr>
          <w:sz w:val="24"/>
          <w:vertAlign w:val="subscript"/>
        </w:rPr>
        <w:t>t</w:t>
      </w:r>
      <w:r>
        <w:rPr>
          <w:rFonts w:ascii="Arial" w:hAnsi="Arial"/>
          <w:sz w:val="24"/>
          <w:vertAlign w:val="baseline"/>
        </w:rPr>
        <w:t>n</w:t>
      </w:r>
      <w:r>
        <w:rPr>
          <w:sz w:val="24"/>
          <w:vertAlign w:val="subscript"/>
        </w:rPr>
        <w:t>t+1</w:t>
      </w:r>
      <w:r>
        <w:rPr>
          <w:sz w:val="24"/>
          <w:vertAlign w:val="baseline"/>
        </w:rPr>
        <w:t> + δm</w:t>
      </w:r>
      <w:r>
        <w:rPr>
          <w:sz w:val="24"/>
          <w:vertAlign w:val="subscript"/>
        </w:rPr>
        <w:t>t</w:t>
      </w:r>
      <w:r>
        <w:rPr>
          <w:sz w:val="24"/>
          <w:vertAlign w:val="baseline"/>
        </w:rPr>
        <w:t> +</w:t>
      </w:r>
      <w:r>
        <w:rPr>
          <w:spacing w:val="-1"/>
          <w:sz w:val="24"/>
          <w:vertAlign w:val="baseline"/>
        </w:rPr>
        <w:t> </w:t>
      </w:r>
      <w:r>
        <w:rPr>
          <w:sz w:val="24"/>
          <w:vertAlign w:val="baseline"/>
        </w:rPr>
        <w:t>u</w:t>
      </w:r>
      <w:r>
        <w:rPr>
          <w:sz w:val="24"/>
          <w:vertAlign w:val="subscript"/>
        </w:rPr>
        <w:t>t</w:t>
      </w:r>
      <w:r>
        <w:rPr>
          <w:sz w:val="24"/>
          <w:vertAlign w:val="baseline"/>
        </w:rPr>
        <w:t>,</w:t>
      </w:r>
    </w:p>
    <w:p>
      <w:pPr>
        <w:pStyle w:val="BodyText"/>
        <w:rPr>
          <w:sz w:val="28"/>
        </w:rPr>
      </w:pPr>
    </w:p>
    <w:p>
      <w:pPr>
        <w:pStyle w:val="BodyText"/>
        <w:spacing w:line="360" w:lineRule="auto" w:before="242"/>
        <w:ind w:left="245" w:right="375"/>
      </w:pPr>
      <w:r>
        <w:rPr/>
        <w:t>where m</w:t>
      </w:r>
      <w:r>
        <w:rPr>
          <w:vertAlign w:val="subscript"/>
        </w:rPr>
        <w:t>t</w:t>
      </w:r>
      <w:r>
        <w:rPr>
          <w:vertAlign w:val="baseline"/>
        </w:rPr>
        <w:t> (= w</w:t>
      </w:r>
      <w:r>
        <w:rPr>
          <w:vertAlign w:val="subscript"/>
        </w:rPr>
        <w:t>t</w:t>
      </w:r>
      <w:r>
        <w:rPr>
          <w:vertAlign w:val="baseline"/>
        </w:rPr>
        <w:t> – p</w:t>
      </w:r>
      <w:r>
        <w:rPr>
          <w:vertAlign w:val="subscript"/>
        </w:rPr>
        <w:t>t</w:t>
      </w:r>
      <w:r>
        <w:rPr>
          <w:vertAlign w:val="baseline"/>
        </w:rPr>
        <w:t> + n</w:t>
      </w:r>
      <w:r>
        <w:rPr>
          <w:vertAlign w:val="subscript"/>
        </w:rPr>
        <w:t>t</w:t>
      </w:r>
      <w:r>
        <w:rPr>
          <w:vertAlign w:val="baseline"/>
        </w:rPr>
        <w:t> – y</w:t>
      </w:r>
      <w:r>
        <w:rPr>
          <w:vertAlign w:val="subscript"/>
        </w:rPr>
        <w:t>t</w:t>
      </w:r>
      <w:r>
        <w:rPr>
          <w:vertAlign w:val="baseline"/>
        </w:rPr>
        <w:t>) is (the logarithm of) marginal cost and u</w:t>
      </w:r>
      <w:r>
        <w:rPr>
          <w:vertAlign w:val="subscript"/>
        </w:rPr>
        <w:t>t</w:t>
      </w:r>
      <w:r>
        <w:rPr>
          <w:vertAlign w:val="baseline"/>
        </w:rPr>
        <w:t> is a shock to the mark-up, assumed uncorrelated for simplicity.</w:t>
      </w:r>
    </w:p>
    <w:p>
      <w:pPr>
        <w:pStyle w:val="BodyText"/>
        <w:spacing w:before="10"/>
        <w:rPr>
          <w:sz w:val="35"/>
        </w:rPr>
      </w:pPr>
    </w:p>
    <w:p>
      <w:pPr>
        <w:pStyle w:val="BodyText"/>
        <w:spacing w:line="360" w:lineRule="auto"/>
        <w:ind w:left="245" w:right="830"/>
      </w:pPr>
      <w:r>
        <w:rPr/>
        <w:t>Turning to the household sector, we assume that savings are a constant fraction of income, and labour supply is an increasing function of the real wage alone:</w:t>
      </w:r>
    </w:p>
    <w:p>
      <w:pPr>
        <w:pStyle w:val="BodyText"/>
        <w:spacing w:before="3"/>
        <w:rPr>
          <w:sz w:val="37"/>
        </w:rPr>
      </w:pPr>
    </w:p>
    <w:p>
      <w:pPr>
        <w:pStyle w:val="ListParagraph"/>
        <w:numPr>
          <w:ilvl w:val="0"/>
          <w:numId w:val="4"/>
        </w:numPr>
        <w:tabs>
          <w:tab w:pos="1097" w:val="left" w:leader="none"/>
          <w:tab w:pos="1098" w:val="left" w:leader="none"/>
        </w:tabs>
        <w:spacing w:line="240" w:lineRule="auto" w:before="0" w:after="0"/>
        <w:ind w:left="1097" w:right="0" w:hanging="853"/>
        <w:jc w:val="left"/>
        <w:rPr>
          <w:sz w:val="24"/>
        </w:rPr>
      </w:pPr>
      <w:r>
        <w:rPr>
          <w:sz w:val="24"/>
        </w:rPr>
        <w:t>w</w:t>
      </w:r>
      <w:r>
        <w:rPr>
          <w:sz w:val="24"/>
          <w:vertAlign w:val="subscript"/>
        </w:rPr>
        <w:t>t</w:t>
      </w:r>
      <w:r>
        <w:rPr>
          <w:sz w:val="24"/>
          <w:vertAlign w:val="baseline"/>
        </w:rPr>
        <w:t> – p</w:t>
      </w:r>
      <w:r>
        <w:rPr>
          <w:sz w:val="24"/>
          <w:vertAlign w:val="subscript"/>
        </w:rPr>
        <w:t>t</w:t>
      </w:r>
      <w:r>
        <w:rPr>
          <w:sz w:val="24"/>
          <w:vertAlign w:val="baseline"/>
        </w:rPr>
        <w:t> = </w:t>
      </w:r>
      <w:r>
        <w:rPr>
          <w:rFonts w:ascii="Arial" w:hAnsi="Arial"/>
          <w:sz w:val="24"/>
          <w:vertAlign w:val="baseline"/>
        </w:rPr>
        <w:t>$</w:t>
      </w:r>
      <w:r>
        <w:rPr>
          <w:sz w:val="24"/>
          <w:vertAlign w:val="baseline"/>
        </w:rPr>
        <w:t>n</w:t>
      </w:r>
      <w:r>
        <w:rPr>
          <w:sz w:val="24"/>
          <w:vertAlign w:val="subscript"/>
        </w:rPr>
        <w:t>t</w:t>
      </w:r>
      <w:r>
        <w:rPr>
          <w:sz w:val="24"/>
          <w:vertAlign w:val="baseline"/>
        </w:rPr>
        <w:t>.</w:t>
      </w:r>
    </w:p>
    <w:p>
      <w:pPr>
        <w:pStyle w:val="BodyText"/>
        <w:rPr>
          <w:sz w:val="28"/>
        </w:rPr>
      </w:pPr>
    </w:p>
    <w:p>
      <w:pPr>
        <w:pStyle w:val="BodyText"/>
        <w:spacing w:line="360" w:lineRule="auto" w:before="242"/>
        <w:ind w:left="245" w:right="548"/>
      </w:pPr>
      <w:r>
        <w:rPr/>
        <w:t>It is, of course, possible to develop the model along standard lines with an inter- temporal optimality equation for consumption of the usual form and a corresponding intra-temporal optimality condition for labour supply. However, that leads to a rather more complex dynamic structure without changing the nature of the basic insights.</w:t>
      </w:r>
    </w:p>
    <w:p>
      <w:pPr>
        <w:pStyle w:val="BodyText"/>
        <w:spacing w:before="1"/>
        <w:ind w:left="245"/>
      </w:pPr>
      <w:r>
        <w:rPr/>
        <w:t>For that reason I prefer a simpler, albeit more ad hoc, approach.</w:t>
      </w:r>
    </w:p>
    <w:p>
      <w:pPr>
        <w:pStyle w:val="BodyText"/>
        <w:rPr>
          <w:sz w:val="26"/>
        </w:rPr>
      </w:pPr>
    </w:p>
    <w:p>
      <w:pPr>
        <w:pStyle w:val="BodyText"/>
        <w:spacing w:before="11"/>
        <w:rPr>
          <w:sz w:val="21"/>
        </w:rPr>
      </w:pPr>
    </w:p>
    <w:p>
      <w:pPr>
        <w:pStyle w:val="BodyText"/>
        <w:ind w:left="245"/>
      </w:pPr>
      <w:r>
        <w:rPr/>
        <w:t>Given the constant savings rate assumption, an IS schedule can then be obtained from</w:t>
      </w:r>
    </w:p>
    <w:p>
      <w:pPr>
        <w:pStyle w:val="BodyText"/>
        <w:spacing w:before="137"/>
        <w:ind w:left="245"/>
      </w:pPr>
      <w:r>
        <w:rPr/>
        <w:t>(12) and using the fact that marginal cost is equal to the labour share:</w:t>
      </w:r>
    </w:p>
    <w:p>
      <w:pPr>
        <w:pStyle w:val="BodyText"/>
        <w:rPr>
          <w:sz w:val="26"/>
        </w:rPr>
      </w:pPr>
    </w:p>
    <w:p>
      <w:pPr>
        <w:pStyle w:val="BodyText"/>
        <w:rPr>
          <w:sz w:val="22"/>
        </w:rPr>
      </w:pPr>
    </w:p>
    <w:p>
      <w:pPr>
        <w:pStyle w:val="BodyText"/>
        <w:tabs>
          <w:tab w:pos="1097" w:val="left" w:leader="none"/>
        </w:tabs>
        <w:ind w:left="245"/>
      </w:pPr>
      <w:r>
        <w:rPr/>
        <w:t>(15)</w:t>
        <w:tab/>
      </w:r>
      <w:r>
        <w:rPr>
          <w:spacing w:val="-3"/>
        </w:rPr>
        <w:t>y</w:t>
      </w:r>
      <w:r>
        <w:rPr>
          <w:spacing w:val="-3"/>
          <w:vertAlign w:val="subscript"/>
        </w:rPr>
        <w:t>t</w:t>
      </w:r>
      <w:r>
        <w:rPr>
          <w:spacing w:val="-3"/>
          <w:vertAlign w:val="baseline"/>
        </w:rPr>
        <w:t> </w:t>
      </w:r>
      <w:r>
        <w:rPr>
          <w:vertAlign w:val="baseline"/>
        </w:rPr>
        <w:t>= E</w:t>
      </w:r>
      <w:r>
        <w:rPr>
          <w:vertAlign w:val="subscript"/>
        </w:rPr>
        <w:t>t</w:t>
      </w:r>
      <w:r>
        <w:rPr>
          <w:vertAlign w:val="baseline"/>
        </w:rPr>
        <w:t>y</w:t>
      </w:r>
      <w:r>
        <w:rPr>
          <w:vertAlign w:val="subscript"/>
        </w:rPr>
        <w:t>t+1</w:t>
      </w:r>
      <w:r>
        <w:rPr>
          <w:vertAlign w:val="baseline"/>
        </w:rPr>
        <w:t> + E</w:t>
      </w:r>
      <w:r>
        <w:rPr>
          <w:vertAlign w:val="subscript"/>
        </w:rPr>
        <w:t>t</w:t>
      </w:r>
      <w:r>
        <w:rPr>
          <w:vertAlign w:val="baseline"/>
        </w:rPr>
        <w:t>m</w:t>
      </w:r>
      <w:r>
        <w:rPr>
          <w:vertAlign w:val="subscript"/>
        </w:rPr>
        <w:t>t+1</w:t>
      </w:r>
      <w:r>
        <w:rPr>
          <w:vertAlign w:val="baseline"/>
        </w:rPr>
        <w:t> – r</w:t>
      </w:r>
      <w:r>
        <w:rPr>
          <w:vertAlign w:val="subscript"/>
        </w:rPr>
        <w:t>t</w:t>
      </w:r>
      <w:r>
        <w:rPr>
          <w:vertAlign w:val="baseline"/>
        </w:rPr>
        <w:t> +</w:t>
      </w:r>
      <w:r>
        <w:rPr>
          <w:spacing w:val="3"/>
          <w:vertAlign w:val="baseline"/>
        </w:rPr>
        <w:t> </w:t>
      </w:r>
      <w:r>
        <w:rPr>
          <w:vertAlign w:val="baseline"/>
        </w:rPr>
        <w:t>v</w:t>
      </w:r>
      <w:r>
        <w:rPr>
          <w:vertAlign w:val="subscript"/>
        </w:rPr>
        <w:t>t</w:t>
      </w:r>
      <w:r>
        <w:rPr>
          <w:vertAlign w:val="baseline"/>
        </w:rPr>
        <w:t>.</w:t>
      </w:r>
    </w:p>
    <w:p>
      <w:pPr>
        <w:spacing w:after="0"/>
        <w:sectPr>
          <w:pgSz w:w="12240" w:h="15840"/>
          <w:pgMar w:header="0" w:footer="237" w:top="860" w:bottom="420" w:left="1720" w:right="1560"/>
        </w:sectPr>
      </w:pPr>
    </w:p>
    <w:p>
      <w:pPr>
        <w:pStyle w:val="BodyText"/>
        <w:spacing w:line="360" w:lineRule="auto" w:before="75"/>
        <w:ind w:left="245" w:right="1011"/>
      </w:pPr>
      <w:r>
        <w:rPr/>
        <w:t>This is similar to the standard expression, except for the appearance of expected marginal cost.</w:t>
      </w:r>
    </w:p>
    <w:p>
      <w:pPr>
        <w:pStyle w:val="BodyText"/>
        <w:spacing w:before="1"/>
        <w:rPr>
          <w:sz w:val="36"/>
        </w:rPr>
      </w:pPr>
    </w:p>
    <w:p>
      <w:pPr>
        <w:pStyle w:val="BodyText"/>
        <w:ind w:left="245"/>
      </w:pPr>
      <w:r>
        <w:rPr/>
        <w:t>Using equations (11) and (14), marginal cost is</w:t>
      </w:r>
    </w:p>
    <w:p>
      <w:pPr>
        <w:pStyle w:val="BodyText"/>
        <w:rPr>
          <w:sz w:val="26"/>
        </w:rPr>
      </w:pPr>
    </w:p>
    <w:p>
      <w:pPr>
        <w:pStyle w:val="BodyText"/>
        <w:spacing w:before="2"/>
        <w:rPr>
          <w:sz w:val="23"/>
        </w:rPr>
      </w:pPr>
    </w:p>
    <w:p>
      <w:pPr>
        <w:pStyle w:val="BodyText"/>
        <w:tabs>
          <w:tab w:pos="1097" w:val="left" w:leader="none"/>
        </w:tabs>
        <w:ind w:left="245"/>
      </w:pPr>
      <w:r>
        <w:rPr/>
        <w:t>(16)</w:t>
        <w:tab/>
        <w:t>m</w:t>
      </w:r>
      <w:r>
        <w:rPr>
          <w:vertAlign w:val="subscript"/>
        </w:rPr>
        <w:t>t</w:t>
      </w:r>
      <w:r>
        <w:rPr>
          <w:vertAlign w:val="baseline"/>
        </w:rPr>
        <w:t> = (</w:t>
      </w:r>
      <w:r>
        <w:rPr>
          <w:rFonts w:ascii="Arial" w:hAnsi="Arial"/>
          <w:vertAlign w:val="baseline"/>
        </w:rPr>
        <w:t>α</w:t>
      </w:r>
      <w:r>
        <w:rPr>
          <w:vertAlign w:val="baseline"/>
        </w:rPr>
        <w:t>+</w:t>
      </w:r>
      <w:r>
        <w:rPr>
          <w:rFonts w:ascii="Arial" w:hAnsi="Arial"/>
          <w:vertAlign w:val="baseline"/>
        </w:rPr>
        <w:t>$</w:t>
      </w:r>
      <w:r>
        <w:rPr>
          <w:vertAlign w:val="baseline"/>
        </w:rPr>
        <w:t>)y</w:t>
      </w:r>
      <w:r>
        <w:rPr>
          <w:vertAlign w:val="subscript"/>
        </w:rPr>
        <w:t>t</w:t>
      </w:r>
      <w:r>
        <w:rPr>
          <w:vertAlign w:val="baseline"/>
        </w:rPr>
        <w:t>/(1–</w:t>
      </w:r>
      <w:r>
        <w:rPr>
          <w:rFonts w:ascii="Arial" w:hAnsi="Arial"/>
          <w:vertAlign w:val="baseline"/>
        </w:rPr>
        <w:t>α</w:t>
      </w:r>
      <w:r>
        <w:rPr>
          <w:vertAlign w:val="baseline"/>
        </w:rPr>
        <w:t>) – (1+</w:t>
      </w:r>
      <w:r>
        <w:rPr>
          <w:rFonts w:ascii="Arial" w:hAnsi="Arial"/>
          <w:vertAlign w:val="baseline"/>
        </w:rPr>
        <w:t>$</w:t>
      </w:r>
      <w:r>
        <w:rPr>
          <w:vertAlign w:val="baseline"/>
        </w:rPr>
        <w:t>)(a</w:t>
      </w:r>
      <w:r>
        <w:rPr>
          <w:vertAlign w:val="subscript"/>
        </w:rPr>
        <w:t>t</w:t>
      </w:r>
      <w:r>
        <w:rPr>
          <w:vertAlign w:val="baseline"/>
        </w:rPr>
        <w:t> +</w:t>
      </w:r>
      <w:r>
        <w:rPr>
          <w:spacing w:val="-3"/>
          <w:vertAlign w:val="baseline"/>
        </w:rPr>
        <w:t> </w:t>
      </w:r>
      <w:r>
        <w:rPr>
          <w:rFonts w:ascii="Arial" w:hAnsi="Arial"/>
          <w:vertAlign w:val="baseline"/>
        </w:rPr>
        <w:t>α</w:t>
      </w:r>
      <w:r>
        <w:rPr>
          <w:vertAlign w:val="baseline"/>
        </w:rPr>
        <w:t>k</w:t>
      </w:r>
      <w:r>
        <w:rPr>
          <w:vertAlign w:val="subscript"/>
        </w:rPr>
        <w:t>t</w:t>
      </w:r>
      <w:r>
        <w:rPr>
          <w:vertAlign w:val="baseline"/>
        </w:rPr>
        <w:t>)/(1–</w:t>
      </w:r>
      <w:r>
        <w:rPr>
          <w:rFonts w:ascii="Arial" w:hAnsi="Arial"/>
          <w:vertAlign w:val="baseline"/>
        </w:rPr>
        <w:t>α</w:t>
      </w:r>
      <w:r>
        <w:rPr>
          <w:vertAlign w:val="baseline"/>
        </w:rPr>
        <w:t>).</w:t>
      </w:r>
    </w:p>
    <w:p>
      <w:pPr>
        <w:pStyle w:val="BodyText"/>
        <w:rPr>
          <w:sz w:val="28"/>
        </w:rPr>
      </w:pPr>
    </w:p>
    <w:p>
      <w:pPr>
        <w:pStyle w:val="BodyText"/>
        <w:spacing w:before="242"/>
        <w:ind w:left="245"/>
      </w:pPr>
      <w:r>
        <w:rPr/>
        <w:pict>
          <v:shape style="position:absolute;margin-left:272.039703pt;margin-top:17.698584pt;width:149.25pt;height:8.950pt;mso-position-horizontal-relative:page;mso-position-vertical-relative:paragraph;z-index:-16352256" type="#_x0000_t202" filled="false" stroked="false">
            <v:textbox inset="0,0,0,0">
              <w:txbxContent>
                <w:p>
                  <w:pPr>
                    <w:tabs>
                      <w:tab w:pos="2939" w:val="left" w:leader="none"/>
                    </w:tabs>
                    <w:spacing w:line="178" w:lineRule="exact" w:before="0"/>
                    <w:ind w:left="0" w:right="0" w:firstLine="0"/>
                    <w:jc w:val="left"/>
                    <w:rPr>
                      <w:sz w:val="16"/>
                    </w:rPr>
                  </w:pPr>
                  <w:r>
                    <w:rPr>
                      <w:sz w:val="16"/>
                    </w:rPr>
                    <w:t>t</w:t>
                    <w:tab/>
                  </w:r>
                  <w:r>
                    <w:rPr>
                      <w:spacing w:val="-19"/>
                      <w:sz w:val="16"/>
                    </w:rPr>
                    <w:t>t</w:t>
                  </w:r>
                </w:p>
              </w:txbxContent>
            </v:textbox>
            <w10:wrap type="none"/>
          </v:shape>
        </w:pict>
      </w:r>
      <w:r>
        <w:rPr/>
        <w:t>The flexible price level of output, y</w:t>
      </w:r>
      <w:r>
        <w:rPr>
          <w:vertAlign w:val="superscript"/>
        </w:rPr>
        <w:t>o</w:t>
      </w:r>
      <w:r>
        <w:rPr>
          <w:vertAlign w:val="baseline"/>
        </w:rPr>
        <w:t> , is then obtained by setting m = 0:</w:t>
      </w:r>
    </w:p>
    <w:p>
      <w:pPr>
        <w:pStyle w:val="BodyText"/>
        <w:rPr>
          <w:sz w:val="30"/>
        </w:rPr>
      </w:pPr>
    </w:p>
    <w:p>
      <w:pPr>
        <w:pStyle w:val="ListParagraph"/>
        <w:numPr>
          <w:ilvl w:val="0"/>
          <w:numId w:val="5"/>
        </w:numPr>
        <w:tabs>
          <w:tab w:pos="1097" w:val="left" w:leader="none"/>
          <w:tab w:pos="1098" w:val="left" w:leader="none"/>
        </w:tabs>
        <w:spacing w:line="240" w:lineRule="auto" w:before="221" w:after="0"/>
        <w:ind w:left="1097" w:right="0" w:hanging="853"/>
        <w:jc w:val="left"/>
        <w:rPr>
          <w:sz w:val="24"/>
        </w:rPr>
      </w:pPr>
      <w:r>
        <w:rPr>
          <w:sz w:val="24"/>
        </w:rPr>
        <w:t>y</w:t>
      </w:r>
      <w:r>
        <w:rPr>
          <w:sz w:val="24"/>
          <w:vertAlign w:val="superscript"/>
        </w:rPr>
        <w:t>o</w:t>
      </w:r>
      <w:r>
        <w:rPr>
          <w:sz w:val="24"/>
          <w:vertAlign w:val="subscript"/>
        </w:rPr>
        <w:t>t</w:t>
      </w:r>
      <w:r>
        <w:rPr>
          <w:sz w:val="24"/>
          <w:vertAlign w:val="baseline"/>
        </w:rPr>
        <w:t> = </w:t>
      </w:r>
      <w:r>
        <w:rPr>
          <w:rFonts w:ascii="Arial" w:hAnsi="Arial"/>
          <w:sz w:val="24"/>
          <w:vertAlign w:val="baseline"/>
        </w:rPr>
        <w:t>v</w:t>
      </w:r>
      <w:r>
        <w:rPr>
          <w:sz w:val="24"/>
          <w:vertAlign w:val="baseline"/>
        </w:rPr>
        <w:t>(a</w:t>
      </w:r>
      <w:r>
        <w:rPr>
          <w:sz w:val="24"/>
          <w:vertAlign w:val="subscript"/>
        </w:rPr>
        <w:t>t</w:t>
      </w:r>
      <w:r>
        <w:rPr>
          <w:sz w:val="24"/>
          <w:vertAlign w:val="baseline"/>
        </w:rPr>
        <w:t> + </w:t>
      </w:r>
      <w:r>
        <w:rPr>
          <w:rFonts w:ascii="Arial" w:hAnsi="Arial"/>
          <w:sz w:val="24"/>
          <w:vertAlign w:val="baseline"/>
        </w:rPr>
        <w:t>α</w:t>
      </w:r>
      <w:r>
        <w:rPr>
          <w:sz w:val="24"/>
          <w:vertAlign w:val="baseline"/>
        </w:rPr>
        <w:t>k</w:t>
      </w:r>
      <w:r>
        <w:rPr>
          <w:sz w:val="24"/>
          <w:vertAlign w:val="subscript"/>
        </w:rPr>
        <w:t>t</w:t>
      </w:r>
      <w:r>
        <w:rPr>
          <w:sz w:val="24"/>
          <w:vertAlign w:val="baseline"/>
        </w:rPr>
        <w:t>),</w:t>
      </w:r>
    </w:p>
    <w:p>
      <w:pPr>
        <w:pStyle w:val="BodyText"/>
        <w:rPr>
          <w:sz w:val="32"/>
        </w:rPr>
      </w:pPr>
    </w:p>
    <w:p>
      <w:pPr>
        <w:pStyle w:val="BodyText"/>
        <w:spacing w:before="211"/>
        <w:ind w:left="245"/>
      </w:pPr>
      <w:r>
        <w:rPr/>
        <w:t>where </w:t>
      </w:r>
      <w:r>
        <w:rPr>
          <w:rFonts w:ascii="Arial" w:hAnsi="Arial"/>
        </w:rPr>
        <w:t>v </w:t>
      </w:r>
      <w:r>
        <w:rPr/>
        <w:t>= (1+</w:t>
      </w:r>
      <w:r>
        <w:rPr>
          <w:rFonts w:ascii="Arial" w:hAnsi="Arial"/>
        </w:rPr>
        <w:t>$</w:t>
      </w:r>
      <w:r>
        <w:rPr/>
        <w:t>)/(</w:t>
      </w:r>
      <w:r>
        <w:rPr>
          <w:rFonts w:ascii="Arial" w:hAnsi="Arial"/>
        </w:rPr>
        <w:t>α</w:t>
      </w:r>
      <w:r>
        <w:rPr/>
        <w:t>+</w:t>
      </w:r>
      <w:r>
        <w:rPr>
          <w:rFonts w:ascii="Arial" w:hAnsi="Arial"/>
        </w:rPr>
        <w:t>$</w:t>
      </w:r>
      <w:r>
        <w:rPr/>
        <w:t>). The model may then be condensed into the two equations:</w:t>
      </w:r>
    </w:p>
    <w:p>
      <w:pPr>
        <w:pStyle w:val="BodyText"/>
        <w:rPr>
          <w:sz w:val="26"/>
        </w:rPr>
      </w:pPr>
    </w:p>
    <w:p>
      <w:pPr>
        <w:pStyle w:val="BodyText"/>
        <w:spacing w:before="3"/>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rFonts w:ascii="Arial" w:hAnsi="Arial"/>
          <w:sz w:val="24"/>
        </w:rPr>
        <w:t>n</w:t>
      </w:r>
      <w:r>
        <w:rPr>
          <w:sz w:val="24"/>
          <w:vertAlign w:val="subscript"/>
        </w:rPr>
        <w:t>t</w:t>
      </w:r>
      <w:r>
        <w:rPr>
          <w:sz w:val="24"/>
          <w:vertAlign w:val="baseline"/>
        </w:rPr>
        <w:t> = </w:t>
      </w:r>
      <w:r>
        <w:rPr>
          <w:rFonts w:ascii="Arial" w:hAnsi="Arial"/>
          <w:sz w:val="24"/>
          <w:vertAlign w:val="baseline"/>
        </w:rPr>
        <w:t>þ</w:t>
      </w:r>
      <w:r>
        <w:rPr>
          <w:sz w:val="24"/>
          <w:vertAlign w:val="baseline"/>
        </w:rPr>
        <w:t>E</w:t>
      </w:r>
      <w:r>
        <w:rPr>
          <w:sz w:val="24"/>
          <w:vertAlign w:val="subscript"/>
        </w:rPr>
        <w:t>t</w:t>
      </w:r>
      <w:r>
        <w:rPr>
          <w:rFonts w:ascii="Arial" w:hAnsi="Arial"/>
          <w:sz w:val="24"/>
          <w:vertAlign w:val="baseline"/>
        </w:rPr>
        <w:t>n</w:t>
      </w:r>
      <w:r>
        <w:rPr>
          <w:sz w:val="24"/>
          <w:vertAlign w:val="subscript"/>
        </w:rPr>
        <w:t>t+1</w:t>
      </w:r>
      <w:r>
        <w:rPr>
          <w:sz w:val="24"/>
          <w:vertAlign w:val="baseline"/>
        </w:rPr>
        <w:t> + </w:t>
      </w:r>
      <w:r>
        <w:rPr>
          <w:rFonts w:ascii="Arial" w:hAnsi="Arial"/>
          <w:sz w:val="24"/>
          <w:vertAlign w:val="baseline"/>
        </w:rPr>
        <w:t>n</w:t>
      </w:r>
      <w:r>
        <w:rPr>
          <w:sz w:val="24"/>
          <w:vertAlign w:val="baseline"/>
        </w:rPr>
        <w:t>x</w:t>
      </w:r>
      <w:r>
        <w:rPr>
          <w:sz w:val="24"/>
          <w:vertAlign w:val="subscript"/>
        </w:rPr>
        <w:t>t</w:t>
      </w:r>
      <w:r>
        <w:rPr>
          <w:sz w:val="24"/>
          <w:vertAlign w:val="baseline"/>
        </w:rPr>
        <w:t> +</w:t>
      </w:r>
      <w:r>
        <w:rPr>
          <w:spacing w:val="-1"/>
          <w:sz w:val="24"/>
          <w:vertAlign w:val="baseline"/>
        </w:rPr>
        <w:t> </w:t>
      </w:r>
      <w:r>
        <w:rPr>
          <w:sz w:val="24"/>
          <w:vertAlign w:val="baseline"/>
        </w:rPr>
        <w:t>u</w:t>
      </w:r>
      <w:r>
        <w:rPr>
          <w:sz w:val="24"/>
          <w:vertAlign w:val="subscript"/>
        </w:rPr>
        <w:t>t</w:t>
      </w:r>
      <w:r>
        <w:rPr>
          <w:sz w:val="24"/>
          <w:vertAlign w:val="baseline"/>
        </w:rPr>
        <w:t>,</w:t>
      </w:r>
    </w:p>
    <w:p>
      <w:pPr>
        <w:pStyle w:val="BodyText"/>
        <w:rPr>
          <w:sz w:val="28"/>
        </w:rPr>
      </w:pPr>
    </w:p>
    <w:p>
      <w:pPr>
        <w:pStyle w:val="BodyText"/>
        <w:spacing w:before="2"/>
        <w:rPr>
          <w:sz w:val="22"/>
        </w:rPr>
      </w:pPr>
    </w:p>
    <w:p>
      <w:pPr>
        <w:pStyle w:val="BodyText"/>
        <w:ind w:left="245"/>
      </w:pPr>
      <w:r>
        <w:rPr/>
        <w:pict>
          <v:shape style="position:absolute;margin-left:185.639694pt;margin-top:5.651318pt;width:2.25pt;height:8.950pt;mso-position-horizontal-relative:page;mso-position-vertical-relative:paragraph;z-index:-16351744" type="#_x0000_t202" filled="false" stroked="false">
            <v:textbox inset="0,0,0,0">
              <w:txbxContent>
                <w:p>
                  <w:pPr>
                    <w:spacing w:line="178" w:lineRule="exact" w:before="0"/>
                    <w:ind w:left="0" w:right="0" w:firstLine="0"/>
                    <w:jc w:val="left"/>
                    <w:rPr>
                      <w:sz w:val="16"/>
                    </w:rPr>
                  </w:pPr>
                  <w:r>
                    <w:rPr>
                      <w:w w:val="100"/>
                      <w:sz w:val="16"/>
                    </w:rPr>
                    <w:t>t</w:t>
                  </w:r>
                </w:p>
              </w:txbxContent>
            </v:textbox>
            <w10:wrap type="none"/>
          </v:shape>
        </w:pict>
      </w:r>
      <w:r>
        <w:rPr/>
        <w:t>where x</w:t>
      </w:r>
      <w:r>
        <w:rPr>
          <w:vertAlign w:val="subscript"/>
        </w:rPr>
        <w:t>t</w:t>
      </w:r>
      <w:r>
        <w:rPr>
          <w:vertAlign w:val="baseline"/>
        </w:rPr>
        <w:t> (= y</w:t>
      </w:r>
      <w:r>
        <w:rPr>
          <w:vertAlign w:val="subscript"/>
        </w:rPr>
        <w:t>t</w:t>
      </w:r>
      <w:r>
        <w:rPr>
          <w:vertAlign w:val="baseline"/>
        </w:rPr>
        <w:t> – y</w:t>
      </w:r>
      <w:r>
        <w:rPr>
          <w:vertAlign w:val="superscript"/>
        </w:rPr>
        <w:t>o</w:t>
      </w:r>
      <w:r>
        <w:rPr>
          <w:vertAlign w:val="baseline"/>
        </w:rPr>
        <w:t> ) is the output gap and </w:t>
      </w:r>
      <w:r>
        <w:rPr>
          <w:rFonts w:ascii="Arial" w:hAnsi="Arial"/>
          <w:vertAlign w:val="baseline"/>
        </w:rPr>
        <w:t>n </w:t>
      </w:r>
      <w:r>
        <w:rPr>
          <w:vertAlign w:val="baseline"/>
        </w:rPr>
        <w:t>= </w:t>
      </w:r>
      <w:r>
        <w:rPr>
          <w:rFonts w:ascii="Arial" w:hAnsi="Arial"/>
          <w:vertAlign w:val="baseline"/>
        </w:rPr>
        <w:t>6</w:t>
      </w:r>
      <w:r>
        <w:rPr>
          <w:vertAlign w:val="baseline"/>
        </w:rPr>
        <w:t>(</w:t>
      </w:r>
      <w:r>
        <w:rPr>
          <w:rFonts w:ascii="Arial" w:hAnsi="Arial"/>
          <w:vertAlign w:val="baseline"/>
        </w:rPr>
        <w:t>α</w:t>
      </w:r>
      <w:r>
        <w:rPr>
          <w:vertAlign w:val="baseline"/>
        </w:rPr>
        <w:t>+</w:t>
      </w:r>
      <w:r>
        <w:rPr>
          <w:rFonts w:ascii="Arial" w:hAnsi="Arial"/>
          <w:vertAlign w:val="baseline"/>
        </w:rPr>
        <w:t>$</w:t>
      </w:r>
      <w:r>
        <w:rPr>
          <w:vertAlign w:val="baseline"/>
        </w:rPr>
        <w:t>)/(1–</w:t>
      </w:r>
      <w:r>
        <w:rPr>
          <w:rFonts w:ascii="Arial" w:hAnsi="Arial"/>
          <w:vertAlign w:val="baseline"/>
        </w:rPr>
        <w:t>α</w:t>
      </w:r>
      <w:r>
        <w:rPr>
          <w:vertAlign w:val="baseline"/>
        </w:rPr>
        <w:t>), and:</w:t>
      </w:r>
    </w:p>
    <w:p>
      <w:pPr>
        <w:pStyle w:val="BodyText"/>
        <w:rPr>
          <w:sz w:val="32"/>
        </w:rPr>
      </w:pPr>
    </w:p>
    <w:p>
      <w:pPr>
        <w:pStyle w:val="ListParagraph"/>
        <w:numPr>
          <w:ilvl w:val="0"/>
          <w:numId w:val="5"/>
        </w:numPr>
        <w:tabs>
          <w:tab w:pos="1097" w:val="left" w:leader="none"/>
          <w:tab w:pos="1098" w:val="left" w:leader="none"/>
        </w:tabs>
        <w:spacing w:line="240" w:lineRule="auto" w:before="210" w:after="0"/>
        <w:ind w:left="1097" w:right="0" w:hanging="853"/>
        <w:jc w:val="left"/>
        <w:rPr>
          <w:sz w:val="24"/>
        </w:rPr>
      </w:pPr>
      <w:r>
        <w:rPr/>
        <w:pict>
          <v:shape style="position:absolute;margin-left:216.119705pt;margin-top:16.151348pt;width:2.25pt;height:8.950pt;mso-position-horizontal-relative:page;mso-position-vertical-relative:paragraph;z-index:-16351232" type="#_x0000_t202" filled="false" stroked="false">
            <v:textbox inset="0,0,0,0">
              <w:txbxContent>
                <w:p>
                  <w:pPr>
                    <w:spacing w:line="178" w:lineRule="exact" w:before="0"/>
                    <w:ind w:left="0" w:right="0" w:firstLine="0"/>
                    <w:jc w:val="left"/>
                    <w:rPr>
                      <w:sz w:val="16"/>
                    </w:rPr>
                  </w:pPr>
                  <w:r>
                    <w:rPr>
                      <w:w w:val="100"/>
                      <w:sz w:val="16"/>
                    </w:rPr>
                    <w:t>t</w:t>
                  </w:r>
                </w:p>
              </w:txbxContent>
            </v:textbox>
            <w10:wrap type="none"/>
          </v:shape>
        </w:pict>
      </w:r>
      <w:r>
        <w:rPr>
          <w:sz w:val="24"/>
        </w:rPr>
        <w:t>x</w:t>
      </w:r>
      <w:r>
        <w:rPr>
          <w:sz w:val="24"/>
          <w:vertAlign w:val="subscript"/>
        </w:rPr>
        <w:t>t</w:t>
      </w:r>
      <w:r>
        <w:rPr>
          <w:sz w:val="24"/>
          <w:vertAlign w:val="baseline"/>
        </w:rPr>
        <w:t> = </w:t>
      </w:r>
      <w:r>
        <w:rPr>
          <w:rFonts w:ascii="Arial" w:hAnsi="Arial"/>
          <w:sz w:val="24"/>
          <w:vertAlign w:val="baseline"/>
        </w:rPr>
        <w:t>y</w:t>
      </w:r>
      <w:r>
        <w:rPr>
          <w:sz w:val="24"/>
          <w:vertAlign w:val="baseline"/>
        </w:rPr>
        <w:t>E</w:t>
      </w:r>
      <w:r>
        <w:rPr>
          <w:sz w:val="24"/>
          <w:vertAlign w:val="subscript"/>
        </w:rPr>
        <w:t>t</w:t>
      </w:r>
      <w:r>
        <w:rPr>
          <w:sz w:val="24"/>
          <w:vertAlign w:val="baseline"/>
        </w:rPr>
        <w:t>x</w:t>
      </w:r>
      <w:r>
        <w:rPr>
          <w:sz w:val="24"/>
          <w:vertAlign w:val="subscript"/>
        </w:rPr>
        <w:t>t+1</w:t>
      </w:r>
      <w:r>
        <w:rPr>
          <w:sz w:val="24"/>
          <w:vertAlign w:val="baseline"/>
        </w:rPr>
        <w:t> + r</w:t>
      </w:r>
      <w:r>
        <w:rPr>
          <w:sz w:val="24"/>
          <w:vertAlign w:val="superscript"/>
        </w:rPr>
        <w:t>o</w:t>
      </w:r>
      <w:r>
        <w:rPr>
          <w:sz w:val="24"/>
          <w:vertAlign w:val="baseline"/>
        </w:rPr>
        <w:t> – r</w:t>
      </w:r>
      <w:r>
        <w:rPr>
          <w:sz w:val="24"/>
          <w:vertAlign w:val="subscript"/>
        </w:rPr>
        <w:t>t</w:t>
      </w:r>
      <w:r>
        <w:rPr>
          <w:sz w:val="24"/>
          <w:vertAlign w:val="baseline"/>
        </w:rPr>
        <w:t> +</w:t>
      </w:r>
      <w:r>
        <w:rPr>
          <w:spacing w:val="-37"/>
          <w:sz w:val="24"/>
          <w:vertAlign w:val="baseline"/>
        </w:rPr>
        <w:t> </w:t>
      </w:r>
      <w:r>
        <w:rPr>
          <w:sz w:val="24"/>
          <w:vertAlign w:val="baseline"/>
        </w:rPr>
        <w:t>v</w:t>
      </w:r>
      <w:r>
        <w:rPr>
          <w:sz w:val="24"/>
          <w:vertAlign w:val="subscript"/>
        </w:rPr>
        <w:t>t</w:t>
      </w:r>
      <w:r>
        <w:rPr>
          <w:sz w:val="24"/>
          <w:vertAlign w:val="baseline"/>
        </w:rPr>
        <w:t>,</w:t>
      </w:r>
    </w:p>
    <w:p>
      <w:pPr>
        <w:pStyle w:val="BodyText"/>
        <w:rPr>
          <w:sz w:val="32"/>
        </w:rPr>
      </w:pPr>
    </w:p>
    <w:p>
      <w:pPr>
        <w:pStyle w:val="BodyText"/>
        <w:tabs>
          <w:tab w:pos="2016" w:val="left" w:leader="none"/>
        </w:tabs>
        <w:spacing w:line="362" w:lineRule="auto" w:before="211"/>
        <w:ind w:left="245" w:right="407"/>
      </w:pPr>
      <w:r>
        <w:rPr/>
        <w:pict>
          <v:shape style="position:absolute;margin-left:138.479706pt;margin-top:16.201296pt;width:69.45pt;height:8.950pt;mso-position-horizontal-relative:page;mso-position-vertical-relative:paragraph;z-index:-16350720" type="#_x0000_t202" filled="false" stroked="false">
            <v:textbox inset="0,0,0,0">
              <w:txbxContent>
                <w:p>
                  <w:pPr>
                    <w:tabs>
                      <w:tab w:pos="446" w:val="left" w:leader="none"/>
                      <w:tab w:pos="1343" w:val="left" w:leader="none"/>
                    </w:tabs>
                    <w:spacing w:line="178" w:lineRule="exact" w:before="0"/>
                    <w:ind w:left="0" w:right="0" w:firstLine="0"/>
                    <w:jc w:val="left"/>
                    <w:rPr>
                      <w:sz w:val="16"/>
                    </w:rPr>
                  </w:pPr>
                  <w:r>
                    <w:rPr>
                      <w:sz w:val="16"/>
                    </w:rPr>
                    <w:t>t</w:t>
                    <w:tab/>
                    <w:t>t   </w:t>
                  </w:r>
                  <w:r>
                    <w:rPr>
                      <w:spacing w:val="37"/>
                      <w:sz w:val="16"/>
                    </w:rPr>
                    <w:t> </w:t>
                  </w:r>
                  <w:r>
                    <w:rPr>
                      <w:sz w:val="16"/>
                    </w:rPr>
                    <w:t>t+1</w:t>
                    <w:tab/>
                  </w:r>
                  <w:r>
                    <w:rPr>
                      <w:spacing w:val="-19"/>
                      <w:sz w:val="16"/>
                    </w:rPr>
                    <w:t>t</w:t>
                  </w:r>
                </w:p>
              </w:txbxContent>
            </v:textbox>
            <w10:wrap type="none"/>
          </v:shape>
        </w:pict>
      </w:r>
      <w:r>
        <w:rPr/>
        <w:t>where r</w:t>
      </w:r>
      <w:r>
        <w:rPr>
          <w:vertAlign w:val="superscript"/>
        </w:rPr>
        <w:t>o</w:t>
      </w:r>
      <w:r>
        <w:rPr>
          <w:vertAlign w:val="baseline"/>
        </w:rPr>
        <w:t>  =</w:t>
      </w:r>
      <w:r>
        <w:rPr>
          <w:spacing w:val="-21"/>
          <w:vertAlign w:val="baseline"/>
        </w:rPr>
        <w:t> </w:t>
      </w:r>
      <w:r>
        <w:rPr>
          <w:vertAlign w:val="baseline"/>
        </w:rPr>
        <w:t>E</w:t>
      </w:r>
      <w:r>
        <w:rPr>
          <w:spacing w:val="-14"/>
          <w:vertAlign w:val="baseline"/>
        </w:rPr>
        <w:t> </w:t>
      </w:r>
      <w:r>
        <w:rPr>
          <w:spacing w:val="-3"/>
          <w:vertAlign w:val="baseline"/>
        </w:rPr>
        <w:t>y</w:t>
      </w:r>
      <w:r>
        <w:rPr>
          <w:spacing w:val="-3"/>
          <w:vertAlign w:val="superscript"/>
        </w:rPr>
        <w:t>o</w:t>
      </w:r>
      <w:r>
        <w:rPr>
          <w:spacing w:val="-3"/>
          <w:vertAlign w:val="baseline"/>
        </w:rPr>
        <w:tab/>
      </w:r>
      <w:r>
        <w:rPr>
          <w:vertAlign w:val="baseline"/>
        </w:rPr>
        <w:t>– </w:t>
      </w:r>
      <w:r>
        <w:rPr>
          <w:spacing w:val="-3"/>
          <w:vertAlign w:val="baseline"/>
        </w:rPr>
        <w:t>y</w:t>
      </w:r>
      <w:r>
        <w:rPr>
          <w:spacing w:val="-3"/>
          <w:vertAlign w:val="superscript"/>
        </w:rPr>
        <w:t>o</w:t>
      </w:r>
      <w:r>
        <w:rPr>
          <w:spacing w:val="-3"/>
          <w:vertAlign w:val="baseline"/>
        </w:rPr>
        <w:t> </w:t>
      </w:r>
      <w:r>
        <w:rPr>
          <w:vertAlign w:val="baseline"/>
        </w:rPr>
        <w:t>is the natural real rate of interest and </w:t>
      </w:r>
      <w:r>
        <w:rPr>
          <w:rFonts w:ascii="Arial" w:hAnsi="Arial"/>
          <w:vertAlign w:val="baseline"/>
        </w:rPr>
        <w:t>y </w:t>
      </w:r>
      <w:r>
        <w:rPr>
          <w:vertAlign w:val="baseline"/>
        </w:rPr>
        <w:t>= (1+</w:t>
      </w:r>
      <w:r>
        <w:rPr>
          <w:rFonts w:ascii="Arial" w:hAnsi="Arial"/>
          <w:vertAlign w:val="baseline"/>
        </w:rPr>
        <w:t>$</w:t>
      </w:r>
      <w:r>
        <w:rPr>
          <w:vertAlign w:val="baseline"/>
        </w:rPr>
        <w:t>)/(1–</w:t>
      </w:r>
      <w:r>
        <w:rPr>
          <w:rFonts w:ascii="Arial" w:hAnsi="Arial"/>
          <w:vertAlign w:val="baseline"/>
        </w:rPr>
        <w:t>α</w:t>
      </w:r>
      <w:r>
        <w:rPr>
          <w:vertAlign w:val="baseline"/>
        </w:rPr>
        <w:t>) (= </w:t>
      </w:r>
      <w:r>
        <w:rPr>
          <w:rFonts w:ascii="Arial" w:hAnsi="Arial"/>
          <w:vertAlign w:val="baseline"/>
        </w:rPr>
        <w:t>nv</w:t>
      </w:r>
      <w:r>
        <w:rPr>
          <w:vertAlign w:val="baseline"/>
        </w:rPr>
        <w:t>/</w:t>
      </w:r>
      <w:r>
        <w:rPr>
          <w:rFonts w:ascii="Arial" w:hAnsi="Arial"/>
          <w:vertAlign w:val="baseline"/>
        </w:rPr>
        <w:t>6</w:t>
      </w:r>
      <w:r>
        <w:rPr>
          <w:vertAlign w:val="baseline"/>
        </w:rPr>
        <w:t>). Aside from the coefficient on the expected output gap in (19), this is isomorphic to the standard New Keynesian model considered in section 2, though the impact of interest rates on demand is via their effect on investment rather than</w:t>
      </w:r>
      <w:r>
        <w:rPr>
          <w:spacing w:val="-12"/>
          <w:vertAlign w:val="baseline"/>
        </w:rPr>
        <w:t> </w:t>
      </w:r>
      <w:r>
        <w:rPr>
          <w:vertAlign w:val="baseline"/>
        </w:rPr>
        <w:t>consumption.</w:t>
      </w:r>
    </w:p>
    <w:p>
      <w:pPr>
        <w:pStyle w:val="BodyText"/>
        <w:rPr>
          <w:sz w:val="36"/>
        </w:rPr>
      </w:pPr>
    </w:p>
    <w:p>
      <w:pPr>
        <w:pStyle w:val="BodyText"/>
        <w:spacing w:line="360" w:lineRule="auto"/>
        <w:ind w:left="245" w:right="677"/>
      </w:pPr>
      <w:r>
        <w:rPr/>
        <w:t>We now consider the policy maker’s control problem. Crucially we assume that the policy maker would like to stabilise output around its </w:t>
      </w:r>
      <w:r>
        <w:rPr>
          <w:i/>
        </w:rPr>
        <w:t>technically </w:t>
      </w:r>
      <w:r>
        <w:rPr/>
        <w:t>feasible level:</w:t>
      </w:r>
    </w:p>
    <w:p>
      <w:pPr>
        <w:pStyle w:val="BodyText"/>
        <w:spacing w:before="3"/>
        <w:rPr>
          <w:sz w:val="37"/>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sz w:val="24"/>
        </w:rPr>
        <w:t>y*</w:t>
      </w:r>
      <w:r>
        <w:rPr>
          <w:sz w:val="24"/>
          <w:vertAlign w:val="subscript"/>
        </w:rPr>
        <w:t>t</w:t>
      </w:r>
      <w:r>
        <w:rPr>
          <w:sz w:val="24"/>
          <w:vertAlign w:val="baseline"/>
        </w:rPr>
        <w:t> = </w:t>
      </w:r>
      <w:r>
        <w:rPr>
          <w:rFonts w:ascii="Arial" w:hAnsi="Arial"/>
          <w:sz w:val="24"/>
          <w:vertAlign w:val="baseline"/>
        </w:rPr>
        <w:t>v</w:t>
      </w:r>
      <w:r>
        <w:rPr>
          <w:sz w:val="24"/>
          <w:vertAlign w:val="baseline"/>
        </w:rPr>
        <w:t>(e</w:t>
      </w:r>
      <w:r>
        <w:rPr>
          <w:sz w:val="24"/>
          <w:vertAlign w:val="subscript"/>
        </w:rPr>
        <w:t>t</w:t>
      </w:r>
      <w:r>
        <w:rPr>
          <w:sz w:val="24"/>
          <w:vertAlign w:val="baseline"/>
        </w:rPr>
        <w:t> + </w:t>
      </w:r>
      <w:r>
        <w:rPr>
          <w:rFonts w:ascii="Arial" w:hAnsi="Arial"/>
          <w:sz w:val="24"/>
          <w:vertAlign w:val="baseline"/>
        </w:rPr>
        <w:t>α</w:t>
      </w:r>
      <w:r>
        <w:rPr>
          <w:sz w:val="24"/>
          <w:vertAlign w:val="baseline"/>
        </w:rPr>
        <w:t>k</w:t>
      </w:r>
      <w:r>
        <w:rPr>
          <w:sz w:val="24"/>
          <w:vertAlign w:val="subscript"/>
        </w:rPr>
        <w:t>t</w:t>
      </w:r>
      <w:r>
        <w:rPr>
          <w:sz w:val="24"/>
          <w:vertAlign w:val="baseline"/>
        </w:rPr>
        <w:t>).</w:t>
      </w:r>
    </w:p>
    <w:p>
      <w:pPr>
        <w:pStyle w:val="BodyText"/>
        <w:rPr>
          <w:sz w:val="28"/>
        </w:rPr>
      </w:pPr>
    </w:p>
    <w:p>
      <w:pPr>
        <w:pStyle w:val="BodyText"/>
        <w:spacing w:line="360" w:lineRule="auto" w:before="242"/>
        <w:ind w:left="245" w:right="557"/>
      </w:pPr>
      <w:r>
        <w:rPr/>
        <w:t>When there is no credit crunch, this is just the same as the flexible price equilibrium, y</w:t>
      </w:r>
      <w:r>
        <w:rPr>
          <w:vertAlign w:val="superscript"/>
        </w:rPr>
        <w:t>o</w:t>
      </w:r>
      <w:r>
        <w:rPr>
          <w:vertAlign w:val="subscript"/>
        </w:rPr>
        <w:t>t</w:t>
      </w:r>
      <w:r>
        <w:rPr>
          <w:vertAlign w:val="baseline"/>
        </w:rPr>
        <w:t>. But when a credit crunch occurs, there will be a gap between the two, which is larger the greater is the current debt-output ratio. The relevant gap, x*</w:t>
      </w:r>
      <w:r>
        <w:rPr>
          <w:vertAlign w:val="subscript"/>
        </w:rPr>
        <w:t>t</w:t>
      </w:r>
      <w:r>
        <w:rPr>
          <w:vertAlign w:val="baseline"/>
        </w:rPr>
        <w:t> is:</w:t>
      </w:r>
    </w:p>
    <w:p>
      <w:pPr>
        <w:spacing w:after="0" w:line="360" w:lineRule="auto"/>
        <w:sectPr>
          <w:pgSz w:w="12240" w:h="15840"/>
          <w:pgMar w:header="0" w:footer="237" w:top="860" w:bottom="420" w:left="1720" w:right="1560"/>
        </w:sectPr>
      </w:pPr>
    </w:p>
    <w:p>
      <w:pPr>
        <w:pStyle w:val="ListParagraph"/>
        <w:numPr>
          <w:ilvl w:val="0"/>
          <w:numId w:val="5"/>
        </w:numPr>
        <w:tabs>
          <w:tab w:pos="1097" w:val="left" w:leader="none"/>
          <w:tab w:pos="1098" w:val="left" w:leader="none"/>
        </w:tabs>
        <w:spacing w:line="240" w:lineRule="auto" w:before="115" w:after="0"/>
        <w:ind w:left="1097" w:right="0" w:hanging="853"/>
        <w:jc w:val="left"/>
        <w:rPr>
          <w:sz w:val="24"/>
        </w:rPr>
      </w:pPr>
      <w:r>
        <w:rPr/>
        <w:pict>
          <v:shape style="position:absolute;margin-left:200.87970pt;margin-top:11.348577pt;width:35.25pt;height:8.950pt;mso-position-horizontal-relative:page;mso-position-vertical-relative:paragraph;z-index:-16350208" type="#_x0000_t202" filled="false" stroked="false">
            <v:textbox inset="0,0,0,0">
              <w:txbxContent>
                <w:p>
                  <w:pPr>
                    <w:tabs>
                      <w:tab w:pos="659" w:val="left" w:leader="none"/>
                    </w:tabs>
                    <w:spacing w:line="178" w:lineRule="exact" w:before="0"/>
                    <w:ind w:left="0" w:right="0" w:firstLine="0"/>
                    <w:jc w:val="left"/>
                    <w:rPr>
                      <w:sz w:val="16"/>
                    </w:rPr>
                  </w:pPr>
                  <w:r>
                    <w:rPr>
                      <w:sz w:val="16"/>
                    </w:rPr>
                    <w:t>t</w:t>
                    <w:tab/>
                  </w:r>
                  <w:r>
                    <w:rPr>
                      <w:spacing w:val="-19"/>
                      <w:sz w:val="16"/>
                    </w:rPr>
                    <w:t>t</w:t>
                  </w:r>
                </w:p>
              </w:txbxContent>
            </v:textbox>
            <w10:wrap type="none"/>
          </v:shape>
        </w:pict>
      </w:r>
      <w:r>
        <w:rPr>
          <w:sz w:val="24"/>
        </w:rPr>
        <w:t>x*</w:t>
      </w:r>
      <w:r>
        <w:rPr>
          <w:sz w:val="24"/>
          <w:vertAlign w:val="subscript"/>
        </w:rPr>
        <w:t>t</w:t>
      </w:r>
      <w:r>
        <w:rPr>
          <w:sz w:val="24"/>
          <w:vertAlign w:val="baseline"/>
        </w:rPr>
        <w:t> = </w:t>
      </w:r>
      <w:r>
        <w:rPr>
          <w:spacing w:val="-3"/>
          <w:sz w:val="24"/>
          <w:vertAlign w:val="baseline"/>
        </w:rPr>
        <w:t>(y</w:t>
      </w:r>
      <w:r>
        <w:rPr>
          <w:spacing w:val="-3"/>
          <w:sz w:val="24"/>
          <w:vertAlign w:val="subscript"/>
        </w:rPr>
        <w:t>t</w:t>
      </w:r>
      <w:r>
        <w:rPr>
          <w:spacing w:val="-3"/>
          <w:sz w:val="24"/>
          <w:vertAlign w:val="baseline"/>
        </w:rPr>
        <w:t> </w:t>
      </w:r>
      <w:r>
        <w:rPr>
          <w:sz w:val="24"/>
          <w:vertAlign w:val="baseline"/>
        </w:rPr>
        <w:t>– </w:t>
      </w:r>
      <w:r>
        <w:rPr>
          <w:spacing w:val="-3"/>
          <w:sz w:val="24"/>
          <w:vertAlign w:val="baseline"/>
        </w:rPr>
        <w:t>y</w:t>
      </w:r>
      <w:r>
        <w:rPr>
          <w:spacing w:val="-3"/>
          <w:sz w:val="24"/>
          <w:vertAlign w:val="superscript"/>
        </w:rPr>
        <w:t>o</w:t>
      </w:r>
      <w:r>
        <w:rPr>
          <w:spacing w:val="-3"/>
          <w:sz w:val="24"/>
          <w:vertAlign w:val="baseline"/>
        </w:rPr>
        <w:t> </w:t>
      </w:r>
      <w:r>
        <w:rPr>
          <w:sz w:val="24"/>
          <w:vertAlign w:val="baseline"/>
        </w:rPr>
        <w:t>) + (y</w:t>
      </w:r>
      <w:r>
        <w:rPr>
          <w:sz w:val="24"/>
          <w:vertAlign w:val="superscript"/>
        </w:rPr>
        <w:t>o</w:t>
      </w:r>
      <w:r>
        <w:rPr>
          <w:sz w:val="24"/>
          <w:vertAlign w:val="baseline"/>
        </w:rPr>
        <w:t> – y*</w:t>
      </w:r>
      <w:r>
        <w:rPr>
          <w:sz w:val="24"/>
          <w:vertAlign w:val="subscript"/>
        </w:rPr>
        <w:t>t</w:t>
      </w:r>
      <w:r>
        <w:rPr>
          <w:spacing w:val="-41"/>
          <w:sz w:val="24"/>
          <w:vertAlign w:val="baseline"/>
        </w:rPr>
        <w:t> </w:t>
      </w:r>
      <w:r>
        <w:rPr>
          <w:sz w:val="24"/>
          <w:vertAlign w:val="baseline"/>
        </w:rPr>
        <w:t>)</w:t>
      </w:r>
    </w:p>
    <w:p>
      <w:pPr>
        <w:pStyle w:val="BodyText"/>
        <w:rPr>
          <w:sz w:val="32"/>
        </w:rPr>
      </w:pPr>
    </w:p>
    <w:p>
      <w:pPr>
        <w:pStyle w:val="BodyText"/>
        <w:spacing w:before="200"/>
        <w:ind w:left="1385"/>
      </w:pPr>
      <w:r>
        <w:rPr/>
        <w:t>= x</w:t>
      </w:r>
      <w:r>
        <w:rPr>
          <w:vertAlign w:val="subscript"/>
        </w:rPr>
        <w:t>t</w:t>
      </w:r>
      <w:r>
        <w:rPr>
          <w:vertAlign w:val="baseline"/>
        </w:rPr>
        <w:t> – </w:t>
      </w:r>
      <w:r>
        <w:rPr>
          <w:rFonts w:ascii="Arial" w:hAnsi="Arial"/>
          <w:vertAlign w:val="baseline"/>
        </w:rPr>
        <w:t>vs</w:t>
      </w:r>
      <w:r>
        <w:rPr>
          <w:vertAlign w:val="subscript"/>
        </w:rPr>
        <w:t>t</w:t>
      </w:r>
      <w:r>
        <w:rPr>
          <w:vertAlign w:val="baseline"/>
        </w:rPr>
        <w:t>[</w:t>
      </w:r>
      <w:r>
        <w:rPr>
          <w:rFonts w:ascii="Arial" w:hAnsi="Arial"/>
          <w:vertAlign w:val="baseline"/>
        </w:rPr>
        <w:t>α </w:t>
      </w:r>
      <w:r>
        <w:rPr>
          <w:vertAlign w:val="baseline"/>
        </w:rPr>
        <w:t>+ </w:t>
      </w:r>
      <w:r>
        <w:rPr>
          <w:rFonts w:ascii="Arial" w:hAnsi="Arial"/>
          <w:vertAlign w:val="baseline"/>
        </w:rPr>
        <w:t>m</w:t>
      </w:r>
      <w:r>
        <w:rPr>
          <w:vertAlign w:val="baseline"/>
        </w:rPr>
        <w:t>(k</w:t>
      </w:r>
      <w:r>
        <w:rPr>
          <w:vertAlign w:val="subscript"/>
        </w:rPr>
        <w:t>t</w:t>
      </w:r>
      <w:r>
        <w:rPr>
          <w:vertAlign w:val="baseline"/>
        </w:rPr>
        <w:t> + r</w:t>
      </w:r>
      <w:r>
        <w:rPr>
          <w:vertAlign w:val="subscript"/>
        </w:rPr>
        <w:t>t-1</w:t>
      </w:r>
      <w:r>
        <w:rPr>
          <w:vertAlign w:val="baseline"/>
        </w:rPr>
        <w:t> – E</w:t>
      </w:r>
      <w:r>
        <w:rPr>
          <w:vertAlign w:val="subscript"/>
        </w:rPr>
        <w:t>t-1</w:t>
      </w:r>
      <w:r>
        <w:rPr>
          <w:vertAlign w:val="baseline"/>
        </w:rPr>
        <w:t>y</w:t>
      </w:r>
      <w:r>
        <w:rPr>
          <w:vertAlign w:val="subscript"/>
        </w:rPr>
        <w:t>t</w:t>
      </w:r>
      <w:r>
        <w:rPr>
          <w:vertAlign w:val="baseline"/>
        </w:rPr>
        <w:t>)]</w:t>
      </w:r>
    </w:p>
    <w:p>
      <w:pPr>
        <w:pStyle w:val="BodyText"/>
        <w:rPr>
          <w:sz w:val="28"/>
        </w:rPr>
      </w:pPr>
    </w:p>
    <w:p>
      <w:pPr>
        <w:pStyle w:val="BodyText"/>
        <w:spacing w:before="2"/>
        <w:rPr>
          <w:sz w:val="22"/>
        </w:rPr>
      </w:pPr>
    </w:p>
    <w:p>
      <w:pPr>
        <w:pStyle w:val="BodyText"/>
        <w:ind w:left="1385"/>
      </w:pPr>
      <w:r>
        <w:rPr/>
        <w:t>= x</w:t>
      </w:r>
      <w:r>
        <w:rPr>
          <w:vertAlign w:val="subscript"/>
        </w:rPr>
        <w:t>t</w:t>
      </w:r>
      <w:r>
        <w:rPr>
          <w:vertAlign w:val="baseline"/>
        </w:rPr>
        <w:t> – </w:t>
      </w:r>
      <w:r>
        <w:rPr>
          <w:rFonts w:ascii="Arial" w:hAnsi="Arial"/>
          <w:vertAlign w:val="baseline"/>
        </w:rPr>
        <w:t>vs</w:t>
      </w:r>
      <w:r>
        <w:rPr>
          <w:vertAlign w:val="subscript"/>
        </w:rPr>
        <w:t>t</w:t>
      </w:r>
      <w:r>
        <w:rPr>
          <w:vertAlign w:val="baseline"/>
        </w:rPr>
        <w:t>[</w:t>
      </w:r>
      <w:r>
        <w:rPr>
          <w:rFonts w:ascii="Arial" w:hAnsi="Arial"/>
          <w:vertAlign w:val="baseline"/>
        </w:rPr>
        <w:t>α </w:t>
      </w:r>
      <w:r>
        <w:rPr>
          <w:vertAlign w:val="baseline"/>
        </w:rPr>
        <w:t>+ </w:t>
      </w:r>
      <w:r>
        <w:rPr>
          <w:rFonts w:ascii="Arial" w:hAnsi="Arial"/>
          <w:vertAlign w:val="baseline"/>
        </w:rPr>
        <w:t>m(n</w:t>
      </w:r>
      <w:r>
        <w:rPr>
          <w:vertAlign w:val="baseline"/>
        </w:rPr>
        <w:t>E</w:t>
      </w:r>
      <w:r>
        <w:rPr>
          <w:vertAlign w:val="subscript"/>
        </w:rPr>
        <w:t>t-1</w:t>
      </w:r>
      <w:r>
        <w:rPr>
          <w:vertAlign w:val="baseline"/>
        </w:rPr>
        <w:t>x</w:t>
      </w:r>
      <w:r>
        <w:rPr>
          <w:vertAlign w:val="subscript"/>
        </w:rPr>
        <w:t>t</w:t>
      </w:r>
      <w:r>
        <w:rPr>
          <w:vertAlign w:val="baseline"/>
        </w:rPr>
        <w:t>/</w:t>
      </w:r>
      <w:r>
        <w:rPr>
          <w:rFonts w:ascii="Arial" w:hAnsi="Arial"/>
          <w:vertAlign w:val="baseline"/>
        </w:rPr>
        <w:t>6 </w:t>
      </w:r>
      <w:r>
        <w:rPr>
          <w:vertAlign w:val="baseline"/>
        </w:rPr>
        <w:t>+ v</w:t>
      </w:r>
      <w:r>
        <w:rPr>
          <w:vertAlign w:val="subscript"/>
        </w:rPr>
        <w:t>t-1</w:t>
      </w:r>
      <w:r>
        <w:rPr>
          <w:vertAlign w:val="baseline"/>
        </w:rPr>
        <w:t>)].</w:t>
      </w:r>
    </w:p>
    <w:p>
      <w:pPr>
        <w:pStyle w:val="BodyText"/>
        <w:rPr>
          <w:sz w:val="28"/>
        </w:rPr>
      </w:pPr>
    </w:p>
    <w:p>
      <w:pPr>
        <w:pStyle w:val="BodyText"/>
        <w:spacing w:line="360" w:lineRule="auto" w:before="242"/>
        <w:ind w:left="245" w:right="419"/>
      </w:pPr>
      <w:r>
        <w:rPr/>
        <w:t>where we have used the fact that d</w:t>
      </w:r>
      <w:r>
        <w:rPr>
          <w:vertAlign w:val="subscript"/>
        </w:rPr>
        <w:t>t</w:t>
      </w:r>
      <w:r>
        <w:rPr>
          <w:vertAlign w:val="baseline"/>
        </w:rPr>
        <w:t> = k</w:t>
      </w:r>
      <w:r>
        <w:rPr>
          <w:vertAlign w:val="subscript"/>
        </w:rPr>
        <w:t>t</w:t>
      </w:r>
      <w:r>
        <w:rPr>
          <w:vertAlign w:val="baseline"/>
        </w:rPr>
        <w:t> + r</w:t>
      </w:r>
      <w:r>
        <w:rPr>
          <w:vertAlign w:val="subscript"/>
        </w:rPr>
        <w:t>t-1</w:t>
      </w:r>
      <w:r>
        <w:rPr>
          <w:vertAlign w:val="baseline"/>
        </w:rPr>
        <w:t>. Note that the impact of the credit crunch is not affected directly by the rate of interest in the preceding period. A higher rate of interest reduces capital formation and debt accumulation during period t-1, but that is nullified by the higher interest payments on the debt. Consequently the total amount that has to be repaid is left unchanged. Clearly whether an increase in the rate of interest in period t-1 raises or lowers the debt stock in period t depends on the semi- elasticity of borrowing with respect to the interest rate. In the present case that is unity, so the two effects exactly</w:t>
      </w:r>
      <w:r>
        <w:rPr>
          <w:spacing w:val="-11"/>
          <w:vertAlign w:val="baseline"/>
        </w:rPr>
        <w:t> </w:t>
      </w:r>
      <w:r>
        <w:rPr>
          <w:vertAlign w:val="baseline"/>
        </w:rPr>
        <w:t>offset.</w:t>
      </w:r>
    </w:p>
    <w:p>
      <w:pPr>
        <w:pStyle w:val="BodyText"/>
        <w:spacing w:before="11"/>
        <w:rPr>
          <w:sz w:val="35"/>
        </w:rPr>
      </w:pPr>
    </w:p>
    <w:p>
      <w:pPr>
        <w:pStyle w:val="BodyText"/>
        <w:ind w:left="245"/>
      </w:pPr>
      <w:r>
        <w:rPr/>
        <w:t>Equation (21) implies that:</w:t>
      </w:r>
    </w:p>
    <w:p>
      <w:pPr>
        <w:pStyle w:val="BodyText"/>
        <w:rPr>
          <w:sz w:val="26"/>
        </w:rPr>
      </w:pPr>
    </w:p>
    <w:p>
      <w:pPr>
        <w:pStyle w:val="BodyText"/>
        <w:spacing w:before="4"/>
        <w:rPr>
          <w:sz w:val="23"/>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sz w:val="24"/>
        </w:rPr>
        <w:t>E</w:t>
      </w:r>
      <w:r>
        <w:rPr>
          <w:sz w:val="24"/>
          <w:vertAlign w:val="subscript"/>
        </w:rPr>
        <w:t>t-1</w:t>
      </w:r>
      <w:r>
        <w:rPr>
          <w:sz w:val="24"/>
          <w:vertAlign w:val="baseline"/>
        </w:rPr>
        <w:t>x*</w:t>
      </w:r>
      <w:r>
        <w:rPr>
          <w:sz w:val="24"/>
          <w:vertAlign w:val="subscript"/>
        </w:rPr>
        <w:t>t</w:t>
      </w:r>
      <w:r>
        <w:rPr>
          <w:sz w:val="24"/>
          <w:vertAlign w:val="baseline"/>
        </w:rPr>
        <w:t> = (1–</w:t>
      </w:r>
      <w:r>
        <w:rPr>
          <w:rFonts w:ascii="Arial" w:hAnsi="Arial"/>
          <w:sz w:val="24"/>
          <w:vertAlign w:val="baseline"/>
        </w:rPr>
        <w:t>qmy</w:t>
      </w:r>
      <w:r>
        <w:rPr>
          <w:sz w:val="24"/>
          <w:vertAlign w:val="baseline"/>
        </w:rPr>
        <w:t>)E</w:t>
      </w:r>
      <w:r>
        <w:rPr>
          <w:sz w:val="24"/>
          <w:vertAlign w:val="subscript"/>
        </w:rPr>
        <w:t>t-1</w:t>
      </w:r>
      <w:r>
        <w:rPr>
          <w:sz w:val="24"/>
          <w:vertAlign w:val="baseline"/>
        </w:rPr>
        <w:t>x</w:t>
      </w:r>
      <w:r>
        <w:rPr>
          <w:sz w:val="24"/>
          <w:vertAlign w:val="subscript"/>
        </w:rPr>
        <w:t>t</w:t>
      </w:r>
      <w:r>
        <w:rPr>
          <w:sz w:val="24"/>
          <w:vertAlign w:val="baseline"/>
        </w:rPr>
        <w:t> – </w:t>
      </w:r>
      <w:r>
        <w:rPr>
          <w:rFonts w:ascii="Arial" w:hAnsi="Arial"/>
          <w:sz w:val="24"/>
          <w:vertAlign w:val="baseline"/>
        </w:rPr>
        <w:t>vq(α </w:t>
      </w:r>
      <w:r>
        <w:rPr>
          <w:sz w:val="24"/>
          <w:vertAlign w:val="baseline"/>
        </w:rPr>
        <w:t>+</w:t>
      </w:r>
      <w:r>
        <w:rPr>
          <w:spacing w:val="-16"/>
          <w:sz w:val="24"/>
          <w:vertAlign w:val="baseline"/>
        </w:rPr>
        <w:t> </w:t>
      </w:r>
      <w:r>
        <w:rPr>
          <w:rFonts w:ascii="Arial" w:hAnsi="Arial"/>
          <w:sz w:val="24"/>
          <w:vertAlign w:val="baseline"/>
        </w:rPr>
        <w:t>m</w:t>
      </w:r>
      <w:r>
        <w:rPr>
          <w:sz w:val="24"/>
          <w:vertAlign w:val="baseline"/>
        </w:rPr>
        <w:t>v</w:t>
      </w:r>
      <w:r>
        <w:rPr>
          <w:sz w:val="24"/>
          <w:vertAlign w:val="subscript"/>
        </w:rPr>
        <w:t>t-1</w:t>
      </w:r>
      <w:r>
        <w:rPr>
          <w:sz w:val="24"/>
          <w:vertAlign w:val="baseline"/>
        </w:rPr>
        <w:t>).</w:t>
      </w:r>
    </w:p>
    <w:p>
      <w:pPr>
        <w:pStyle w:val="BodyText"/>
        <w:rPr>
          <w:sz w:val="28"/>
        </w:rPr>
      </w:pPr>
    </w:p>
    <w:p>
      <w:pPr>
        <w:pStyle w:val="BodyText"/>
        <w:spacing w:before="2"/>
        <w:rPr>
          <w:sz w:val="22"/>
        </w:rPr>
      </w:pPr>
    </w:p>
    <w:p>
      <w:pPr>
        <w:pStyle w:val="BodyText"/>
        <w:ind w:left="245"/>
      </w:pPr>
      <w:r>
        <w:rPr>
          <w:w w:val="105"/>
        </w:rPr>
        <w:t>Using this, the Lagrangian for the optimisation problem at date </w:t>
      </w:r>
      <w:r>
        <w:rPr>
          <w:rFonts w:ascii="Arial" w:hAnsi="Arial"/>
          <w:w w:val="120"/>
        </w:rPr>
        <w:t>ı </w:t>
      </w:r>
      <w:r>
        <w:rPr>
          <w:w w:val="105"/>
        </w:rPr>
        <w:t>may be written:</w:t>
      </w:r>
    </w:p>
    <w:p>
      <w:pPr>
        <w:pStyle w:val="BodyText"/>
        <w:rPr>
          <w:sz w:val="20"/>
        </w:rPr>
      </w:pPr>
    </w:p>
    <w:p>
      <w:pPr>
        <w:pStyle w:val="BodyText"/>
        <w:rPr>
          <w:sz w:val="18"/>
        </w:rPr>
      </w:pPr>
    </w:p>
    <w:p>
      <w:pPr>
        <w:spacing w:line="192" w:lineRule="exact" w:before="79"/>
        <w:ind w:left="1906" w:right="0" w:firstLine="0"/>
        <w:jc w:val="left"/>
        <w:rPr>
          <w:rFonts w:ascii="Comic Sans MS" w:hAnsi="Comic Sans MS"/>
          <w:sz w:val="16"/>
        </w:rPr>
      </w:pPr>
      <w:r>
        <w:rPr>
          <w:sz w:val="16"/>
        </w:rPr>
        <w:t>t=</w:t>
      </w:r>
      <w:r>
        <w:rPr>
          <w:rFonts w:ascii="Comic Sans MS" w:hAnsi="Comic Sans MS"/>
          <w:sz w:val="16"/>
        </w:rPr>
        <w:t>œ</w:t>
      </w:r>
    </w:p>
    <w:p>
      <w:pPr>
        <w:pStyle w:val="ListParagraph"/>
        <w:numPr>
          <w:ilvl w:val="0"/>
          <w:numId w:val="5"/>
        </w:numPr>
        <w:tabs>
          <w:tab w:pos="1097" w:val="left" w:leader="none"/>
          <w:tab w:pos="1098" w:val="left" w:leader="none"/>
        </w:tabs>
        <w:spacing w:line="275" w:lineRule="exact" w:before="0" w:after="0"/>
        <w:ind w:left="1097" w:right="0" w:hanging="853"/>
        <w:jc w:val="left"/>
        <w:rPr>
          <w:sz w:val="24"/>
        </w:rPr>
      </w:pPr>
      <w:r>
        <w:rPr>
          <w:rFonts w:ascii="Arial" w:hAnsi="Arial"/>
          <w:w w:val="125"/>
          <w:sz w:val="24"/>
        </w:rPr>
        <w:t>fi</w:t>
      </w:r>
      <w:r>
        <w:rPr>
          <w:rFonts w:ascii="Comic Sans MS" w:hAnsi="Comic Sans MS"/>
          <w:w w:val="125"/>
          <w:sz w:val="24"/>
          <w:vertAlign w:val="subscript"/>
        </w:rPr>
        <w:t>ı</w:t>
      </w:r>
      <w:r>
        <w:rPr>
          <w:rFonts w:ascii="Comic Sans MS" w:hAnsi="Comic Sans MS"/>
          <w:spacing w:val="-33"/>
          <w:w w:val="125"/>
          <w:sz w:val="24"/>
          <w:vertAlign w:val="baseline"/>
        </w:rPr>
        <w:t> </w:t>
      </w:r>
      <w:r>
        <w:rPr>
          <w:w w:val="105"/>
          <w:sz w:val="24"/>
          <w:vertAlign w:val="baseline"/>
        </w:rPr>
        <w:t>=</w:t>
      </w:r>
      <w:r>
        <w:rPr>
          <w:spacing w:val="-7"/>
          <w:w w:val="105"/>
          <w:sz w:val="24"/>
          <w:vertAlign w:val="baseline"/>
        </w:rPr>
        <w:t> </w:t>
      </w:r>
      <w:r>
        <w:rPr>
          <w:w w:val="105"/>
          <w:sz w:val="24"/>
          <w:vertAlign w:val="baseline"/>
        </w:rPr>
        <w:t>E</w:t>
      </w:r>
      <w:r>
        <w:rPr>
          <w:rFonts w:ascii="Comic Sans MS" w:hAnsi="Comic Sans MS"/>
          <w:w w:val="105"/>
          <w:sz w:val="24"/>
          <w:vertAlign w:val="subscript"/>
        </w:rPr>
        <w:t>ı</w:t>
      </w:r>
      <w:r>
        <w:rPr>
          <w:w w:val="105"/>
          <w:sz w:val="24"/>
          <w:vertAlign w:val="baseline"/>
        </w:rPr>
        <w:t>[</w:t>
      </w:r>
      <w:r>
        <w:rPr>
          <w:spacing w:val="-5"/>
          <w:w w:val="105"/>
          <w:sz w:val="24"/>
          <w:vertAlign w:val="baseline"/>
        </w:rPr>
        <w:t> </w:t>
      </w:r>
      <w:r>
        <w:rPr>
          <w:rFonts w:ascii="Arial" w:hAnsi="Arial"/>
          <w:w w:val="105"/>
          <w:sz w:val="24"/>
          <w:vertAlign w:val="baseline"/>
        </w:rPr>
        <w:t>Σ</w:t>
      </w:r>
      <w:r>
        <w:rPr>
          <w:rFonts w:ascii="Arial" w:hAnsi="Arial"/>
          <w:spacing w:val="-14"/>
          <w:w w:val="105"/>
          <w:sz w:val="24"/>
          <w:vertAlign w:val="baseline"/>
        </w:rPr>
        <w:t> </w:t>
      </w:r>
      <w:r>
        <w:rPr>
          <w:rFonts w:ascii="Arial" w:hAnsi="Arial"/>
          <w:w w:val="105"/>
          <w:sz w:val="24"/>
          <w:vertAlign w:val="baseline"/>
        </w:rPr>
        <w:t>þ</w:t>
      </w:r>
      <w:r>
        <w:rPr>
          <w:w w:val="105"/>
          <w:sz w:val="24"/>
          <w:vertAlign w:val="superscript"/>
        </w:rPr>
        <w:t>t-</w:t>
      </w:r>
      <w:r>
        <w:rPr>
          <w:rFonts w:ascii="Comic Sans MS" w:hAnsi="Comic Sans MS"/>
          <w:w w:val="105"/>
          <w:sz w:val="24"/>
          <w:vertAlign w:val="superscript"/>
        </w:rPr>
        <w:t>ı</w:t>
      </w:r>
      <w:r>
        <w:rPr>
          <w:w w:val="105"/>
          <w:sz w:val="24"/>
          <w:vertAlign w:val="baseline"/>
        </w:rPr>
        <w:t>{(</w:t>
      </w:r>
      <w:r>
        <w:rPr>
          <w:rFonts w:ascii="Arial" w:hAnsi="Arial"/>
          <w:w w:val="105"/>
          <w:sz w:val="24"/>
          <w:vertAlign w:val="baseline"/>
        </w:rPr>
        <w:t>n</w:t>
      </w:r>
      <w:r>
        <w:rPr>
          <w:w w:val="105"/>
          <w:sz w:val="24"/>
          <w:vertAlign w:val="subscript"/>
        </w:rPr>
        <w:t>t</w:t>
      </w:r>
      <w:r>
        <w:rPr>
          <w:w w:val="105"/>
          <w:sz w:val="24"/>
          <w:vertAlign w:val="superscript"/>
        </w:rPr>
        <w:t>2</w:t>
      </w:r>
      <w:r>
        <w:rPr>
          <w:spacing w:val="-23"/>
          <w:w w:val="105"/>
          <w:sz w:val="24"/>
          <w:vertAlign w:val="baseline"/>
        </w:rPr>
        <w:t> </w:t>
      </w:r>
      <w:r>
        <w:rPr>
          <w:w w:val="105"/>
          <w:sz w:val="24"/>
          <w:vertAlign w:val="baseline"/>
        </w:rPr>
        <w:t>+</w:t>
      </w:r>
      <w:r>
        <w:rPr>
          <w:spacing w:val="-7"/>
          <w:w w:val="105"/>
          <w:sz w:val="24"/>
          <w:vertAlign w:val="baseline"/>
        </w:rPr>
        <w:t> </w:t>
      </w:r>
      <w:r>
        <w:rPr>
          <w:rFonts w:ascii="Arial" w:hAnsi="Arial"/>
          <w:w w:val="105"/>
          <w:sz w:val="24"/>
          <w:vertAlign w:val="baseline"/>
        </w:rPr>
        <w:t>Z</w:t>
      </w:r>
      <w:r>
        <w:rPr>
          <w:w w:val="105"/>
          <w:sz w:val="24"/>
          <w:vertAlign w:val="baseline"/>
        </w:rPr>
        <w:t>x*</w:t>
      </w:r>
      <w:r>
        <w:rPr>
          <w:w w:val="105"/>
          <w:sz w:val="24"/>
          <w:vertAlign w:val="subscript"/>
        </w:rPr>
        <w:t>t</w:t>
      </w:r>
      <w:r>
        <w:rPr>
          <w:w w:val="105"/>
          <w:sz w:val="24"/>
          <w:vertAlign w:val="superscript"/>
        </w:rPr>
        <w:t>2</w:t>
      </w:r>
      <w:r>
        <w:rPr>
          <w:w w:val="105"/>
          <w:sz w:val="24"/>
          <w:vertAlign w:val="baseline"/>
        </w:rPr>
        <w:t>)/2</w:t>
      </w:r>
      <w:r>
        <w:rPr>
          <w:spacing w:val="-6"/>
          <w:w w:val="105"/>
          <w:sz w:val="24"/>
          <w:vertAlign w:val="baseline"/>
        </w:rPr>
        <w:t> </w:t>
      </w:r>
      <w:r>
        <w:rPr>
          <w:w w:val="105"/>
          <w:sz w:val="24"/>
          <w:vertAlign w:val="baseline"/>
        </w:rPr>
        <w:t>+</w:t>
      </w:r>
      <w:r>
        <w:rPr>
          <w:spacing w:val="47"/>
          <w:w w:val="105"/>
          <w:sz w:val="24"/>
          <w:vertAlign w:val="baseline"/>
        </w:rPr>
        <w:t> </w:t>
      </w:r>
      <w:r>
        <w:rPr>
          <w:w w:val="105"/>
          <w:sz w:val="24"/>
          <w:vertAlign w:val="subscript"/>
        </w:rPr>
        <w:t>t</w:t>
      </w:r>
      <w:r>
        <w:rPr>
          <w:w w:val="105"/>
          <w:sz w:val="24"/>
          <w:vertAlign w:val="baseline"/>
        </w:rPr>
        <w:t>(</w:t>
      </w:r>
      <w:r>
        <w:rPr>
          <w:rFonts w:ascii="Arial" w:hAnsi="Arial"/>
          <w:w w:val="105"/>
          <w:sz w:val="24"/>
          <w:vertAlign w:val="baseline"/>
        </w:rPr>
        <w:t>n</w:t>
      </w:r>
      <w:r>
        <w:rPr>
          <w:w w:val="105"/>
          <w:sz w:val="24"/>
          <w:vertAlign w:val="subscript"/>
        </w:rPr>
        <w:t>t</w:t>
      </w:r>
      <w:r>
        <w:rPr>
          <w:spacing w:val="-6"/>
          <w:w w:val="105"/>
          <w:sz w:val="24"/>
          <w:vertAlign w:val="baseline"/>
        </w:rPr>
        <w:t> </w:t>
      </w:r>
      <w:r>
        <w:rPr>
          <w:w w:val="105"/>
          <w:sz w:val="24"/>
          <w:vertAlign w:val="baseline"/>
        </w:rPr>
        <w:t>–</w:t>
      </w:r>
      <w:r>
        <w:rPr>
          <w:spacing w:val="-6"/>
          <w:w w:val="105"/>
          <w:sz w:val="24"/>
          <w:vertAlign w:val="baseline"/>
        </w:rPr>
        <w:t> </w:t>
      </w:r>
      <w:r>
        <w:rPr>
          <w:rFonts w:ascii="Arial" w:hAnsi="Arial"/>
          <w:w w:val="105"/>
          <w:sz w:val="24"/>
          <w:vertAlign w:val="baseline"/>
        </w:rPr>
        <w:t>þn</w:t>
      </w:r>
      <w:r>
        <w:rPr>
          <w:w w:val="105"/>
          <w:sz w:val="24"/>
          <w:vertAlign w:val="subscript"/>
        </w:rPr>
        <w:t>t+1</w:t>
      </w:r>
      <w:r>
        <w:rPr>
          <w:spacing w:val="-24"/>
          <w:w w:val="105"/>
          <w:sz w:val="24"/>
          <w:vertAlign w:val="baseline"/>
        </w:rPr>
        <w:t> </w:t>
      </w:r>
      <w:r>
        <w:rPr>
          <w:w w:val="105"/>
          <w:sz w:val="24"/>
          <w:vertAlign w:val="baseline"/>
        </w:rPr>
        <w:t>–</w:t>
      </w:r>
      <w:r>
        <w:rPr>
          <w:spacing w:val="-6"/>
          <w:w w:val="105"/>
          <w:sz w:val="24"/>
          <w:vertAlign w:val="baseline"/>
        </w:rPr>
        <w:t> </w:t>
      </w:r>
      <w:r>
        <w:rPr>
          <w:rFonts w:ascii="Arial" w:hAnsi="Arial"/>
          <w:w w:val="105"/>
          <w:sz w:val="24"/>
          <w:vertAlign w:val="baseline"/>
        </w:rPr>
        <w:t>n</w:t>
      </w:r>
      <w:r>
        <w:rPr>
          <w:w w:val="105"/>
          <w:sz w:val="24"/>
          <w:vertAlign w:val="baseline"/>
        </w:rPr>
        <w:t>x*</w:t>
      </w:r>
      <w:r>
        <w:rPr>
          <w:w w:val="105"/>
          <w:sz w:val="24"/>
          <w:vertAlign w:val="subscript"/>
        </w:rPr>
        <w:t>t</w:t>
      </w:r>
      <w:r>
        <w:rPr>
          <w:spacing w:val="-6"/>
          <w:w w:val="105"/>
          <w:sz w:val="24"/>
          <w:vertAlign w:val="baseline"/>
        </w:rPr>
        <w:t> </w:t>
      </w:r>
      <w:r>
        <w:rPr>
          <w:w w:val="105"/>
          <w:sz w:val="24"/>
          <w:vertAlign w:val="baseline"/>
        </w:rPr>
        <w:t>–</w:t>
      </w:r>
      <w:r>
        <w:rPr>
          <w:spacing w:val="-6"/>
          <w:w w:val="105"/>
          <w:sz w:val="24"/>
          <w:vertAlign w:val="baseline"/>
        </w:rPr>
        <w:t> </w:t>
      </w:r>
      <w:r>
        <w:rPr>
          <w:w w:val="105"/>
          <w:sz w:val="24"/>
          <w:vertAlign w:val="baseline"/>
        </w:rPr>
        <w:t>z</w:t>
      </w:r>
      <w:r>
        <w:rPr>
          <w:w w:val="105"/>
          <w:sz w:val="24"/>
          <w:vertAlign w:val="subscript"/>
        </w:rPr>
        <w:t>t</w:t>
      </w:r>
      <w:r>
        <w:rPr>
          <w:w w:val="105"/>
          <w:sz w:val="24"/>
          <w:vertAlign w:val="baseline"/>
        </w:rPr>
        <w:t>)}]</w:t>
      </w:r>
    </w:p>
    <w:p>
      <w:pPr>
        <w:spacing w:line="195" w:lineRule="exact" w:before="0"/>
        <w:ind w:left="1947" w:right="0" w:firstLine="0"/>
        <w:jc w:val="left"/>
        <w:rPr>
          <w:rFonts w:ascii="Comic Sans MS" w:hAnsi="Comic Sans MS"/>
          <w:sz w:val="16"/>
        </w:rPr>
      </w:pPr>
      <w:r>
        <w:rPr>
          <w:w w:val="120"/>
          <w:sz w:val="16"/>
        </w:rPr>
        <w:t>t=</w:t>
      </w:r>
      <w:r>
        <w:rPr>
          <w:rFonts w:ascii="Comic Sans MS" w:hAnsi="Comic Sans MS"/>
          <w:w w:val="120"/>
          <w:sz w:val="16"/>
        </w:rPr>
        <w:t>ı</w:t>
      </w:r>
    </w:p>
    <w:p>
      <w:pPr>
        <w:pStyle w:val="BodyText"/>
        <w:rPr>
          <w:rFonts w:ascii="Comic Sans MS"/>
          <w:sz w:val="20"/>
        </w:rPr>
      </w:pPr>
    </w:p>
    <w:p>
      <w:pPr>
        <w:pStyle w:val="BodyText"/>
        <w:spacing w:before="5"/>
        <w:rPr>
          <w:rFonts w:ascii="Comic Sans MS"/>
          <w:sz w:val="13"/>
        </w:rPr>
      </w:pPr>
    </w:p>
    <w:p>
      <w:pPr>
        <w:pStyle w:val="BodyText"/>
        <w:spacing w:before="89"/>
        <w:ind w:left="245"/>
      </w:pPr>
      <w:r>
        <w:rPr/>
        <w:t>where z</w:t>
      </w:r>
      <w:r>
        <w:rPr>
          <w:vertAlign w:val="subscript"/>
        </w:rPr>
        <w:t>t</w:t>
      </w:r>
      <w:r>
        <w:rPr>
          <w:vertAlign w:val="baseline"/>
        </w:rPr>
        <w:t> = </w:t>
      </w:r>
      <w:r>
        <w:rPr>
          <w:rFonts w:ascii="Arial" w:hAnsi="Arial"/>
          <w:vertAlign w:val="baseline"/>
        </w:rPr>
        <w:t>ns</w:t>
      </w:r>
      <w:r>
        <w:rPr>
          <w:vertAlign w:val="subscript"/>
        </w:rPr>
        <w:t>t</w:t>
      </w:r>
      <w:r>
        <w:rPr>
          <w:vertAlign w:val="baseline"/>
        </w:rPr>
        <w:t>[</w:t>
      </w:r>
      <w:r>
        <w:rPr>
          <w:rFonts w:ascii="Arial" w:hAnsi="Arial"/>
          <w:vertAlign w:val="baseline"/>
        </w:rPr>
        <w:t>v(α</w:t>
      </w:r>
      <w:r>
        <w:rPr>
          <w:vertAlign w:val="baseline"/>
        </w:rPr>
        <w:t>+</w:t>
      </w:r>
      <w:r>
        <w:rPr>
          <w:rFonts w:ascii="Arial" w:hAnsi="Arial"/>
          <w:vertAlign w:val="baseline"/>
        </w:rPr>
        <w:t>m</w:t>
      </w:r>
      <w:r>
        <w:rPr>
          <w:vertAlign w:val="baseline"/>
        </w:rPr>
        <w:t>v</w:t>
      </w:r>
      <w:r>
        <w:rPr>
          <w:vertAlign w:val="subscript"/>
        </w:rPr>
        <w:t>t-1</w:t>
      </w:r>
      <w:r>
        <w:rPr>
          <w:vertAlign w:val="baseline"/>
        </w:rPr>
        <w:t>) + </w:t>
      </w:r>
      <w:r>
        <w:rPr>
          <w:rFonts w:ascii="Arial" w:hAnsi="Arial"/>
          <w:vertAlign w:val="baseline"/>
        </w:rPr>
        <w:t>my</w:t>
      </w:r>
      <w:r>
        <w:rPr>
          <w:vertAlign w:val="baseline"/>
        </w:rPr>
        <w:t>E</w:t>
      </w:r>
      <w:r>
        <w:rPr>
          <w:vertAlign w:val="subscript"/>
        </w:rPr>
        <w:t>t-1</w:t>
      </w:r>
      <w:r>
        <w:rPr>
          <w:vertAlign w:val="baseline"/>
        </w:rPr>
        <w:t>x*</w:t>
      </w:r>
      <w:r>
        <w:rPr>
          <w:vertAlign w:val="subscript"/>
        </w:rPr>
        <w:t>t</w:t>
      </w:r>
      <w:r>
        <w:rPr>
          <w:vertAlign w:val="baseline"/>
        </w:rPr>
        <w:t>]/(1–</w:t>
      </w:r>
      <w:r>
        <w:rPr>
          <w:rFonts w:ascii="Arial" w:hAnsi="Arial"/>
          <w:vertAlign w:val="baseline"/>
        </w:rPr>
        <w:t>qmy</w:t>
      </w:r>
      <w:r>
        <w:rPr>
          <w:vertAlign w:val="baseline"/>
        </w:rPr>
        <w:t>) + u</w:t>
      </w:r>
      <w:r>
        <w:rPr>
          <w:vertAlign w:val="subscript"/>
        </w:rPr>
        <w:t>t</w:t>
      </w:r>
      <w:r>
        <w:rPr>
          <w:vertAlign w:val="baseline"/>
        </w:rPr>
        <w:t>. The first-order conditions are:</w:t>
      </w:r>
    </w:p>
    <w:p>
      <w:pPr>
        <w:pStyle w:val="BodyText"/>
        <w:rPr>
          <w:sz w:val="28"/>
        </w:rPr>
      </w:pPr>
    </w:p>
    <w:p>
      <w:pPr>
        <w:pStyle w:val="ListParagraph"/>
        <w:numPr>
          <w:ilvl w:val="0"/>
          <w:numId w:val="5"/>
        </w:numPr>
        <w:tabs>
          <w:tab w:pos="1097" w:val="left" w:leader="none"/>
          <w:tab w:pos="1098" w:val="left" w:leader="none"/>
          <w:tab w:pos="4565" w:val="left" w:leader="none"/>
        </w:tabs>
        <w:spacing w:line="240" w:lineRule="auto" w:before="219" w:after="0"/>
        <w:ind w:left="1097" w:right="0" w:hanging="853"/>
        <w:jc w:val="left"/>
        <w:rPr>
          <w:sz w:val="24"/>
        </w:rPr>
      </w:pPr>
      <w:r>
        <w:rPr>
          <w:w w:val="105"/>
          <w:sz w:val="24"/>
        </w:rPr>
        <w:t>0 = E</w:t>
      </w:r>
      <w:r>
        <w:rPr>
          <w:rFonts w:ascii="Comic Sans MS" w:hAnsi="Comic Sans MS"/>
          <w:w w:val="105"/>
          <w:sz w:val="24"/>
          <w:vertAlign w:val="subscript"/>
        </w:rPr>
        <w:t>ı</w:t>
      </w:r>
      <w:r>
        <w:rPr>
          <w:rFonts w:ascii="Arial" w:hAnsi="Arial"/>
          <w:w w:val="105"/>
          <w:sz w:val="24"/>
          <w:vertAlign w:val="baseline"/>
        </w:rPr>
        <w:t>n</w:t>
      </w:r>
      <w:r>
        <w:rPr>
          <w:w w:val="105"/>
          <w:sz w:val="24"/>
          <w:vertAlign w:val="subscript"/>
        </w:rPr>
        <w:t>t</w:t>
      </w:r>
      <w:r>
        <w:rPr>
          <w:w w:val="105"/>
          <w:sz w:val="24"/>
          <w:vertAlign w:val="baseline"/>
        </w:rPr>
        <w:t> +   </w:t>
      </w:r>
      <w:r>
        <w:rPr>
          <w:w w:val="105"/>
          <w:sz w:val="24"/>
          <w:vertAlign w:val="subscript"/>
        </w:rPr>
        <w:t>t</w:t>
      </w:r>
      <w:r>
        <w:rPr>
          <w:spacing w:val="-23"/>
          <w:w w:val="105"/>
          <w:sz w:val="24"/>
          <w:vertAlign w:val="baseline"/>
        </w:rPr>
        <w:t> </w:t>
      </w:r>
      <w:r>
        <w:rPr>
          <w:w w:val="105"/>
          <w:sz w:val="24"/>
          <w:vertAlign w:val="baseline"/>
        </w:rPr>
        <w:t>–  </w:t>
      </w:r>
      <w:r>
        <w:rPr>
          <w:spacing w:val="2"/>
          <w:w w:val="105"/>
          <w:sz w:val="24"/>
          <w:vertAlign w:val="baseline"/>
        </w:rPr>
        <w:t> </w:t>
      </w:r>
      <w:r>
        <w:rPr>
          <w:w w:val="105"/>
          <w:sz w:val="24"/>
          <w:vertAlign w:val="subscript"/>
        </w:rPr>
        <w:t>t-1</w:t>
      </w:r>
      <w:r>
        <w:rPr>
          <w:w w:val="105"/>
          <w:sz w:val="24"/>
          <w:vertAlign w:val="baseline"/>
        </w:rPr>
        <w:tab/>
        <w:t>for all t </w:t>
      </w:r>
      <w:r>
        <w:rPr>
          <w:rFonts w:ascii="Arial" w:hAnsi="Arial"/>
          <w:w w:val="105"/>
          <w:sz w:val="24"/>
          <w:vertAlign w:val="baseline"/>
        </w:rPr>
        <w:t>S ı</w:t>
      </w:r>
      <w:r>
        <w:rPr>
          <w:w w:val="105"/>
          <w:sz w:val="24"/>
          <w:vertAlign w:val="baseline"/>
        </w:rPr>
        <w:t>, with </w:t>
      </w:r>
      <w:r>
        <w:rPr>
          <w:rFonts w:ascii="Comic Sans MS" w:hAnsi="Comic Sans MS"/>
          <w:w w:val="105"/>
          <w:sz w:val="24"/>
          <w:vertAlign w:val="subscript"/>
        </w:rPr>
        <w:t>ı</w:t>
      </w:r>
      <w:r>
        <w:rPr>
          <w:w w:val="105"/>
          <w:sz w:val="24"/>
          <w:vertAlign w:val="subscript"/>
        </w:rPr>
        <w:t>-1</w:t>
      </w:r>
      <w:r>
        <w:rPr>
          <w:w w:val="105"/>
          <w:sz w:val="24"/>
          <w:vertAlign w:val="baseline"/>
        </w:rPr>
        <w:t> =</w:t>
      </w:r>
      <w:r>
        <w:rPr>
          <w:spacing w:val="-25"/>
          <w:w w:val="105"/>
          <w:sz w:val="24"/>
          <w:vertAlign w:val="baseline"/>
        </w:rPr>
        <w:t> </w:t>
      </w:r>
      <w:r>
        <w:rPr>
          <w:w w:val="105"/>
          <w:sz w:val="24"/>
          <w:vertAlign w:val="baseline"/>
        </w:rPr>
        <w:t>0</w:t>
      </w:r>
    </w:p>
    <w:p>
      <w:pPr>
        <w:pStyle w:val="BodyText"/>
        <w:rPr>
          <w:sz w:val="28"/>
        </w:rPr>
      </w:pPr>
    </w:p>
    <w:p>
      <w:pPr>
        <w:pStyle w:val="ListParagraph"/>
        <w:numPr>
          <w:ilvl w:val="0"/>
          <w:numId w:val="5"/>
        </w:numPr>
        <w:tabs>
          <w:tab w:pos="1097" w:val="left" w:leader="none"/>
          <w:tab w:pos="1098" w:val="left" w:leader="none"/>
        </w:tabs>
        <w:spacing w:line="240" w:lineRule="auto" w:before="198" w:after="0"/>
        <w:ind w:left="1097" w:right="0" w:hanging="853"/>
        <w:jc w:val="left"/>
        <w:rPr>
          <w:rFonts w:ascii="Comic Sans MS" w:hAnsi="Comic Sans MS"/>
          <w:sz w:val="24"/>
        </w:rPr>
      </w:pPr>
      <w:r>
        <w:rPr>
          <w:w w:val="120"/>
          <w:sz w:val="24"/>
        </w:rPr>
        <w:t>0 = </w:t>
      </w:r>
      <w:r>
        <w:rPr>
          <w:rFonts w:ascii="Arial" w:hAnsi="Arial"/>
          <w:w w:val="120"/>
          <w:sz w:val="24"/>
        </w:rPr>
        <w:t>Z</w:t>
      </w:r>
      <w:r>
        <w:rPr>
          <w:w w:val="120"/>
          <w:sz w:val="24"/>
        </w:rPr>
        <w:t>x*</w:t>
      </w:r>
      <w:r>
        <w:rPr>
          <w:rFonts w:ascii="Comic Sans MS" w:hAnsi="Comic Sans MS"/>
          <w:w w:val="120"/>
          <w:sz w:val="24"/>
          <w:vertAlign w:val="subscript"/>
        </w:rPr>
        <w:t>ı</w:t>
      </w:r>
      <w:r>
        <w:rPr>
          <w:rFonts w:ascii="Comic Sans MS" w:hAnsi="Comic Sans MS"/>
          <w:spacing w:val="-64"/>
          <w:w w:val="120"/>
          <w:sz w:val="24"/>
          <w:vertAlign w:val="baseline"/>
        </w:rPr>
        <w:t> </w:t>
      </w:r>
      <w:r>
        <w:rPr>
          <w:w w:val="120"/>
          <w:sz w:val="24"/>
          <w:vertAlign w:val="baseline"/>
        </w:rPr>
        <w:t>– </w:t>
      </w:r>
      <w:r>
        <w:rPr>
          <w:rFonts w:ascii="Arial" w:hAnsi="Arial"/>
          <w:w w:val="125"/>
          <w:sz w:val="24"/>
          <w:vertAlign w:val="baseline"/>
        </w:rPr>
        <w:t>n </w:t>
      </w:r>
      <w:r>
        <w:rPr>
          <w:rFonts w:ascii="Comic Sans MS" w:hAnsi="Comic Sans MS"/>
          <w:w w:val="125"/>
          <w:sz w:val="24"/>
          <w:vertAlign w:val="subscript"/>
        </w:rPr>
        <w:t>ı</w:t>
      </w:r>
    </w:p>
    <w:p>
      <w:pPr>
        <w:pStyle w:val="BodyText"/>
        <w:spacing w:before="4"/>
        <w:rPr>
          <w:rFonts w:ascii="Comic Sans MS"/>
          <w:sz w:val="37"/>
        </w:rPr>
      </w:pPr>
    </w:p>
    <w:p>
      <w:pPr>
        <w:pStyle w:val="ListParagraph"/>
        <w:numPr>
          <w:ilvl w:val="0"/>
          <w:numId w:val="5"/>
        </w:numPr>
        <w:tabs>
          <w:tab w:pos="1097" w:val="left" w:leader="none"/>
          <w:tab w:pos="1098" w:val="left" w:leader="none"/>
          <w:tab w:pos="4565" w:val="left" w:leader="none"/>
        </w:tabs>
        <w:spacing w:line="240" w:lineRule="auto" w:before="0" w:after="0"/>
        <w:ind w:left="1097" w:right="0" w:hanging="853"/>
        <w:jc w:val="left"/>
        <w:rPr>
          <w:rFonts w:ascii="Arial" w:hAnsi="Arial"/>
          <w:sz w:val="24"/>
        </w:rPr>
      </w:pPr>
      <w:r>
        <w:rPr>
          <w:w w:val="110"/>
          <w:sz w:val="24"/>
        </w:rPr>
        <w:t>0</w:t>
      </w:r>
      <w:r>
        <w:rPr>
          <w:spacing w:val="-30"/>
          <w:w w:val="110"/>
          <w:sz w:val="24"/>
        </w:rPr>
        <w:t> </w:t>
      </w:r>
      <w:r>
        <w:rPr>
          <w:w w:val="110"/>
          <w:sz w:val="24"/>
        </w:rPr>
        <w:t>=</w:t>
      </w:r>
      <w:r>
        <w:rPr>
          <w:spacing w:val="-29"/>
          <w:w w:val="110"/>
          <w:sz w:val="24"/>
        </w:rPr>
        <w:t> </w:t>
      </w:r>
      <w:r>
        <w:rPr>
          <w:rFonts w:ascii="Arial" w:hAnsi="Arial"/>
          <w:w w:val="110"/>
          <w:sz w:val="24"/>
        </w:rPr>
        <w:t>Z</w:t>
      </w:r>
      <w:r>
        <w:rPr>
          <w:w w:val="110"/>
          <w:sz w:val="24"/>
        </w:rPr>
        <w:t>E</w:t>
      </w:r>
      <w:r>
        <w:rPr>
          <w:rFonts w:ascii="Comic Sans MS" w:hAnsi="Comic Sans MS"/>
          <w:w w:val="110"/>
          <w:sz w:val="24"/>
          <w:vertAlign w:val="subscript"/>
        </w:rPr>
        <w:t>ı</w:t>
      </w:r>
      <w:r>
        <w:rPr>
          <w:w w:val="110"/>
          <w:sz w:val="24"/>
          <w:vertAlign w:val="baseline"/>
        </w:rPr>
        <w:t>x*</w:t>
      </w:r>
      <w:r>
        <w:rPr>
          <w:w w:val="110"/>
          <w:sz w:val="24"/>
          <w:vertAlign w:val="subscript"/>
        </w:rPr>
        <w:t>t</w:t>
      </w:r>
      <w:r>
        <w:rPr>
          <w:spacing w:val="-29"/>
          <w:w w:val="110"/>
          <w:sz w:val="24"/>
          <w:vertAlign w:val="baseline"/>
        </w:rPr>
        <w:t> </w:t>
      </w:r>
      <w:r>
        <w:rPr>
          <w:w w:val="110"/>
          <w:sz w:val="24"/>
          <w:vertAlign w:val="baseline"/>
        </w:rPr>
        <w:t>–</w:t>
      </w:r>
      <w:r>
        <w:rPr>
          <w:spacing w:val="-28"/>
          <w:w w:val="110"/>
          <w:sz w:val="24"/>
          <w:vertAlign w:val="baseline"/>
        </w:rPr>
        <w:t> </w:t>
      </w:r>
      <w:r>
        <w:rPr>
          <w:rFonts w:ascii="Arial" w:hAnsi="Arial"/>
          <w:w w:val="120"/>
          <w:sz w:val="24"/>
          <w:vertAlign w:val="baseline"/>
        </w:rPr>
        <w:t>n</w:t>
      </w:r>
      <w:r>
        <w:rPr>
          <w:rFonts w:ascii="Arial" w:hAnsi="Arial"/>
          <w:spacing w:val="-24"/>
          <w:w w:val="120"/>
          <w:sz w:val="24"/>
          <w:vertAlign w:val="baseline"/>
        </w:rPr>
        <w:t> </w:t>
      </w:r>
      <w:r>
        <w:rPr>
          <w:w w:val="110"/>
          <w:sz w:val="24"/>
          <w:vertAlign w:val="subscript"/>
        </w:rPr>
        <w:t>t</w:t>
      </w:r>
      <w:r>
        <w:rPr>
          <w:w w:val="110"/>
          <w:sz w:val="24"/>
          <w:vertAlign w:val="baseline"/>
        </w:rPr>
        <w:t>/(1–</w:t>
      </w:r>
      <w:r>
        <w:rPr>
          <w:rFonts w:ascii="Arial" w:hAnsi="Arial"/>
          <w:w w:val="110"/>
          <w:sz w:val="24"/>
          <w:vertAlign w:val="baseline"/>
        </w:rPr>
        <w:t>qmy</w:t>
      </w:r>
      <w:r>
        <w:rPr>
          <w:w w:val="110"/>
          <w:sz w:val="24"/>
          <w:vertAlign w:val="baseline"/>
        </w:rPr>
        <w:t>)</w:t>
        <w:tab/>
        <w:t>for all t &gt;</w:t>
      </w:r>
      <w:r>
        <w:rPr>
          <w:spacing w:val="-28"/>
          <w:w w:val="110"/>
          <w:sz w:val="24"/>
          <w:vertAlign w:val="baseline"/>
        </w:rPr>
        <w:t> </w:t>
      </w:r>
      <w:r>
        <w:rPr>
          <w:rFonts w:ascii="Arial" w:hAnsi="Arial"/>
          <w:w w:val="120"/>
          <w:sz w:val="24"/>
          <w:vertAlign w:val="baseline"/>
        </w:rPr>
        <w:t>ı</w:t>
      </w:r>
    </w:p>
    <w:p>
      <w:pPr>
        <w:spacing w:after="0" w:line="240" w:lineRule="auto"/>
        <w:jc w:val="left"/>
        <w:rPr>
          <w:rFonts w:ascii="Arial" w:hAnsi="Arial"/>
          <w:sz w:val="24"/>
        </w:rPr>
        <w:sectPr>
          <w:pgSz w:w="12240" w:h="15840"/>
          <w:pgMar w:header="0" w:footer="237" w:top="820" w:bottom="420" w:left="1720" w:right="1560"/>
        </w:sectPr>
      </w:pPr>
    </w:p>
    <w:p>
      <w:pPr>
        <w:pStyle w:val="BodyText"/>
        <w:spacing w:line="360" w:lineRule="auto" w:before="75"/>
        <w:ind w:left="245" w:right="717"/>
      </w:pPr>
      <w:r>
        <w:rPr/>
        <w:t>Integrated first-order conditions analagous to equation (7) may then be obtained by eliminating the multipliers:</w:t>
      </w:r>
    </w:p>
    <w:p>
      <w:pPr>
        <w:pStyle w:val="BodyText"/>
        <w:spacing w:before="9"/>
        <w:rPr>
          <w:sz w:val="33"/>
        </w:rPr>
      </w:pPr>
    </w:p>
    <w:p>
      <w:pPr>
        <w:pStyle w:val="ListParagraph"/>
        <w:numPr>
          <w:ilvl w:val="0"/>
          <w:numId w:val="5"/>
        </w:numPr>
        <w:tabs>
          <w:tab w:pos="1097" w:val="left" w:leader="none"/>
          <w:tab w:pos="1098" w:val="left" w:leader="none"/>
        </w:tabs>
        <w:spacing w:line="240" w:lineRule="auto" w:before="1" w:after="0"/>
        <w:ind w:left="1097" w:right="0" w:hanging="853"/>
        <w:jc w:val="left"/>
        <w:rPr>
          <w:sz w:val="24"/>
        </w:rPr>
      </w:pPr>
      <w:r>
        <w:rPr>
          <w:sz w:val="24"/>
        </w:rPr>
        <w:t>E</w:t>
      </w:r>
      <w:r>
        <w:rPr>
          <w:rFonts w:ascii="Comic Sans MS" w:hAnsi="Comic Sans MS"/>
          <w:sz w:val="24"/>
          <w:vertAlign w:val="subscript"/>
        </w:rPr>
        <w:t>ı</w:t>
      </w:r>
      <w:r>
        <w:rPr>
          <w:rFonts w:ascii="Arial" w:hAnsi="Arial"/>
          <w:sz w:val="24"/>
          <w:vertAlign w:val="baseline"/>
        </w:rPr>
        <w:t>n</w:t>
      </w:r>
      <w:r>
        <w:rPr>
          <w:sz w:val="24"/>
          <w:vertAlign w:val="subscript"/>
        </w:rPr>
        <w:t>t</w:t>
      </w:r>
      <w:r>
        <w:rPr>
          <w:sz w:val="24"/>
          <w:vertAlign w:val="baseline"/>
        </w:rPr>
        <w:t> = – [</w:t>
      </w:r>
      <w:r>
        <w:rPr>
          <w:rFonts w:ascii="Arial" w:hAnsi="Arial"/>
          <w:sz w:val="24"/>
          <w:vertAlign w:val="baseline"/>
        </w:rPr>
        <w:t>Z</w:t>
      </w:r>
      <w:r>
        <w:rPr>
          <w:sz w:val="24"/>
          <w:vertAlign w:val="baseline"/>
        </w:rPr>
        <w:t>(1–</w:t>
      </w:r>
      <w:r>
        <w:rPr>
          <w:rFonts w:ascii="Arial" w:hAnsi="Arial"/>
          <w:sz w:val="24"/>
          <w:vertAlign w:val="baseline"/>
        </w:rPr>
        <w:t>qmy</w:t>
      </w:r>
      <w:r>
        <w:rPr>
          <w:sz w:val="24"/>
          <w:vertAlign w:val="baseline"/>
        </w:rPr>
        <w:t>)/</w:t>
      </w:r>
      <w:r>
        <w:rPr>
          <w:rFonts w:ascii="Arial" w:hAnsi="Arial"/>
          <w:sz w:val="24"/>
          <w:vertAlign w:val="baseline"/>
        </w:rPr>
        <w:t>n</w:t>
      </w:r>
      <w:r>
        <w:rPr>
          <w:sz w:val="24"/>
          <w:vertAlign w:val="baseline"/>
        </w:rPr>
        <w:t>](E</w:t>
      </w:r>
      <w:r>
        <w:rPr>
          <w:rFonts w:ascii="Comic Sans MS" w:hAnsi="Comic Sans MS"/>
          <w:sz w:val="24"/>
          <w:vertAlign w:val="subscript"/>
        </w:rPr>
        <w:t>ı</w:t>
      </w:r>
      <w:r>
        <w:rPr>
          <w:sz w:val="24"/>
          <w:vertAlign w:val="baseline"/>
        </w:rPr>
        <w:t>x*</w:t>
      </w:r>
      <w:r>
        <w:rPr>
          <w:sz w:val="24"/>
          <w:vertAlign w:val="subscript"/>
        </w:rPr>
        <w:t>t</w:t>
      </w:r>
      <w:r>
        <w:rPr>
          <w:sz w:val="24"/>
          <w:vertAlign w:val="baseline"/>
        </w:rPr>
        <w:t> –</w:t>
      </w:r>
      <w:r>
        <w:rPr>
          <w:spacing w:val="-20"/>
          <w:sz w:val="24"/>
          <w:vertAlign w:val="baseline"/>
        </w:rPr>
        <w:t> </w:t>
      </w:r>
      <w:r>
        <w:rPr>
          <w:sz w:val="24"/>
          <w:vertAlign w:val="baseline"/>
        </w:rPr>
        <w:t>E</w:t>
      </w:r>
      <w:r>
        <w:rPr>
          <w:rFonts w:ascii="Comic Sans MS" w:hAnsi="Comic Sans MS"/>
          <w:sz w:val="24"/>
          <w:vertAlign w:val="subscript"/>
        </w:rPr>
        <w:t>ı</w:t>
      </w:r>
      <w:r>
        <w:rPr>
          <w:sz w:val="24"/>
          <w:vertAlign w:val="baseline"/>
        </w:rPr>
        <w:t>x*</w:t>
      </w:r>
      <w:r>
        <w:rPr>
          <w:sz w:val="24"/>
          <w:vertAlign w:val="subscript"/>
        </w:rPr>
        <w:t>t-1</w:t>
      </w:r>
      <w:r>
        <w:rPr>
          <w:sz w:val="24"/>
          <w:vertAlign w:val="baseline"/>
        </w:rPr>
        <w:t>)</w:t>
      </w:r>
    </w:p>
    <w:p>
      <w:pPr>
        <w:pStyle w:val="BodyText"/>
        <w:rPr>
          <w:sz w:val="28"/>
        </w:rPr>
      </w:pPr>
    </w:p>
    <w:p>
      <w:pPr>
        <w:pStyle w:val="BodyText"/>
        <w:spacing w:line="369" w:lineRule="auto" w:before="237"/>
        <w:ind w:left="245" w:right="497"/>
      </w:pPr>
      <w:r>
        <w:rPr/>
        <w:t>The structural similarity to the standard model of section 2 - obtained by setting </w:t>
      </w:r>
      <w:r>
        <w:rPr>
          <w:rFonts w:ascii="Arial" w:hAnsi="Arial"/>
        </w:rPr>
        <w:t>q </w:t>
      </w:r>
      <w:r>
        <w:rPr/>
        <w:t>to zero - makes it easy to see the impact of the possibility of a credit crunch on the design of the optimal policy. Assuming that </w:t>
      </w:r>
      <w:r>
        <w:rPr>
          <w:rFonts w:ascii="Arial" w:hAnsi="Arial"/>
        </w:rPr>
        <w:t>mqy </w:t>
      </w:r>
      <w:r>
        <w:rPr/>
        <w:t>&lt; 1, introducing the possibility of a credit crunch is similar in effect to reducing the weight on output in the policy maker’s objective function.</w:t>
      </w:r>
    </w:p>
    <w:p>
      <w:pPr>
        <w:pStyle w:val="BodyText"/>
        <w:spacing w:before="8"/>
        <w:rPr>
          <w:sz w:val="34"/>
        </w:rPr>
      </w:pPr>
    </w:p>
    <w:p>
      <w:pPr>
        <w:pStyle w:val="BodyText"/>
        <w:spacing w:line="360" w:lineRule="auto"/>
        <w:ind w:left="245"/>
      </w:pPr>
      <w:r>
        <w:rPr/>
        <w:t>That there is apparently </w:t>
      </w:r>
      <w:r>
        <w:rPr>
          <w:i/>
        </w:rPr>
        <w:t>less </w:t>
      </w:r>
      <w:r>
        <w:rPr/>
        <w:t>incentive to stabilise current output when the economy is overheating and building up larger imbalances today</w:t>
      </w:r>
      <w:r>
        <w:rPr>
          <w:vertAlign w:val="superscript"/>
        </w:rPr>
        <w:t>3</w:t>
      </w:r>
      <w:r>
        <w:rPr>
          <w:vertAlign w:val="baseline"/>
        </w:rPr>
        <w:t> may appear counterintuitive.</w:t>
      </w:r>
    </w:p>
    <w:p>
      <w:pPr>
        <w:pStyle w:val="BodyText"/>
        <w:spacing w:line="360" w:lineRule="auto"/>
        <w:ind w:left="245" w:right="397"/>
      </w:pPr>
      <w:r>
        <w:rPr/>
        <w:t>However, recall that this simple model is extremely forward-looking in nature, and that an increase in interest rates today will not affect the severity of any credit crunch tomorrow because of the assumption that the interest semi-elasticity of borrowing is unity. But policy does affect debt levels through another channel, namely expectations of the future output gap. If the output gap is expected to be large and positive in the future, then that will boost capital accumulation today, so raising the future debt stock and the costs associated with a credit crunch.</w:t>
      </w:r>
    </w:p>
    <w:p>
      <w:pPr>
        <w:pStyle w:val="BodyText"/>
        <w:rPr>
          <w:sz w:val="36"/>
        </w:rPr>
      </w:pPr>
    </w:p>
    <w:p>
      <w:pPr>
        <w:pStyle w:val="BodyText"/>
        <w:spacing w:line="360" w:lineRule="auto"/>
        <w:ind w:left="245" w:right="397"/>
      </w:pPr>
      <w:r>
        <w:rPr/>
        <w:t>In the standard model, without the possibility of a credit crunch, the optimal policy in the face of a temporary beneficial supply (wage-push or mark-up) shock exploits the fact that a credible commitment to hold output above potential in the future will raise inflation today via the expectations term in the New Keynesian Phillips curve. Given the desirability of avoiding large deviations in output from potential, the optimal response therefore involves a small, but persistent, deviation of output from potential in response to the temporary supply disturbance, rather than returning inflation to target through a larger, but more short-lived, output gap. When there is a possibility of a credit crunch, however, the gradualist response to the beneficial supply shock generates additional expected future costs. Consequently the optimal policy involves more variation in the output gap today and less persistence than the standard set-up.</w:t>
      </w:r>
    </w:p>
    <w:p>
      <w:pPr>
        <w:spacing w:after="0" w:line="360" w:lineRule="auto"/>
        <w:sectPr>
          <w:pgSz w:w="12240" w:h="15840"/>
          <w:pgMar w:header="0" w:footer="237" w:top="860" w:bottom="420" w:left="1720" w:right="1560"/>
        </w:sectPr>
      </w:pPr>
    </w:p>
    <w:p>
      <w:pPr>
        <w:pStyle w:val="BodyText"/>
        <w:spacing w:line="360" w:lineRule="auto" w:before="70"/>
        <w:ind w:left="245" w:right="390"/>
      </w:pPr>
      <w:r>
        <w:rPr/>
        <w:t>This somewhat paradoxical result is unlikely to be robust, and the model no doubt omits many of the more important channels whereby imbalances can accumulate and unwind. Nevertheless it illustrates the fact that allowing for the accumulation and unwinding of imbalances may affect the design of policy in subtle ways, as well as the more obvious ones.</w:t>
      </w:r>
    </w:p>
    <w:p>
      <w:pPr>
        <w:pStyle w:val="BodyText"/>
        <w:spacing w:before="5"/>
        <w:rPr>
          <w:sz w:val="36"/>
        </w:rPr>
      </w:pPr>
    </w:p>
    <w:p>
      <w:pPr>
        <w:numPr>
          <w:ilvl w:val="1"/>
          <w:numId w:val="1"/>
        </w:numPr>
        <w:tabs>
          <w:tab w:pos="964" w:val="left" w:leader="none"/>
          <w:tab w:pos="965" w:val="left" w:leader="none"/>
        </w:tabs>
        <w:spacing w:before="0"/>
        <w:ind w:left="964" w:right="0" w:hanging="720"/>
        <w:jc w:val="left"/>
        <w:rPr>
          <w:b/>
          <w:sz w:val="24"/>
        </w:rPr>
      </w:pPr>
      <w:r>
        <w:rPr>
          <w:b/>
          <w:sz w:val="24"/>
        </w:rPr>
        <w:t>Other</w:t>
      </w:r>
      <w:r>
        <w:rPr>
          <w:b/>
          <w:spacing w:val="-2"/>
          <w:sz w:val="24"/>
        </w:rPr>
        <w:t> </w:t>
      </w:r>
      <w:r>
        <w:rPr>
          <w:b/>
          <w:sz w:val="24"/>
        </w:rPr>
        <w:t>considerations</w:t>
      </w:r>
    </w:p>
    <w:p>
      <w:pPr>
        <w:pStyle w:val="BodyText"/>
        <w:rPr>
          <w:b/>
          <w:sz w:val="26"/>
        </w:rPr>
      </w:pPr>
    </w:p>
    <w:p>
      <w:pPr>
        <w:pStyle w:val="BodyText"/>
        <w:spacing w:before="7"/>
        <w:rPr>
          <w:b/>
          <w:sz w:val="21"/>
        </w:rPr>
      </w:pPr>
    </w:p>
    <w:p>
      <w:pPr>
        <w:pStyle w:val="BodyText"/>
        <w:spacing w:line="360" w:lineRule="auto"/>
        <w:ind w:left="245" w:right="410"/>
      </w:pPr>
      <w:r>
        <w:rPr/>
        <w:t>Though the model illustrates one way financial imbalances might affect the design of an optimal monetary policy, it misses a number of other considerations. Importantly it does not incorporate an explicit role for asset prices and misses the inherent non- linearities that may be present. Falling asset prices reduce collateral and may induce a sharp change in the behaviour of potential borrowers as collateral constraints start to bind. That can act as an important amplification and propagation mechanism, as in the work of Kiyotaki and Moore (1997). Bordo and Jeanne (2002) construct a model in which firms can only borrow against collateral, and a credit crunch occurs if asset prices fall sufficiently. As in the model above, the credit crunch then leads to a loss of output. The resulting model is highly non-linear, and Bordo and Jeanne show that an appropriately forward-looking policy that responds to the initial asset price inflation and build-up of debt by pre-emptively raising interest rates</w:t>
      </w:r>
      <w:r>
        <w:rPr>
          <w:position w:val="9"/>
          <w:sz w:val="13"/>
        </w:rPr>
        <w:t>4 </w:t>
      </w:r>
      <w:r>
        <w:rPr/>
        <w:t>dominates a purely reactive policy that responds to current inflation and activity.</w:t>
      </w:r>
    </w:p>
    <w:p>
      <w:pPr>
        <w:pStyle w:val="BodyText"/>
        <w:rPr>
          <w:sz w:val="36"/>
        </w:rPr>
      </w:pPr>
    </w:p>
    <w:p>
      <w:pPr>
        <w:pStyle w:val="BodyText"/>
        <w:spacing w:line="360" w:lineRule="auto"/>
        <w:ind w:left="245" w:right="417"/>
      </w:pPr>
      <w:r>
        <w:rPr/>
        <w:t>Bordo and Jeanne go on to conclude that this demonstrates that a monetary policy that reacts only to output and inflation is insufficient, and that a (non-linear) response to asset prices, etc, is also desirable. They suggest this is inconsistent with inflation targeting. However, Bordo and Jeanne assume a standard loss function that is quadratic in the output gap and inflation. If one accepts the argument that an inflation target is really a statement about the objective function rather than the reaction function, a flexible inflation targeter would also choose their recommended policy.</w:t>
      </w:r>
    </w:p>
    <w:p>
      <w:pPr>
        <w:pStyle w:val="BodyText"/>
        <w:rPr>
          <w:sz w:val="20"/>
        </w:rPr>
      </w:pPr>
    </w:p>
    <w:p>
      <w:pPr>
        <w:pStyle w:val="BodyText"/>
        <w:spacing w:before="2"/>
        <w:rPr>
          <w:sz w:val="18"/>
        </w:rPr>
      </w:pPr>
      <w:r>
        <w:rPr/>
        <w:pict>
          <v:rect style="position:absolute;margin-left:98.279999pt;margin-top:12.406904pt;width:415.32pt;height:.48pt;mso-position-horizontal-relative:page;mso-position-vertical-relative:paragraph;z-index:-15723520;mso-wrap-distance-left:0;mso-wrap-distance-right:0" filled="true" fillcolor="#000000" stroked="false">
            <v:fill type="solid"/>
            <w10:wrap type="topAndBottom"/>
          </v:rect>
        </w:pict>
      </w:r>
    </w:p>
    <w:p>
      <w:pPr>
        <w:spacing w:before="53"/>
        <w:ind w:left="245" w:right="681" w:firstLine="0"/>
        <w:jc w:val="left"/>
        <w:rPr>
          <w:sz w:val="20"/>
        </w:rPr>
      </w:pPr>
      <w:r>
        <w:rPr>
          <w:sz w:val="20"/>
          <w:vertAlign w:val="superscript"/>
        </w:rPr>
        <w:t>3</w:t>
      </w:r>
      <w:r>
        <w:rPr>
          <w:sz w:val="20"/>
          <w:vertAlign w:val="baseline"/>
        </w:rPr>
        <w:t> Recall that the constant savings rate assumption implies that higher output must be associated with higher capital formation and therefore more debt accumulation.</w:t>
      </w:r>
    </w:p>
    <w:p>
      <w:pPr>
        <w:pStyle w:val="ListParagraph"/>
        <w:numPr>
          <w:ilvl w:val="0"/>
          <w:numId w:val="1"/>
        </w:numPr>
        <w:tabs>
          <w:tab w:pos="448" w:val="left" w:leader="none"/>
        </w:tabs>
        <w:spacing w:line="267" w:lineRule="exact" w:before="0" w:after="0"/>
        <w:ind w:left="447" w:right="0" w:hanging="203"/>
        <w:jc w:val="left"/>
        <w:rPr>
          <w:sz w:val="16"/>
        </w:rPr>
      </w:pPr>
      <w:r>
        <w:rPr>
          <w:sz w:val="20"/>
        </w:rPr>
        <w:t>This channel is absent in the model described in this paper because of the assumption that the</w:t>
      </w:r>
      <w:r>
        <w:rPr>
          <w:spacing w:val="-31"/>
          <w:sz w:val="20"/>
        </w:rPr>
        <w:t> </w:t>
      </w:r>
      <w:r>
        <w:rPr>
          <w:sz w:val="20"/>
        </w:rPr>
        <w:t>semi-</w:t>
      </w:r>
    </w:p>
    <w:p>
      <w:pPr>
        <w:spacing w:before="10"/>
        <w:ind w:left="245" w:right="0" w:firstLine="0"/>
        <w:jc w:val="left"/>
        <w:rPr>
          <w:sz w:val="20"/>
        </w:rPr>
      </w:pPr>
      <w:r>
        <w:rPr>
          <w:sz w:val="20"/>
        </w:rPr>
        <w:t>elasticity of debt with respect to the interest rate is unity.</w:t>
      </w:r>
    </w:p>
    <w:p>
      <w:pPr>
        <w:spacing w:after="0"/>
        <w:jc w:val="left"/>
        <w:rPr>
          <w:sz w:val="20"/>
        </w:rPr>
        <w:sectPr>
          <w:pgSz w:w="12240" w:h="15840"/>
          <w:pgMar w:header="0" w:footer="237" w:top="1280" w:bottom="420" w:left="1720" w:right="1560"/>
        </w:sectPr>
      </w:pPr>
    </w:p>
    <w:p>
      <w:pPr>
        <w:pStyle w:val="BodyText"/>
        <w:spacing w:line="360" w:lineRule="auto" w:before="75"/>
        <w:ind w:left="245" w:right="890"/>
      </w:pPr>
      <w:r>
        <w:rPr/>
        <w:t>But their analysis does suggest that a richer interest rate reaction function may be required in the pursuance of that inflation target.</w:t>
      </w:r>
    </w:p>
    <w:p>
      <w:pPr>
        <w:pStyle w:val="BodyText"/>
        <w:spacing w:before="1"/>
        <w:rPr>
          <w:sz w:val="36"/>
        </w:rPr>
      </w:pPr>
    </w:p>
    <w:p>
      <w:pPr>
        <w:pStyle w:val="BodyText"/>
        <w:spacing w:line="360" w:lineRule="auto"/>
        <w:ind w:left="245" w:right="484"/>
      </w:pPr>
      <w:r>
        <w:rPr/>
        <w:t>Financial instability and credit crunches are probably of the greatest significance when they adversely affect the supply potential of the economy, as in the model of this section and Bordo and Jeanne. But even without such adverse supply effects, the unwinding of financial imbalances may cause problems for the design and conduct of monetary policy. In most settings the appropriate response to the fall in aggregate demand occasioned by the unwinding of cumulative imbalances, triggered say by a fall in asset prices or a downward revision in expectations about future income or earnings, is simply to offset the shock to demand by lowering interest rates. But this may not be possible if the zero lower bound on nominal interest rates starts to bind.</w:t>
      </w:r>
    </w:p>
    <w:p>
      <w:pPr>
        <w:pStyle w:val="BodyText"/>
        <w:spacing w:line="360" w:lineRule="auto"/>
        <w:ind w:left="245" w:right="530"/>
      </w:pPr>
      <w:r>
        <w:rPr/>
        <w:t>Although other monetary policy options may be available, including purchases of a broader range of assets than the central bank usually undertakes, as well as more exotic approaches such as taxing money balances a la Gesell, their effectiveness is less certain than conventional interest rate policy. Consequently it will make sense to conduct a policy during the period of accumulating imbalances that reduces the likelihood of encountering the zero lower bound as the imbalances unwind.</w:t>
      </w:r>
    </w:p>
    <w:p>
      <w:pPr>
        <w:pStyle w:val="BodyText"/>
        <w:spacing w:before="1"/>
        <w:rPr>
          <w:sz w:val="36"/>
        </w:rPr>
      </w:pPr>
    </w:p>
    <w:p>
      <w:pPr>
        <w:pStyle w:val="BodyText"/>
        <w:spacing w:line="360" w:lineRule="auto"/>
        <w:ind w:left="245" w:right="490"/>
      </w:pPr>
      <w:r>
        <w:rPr/>
        <w:t>Stochastic simulations with macroeconometric models suggest that, at an average inflation rate of 2%, the fraction of time spent at the zero lower bound is likely to be around 2%. And even for an average inflation rate of 1%, the corresponding figure is only up to around 5% (see the studies surveyed in Yates, 2003). That might appear to suggest this is not likely to be a very serious issue. But those stochastic simulations assume shocks similar to those experienced in the past. The unwinding of imbalances is likely to be sharp, particularly in the context of a credit crunch or similar financial instability, and so corresponds to shock realisations in the bottom tail of the distribution. That suggests the presence of the zero lower bound on interest rates provides a more compelling argument for pre-emptive action to prevent the build-up of imbalances in the first place.</w:t>
      </w:r>
    </w:p>
    <w:p>
      <w:pPr>
        <w:pStyle w:val="BodyText"/>
        <w:rPr>
          <w:sz w:val="36"/>
        </w:rPr>
      </w:pPr>
    </w:p>
    <w:p>
      <w:pPr>
        <w:pStyle w:val="BodyText"/>
        <w:spacing w:line="360" w:lineRule="auto"/>
        <w:ind w:left="245" w:right="477"/>
      </w:pPr>
      <w:r>
        <w:rPr/>
        <w:t>A second consideration in relation to the impact on demand arises from the fact that a sharp unwinding of imbalances is likely to make aggregate demand somewhat less predictable than normal. Knowledge of the current state of the economy is highly</w:t>
      </w:r>
    </w:p>
    <w:p>
      <w:pPr>
        <w:spacing w:after="0" w:line="360" w:lineRule="auto"/>
        <w:sectPr>
          <w:pgSz w:w="12240" w:h="15840"/>
          <w:pgMar w:header="0" w:footer="237" w:top="860" w:bottom="420" w:left="1720" w:right="1560"/>
        </w:sectPr>
      </w:pPr>
    </w:p>
    <w:p>
      <w:pPr>
        <w:pStyle w:val="BodyText"/>
        <w:spacing w:line="360" w:lineRule="auto" w:before="75"/>
        <w:ind w:left="245" w:right="405"/>
      </w:pPr>
      <w:r>
        <w:rPr/>
        <w:t>imperfect – unlike in the models above - and increased uncertainty about demand will inevitably be transmitted into greater variability in activity. Moreover the impact of interest rate changes on aggregate demand is also likely to become more uncertain in such an environment, especially if credit channel effects assume greater importance or if there is a credit crunch. Greater uncertainty about policy multipliers will then affect the optimal policy seeting, eg as in the seminal analysis of Brainard (1967).</w:t>
      </w:r>
    </w:p>
    <w:p>
      <w:pPr>
        <w:pStyle w:val="BodyText"/>
        <w:spacing w:before="1"/>
        <w:rPr>
          <w:sz w:val="36"/>
        </w:rPr>
      </w:pPr>
    </w:p>
    <w:p>
      <w:pPr>
        <w:pStyle w:val="BodyText"/>
        <w:spacing w:line="360" w:lineRule="auto"/>
        <w:ind w:left="245" w:right="410"/>
      </w:pPr>
      <w:r>
        <w:rPr/>
        <w:t>In this case one would expect there to be something of a trade-off facing the policy maker. Action taken today to reduce the build-up of imbalances might pay off in the longer term by reducing the future uncertainty that the policy maker will face as the imbalances unwind. But, as before, this seems entirely consistent with the approach of flexible inflation targets, taken as a description of the objectives of policy rather than the route whereby they are achieved.</w:t>
      </w:r>
    </w:p>
    <w:p>
      <w:pPr>
        <w:pStyle w:val="BodyText"/>
        <w:spacing w:before="3"/>
        <w:rPr>
          <w:sz w:val="36"/>
        </w:rPr>
      </w:pPr>
    </w:p>
    <w:p>
      <w:pPr>
        <w:pStyle w:val="Heading6"/>
        <w:tabs>
          <w:tab w:pos="965" w:val="left" w:leader="none"/>
        </w:tabs>
        <w:spacing w:before="0"/>
      </w:pPr>
      <w:r>
        <w:rPr/>
        <w:t>4</w:t>
        <w:tab/>
        <w:t>Identifying imbalances: a case</w:t>
      </w:r>
      <w:r>
        <w:rPr>
          <w:spacing w:val="-7"/>
        </w:rPr>
        <w:t> </w:t>
      </w:r>
      <w:r>
        <w:rPr/>
        <w:t>study</w:t>
      </w:r>
    </w:p>
    <w:p>
      <w:pPr>
        <w:pStyle w:val="BodyText"/>
        <w:spacing w:before="7"/>
        <w:rPr>
          <w:b/>
          <w:sz w:val="23"/>
        </w:rPr>
      </w:pPr>
    </w:p>
    <w:p>
      <w:pPr>
        <w:pStyle w:val="BodyText"/>
        <w:spacing w:line="360" w:lineRule="auto"/>
        <w:ind w:left="245" w:right="444"/>
      </w:pPr>
      <w:r>
        <w:rPr/>
        <w:t>These considerations suggest that even inflation targetters – indeed </w:t>
      </w:r>
      <w:r>
        <w:rPr>
          <w:i/>
        </w:rPr>
        <w:t>especially </w:t>
      </w:r>
      <w:r>
        <w:rPr/>
        <w:t>inflation targetters - should take cognisance of the risks to future macroeconomic stability posed by cumulating financial imbalances and/or asset price misalignments. No additional consideration of asset prices or financial imbalances need be</w:t>
      </w:r>
      <w:r>
        <w:rPr>
          <w:spacing w:val="-41"/>
        </w:rPr>
        <w:t> </w:t>
      </w:r>
      <w:r>
        <w:rPr/>
        <w:t>introduced into the description of the objectives of policy beyond inflation and activity. But as it may be some while before imbalances unwind or misalignments correct, the policy maker does need to look sufficiently far ahead in assessing the risks to the outlook posed by the build-up of imbalances and</w:t>
      </w:r>
      <w:r>
        <w:rPr>
          <w:spacing w:val="-11"/>
        </w:rPr>
        <w:t> </w:t>
      </w:r>
      <w:r>
        <w:rPr/>
        <w:t>misalignments.</w:t>
      </w:r>
    </w:p>
    <w:p>
      <w:pPr>
        <w:pStyle w:val="BodyText"/>
        <w:spacing w:before="2"/>
        <w:rPr>
          <w:sz w:val="36"/>
        </w:rPr>
      </w:pPr>
    </w:p>
    <w:p>
      <w:pPr>
        <w:pStyle w:val="BodyText"/>
        <w:spacing w:line="360" w:lineRule="auto"/>
        <w:ind w:left="245" w:right="438"/>
      </w:pPr>
      <w:r>
        <w:rPr/>
        <w:t>A key issue is, of course, the identification of threatening imbalances before they grow too large. But without the wisdom of hindsight, it is often hard to identify those that pose a real threat, as rapid debt accumulation or large asset price movements may be a rational and justified response to changes in the economic environment. The empirical results of Borio and Lowe (2002), building on Kaminsky and Reinhart (1999), seek to develop indicators of imminent financial crises based on the joint behaviour of asset prices, credit and investment and using only information available to the policy maker at the time. Such indicators will no doubt be a useful addition to the armoury of central banks, but early diagnosis of incipient imbalances is always</w:t>
      </w:r>
    </w:p>
    <w:p>
      <w:pPr>
        <w:spacing w:after="0" w:line="360" w:lineRule="auto"/>
        <w:sectPr>
          <w:pgSz w:w="12240" w:h="15840"/>
          <w:pgMar w:header="0" w:footer="237" w:top="860" w:bottom="420" w:left="1720" w:right="1560"/>
        </w:sectPr>
      </w:pPr>
    </w:p>
    <w:p>
      <w:pPr>
        <w:pStyle w:val="BodyText"/>
        <w:spacing w:line="360" w:lineRule="auto" w:before="75"/>
        <w:ind w:left="245" w:right="687"/>
        <w:jc w:val="both"/>
      </w:pPr>
      <w:r>
        <w:rPr/>
        <w:t>likely to be difficult. By the time it is obvious that there is a problem, it may be too late to do much about it – at least with conventional macroeconomic tools - without causing the macroeconomic instability that the policy maker wishes to avoid.</w:t>
      </w:r>
    </w:p>
    <w:p>
      <w:pPr>
        <w:pStyle w:val="BodyText"/>
        <w:rPr>
          <w:sz w:val="36"/>
        </w:rPr>
      </w:pPr>
    </w:p>
    <w:p>
      <w:pPr>
        <w:pStyle w:val="BodyText"/>
        <w:spacing w:line="360" w:lineRule="auto"/>
        <w:ind w:left="245" w:right="556"/>
      </w:pPr>
      <w:r>
        <w:rPr/>
        <w:t>Moreover, as noted by a number of authors, the greater counter-inflationary credibility of monetary policy in the last decade or so itself complicates the identification of imbalances (see, eg, Borio and Lowe or Goodfriend, 2002). Debt accumulation is likely to prove excessive if it is associated with unsustainably high levels of activity. Previously levels of activity above the natural rate tended to show up relatively soon in accelerating inflation. But a feature of the last decade has been the apparent flattening of the short-run output-inflation trade-off (see Chart 1). There are at least three possible reasons for this. First, New Keynesian models of nominal price inertia relying on the presence of menu costs suggest that the slope of the output-inflation trade-off should be flatter at low average inflation rates (Ball, Mankiw and Romer, 1988). Second, models of the Phillips curve in which expectations of inflation play a role - whether of the Friedman-Phelps-Lucas or New Keynesian varieties - suggest that an increase in activity above the natural rate will</w:t>
      </w:r>
    </w:p>
    <w:p>
      <w:pPr>
        <w:pStyle w:val="BodyText"/>
        <w:spacing w:line="360" w:lineRule="auto" w:before="2"/>
        <w:ind w:left="245" w:right="391"/>
      </w:pPr>
      <w:r>
        <w:rPr/>
        <w:t>raise inflation less if those expectations are well anchored. Consequently the enhanced belief that monetary policy will be used to stabilise inflation will itself help to keep inflation low. Moreover that credibility will also help to stabilise long-term interest rates. Third, increased competitive pressures in product markets, associated in particular with increased international trade, may also act to restrain inflationary pressures.</w:t>
      </w:r>
    </w:p>
    <w:p>
      <w:pPr>
        <w:pStyle w:val="BodyText"/>
        <w:spacing w:before="10"/>
        <w:rPr>
          <w:sz w:val="35"/>
        </w:rPr>
      </w:pPr>
    </w:p>
    <w:p>
      <w:pPr>
        <w:pStyle w:val="BodyText"/>
        <w:spacing w:line="360" w:lineRule="auto"/>
        <w:ind w:left="245" w:right="407"/>
      </w:pPr>
      <w:r>
        <w:rPr/>
        <w:t>In such a world, excess debt accumulation and levels of demand above the natural rate will not immediately show up in higher inflation rates. Moreover, that in itself may encourage market participants and policy makers to believe that the natural rate of output is higher than it really is. That in turn is likely to boost asset prices, further raising demand. Instead of showing up in inflation, the excess demand will show up in other indicators, such as profit rates, measures of labour shortage and the like. If maintained, those excess demand pressures will eventually show up in higher inflation, possibly resulting in a loss of the hard-earned counter-inflationary credibility of monetary policy. That suggests focussing attention on other</w:t>
      </w:r>
      <w:r>
        <w:rPr>
          <w:spacing w:val="-19"/>
        </w:rPr>
        <w:t> </w:t>
      </w:r>
      <w:r>
        <w:rPr/>
        <w:t>indicators,</w:t>
      </w:r>
    </w:p>
    <w:p>
      <w:pPr>
        <w:spacing w:after="0" w:line="360" w:lineRule="auto"/>
        <w:sectPr>
          <w:pgSz w:w="12240" w:h="15840"/>
          <w:pgMar w:header="0" w:footer="237" w:top="860" w:bottom="420" w:left="1720" w:right="1560"/>
        </w:sectPr>
      </w:pPr>
    </w:p>
    <w:p>
      <w:pPr>
        <w:pStyle w:val="BodyText"/>
        <w:spacing w:line="360" w:lineRule="auto" w:before="75"/>
        <w:ind w:left="245" w:right="970"/>
      </w:pPr>
      <w:r>
        <w:rPr/>
        <w:t>as well as inflation, in identifying when demand is excessive and imbalances are unsustainable.</w:t>
      </w:r>
    </w:p>
    <w:p>
      <w:pPr>
        <w:pStyle w:val="BodyText"/>
        <w:spacing w:before="1"/>
        <w:rPr>
          <w:sz w:val="36"/>
        </w:rPr>
      </w:pPr>
    </w:p>
    <w:p>
      <w:pPr>
        <w:pStyle w:val="BodyText"/>
        <w:spacing w:line="360" w:lineRule="auto"/>
        <w:ind w:left="245" w:right="431"/>
      </w:pPr>
      <w:r>
        <w:rPr/>
        <w:t>Rather than add to the body of work that seeks to develop early-warning indicators of potentially dangerous imbalances, I conclude with a review of current developments in the United Kingdom that illustrates the difficulties in assessing whether or not asset price movements and credit growth constitute a potential problem. A key feature of the UK economy in the past six years has been the buoyancy of household spending which has consistently grown faster than output, in both real and nominal terms (see Chart 2). And associated with that has been a build-up of household debt and rapid house price inflation (see Charts 3 and 4). Moreover the Bank’s Monetary Policy Committee has over the past two years sought to offset the impact of the global slowdown by relaxing policy in order to further boost domestic spending, and in particular private consumption. That has added to the accumulation of household debt and raised house prices further. Is there any evidence that the financial imbalances in the UK household sector have reached the point where they might pose a threat to the economic outlook?</w:t>
      </w:r>
    </w:p>
    <w:p>
      <w:pPr>
        <w:pStyle w:val="BodyText"/>
        <w:spacing w:before="11"/>
        <w:rPr>
          <w:sz w:val="35"/>
        </w:rPr>
      </w:pPr>
    </w:p>
    <w:p>
      <w:pPr>
        <w:pStyle w:val="BodyText"/>
        <w:spacing w:line="360" w:lineRule="auto"/>
        <w:ind w:left="245" w:right="423"/>
      </w:pPr>
      <w:r>
        <w:rPr/>
        <w:t>In addressing this question, it is helpful first to ask why consumer demand might have been so buoyant. Standard theory suggests that it should be “permanent” income rather than current income that drives consumer spending, though the extent to which households will inter-temporally shift expenditures will also depend on the cost of borrowing and the return to saving. The recent strong growth in consumption has coincided with robust growth in real disposable household incomes and falling unemployment, and for a while also with rising equity prices. So one explanation for the strength of consumer spending is that households have been revising up their assessment of their permanent income. To the extent that there has indeed been an increase in households’ permanent income, then we would expect consumption growth in due course to fall back in line – or strictly speaking a little below – the rate of growth of their income, with the extra accumulated debt being gradually repaid.</w:t>
      </w:r>
    </w:p>
    <w:p>
      <w:pPr>
        <w:pStyle w:val="BodyText"/>
        <w:spacing w:line="360" w:lineRule="auto"/>
        <w:ind w:left="245" w:right="897"/>
      </w:pPr>
      <w:r>
        <w:rPr/>
        <w:t>But if expectations prove to be over-optimistic then a sharper future correction to consumer spending is likely.</w:t>
      </w:r>
    </w:p>
    <w:p>
      <w:pPr>
        <w:spacing w:after="0" w:line="360" w:lineRule="auto"/>
        <w:sectPr>
          <w:pgSz w:w="12240" w:h="15840"/>
          <w:pgMar w:header="0" w:footer="237" w:top="860" w:bottom="420" w:left="1720" w:right="1560"/>
        </w:sectPr>
      </w:pPr>
    </w:p>
    <w:p>
      <w:pPr>
        <w:pStyle w:val="BodyText"/>
        <w:spacing w:line="360" w:lineRule="auto" w:before="75"/>
        <w:ind w:left="245" w:right="524"/>
      </w:pPr>
      <w:r>
        <w:rPr/>
        <w:t>Furthermore a significant fraction of the increase in real household incomes has been associated with the substantial improvement in the terms of trade – up 13% since 1996 (see Chart 5). An important issue is whether the improvement from this source is permanent, reflecting the exploitation of comparative advantage, or whether it is associated instead with a temporarily high level of the exchange rate, in which case real incomes and consumption will eventually both drop back. The answer to this question is not obvious.</w:t>
      </w:r>
    </w:p>
    <w:p>
      <w:pPr>
        <w:pStyle w:val="BodyText"/>
        <w:rPr>
          <w:sz w:val="36"/>
        </w:rPr>
      </w:pPr>
    </w:p>
    <w:p>
      <w:pPr>
        <w:pStyle w:val="BodyText"/>
        <w:spacing w:line="360" w:lineRule="auto"/>
        <w:ind w:left="245" w:right="411"/>
      </w:pPr>
      <w:r>
        <w:rPr/>
        <w:t>A second explanation for the rapid growth in consumer spending and debt is easier access to, or cheaper, borrowing. This is where house prices enter the picture. The most important channel through which house prices affect consumer spending is probably not via a conventional wealth effect, but rather by increasing the value of the collateral against which owners can borrow. The higher house prices of recent years have allowed owner-occupiers to increase their borrowing, using the proceeds in part to boost spending. That is reflected in high rates of mortgage equity withdrawal, currently estimated to be equivalent to about 7% of personal disposable income (see Chart 3).</w:t>
      </w:r>
    </w:p>
    <w:p>
      <w:pPr>
        <w:pStyle w:val="BodyText"/>
        <w:rPr>
          <w:sz w:val="36"/>
        </w:rPr>
      </w:pPr>
    </w:p>
    <w:p>
      <w:pPr>
        <w:pStyle w:val="BodyText"/>
        <w:spacing w:line="360" w:lineRule="auto"/>
        <w:ind w:left="245" w:right="410"/>
      </w:pPr>
      <w:r>
        <w:rPr/>
        <w:t>But why has the price of houses risen? The demand for housing services should be driven by the same factors that drive the demand for consumer goods and services, ie, permanent income. Chart 4 also shows the evolution of house prices relative to the nominal value of consumer spending per household (a proxy for consumers’ estimates of their permanent income). That ratio has risen sharply in recent years, although the picture is not quite as dramatic as when house prices are compared to earnings.</w:t>
      </w:r>
    </w:p>
    <w:p>
      <w:pPr>
        <w:pStyle w:val="BodyText"/>
        <w:spacing w:before="2"/>
        <w:rPr>
          <w:sz w:val="36"/>
        </w:rPr>
      </w:pPr>
    </w:p>
    <w:p>
      <w:pPr>
        <w:pStyle w:val="BodyText"/>
        <w:spacing w:line="360" w:lineRule="auto"/>
        <w:ind w:left="245" w:right="504"/>
      </w:pPr>
      <w:r>
        <w:rPr/>
        <w:t>So something else has also been driving house prices, and with them the value of the collateral against which owner-occupiers can borrow. At first glance Chart 4 might seem to indicate an incipient house-price bubble, but there are at least three reasons why the demand for housing might have risen more than might be suggested simply by looking at permanent income. First, the transition to a low inflation environment implies that nominal interest rates should also be lower on average. As standard mortgages entail an even flow of nominal payments over the life of the mortgage, the initial real payments on a given nominal debt are smaller than they would be if inflation and interest rates were high, with the real burden of payments towards the</w:t>
      </w:r>
    </w:p>
    <w:p>
      <w:pPr>
        <w:spacing w:after="0" w:line="360" w:lineRule="auto"/>
        <w:sectPr>
          <w:pgSz w:w="12240" w:h="15840"/>
          <w:pgMar w:header="0" w:footer="237" w:top="860" w:bottom="420" w:left="1720" w:right="1560"/>
        </w:sectPr>
      </w:pPr>
    </w:p>
    <w:p>
      <w:pPr>
        <w:pStyle w:val="BodyText"/>
        <w:spacing w:line="360" w:lineRule="auto" w:before="75"/>
        <w:ind w:left="245" w:right="491"/>
      </w:pPr>
      <w:r>
        <w:rPr/>
        <w:t>end of the loan period being correspondingly greater. Shifting the pattern of real payments into the future in this way makes households that are constrained by their cash flow more willing or able to borrow, thus driving up the demand for housing. But a legitimate concern is that borrowers may not have fully factored in the corresponding increase in future real payments. Second, increased competition amongst lenders and the application of better credit scoring techniques may have increased the supply of loans. And third, population growth and demographic developments – more people wanting to live alone and an increased desire for second homes – will also have boosted demand.</w:t>
      </w:r>
    </w:p>
    <w:p>
      <w:pPr>
        <w:pStyle w:val="BodyText"/>
        <w:rPr>
          <w:sz w:val="36"/>
        </w:rPr>
      </w:pPr>
    </w:p>
    <w:p>
      <w:pPr>
        <w:pStyle w:val="BodyText"/>
        <w:spacing w:line="360" w:lineRule="auto"/>
        <w:ind w:left="245" w:right="396"/>
      </w:pPr>
      <w:r>
        <w:rPr/>
        <w:t>In addition, on the supply side of the market, the rate of construction of new dwellings in the United Kingdom has lagged behind the expansion in the number of households, in part because of a shortage of land and the impact of planning restrictions. Chart 6 shows that the ratio of dwellings to households – a measure of spare capacity in the housing market - has been steadily falling over the last two decades. One might reasonably expect that this might also be reflected in higher house prices relative to nominal consumption per household.</w:t>
      </w:r>
    </w:p>
    <w:p>
      <w:pPr>
        <w:pStyle w:val="BodyText"/>
        <w:rPr>
          <w:sz w:val="36"/>
        </w:rPr>
      </w:pPr>
    </w:p>
    <w:p>
      <w:pPr>
        <w:pStyle w:val="BodyText"/>
        <w:spacing w:line="360" w:lineRule="auto"/>
        <w:ind w:left="245" w:right="767"/>
      </w:pPr>
      <w:r>
        <w:rPr/>
        <w:t>In sum, there are good reasons why a higher house-prices-to-consumption ratio (or house-prices-to-earnings ratio) might be warranted by underlying economic developments. But there is inevitably very considerable uncertainty about the underlying equilibrium value of house prices. An optimal monetary policy almost certainly would dictate a differential response to a movement in house prices associated with a misalignment to one that is associated with movements in the fundamentals. Yet diagnosing whether there is a misalignment is far from straightforward.</w:t>
      </w:r>
    </w:p>
    <w:p>
      <w:pPr>
        <w:pStyle w:val="BodyText"/>
        <w:spacing w:before="2"/>
        <w:rPr>
          <w:sz w:val="36"/>
        </w:rPr>
      </w:pPr>
    </w:p>
    <w:p>
      <w:pPr>
        <w:pStyle w:val="BodyText"/>
        <w:spacing w:line="360" w:lineRule="auto"/>
        <w:ind w:left="245" w:right="490"/>
      </w:pPr>
      <w:r>
        <w:rPr/>
        <w:t>Whether the movement in house prices is justified by fundamentals or not is clearly also central to assessing whether there is any danger posed by the build-up of household debt that is the counterpart to the increase in the value of housing wealth. But even if a sharp correction were to occur to house prices, it would not necessarily imply a correspondingly sharp fall in household spending. Net household wealth would fall, but rational consumers would spread the required adjustment over the rest of their lives. Even consumers who were credit constrained and had previously</w:t>
      </w:r>
    </w:p>
    <w:p>
      <w:pPr>
        <w:spacing w:after="0" w:line="360" w:lineRule="auto"/>
        <w:sectPr>
          <w:pgSz w:w="12240" w:h="15840"/>
          <w:pgMar w:header="0" w:footer="237" w:top="860" w:bottom="420" w:left="1720" w:right="1560"/>
        </w:sectPr>
      </w:pPr>
    </w:p>
    <w:p>
      <w:pPr>
        <w:pStyle w:val="BodyText"/>
        <w:spacing w:line="360" w:lineRule="auto" w:before="75"/>
        <w:ind w:left="245" w:right="517"/>
      </w:pPr>
      <w:r>
        <w:rPr/>
        <w:t>exploited the higher collateral to increase their borrowing would not need to cut back their spending sharply unless the lender were to foreclose on them for some reason.</w:t>
      </w:r>
    </w:p>
    <w:p>
      <w:pPr>
        <w:pStyle w:val="BodyText"/>
        <w:spacing w:before="1"/>
        <w:rPr>
          <w:sz w:val="36"/>
        </w:rPr>
      </w:pPr>
    </w:p>
    <w:p>
      <w:pPr>
        <w:pStyle w:val="BodyText"/>
        <w:spacing w:line="360" w:lineRule="auto"/>
        <w:ind w:left="245" w:right="431"/>
      </w:pPr>
      <w:r>
        <w:rPr/>
        <w:t>The high outstanding debt levels could, however, increase the impact on consumer spending of other adverse shocks to activity, especially those leading to higher unemployment. Households with adequate liquid assets or who can still access the credit market would not need to cut back their consumption much if they experience a spell of unemployment, assuming it does not harm their future earning potential.</w:t>
      </w:r>
    </w:p>
    <w:p>
      <w:pPr>
        <w:pStyle w:val="BodyText"/>
        <w:spacing w:line="360" w:lineRule="auto"/>
        <w:ind w:left="245" w:right="404"/>
      </w:pPr>
      <w:r>
        <w:rPr/>
        <w:t>Instead they would simply run down their savings or borrow more. On the other hand, households with no assets, and who cannot borrow, would be forced to cut back spending in line with their reduced income. So the impact of this adverse shock on aggregate consumption will be greater, the higher is the fraction of constrained households. Furthermore that fraction will tend to be higher, the greater is the amount of debt already extended.</w:t>
      </w:r>
    </w:p>
    <w:p>
      <w:pPr>
        <w:pStyle w:val="BodyText"/>
        <w:rPr>
          <w:sz w:val="36"/>
        </w:rPr>
      </w:pPr>
    </w:p>
    <w:p>
      <w:pPr>
        <w:pStyle w:val="BodyText"/>
        <w:spacing w:line="360" w:lineRule="auto" w:before="1"/>
        <w:ind w:left="245" w:right="529"/>
      </w:pPr>
      <w:r>
        <w:rPr/>
        <w:t>So a key question is whether those who hold the debt are particularly likely to be exposed to adverse shocks, such as job loss, and whether they have other assets that they could run down. The good news is that it is those households who hold the most debt who also tend to have higher income and more assets (see Chart 7). But this is not very surprising as most of the debt is in the form of mortgages and bigger mortgages are typically associated with more expensive houses!</w:t>
      </w:r>
    </w:p>
    <w:p>
      <w:pPr>
        <w:pStyle w:val="BodyText"/>
        <w:spacing w:before="10"/>
        <w:rPr>
          <w:sz w:val="35"/>
        </w:rPr>
      </w:pPr>
    </w:p>
    <w:p>
      <w:pPr>
        <w:pStyle w:val="BodyText"/>
        <w:spacing w:line="360" w:lineRule="auto"/>
        <w:ind w:left="245" w:right="429"/>
      </w:pPr>
      <w:r>
        <w:rPr/>
        <w:t>Perhaps more relevant in assessing the potential vulnerability of the household sector to shocks is the matching of debts to liquid assets. Here the news is not quite so good. Chart 8 illustrates the distribution of total liabilities and liquid assets across individual households, drawn from a 10% random sample of the 5,000 households in the 2000 British Household Panel Survey. It is notable that a large fraction of households are positioned on one or other axis. In particular roughly a third had no liquid assets to speak of. This suggests that the financial position of the household sector might be rather less resilient than is suggested merely by looking at aggregate balance sheet data.</w:t>
      </w:r>
    </w:p>
    <w:p>
      <w:pPr>
        <w:pStyle w:val="BodyText"/>
        <w:rPr>
          <w:sz w:val="36"/>
        </w:rPr>
      </w:pPr>
    </w:p>
    <w:p>
      <w:pPr>
        <w:pStyle w:val="BodyText"/>
        <w:spacing w:line="360" w:lineRule="auto"/>
        <w:ind w:left="245" w:right="1057"/>
      </w:pPr>
      <w:r>
        <w:rPr/>
        <w:t>This contemporary example illustrates the problem that policy makers have in assessing whether potentially dangerous financial imbalances are developing or</w:t>
      </w:r>
    </w:p>
    <w:p>
      <w:pPr>
        <w:spacing w:after="0" w:line="360" w:lineRule="auto"/>
        <w:sectPr>
          <w:pgSz w:w="12240" w:h="15840"/>
          <w:pgMar w:header="0" w:footer="237" w:top="860" w:bottom="420" w:left="1720" w:right="1560"/>
        </w:sectPr>
      </w:pPr>
    </w:p>
    <w:p>
      <w:pPr>
        <w:pStyle w:val="BodyText"/>
        <w:spacing w:line="360" w:lineRule="auto" w:before="75"/>
        <w:ind w:left="245" w:right="404"/>
      </w:pPr>
      <w:r>
        <w:rPr/>
        <w:t>whether credit growth and asset price appreciation is simply the consequence of sustainable movements in the economic fundamentals. Moreover, even if imbalances are developing, information at the microeconomic level may well be required to evaluate the potential problems that may be caused by their unwinding - looking at aggregate data may not be sufficient to reveal whether there is a problem or not.</w:t>
      </w:r>
    </w:p>
    <w:p>
      <w:pPr>
        <w:pStyle w:val="BodyText"/>
        <w:spacing w:before="3"/>
        <w:rPr>
          <w:sz w:val="36"/>
        </w:rPr>
      </w:pPr>
    </w:p>
    <w:p>
      <w:pPr>
        <w:pStyle w:val="Heading6"/>
        <w:tabs>
          <w:tab w:pos="964" w:val="left" w:leader="none"/>
        </w:tabs>
        <w:spacing w:before="1"/>
      </w:pPr>
      <w:r>
        <w:rPr/>
        <w:t>5.</w:t>
        <w:tab/>
        <w:t>Concluding</w:t>
      </w:r>
      <w:r>
        <w:rPr>
          <w:spacing w:val="-1"/>
        </w:rPr>
        <w:t> </w:t>
      </w:r>
      <w:r>
        <w:rPr/>
        <w:t>remarks</w:t>
      </w:r>
    </w:p>
    <w:p>
      <w:pPr>
        <w:pStyle w:val="BodyText"/>
        <w:rPr>
          <w:b/>
          <w:sz w:val="30"/>
        </w:rPr>
      </w:pPr>
    </w:p>
    <w:p>
      <w:pPr>
        <w:pStyle w:val="BodyText"/>
        <w:spacing w:line="360" w:lineRule="auto" w:before="227"/>
        <w:ind w:left="245" w:right="407"/>
      </w:pPr>
      <w:r>
        <w:rPr/>
        <w:t>Financial imbalances, asset price misalignments and the instability that may result as they unwind and correct may pose significant problems for monetary policy makers. Achieving price stability is no guarantee that financial instability can be avoided. But taking account of financial imbalances in the design of monetary policy does not require a change in the rhetoric of inflation targets. Significant financial instability invariably will also have a significant impact on activity and inflation. The attraction of inflation targets is that they focus on the goals of policy - not the means by which they are achieved, as is the case under regimes such as money supply targets and fixed exchange rates. An inflation targeting regime that specifies a “first-level” target for the inflation rate, but requires the policy maker to take on board the implications for activity in seeking to achieve it, is a practical solution to the problem of describing the principal’s objective function. A flexible inflation targeter - in the specific sense of Svensson - therefore does not require the explicit addition of financial imbalances or asset prices to be added to their remit. Rather the implications of possible imbalances and misalignments for the macroeconomic goal variables must necessarily be factored into the assessment of expectations of future growth and inflation in order to execute the optimal plan. So the answer to the question posed in the title is: Yes, (flexible) inflation targets </w:t>
      </w:r>
      <w:r>
        <w:rPr>
          <w:i/>
        </w:rPr>
        <w:t>are</w:t>
      </w:r>
      <w:r>
        <w:rPr>
          <w:i/>
          <w:spacing w:val="-3"/>
        </w:rPr>
        <w:t> </w:t>
      </w:r>
      <w:r>
        <w:rPr/>
        <w:t>enough.</w:t>
      </w:r>
    </w:p>
    <w:p>
      <w:pPr>
        <w:pStyle w:val="BodyText"/>
        <w:spacing w:before="10"/>
        <w:rPr>
          <w:sz w:val="35"/>
        </w:rPr>
      </w:pPr>
    </w:p>
    <w:p>
      <w:pPr>
        <w:pStyle w:val="BodyText"/>
        <w:spacing w:line="360" w:lineRule="auto" w:before="1"/>
        <w:ind w:left="245" w:right="447"/>
      </w:pPr>
      <w:r>
        <w:rPr/>
        <w:t>But more investigation is needed into understanding the way in which financial imbalances and asset price misalignments in practice affect economic prospects. There</w:t>
      </w:r>
      <w:r>
        <w:rPr>
          <w:spacing w:val="-2"/>
        </w:rPr>
        <w:t> </w:t>
      </w:r>
      <w:r>
        <w:rPr/>
        <w:t>are</w:t>
      </w:r>
      <w:r>
        <w:rPr>
          <w:spacing w:val="-1"/>
        </w:rPr>
        <w:t> </w:t>
      </w:r>
      <w:r>
        <w:rPr/>
        <w:t>at</w:t>
      </w:r>
      <w:r>
        <w:rPr>
          <w:spacing w:val="-3"/>
        </w:rPr>
        <w:t> </w:t>
      </w:r>
      <w:r>
        <w:rPr/>
        <w:t>least</w:t>
      </w:r>
      <w:r>
        <w:rPr>
          <w:spacing w:val="-3"/>
        </w:rPr>
        <w:t> </w:t>
      </w:r>
      <w:r>
        <w:rPr/>
        <w:t>two</w:t>
      </w:r>
      <w:r>
        <w:rPr>
          <w:spacing w:val="-3"/>
        </w:rPr>
        <w:t> </w:t>
      </w:r>
      <w:r>
        <w:rPr/>
        <w:t>distinct</w:t>
      </w:r>
      <w:r>
        <w:rPr>
          <w:spacing w:val="-3"/>
        </w:rPr>
        <w:t> </w:t>
      </w:r>
      <w:r>
        <w:rPr/>
        <w:t>sets</w:t>
      </w:r>
      <w:r>
        <w:rPr>
          <w:spacing w:val="-3"/>
        </w:rPr>
        <w:t> </w:t>
      </w:r>
      <w:r>
        <w:rPr/>
        <w:t>of</w:t>
      </w:r>
      <w:r>
        <w:rPr>
          <w:spacing w:val="-4"/>
        </w:rPr>
        <w:t> </w:t>
      </w:r>
      <w:r>
        <w:rPr/>
        <w:t>issues</w:t>
      </w:r>
      <w:r>
        <w:rPr>
          <w:spacing w:val="-4"/>
        </w:rPr>
        <w:t> </w:t>
      </w:r>
      <w:r>
        <w:rPr/>
        <w:t>where</w:t>
      </w:r>
      <w:r>
        <w:rPr>
          <w:spacing w:val="-4"/>
        </w:rPr>
        <w:t> </w:t>
      </w:r>
      <w:r>
        <w:rPr/>
        <w:t>further</w:t>
      </w:r>
      <w:r>
        <w:rPr>
          <w:spacing w:val="-4"/>
        </w:rPr>
        <w:t> </w:t>
      </w:r>
      <w:r>
        <w:rPr/>
        <w:t>work</w:t>
      </w:r>
      <w:r>
        <w:rPr>
          <w:spacing w:val="-1"/>
        </w:rPr>
        <w:t> </w:t>
      </w:r>
      <w:r>
        <w:rPr/>
        <w:t>would</w:t>
      </w:r>
      <w:r>
        <w:rPr>
          <w:spacing w:val="-4"/>
        </w:rPr>
        <w:t> </w:t>
      </w:r>
      <w:r>
        <w:rPr/>
        <w:t>be</w:t>
      </w:r>
      <w:r>
        <w:rPr>
          <w:spacing w:val="-4"/>
        </w:rPr>
        <w:t> </w:t>
      </w:r>
      <w:r>
        <w:rPr/>
        <w:t>useful.</w:t>
      </w:r>
      <w:r>
        <w:rPr>
          <w:spacing w:val="-1"/>
        </w:rPr>
        <w:t> </w:t>
      </w:r>
      <w:r>
        <w:rPr/>
        <w:t>First, it would be helpful to advance our ability to detect when rapid credit expansion and asset price increases are symptomatic of the development of underlying imbalances that are susceptible to future correction, rather than simply reflecting</w:t>
      </w:r>
      <w:r>
        <w:rPr>
          <w:spacing w:val="-32"/>
        </w:rPr>
        <w:t> </w:t>
      </w:r>
      <w:r>
        <w:rPr/>
        <w:t>sustainable</w:t>
      </w:r>
    </w:p>
    <w:p>
      <w:pPr>
        <w:spacing w:after="0" w:line="360" w:lineRule="auto"/>
        <w:sectPr>
          <w:pgSz w:w="12240" w:h="15840"/>
          <w:pgMar w:header="0" w:footer="237" w:top="860" w:bottom="420" w:left="1720" w:right="1560"/>
        </w:sectPr>
      </w:pPr>
    </w:p>
    <w:p>
      <w:pPr>
        <w:pStyle w:val="BodyText"/>
        <w:spacing w:line="360" w:lineRule="auto" w:before="75"/>
        <w:ind w:left="245" w:right="417"/>
      </w:pPr>
      <w:r>
        <w:rPr/>
        <w:t>movements in the underlying economic fundamentals. Second, improving our understanding of how imbalances unwind and their associated costs would facilitate the design of appropriate policies, on both the monetary and regulatory front. It is safe to assume that these two issues will remain on the agenda for both monetary economists and central bankers for many years to come.</w:t>
      </w:r>
    </w:p>
    <w:p>
      <w:pPr>
        <w:spacing w:after="0" w:line="360" w:lineRule="auto"/>
        <w:sectPr>
          <w:pgSz w:w="12240" w:h="15840"/>
          <w:pgMar w:header="0" w:footer="237" w:top="860" w:bottom="420" w:left="1720" w:right="1560"/>
        </w:sectPr>
      </w:pPr>
    </w:p>
    <w:p>
      <w:pPr>
        <w:pStyle w:val="Heading6"/>
      </w:pPr>
      <w:r>
        <w:rPr/>
        <w:t>References</w:t>
      </w:r>
    </w:p>
    <w:p>
      <w:pPr>
        <w:pStyle w:val="BodyText"/>
        <w:spacing w:before="5"/>
        <w:rPr>
          <w:b/>
          <w:sz w:val="37"/>
        </w:rPr>
      </w:pPr>
    </w:p>
    <w:p>
      <w:pPr>
        <w:spacing w:before="0"/>
        <w:ind w:left="245" w:right="576" w:firstLine="0"/>
        <w:jc w:val="left"/>
        <w:rPr>
          <w:sz w:val="24"/>
        </w:rPr>
      </w:pPr>
      <w:r>
        <w:rPr>
          <w:sz w:val="24"/>
        </w:rPr>
        <w:t>Ball, L., Mankiw, N.G., and Romer, D. (1988), ‘The New Keynesian economics and the output-inflation tradeoff’, </w:t>
      </w:r>
      <w:r>
        <w:rPr>
          <w:i/>
          <w:sz w:val="24"/>
        </w:rPr>
        <w:t>Brookings Papers on Economic Activity</w:t>
      </w:r>
      <w:r>
        <w:rPr>
          <w:sz w:val="24"/>
        </w:rPr>
        <w:t>, 1.</w:t>
      </w:r>
    </w:p>
    <w:p>
      <w:pPr>
        <w:pStyle w:val="BodyText"/>
      </w:pPr>
    </w:p>
    <w:p>
      <w:pPr>
        <w:pStyle w:val="BodyText"/>
        <w:ind w:left="245" w:right="483"/>
      </w:pPr>
      <w:r>
        <w:rPr/>
        <w:t>Batini, N. and Nelson, E. (2000), ‘When the bubble bursts: monetary policy rules and foreign exchange market behaviour’, mimeo, Bank of England.</w:t>
      </w:r>
    </w:p>
    <w:p>
      <w:pPr>
        <w:pStyle w:val="BodyText"/>
      </w:pPr>
    </w:p>
    <w:p>
      <w:pPr>
        <w:pStyle w:val="BodyText"/>
        <w:spacing w:before="1"/>
        <w:ind w:left="245"/>
      </w:pPr>
      <w:r>
        <w:rPr/>
        <w:t>Bean, C.R. (1998), ‘The new UK monetary arrangements: A view from the literature’,</w:t>
      </w:r>
    </w:p>
    <w:p>
      <w:pPr>
        <w:spacing w:before="0"/>
        <w:ind w:left="245" w:right="0" w:firstLine="0"/>
        <w:jc w:val="left"/>
        <w:rPr>
          <w:sz w:val="24"/>
        </w:rPr>
      </w:pPr>
      <w:r>
        <w:rPr>
          <w:i/>
          <w:sz w:val="24"/>
        </w:rPr>
        <w:t>Economic Journal</w:t>
      </w:r>
      <w:r>
        <w:rPr>
          <w:sz w:val="24"/>
        </w:rPr>
        <w:t>, 108, pp.1795-1809.</w:t>
      </w:r>
    </w:p>
    <w:p>
      <w:pPr>
        <w:pStyle w:val="BodyText"/>
        <w:spacing w:before="11"/>
        <w:rPr>
          <w:sz w:val="23"/>
        </w:rPr>
      </w:pPr>
    </w:p>
    <w:p>
      <w:pPr>
        <w:spacing w:before="0"/>
        <w:ind w:left="245" w:right="0" w:firstLine="0"/>
        <w:jc w:val="left"/>
        <w:rPr>
          <w:sz w:val="24"/>
        </w:rPr>
      </w:pPr>
      <w:r>
        <w:rPr>
          <w:sz w:val="24"/>
        </w:rPr>
        <w:t>Bernanke, B. S. and Gertler, M. (1999), ‘Monetary policy and asset volatility’</w:t>
      </w:r>
      <w:r>
        <w:rPr>
          <w:spacing w:val="-42"/>
          <w:sz w:val="24"/>
        </w:rPr>
        <w:t> </w:t>
      </w:r>
      <w:r>
        <w:rPr>
          <w:i/>
          <w:sz w:val="24"/>
        </w:rPr>
        <w:t>Federal </w:t>
      </w:r>
      <w:r>
        <w:rPr>
          <w:i/>
          <w:sz w:val="24"/>
        </w:rPr>
        <w:t>Reserve Bank of Kansas City Economic Review</w:t>
      </w:r>
      <w:r>
        <w:rPr>
          <w:sz w:val="24"/>
        </w:rPr>
        <w:t>, 84(4), pp.</w:t>
      </w:r>
      <w:r>
        <w:rPr>
          <w:spacing w:val="-15"/>
          <w:sz w:val="24"/>
        </w:rPr>
        <w:t> </w:t>
      </w:r>
      <w:r>
        <w:rPr>
          <w:sz w:val="24"/>
        </w:rPr>
        <w:t>17-52.</w:t>
      </w:r>
    </w:p>
    <w:p>
      <w:pPr>
        <w:pStyle w:val="BodyText"/>
      </w:pPr>
    </w:p>
    <w:p>
      <w:pPr>
        <w:pStyle w:val="BodyText"/>
        <w:ind w:left="245" w:right="496"/>
      </w:pPr>
      <w:r>
        <w:rPr/>
        <w:t>Bernanke, B. S. and Gertler, M. (2001), ‘Should central banks respond to movements in asset prices?’ </w:t>
      </w:r>
      <w:r>
        <w:rPr>
          <w:i/>
        </w:rPr>
        <w:t>American Economic Review</w:t>
      </w:r>
      <w:r>
        <w:rPr/>
        <w:t>, 91(2), pp.</w:t>
      </w:r>
      <w:r>
        <w:rPr>
          <w:spacing w:val="-13"/>
        </w:rPr>
        <w:t> </w:t>
      </w:r>
      <w:r>
        <w:rPr/>
        <w:t>253-257.</w:t>
      </w:r>
    </w:p>
    <w:p>
      <w:pPr>
        <w:pStyle w:val="BodyText"/>
      </w:pPr>
    </w:p>
    <w:p>
      <w:pPr>
        <w:pStyle w:val="BodyText"/>
        <w:ind w:left="245" w:right="457"/>
      </w:pPr>
      <w:r>
        <w:rPr/>
        <w:t>Bordo, M. and Jeanne, O. (2002) ‘Boom-busts in asset prices, economic instability and monetary policy’. Centre for Economic Policy Research Discussion Papper 3398.</w:t>
      </w:r>
    </w:p>
    <w:p>
      <w:pPr>
        <w:pStyle w:val="BodyText"/>
      </w:pPr>
    </w:p>
    <w:p>
      <w:pPr>
        <w:pStyle w:val="BodyText"/>
        <w:ind w:left="245" w:right="404"/>
      </w:pPr>
      <w:r>
        <w:rPr/>
        <w:t>Borio, C. and Lowe, P. (2002), “Asset prices, financial and monetary stability: exploring the nexus”, mimeo, BIS, Basle.</w:t>
      </w:r>
    </w:p>
    <w:p>
      <w:pPr>
        <w:pStyle w:val="BodyText"/>
      </w:pPr>
    </w:p>
    <w:p>
      <w:pPr>
        <w:pStyle w:val="BodyText"/>
        <w:ind w:left="245"/>
      </w:pPr>
      <w:r>
        <w:rPr/>
        <w:t>Brainard, W. (1967), ‘Uncertainty and the effectiveness of monetary policy’,</w:t>
      </w:r>
    </w:p>
    <w:p>
      <w:pPr>
        <w:spacing w:before="0"/>
        <w:ind w:left="245" w:right="0" w:firstLine="0"/>
        <w:jc w:val="left"/>
        <w:rPr>
          <w:sz w:val="24"/>
        </w:rPr>
      </w:pPr>
      <w:r>
        <w:rPr>
          <w:i/>
          <w:sz w:val="24"/>
        </w:rPr>
        <w:t>American Economic Review, </w:t>
      </w:r>
      <w:r>
        <w:rPr>
          <w:sz w:val="24"/>
        </w:rPr>
        <w:t>Papers and Proceedings, 57, pp. 411-25.</w:t>
      </w:r>
    </w:p>
    <w:p>
      <w:pPr>
        <w:pStyle w:val="BodyText"/>
      </w:pPr>
    </w:p>
    <w:p>
      <w:pPr>
        <w:spacing w:before="0"/>
        <w:ind w:left="245" w:right="716" w:firstLine="0"/>
        <w:jc w:val="left"/>
        <w:rPr>
          <w:sz w:val="24"/>
        </w:rPr>
      </w:pPr>
      <w:r>
        <w:rPr>
          <w:sz w:val="24"/>
        </w:rPr>
        <w:t>Calvo, G. (1983), ‘Staggered prices in a utility maximizing framework’, </w:t>
      </w:r>
      <w:r>
        <w:rPr>
          <w:i/>
          <w:sz w:val="24"/>
        </w:rPr>
        <w:t>Journal of </w:t>
      </w:r>
      <w:r>
        <w:rPr>
          <w:i/>
          <w:sz w:val="24"/>
        </w:rPr>
        <w:t>Monetary Economics</w:t>
      </w:r>
      <w:r>
        <w:rPr>
          <w:sz w:val="24"/>
        </w:rPr>
        <w:t>, pp.383-98.</w:t>
      </w:r>
    </w:p>
    <w:p>
      <w:pPr>
        <w:pStyle w:val="BodyText"/>
      </w:pPr>
    </w:p>
    <w:p>
      <w:pPr>
        <w:pStyle w:val="BodyText"/>
        <w:spacing w:before="1"/>
        <w:ind w:left="245" w:right="540"/>
        <w:jc w:val="both"/>
      </w:pPr>
      <w:r>
        <w:rPr/>
        <w:t>Cecchetti, S. G., Genberg, H., Lipsky, J. and Wadhwani, S. (2000), ‘Asset prices and central bank policy’, Geneva Reports on the World Economy, 2, International Centre for Monetary and Banking Studies and Centre for Economic Policy Research.</w:t>
      </w:r>
    </w:p>
    <w:p>
      <w:pPr>
        <w:pStyle w:val="BodyText"/>
        <w:spacing w:before="11"/>
        <w:rPr>
          <w:sz w:val="23"/>
        </w:rPr>
      </w:pPr>
    </w:p>
    <w:p>
      <w:pPr>
        <w:spacing w:before="0"/>
        <w:ind w:left="245" w:right="463" w:firstLine="0"/>
        <w:jc w:val="left"/>
        <w:rPr>
          <w:sz w:val="24"/>
        </w:rPr>
      </w:pPr>
      <w:r>
        <w:rPr>
          <w:sz w:val="24"/>
        </w:rPr>
        <w:t>Cecchetti, S. G., Genberg, H. and Wadhwani, S. (2002), ‘Asset prices in a flexible inflation targeting framework’, in </w:t>
      </w:r>
      <w:r>
        <w:rPr>
          <w:i/>
          <w:sz w:val="24"/>
        </w:rPr>
        <w:t>Asset Price Bubbles: The Implications for </w:t>
      </w:r>
      <w:r>
        <w:rPr>
          <w:i/>
          <w:sz w:val="24"/>
        </w:rPr>
        <w:t>Monetary, Regulatory and International Policies, </w:t>
      </w:r>
      <w:r>
        <w:rPr>
          <w:sz w:val="24"/>
        </w:rPr>
        <w:t>(eds. W. C. Hunter, G. G. Kaufman and M. Pomerleano), MIT Press, pp.427-444.</w:t>
      </w:r>
    </w:p>
    <w:p>
      <w:pPr>
        <w:pStyle w:val="BodyText"/>
      </w:pPr>
    </w:p>
    <w:p>
      <w:pPr>
        <w:pStyle w:val="BodyText"/>
        <w:ind w:left="245" w:right="684"/>
      </w:pPr>
      <w:r>
        <w:rPr/>
        <w:t>Clarida, R., Gali, J. and Gertler, M. (1999), ‘The science of monetary policy: a new Keynesian perspective’, </w:t>
      </w:r>
      <w:r>
        <w:rPr>
          <w:i/>
        </w:rPr>
        <w:t>Journal of Economic Literature</w:t>
      </w:r>
      <w:r>
        <w:rPr/>
        <w:t>, 37, pp. 1661-1707.</w:t>
      </w:r>
    </w:p>
    <w:p>
      <w:pPr>
        <w:pStyle w:val="BodyText"/>
      </w:pPr>
    </w:p>
    <w:p>
      <w:pPr>
        <w:pStyle w:val="BodyText"/>
        <w:ind w:left="245" w:right="534"/>
        <w:jc w:val="both"/>
      </w:pPr>
      <w:r>
        <w:rPr/>
        <w:t>Crockett, A. (2003), ‘International standard setting in financial supervision’, Institute of Economic Affairs Lecture, Cass Business School, London, 5 February.</w:t>
      </w:r>
    </w:p>
    <w:p>
      <w:pPr>
        <w:pStyle w:val="BodyText"/>
      </w:pPr>
    </w:p>
    <w:p>
      <w:pPr>
        <w:pStyle w:val="BodyText"/>
        <w:ind w:left="245" w:right="1683"/>
      </w:pPr>
      <w:r>
        <w:rPr/>
        <w:t>Giannoni, M.P. and Woodford, M. (2002), ‘Optimal interest rate rules: II applications’ mimeo, Princeton University.</w:t>
      </w:r>
    </w:p>
    <w:p>
      <w:pPr>
        <w:pStyle w:val="BodyText"/>
      </w:pPr>
    </w:p>
    <w:p>
      <w:pPr>
        <w:spacing w:before="0"/>
        <w:ind w:left="245" w:right="520" w:firstLine="0"/>
        <w:jc w:val="both"/>
        <w:rPr>
          <w:i/>
          <w:sz w:val="24"/>
        </w:rPr>
      </w:pPr>
      <w:r>
        <w:rPr>
          <w:sz w:val="24"/>
        </w:rPr>
        <w:t>Goodfriend, M. (2002), ‘Interest rate policy should not react directly to asset prices’, in </w:t>
      </w:r>
      <w:r>
        <w:rPr>
          <w:i/>
          <w:sz w:val="24"/>
        </w:rPr>
        <w:t>Asset Price Bubbles: The Implications for Monetary, Regulatory and International</w:t>
      </w:r>
    </w:p>
    <w:p>
      <w:pPr>
        <w:spacing w:after="0"/>
        <w:jc w:val="both"/>
        <w:rPr>
          <w:sz w:val="24"/>
        </w:rPr>
        <w:sectPr>
          <w:pgSz w:w="12240" w:h="15840"/>
          <w:pgMar w:header="0" w:footer="237" w:top="860" w:bottom="420" w:left="1720" w:right="1560"/>
        </w:sectPr>
      </w:pPr>
    </w:p>
    <w:p>
      <w:pPr>
        <w:pStyle w:val="BodyText"/>
        <w:spacing w:before="72"/>
        <w:ind w:left="245" w:right="1195"/>
      </w:pPr>
      <w:r>
        <w:rPr>
          <w:i/>
        </w:rPr>
        <w:t>Policies, </w:t>
      </w:r>
      <w:r>
        <w:rPr/>
        <w:t>(eds. W. C. Hunter, G. G. Kaufman and M. Pomerleano), MIT Press, pp.427-444.</w:t>
      </w:r>
    </w:p>
    <w:p>
      <w:pPr>
        <w:pStyle w:val="BodyText"/>
      </w:pPr>
    </w:p>
    <w:p>
      <w:pPr>
        <w:pStyle w:val="BodyText"/>
        <w:spacing w:before="1"/>
        <w:ind w:left="245" w:right="417"/>
      </w:pPr>
      <w:r>
        <w:rPr/>
        <w:t>Greenspan, A (2002), “Economic volatility”, speech at a symposium sponsored by the Federal Reserve Bank of Kansas City, Jackson Hole, Wyoming.</w:t>
      </w:r>
    </w:p>
    <w:p>
      <w:pPr>
        <w:pStyle w:val="BodyText"/>
        <w:spacing w:before="11"/>
        <w:rPr>
          <w:sz w:val="23"/>
        </w:rPr>
      </w:pPr>
    </w:p>
    <w:p>
      <w:pPr>
        <w:pStyle w:val="BodyText"/>
        <w:ind w:left="245" w:right="766"/>
      </w:pPr>
      <w:r>
        <w:rPr/>
        <w:t>Kaminsky, G. and Reinhart, C. (1999), ‘The twin crises: the causes of banking and balance-of-payments problems’, </w:t>
      </w:r>
      <w:r>
        <w:rPr>
          <w:i/>
        </w:rPr>
        <w:t>American Economic Review</w:t>
      </w:r>
      <w:r>
        <w:rPr/>
        <w:t>, 89(3), pp.473-500.</w:t>
      </w:r>
    </w:p>
    <w:p>
      <w:pPr>
        <w:pStyle w:val="BodyText"/>
      </w:pPr>
    </w:p>
    <w:p>
      <w:pPr>
        <w:spacing w:before="0"/>
        <w:ind w:left="245" w:right="716" w:firstLine="0"/>
        <w:jc w:val="left"/>
        <w:rPr>
          <w:sz w:val="24"/>
        </w:rPr>
      </w:pPr>
      <w:r>
        <w:rPr>
          <w:sz w:val="24"/>
        </w:rPr>
        <w:t>King, M.A. (1997), ‘The inflation target five years on’, </w:t>
      </w:r>
      <w:r>
        <w:rPr>
          <w:i/>
          <w:sz w:val="24"/>
        </w:rPr>
        <w:t>Bank of England Quarterly </w:t>
      </w:r>
      <w:r>
        <w:rPr>
          <w:i/>
          <w:sz w:val="24"/>
        </w:rPr>
        <w:t>Bulletin</w:t>
      </w:r>
      <w:r>
        <w:rPr>
          <w:sz w:val="24"/>
        </w:rPr>
        <w:t>.</w:t>
      </w:r>
    </w:p>
    <w:p>
      <w:pPr>
        <w:pStyle w:val="BodyText"/>
      </w:pPr>
    </w:p>
    <w:p>
      <w:pPr>
        <w:spacing w:before="0"/>
        <w:ind w:left="245" w:right="636" w:firstLine="0"/>
        <w:jc w:val="left"/>
        <w:rPr>
          <w:sz w:val="24"/>
        </w:rPr>
      </w:pPr>
      <w:r>
        <w:rPr>
          <w:sz w:val="24"/>
        </w:rPr>
        <w:t>Kiyotaki, N. and Moore, J.H. (1997), ‘Credit cycles’, </w:t>
      </w:r>
      <w:r>
        <w:rPr>
          <w:i/>
          <w:sz w:val="24"/>
        </w:rPr>
        <w:t>Journal of Political Economy</w:t>
      </w:r>
      <w:r>
        <w:rPr>
          <w:sz w:val="24"/>
        </w:rPr>
        <w:t>, 105(2), pp.211-48.</w:t>
      </w:r>
    </w:p>
    <w:p>
      <w:pPr>
        <w:pStyle w:val="BodyText"/>
      </w:pPr>
    </w:p>
    <w:p>
      <w:pPr>
        <w:pStyle w:val="BodyText"/>
        <w:ind w:left="245" w:right="696"/>
      </w:pPr>
      <w:r>
        <w:rPr/>
        <w:t>Rotemberg, J. and Woodford, M. (1997), ‘An optimization-based econometric framework for the evaluation of monetary policy’, </w:t>
      </w:r>
      <w:r>
        <w:rPr>
          <w:i/>
        </w:rPr>
        <w:t>NBER Macroeconomics Annual</w:t>
      </w:r>
      <w:r>
        <w:rPr/>
        <w:t>, pp.297-345.</w:t>
      </w:r>
    </w:p>
    <w:p>
      <w:pPr>
        <w:pStyle w:val="BodyText"/>
      </w:pPr>
    </w:p>
    <w:p>
      <w:pPr>
        <w:pStyle w:val="BodyText"/>
        <w:ind w:left="245" w:right="596"/>
      </w:pPr>
      <w:r>
        <w:rPr/>
        <w:t>Stock, J.H. and Watson, M.W. (2001), ‘Forecasting output and inflation: The role of asset prices’ NBER Working Paper 8180.</w:t>
      </w:r>
    </w:p>
    <w:p>
      <w:pPr>
        <w:pStyle w:val="BodyText"/>
      </w:pPr>
    </w:p>
    <w:p>
      <w:pPr>
        <w:pStyle w:val="BodyText"/>
        <w:ind w:left="245" w:right="810"/>
      </w:pPr>
      <w:r>
        <w:rPr/>
        <w:t>Svensson, L. (2001), ‘Requiem for forecast-based instrument rules’, mimeo, IIES, Stockholm University.</w:t>
      </w:r>
    </w:p>
    <w:p>
      <w:pPr>
        <w:pStyle w:val="BodyText"/>
      </w:pPr>
    </w:p>
    <w:p>
      <w:pPr>
        <w:spacing w:before="1"/>
        <w:ind w:left="245" w:right="1116" w:firstLine="0"/>
        <w:jc w:val="left"/>
        <w:rPr>
          <w:sz w:val="24"/>
        </w:rPr>
      </w:pPr>
      <w:r>
        <w:rPr>
          <w:sz w:val="24"/>
        </w:rPr>
        <w:t>Svensson, L. (2002), ‘What is wrong with Taylor rules?’, </w:t>
      </w:r>
      <w:r>
        <w:rPr>
          <w:i/>
          <w:sz w:val="24"/>
        </w:rPr>
        <w:t>Journal of Economic </w:t>
      </w:r>
      <w:r>
        <w:rPr>
          <w:i/>
          <w:sz w:val="24"/>
        </w:rPr>
        <w:t>Literature</w:t>
      </w:r>
      <w:r>
        <w:rPr>
          <w:sz w:val="24"/>
        </w:rPr>
        <w:t>, forthcoming.</w:t>
      </w:r>
    </w:p>
    <w:p>
      <w:pPr>
        <w:pStyle w:val="BodyText"/>
        <w:spacing w:before="11"/>
        <w:rPr>
          <w:sz w:val="23"/>
        </w:rPr>
      </w:pPr>
    </w:p>
    <w:p>
      <w:pPr>
        <w:pStyle w:val="BodyText"/>
        <w:ind w:left="245" w:right="1127"/>
      </w:pPr>
      <w:r>
        <w:rPr/>
        <w:t>Svensson, L. and Woodford, M. (1999), ‘Implementing optimal policy through inflation-forecast targeting’, mimeo.</w:t>
      </w:r>
    </w:p>
    <w:p>
      <w:pPr>
        <w:pStyle w:val="BodyText"/>
      </w:pPr>
    </w:p>
    <w:p>
      <w:pPr>
        <w:pStyle w:val="BodyText"/>
        <w:ind w:left="245"/>
      </w:pPr>
      <w:r>
        <w:rPr/>
        <w:t>Taylor, J. B. (2001), ‘The role of the exchange rate in monetary-policy rules’,</w:t>
      </w:r>
    </w:p>
    <w:p>
      <w:pPr>
        <w:spacing w:before="0"/>
        <w:ind w:left="245" w:right="0" w:firstLine="0"/>
        <w:jc w:val="left"/>
        <w:rPr>
          <w:sz w:val="24"/>
        </w:rPr>
      </w:pPr>
      <w:r>
        <w:rPr>
          <w:i/>
          <w:sz w:val="24"/>
        </w:rPr>
        <w:t>American Economic Review</w:t>
      </w:r>
      <w:r>
        <w:rPr>
          <w:sz w:val="24"/>
        </w:rPr>
        <w:t>, 91(2), pp. 263-267.</w:t>
      </w:r>
    </w:p>
    <w:p>
      <w:pPr>
        <w:pStyle w:val="BodyText"/>
      </w:pPr>
    </w:p>
    <w:p>
      <w:pPr>
        <w:pStyle w:val="BodyText"/>
        <w:ind w:left="245" w:right="970"/>
      </w:pPr>
      <w:r>
        <w:rPr/>
        <w:t>Woodford, M. (1999), ‘Optimal monetary policy inertia’, NBER Working Paper 7261.</w:t>
      </w:r>
    </w:p>
    <w:p>
      <w:pPr>
        <w:pStyle w:val="BodyText"/>
      </w:pPr>
    </w:p>
    <w:p>
      <w:pPr>
        <w:pStyle w:val="BodyText"/>
        <w:ind w:left="245"/>
      </w:pPr>
      <w:r>
        <w:rPr/>
        <w:t>Yates, A. (2003), ‘Monetary policy and the zero bound to nominal interest rates’,</w:t>
      </w:r>
    </w:p>
    <w:p>
      <w:pPr>
        <w:spacing w:before="0"/>
        <w:ind w:left="245" w:right="0" w:firstLine="0"/>
        <w:jc w:val="left"/>
        <w:rPr>
          <w:sz w:val="24"/>
        </w:rPr>
      </w:pPr>
      <w:r>
        <w:rPr>
          <w:i/>
          <w:sz w:val="24"/>
        </w:rPr>
        <w:t>Bank of England Quarterly Bulletin</w:t>
      </w:r>
      <w:r>
        <w:rPr>
          <w:sz w:val="24"/>
        </w:rPr>
        <w:t>, 43(1), pp. 27-37.</w:t>
      </w:r>
    </w:p>
    <w:p>
      <w:pPr>
        <w:spacing w:after="0"/>
        <w:jc w:val="left"/>
        <w:rPr>
          <w:sz w:val="24"/>
        </w:rPr>
        <w:sectPr>
          <w:pgSz w:w="12240" w:h="15840"/>
          <w:pgMar w:header="0" w:footer="237" w:top="860" w:bottom="420" w:left="1720" w:right="1560"/>
        </w:sectPr>
      </w:pPr>
    </w:p>
    <w:p>
      <w:pPr>
        <w:pStyle w:val="Heading2"/>
      </w:pPr>
      <w:r>
        <w:rPr/>
        <w:t>Chart 1</w:t>
      </w:r>
    </w:p>
    <w:p>
      <w:pPr>
        <w:pStyle w:val="BodyText"/>
        <w:rPr>
          <w:b/>
          <w:sz w:val="20"/>
        </w:rPr>
      </w:pPr>
    </w:p>
    <w:p>
      <w:pPr>
        <w:pStyle w:val="BodyText"/>
        <w:rPr>
          <w:b/>
          <w:sz w:val="20"/>
        </w:rPr>
      </w:pPr>
    </w:p>
    <w:p>
      <w:pPr>
        <w:pStyle w:val="BodyText"/>
        <w:rPr>
          <w:b/>
          <w:sz w:val="20"/>
        </w:rPr>
      </w:pPr>
    </w:p>
    <w:p>
      <w:pPr>
        <w:pStyle w:val="Heading5"/>
        <w:spacing w:before="222"/>
        <w:ind w:left="670"/>
      </w:pPr>
      <w:r>
        <w:rPr/>
        <w:t>UK Phillips Curve 1967-2001</w:t>
      </w:r>
    </w:p>
    <w:p>
      <w:pPr>
        <w:pStyle w:val="Heading9"/>
        <w:spacing w:line="260" w:lineRule="exact" w:before="107"/>
        <w:ind w:left="663"/>
      </w:pPr>
      <w:r>
        <w:rPr/>
        <w:t>GDP deflator;</w:t>
      </w:r>
    </w:p>
    <w:p>
      <w:pPr>
        <w:tabs>
          <w:tab w:pos="7191" w:val="right" w:leader="none"/>
        </w:tabs>
        <w:spacing w:line="351" w:lineRule="exact" w:before="0"/>
        <w:ind w:left="663" w:right="0" w:firstLine="0"/>
        <w:jc w:val="left"/>
        <w:rPr>
          <w:sz w:val="24"/>
        </w:rPr>
      </w:pPr>
      <w:r>
        <w:rPr/>
        <w:pict>
          <v:group style="position:absolute;margin-left:136.800003pt;margin-top:14.421057pt;width:342.1pt;height:131pt;mso-position-horizontal-relative:page;mso-position-vertical-relative:paragraph;z-index:-16347136" coordorigin="2736,288" coordsize="6842,2620">
            <v:shape style="position:absolute;left:2736;top:594;width:6840;height:2314" coordorigin="2736,595" coordsize="6840,2314" path="m2815,595l2815,2829m2736,2829l2815,2829m2736,2457l2815,2457m2736,2085l2815,2085m2736,1711l2815,1711m2736,1339l2815,1339m2736,967l2815,967m2736,595l2815,595m2815,2829l9576,2829m2815,2908l2815,2829m3780,2908l3780,2829m4747,2908l4747,2829m5712,2908l5712,2829m6679,2908l6679,2829m7644,2908l7644,2829m8611,2908l8611,2829m9576,2908l9576,2829e" filled="false" stroked="true" strokeweight=".12pt" strokecolor="#000000">
              <v:path arrowok="t"/>
              <v:stroke dashstyle="solid"/>
            </v:shape>
            <v:shape style="position:absolute;left:3837;top:2089;width:483;height:531" type="#_x0000_t75" stroked="false">
              <v:imagedata r:id="rId8" o:title=""/>
            </v:shape>
            <v:shape style="position:absolute;left:3760;top:841;width:1378;height:1505" coordorigin="3761,842" coordsize="1378,1505" path="m4277,2222l4258,2231,4236,2239,4210,2253,4178,2265,4145,2279,4037,2315,3996,2327,3960,2337,3926,2344,3893,2347,3862,2347,3838,2344,3816,2335,3802,2320m3802,2320l3787,2301,3780,2277,3770,2248,3768,2215,3761,2181,3761,2102,3763,2059,3770,2018,3775,1972,3785,1922,3797,1874,3814,1828,3828,1778,3850,1730,3871,1684m3871,1684l3895,1636,3926,1576,3962,1514,3998,1449,4042,1379,4085,1307,4176,1168,4224,1101,4274,1039,4322,986,4370,935,4397,914,4418,897,4442,880,4464,866,4488,854,4510,847,4526,842,4548,842m4548,842l4570,844,4589,851,4610,859,4627,875,4649,890,4692,933,4714,957,4795,1079,4836,1149,4951,1372,4987,1447,5026,1516,5054,1581,5071,1607,5086,1636,5100,1660,5114,1682,5126,1703,5138,1718e" filled="false" stroked="true" strokeweight="1.219pt" strokecolor="#000080">
              <v:path arrowok="t"/>
              <v:stroke dashstyle="solid"/>
            </v:shape>
            <v:shape style="position:absolute;left:4960;top:1705;width:342;height:291" type="#_x0000_t75" stroked="false">
              <v:imagedata r:id="rId9" o:title=""/>
            </v:shape>
            <v:shape style="position:absolute;left:4987;top:1360;width:749;height:394" coordorigin="4987,1360" coordsize="749,394" path="m4987,1754l5030,1706,5126,1610,5210,1540,5261,1504,5364,1442,5419,1415,5479,1394,5542,1375,5604,1363,5669,1360,5736,1363e" filled="false" stroked="true" strokeweight="1.219pt" strokecolor="#000080">
              <v:path arrowok="t"/>
              <v:stroke dashstyle="solid"/>
            </v:shape>
            <v:shape style="position:absolute;left:5736;top:1362;width:2482;height:1054" coordorigin="5736,1363" coordsize="2482,1054" path="m5736,1363l5770,1370,5806,1375,5885,1396,5971,1425,6060,1459,6154,1497,6252,1540,6350,1586,6451,1639,6648,1739,6744,1787,6835,1838,6924,1883,7082,1963,7152,1996m7152,1996l7214,2023,7270,2047,7320,2073,7370,2092,7416,2114,7462,2133,7500,2152,7541,2169,7613,2203,7680,2234,7810,2287m7810,2287l7874,2311,7937,2332,7994,2349,8050,2366,8100,2380,8146,2392,8184,2404,8218,2416e" filled="false" stroked="true" strokeweight="1.219pt" strokecolor="#ff0000">
              <v:path arrowok="t"/>
              <v:stroke dashstyle="solid"/>
            </v:shape>
            <v:shape style="position:absolute;left:8205;top:2404;width:315;height:178" type="#_x0000_t75" stroked="false">
              <v:imagedata r:id="rId10" o:title=""/>
            </v:shape>
            <v:shape style="position:absolute;left:5745;top:2267;width:2736;height:303" coordorigin="5746,2267" coordsize="2736,303" path="m8482,2570l8460,2570,8431,2567,8398,2560,8364,2555,8326,2548,8282,2539,8237,2529,8191,2517,8138,2507,8088,2495,7978,2474,7860,2457,7742,2440m7742,2440l7680,2435,7613,2428,7543,2426,7474,2421,7397,2416,7320,2414,7162,2407,7006,2399,6850,2392,6778,2390,6703,2383,6636,2380,6574,2373m6574,2373l6446,2361,6206,2332,6091,2315,6038,2311,5986,2301,5938,2294,5892,2289,5849,2282,5813,2277,5777,2270,5746,2267e" filled="false" stroked="true" strokeweight="1.219pt" strokecolor="#ff0000">
              <v:path arrowok="t"/>
              <v:stroke dashstyle="solid"/>
            </v:shape>
            <v:shape style="position:absolute;left:5260;top:2260;width:2559;height:468" coordorigin="5261,2260" coordsize="2559,468" path="m5746,2267l5726,2265,5710,2265,5688,2260,5642,2260,5671,2260,5690,2265,5738,2265,5794,2267,5856,2270,5923,2272,5995,2277,6074,2279,6154,2287,6322,2294,6487,2303,6569,2313,6646,2320,6722,2325,6924,2354,7063,2378,7205,2404,7342,2433,7406,2445,7471,2459,7529,2474,7584,2488,7634,2500,7680,2512,7723,2524,7757,2534m7757,2534l7776,2541,7793,2555,7812,2589,7819,2606,7819,2623,7814,2635,7810,2639m7810,2639l7793,2647,7776,2651,7754,2661,7733,2668,7706,2673,7678,2683,7613,2697,7550,2709,7483,2719,7418,2726,7361,2728m7361,2728l7306,2726,7250,2716,7193,2707,7138,2692,7085,2675,7034,2661,6982,2649,6936,2637m6936,2637l6900,2627,6833,2608,6802,2603,6770,2594,6734,2589,6691,2584,6667,2582,6569,2582,6528,2584,6480,2589,6432,2589,6384,2591,6283,2601,6182,2606,6137,2608,6091,2613,6048,2615,6012,2618,5978,2623,5950,2623m5950,2623l5916,2618,5885,2613,5863,2606,5849,2603m5849,2603l5830,2606,5813,2608,5777,2623,5731,2637,5678,2647m5678,2647l5647,2649,5614,2651,5578,2656,5537,2659,5501,2661,5465,2661,5431,2663,5323,2663,5294,2661,5261,2661e" filled="false" stroked="true" strokeweight="1.219pt" strokecolor="#008000">
              <v:path arrowok="t"/>
              <v:stroke dashstyle="solid"/>
            </v:shape>
            <v:shape style="position:absolute;left:3796;top:2557;width:104;height:104" type="#_x0000_t75" stroked="false">
              <v:imagedata r:id="rId11" o:title=""/>
            </v:shape>
            <v:shape style="position:absolute;left:3847;top:2433;width:80;height:80" coordorigin="3847,2433" coordsize="80,80" path="m3886,2433l3847,2471,3886,2512,3926,2471,3886,2433xe" filled="true" fillcolor="#000080" stroked="false">
              <v:path arrowok="t"/>
              <v:fill type="solid"/>
            </v:shape>
            <v:shape style="position:absolute;left:3847;top:2433;width:80;height:80" coordorigin="3847,2433" coordsize="80,80" path="m3886,2433l3926,2471,3886,2512,3847,2471,3886,2433xe" filled="false" stroked="true" strokeweight="1.219pt" strokecolor="#000080">
              <v:path arrowok="t"/>
              <v:stroke dashstyle="solid"/>
            </v:shape>
            <v:shape style="position:absolute;left:3847;top:2380;width:80;height:80" coordorigin="3847,2380" coordsize="80,80" path="m3886,2380l3847,2421,3886,2459,3926,2421,3886,2380xe" filled="true" fillcolor="#000080" stroked="false">
              <v:path arrowok="t"/>
              <v:fill type="solid"/>
            </v:shape>
            <v:shape style="position:absolute;left:3847;top:2380;width:80;height:80" coordorigin="3847,2380" coordsize="80,80" path="m3886,2380l3926,2421,3886,2459,3847,2421,3886,2380xe" filled="false" stroked="true" strokeweight="1.219pt" strokecolor="#000080">
              <v:path arrowok="t"/>
              <v:stroke dashstyle="solid"/>
            </v:shape>
            <v:shape style="position:absolute;left:3919;top:2269;width:80;height:80" coordorigin="3919,2270" coordsize="80,80" path="m3960,2270l3919,2311,3960,2349,3998,2311,3960,2270xe" filled="true" fillcolor="#000080" stroked="false">
              <v:path arrowok="t"/>
              <v:fill type="solid"/>
            </v:shape>
            <v:shape style="position:absolute;left:3919;top:2269;width:80;height:80" coordorigin="3919,2270" coordsize="80,80" path="m3960,2270l3998,2311,3960,2349,3919,2311,3960,2270xe" filled="false" stroked="true" strokeweight="1.219pt" strokecolor="#000080">
              <v:path arrowok="t"/>
              <v:stroke dashstyle="solid"/>
            </v:shape>
            <v:shape style="position:absolute;left:4216;top:2051;width:114;height:222" type="#_x0000_t75" stroked="false">
              <v:imagedata r:id="rId12" o:title=""/>
            </v:shape>
            <v:shape style="position:absolute;left:3760;top:2279;width:80;height:80" coordorigin="3761,2279" coordsize="80,80" path="m3802,2279l3761,2320,3802,2359,3840,2320,3802,2279xe" filled="true" fillcolor="#000080" stroked="false">
              <v:path arrowok="t"/>
              <v:fill type="solid"/>
            </v:shape>
            <v:shape style="position:absolute;left:3760;top:2279;width:80;height:80" coordorigin="3761,2279" coordsize="80,80" path="m3802,2279l3840,2320,3802,2359,3761,2320,3802,2279xe" filled="false" stroked="true" strokeweight="1.219pt" strokecolor="#000080">
              <v:path arrowok="t"/>
              <v:stroke dashstyle="solid"/>
            </v:shape>
            <v:shape style="position:absolute;left:3818;top:1631;width:104;height:104" type="#_x0000_t75" stroked="false">
              <v:imagedata r:id="rId13" o:title=""/>
            </v:shape>
            <v:shape style="position:absolute;left:4497;top:788;width:104;height:104" type="#_x0000_t75" stroked="false">
              <v:imagedata r:id="rId14" o:title=""/>
            </v:shape>
            <v:shape style="position:absolute;left:5085;top:1664;width:104;height:104" type="#_x0000_t75" stroked="false">
              <v:imagedata r:id="rId13" o:title=""/>
            </v:shape>
            <v:shape style="position:absolute;left:5236;top:1724;width:104;height:104" type="#_x0000_t75" stroked="false">
              <v:imagedata r:id="rId15" o:title=""/>
            </v:shape>
            <v:shape style="position:absolute;left:5169;top:1931;width:104;height:104" type="#_x0000_t75" stroked="false">
              <v:imagedata r:id="rId16" o:title=""/>
            </v:shape>
            <v:shape style="position:absolute;left:4936;top:1703;width:104;height:104" type="#_x0000_t75" stroked="false">
              <v:imagedata r:id="rId15" o:title=""/>
            </v:shape>
            <v:shape style="position:absolute;left:5685;top:1312;width:104;height:104" type="#_x0000_t75" stroked="false">
              <v:imagedata r:id="rId17" o:title=""/>
            </v:shape>
            <v:shape style="position:absolute;left:7101;top:1943;width:104;height:104" type="#_x0000_t75" stroked="false">
              <v:imagedata r:id="rId18" o:title=""/>
            </v:shape>
            <v:shape style="position:absolute;left:7756;top:2233;width:104;height:104" type="#_x0000_t75" stroked="false">
              <v:imagedata r:id="rId19" o:title=""/>
            </v:shape>
            <v:shape style="position:absolute;left:8167;top:2365;width:366;height:255" type="#_x0000_t75" stroked="false">
              <v:imagedata r:id="rId20" o:title=""/>
            </v:shape>
            <v:shape style="position:absolute;left:7701;top:2401;width:80;height:80" coordorigin="7702,2402" coordsize="80,80" path="m7742,2402l7702,2440,7742,2481,7781,2440,7742,2402xe" filled="true" fillcolor="#ff0000" stroked="false">
              <v:path arrowok="t"/>
              <v:fill type="solid"/>
            </v:shape>
            <v:shape style="position:absolute;left:7701;top:2401;width:80;height:80" coordorigin="7702,2402" coordsize="80,80" path="m7742,2402l7781,2440,7742,2481,7702,2440,7742,2402xe" filled="false" stroked="true" strokeweight="1.219pt" strokecolor="#ff0000">
              <v:path arrowok="t"/>
              <v:stroke dashstyle="solid"/>
            </v:shape>
            <v:shape style="position:absolute;left:6520;top:2322;width:104;height:104" type="#_x0000_t75" stroked="false">
              <v:imagedata r:id="rId21" o:title=""/>
            </v:shape>
            <v:shape style="position:absolute;left:5601;top:2209;width:195;height:109" type="#_x0000_t75" stroked="false">
              <v:imagedata r:id="rId22" o:title=""/>
            </v:shape>
            <v:shape style="position:absolute;left:6736;top:2281;width:104;height:104" type="#_x0000_t75" stroked="false">
              <v:imagedata r:id="rId23" o:title=""/>
            </v:shape>
            <v:shape style="position:absolute;left:7718;top:2493;width:80;height:80" coordorigin="7718,2493" coordsize="80,80" path="m7757,2493l7718,2534,7757,2572,7798,2534,7757,2493xe" filled="true" fillcolor="#008000" stroked="false">
              <v:path arrowok="t"/>
              <v:fill type="solid"/>
            </v:shape>
            <v:shape style="position:absolute;left:7718;top:2493;width:80;height:80" coordorigin="7718,2493" coordsize="80,80" path="m7757,2493l7798,2534,7757,2572,7718,2534,7757,2493xe" filled="false" stroked="true" strokeweight="1.219pt" strokecolor="#008000">
              <v:path arrowok="t"/>
              <v:stroke dashstyle="solid"/>
            </v:shape>
            <v:shape style="position:absolute;left:7768;top:2601;width:80;height:80" coordorigin="7769,2601" coordsize="80,80" path="m7810,2601l7769,2639,7810,2680,7848,2639,7810,2601xe" filled="true" fillcolor="#008000" stroked="false">
              <v:path arrowok="t"/>
              <v:fill type="solid"/>
            </v:shape>
            <v:shape style="position:absolute;left:7768;top:2601;width:80;height:80" coordorigin="7769,2601" coordsize="80,80" path="m7810,2601l7848,2639,7810,2680,7769,2639,7810,2601xe" filled="false" stroked="true" strokeweight="1.219pt" strokecolor="#008000">
              <v:path arrowok="t"/>
              <v:stroke dashstyle="solid"/>
            </v:shape>
            <v:shape style="position:absolute;left:7307;top:2677;width:104;height:104" type="#_x0000_t75" stroked="false">
              <v:imagedata r:id="rId24" o:title=""/>
            </v:shape>
            <v:shape style="position:absolute;left:6883;top:2584;width:106;height:104" type="#_x0000_t75" stroked="false">
              <v:imagedata r:id="rId25" o:title=""/>
            </v:shape>
            <v:shape style="position:absolute;left:6587;top:2528;width:104;height:106" type="#_x0000_t75" stroked="false">
              <v:imagedata r:id="rId26" o:title=""/>
            </v:shape>
            <v:shape style="position:absolute;left:5798;top:2550;width:205;height:123" type="#_x0000_t75" stroked="false">
              <v:imagedata r:id="rId27" o:title=""/>
            </v:shape>
            <v:shape style="position:absolute;left:5625;top:2593;width:104;height:104" type="#_x0000_t75" stroked="false">
              <v:imagedata r:id="rId23" o:title=""/>
            </v:shape>
            <v:shape style="position:absolute;left:5351;top:2612;width:104;height:104" type="#_x0000_t75" stroked="false">
              <v:imagedata r:id="rId28" o:title=""/>
            </v:shape>
            <v:shape style="position:absolute;left:5207;top:2610;width:104;height:104" type="#_x0000_t75" stroked="false">
              <v:imagedata r:id="rId24" o:title=""/>
            </v:shape>
            <v:shape style="position:absolute;left:2736;top:288;width:6842;height:2620" type="#_x0000_t202" filled="false" stroked="false">
              <v:textbox inset="0,0,0,0">
                <w:txbxContent>
                  <w:p>
                    <w:pPr>
                      <w:spacing w:line="267" w:lineRule="exact" w:before="0"/>
                      <w:ind w:left="0" w:right="663" w:firstLine="0"/>
                      <w:jc w:val="right"/>
                      <w:rPr>
                        <w:sz w:val="24"/>
                      </w:rPr>
                    </w:pPr>
                    <w:r>
                      <w:rPr>
                        <w:sz w:val="24"/>
                      </w:rPr>
                      <w:t>1980-1989</w:t>
                    </w:r>
                  </w:p>
                  <w:p>
                    <w:pPr>
                      <w:tabs>
                        <w:tab w:pos="575" w:val="left" w:leader="none"/>
                      </w:tabs>
                      <w:spacing w:before="33"/>
                      <w:ind w:left="0" w:right="663" w:firstLine="0"/>
                      <w:jc w:val="right"/>
                      <w:rPr>
                        <w:sz w:val="24"/>
                      </w:rPr>
                    </w:pPr>
                    <w:r>
                      <w:rPr>
                        <w:w w:val="100"/>
                        <w:sz w:val="24"/>
                        <w:u w:val="thick" w:color="008000"/>
                      </w:rPr>
                      <w:t> </w:t>
                    </w:r>
                    <w:r>
                      <w:rPr>
                        <w:sz w:val="24"/>
                        <w:u w:val="thick" w:color="008000"/>
                      </w:rPr>
                      <w:tab/>
                    </w:r>
                    <w:r>
                      <w:rPr>
                        <w:sz w:val="24"/>
                      </w:rPr>
                      <w:t>  </w:t>
                    </w:r>
                    <w:r>
                      <w:rPr>
                        <w:spacing w:val="2"/>
                        <w:sz w:val="24"/>
                      </w:rPr>
                      <w:t> </w:t>
                    </w:r>
                    <w:r>
                      <w:rPr>
                        <w:sz w:val="24"/>
                      </w:rPr>
                      <w:t>1990-2001</w:t>
                    </w:r>
                  </w:p>
                </w:txbxContent>
              </v:textbox>
              <w10:wrap type="none"/>
            </v:shape>
            <w10:wrap type="none"/>
          </v:group>
        </w:pict>
      </w:r>
      <w:r>
        <w:rPr/>
        <w:pict>
          <v:shape style="position:absolute;margin-left:354.839996pt;margin-top:5.249952pt;width:29.55pt;height:2.2pt;mso-position-horizontal-relative:page;mso-position-vertical-relative:paragraph;z-index:-16346624" coordorigin="7097,105" coordsize="591,44" path="m7097,105l7097,136,7687,148,7687,117,7097,105xe" filled="true" fillcolor="#000080" stroked="false">
            <v:path arrowok="t"/>
            <v:fill type="solid"/>
            <w10:wrap type="none"/>
          </v:shape>
        </w:pict>
      </w:r>
      <w:r>
        <w:rPr>
          <w:sz w:val="25"/>
        </w:rPr>
        <w:t>Annual</w:t>
      </w:r>
      <w:r>
        <w:rPr>
          <w:spacing w:val="2"/>
          <w:sz w:val="25"/>
        </w:rPr>
        <w:t> </w:t>
      </w:r>
      <w:r>
        <w:rPr>
          <w:sz w:val="25"/>
        </w:rPr>
        <w:t>percentage</w:t>
      </w:r>
      <w:r>
        <w:rPr>
          <w:spacing w:val="3"/>
          <w:sz w:val="25"/>
        </w:rPr>
        <w:t> </w:t>
      </w:r>
      <w:r>
        <w:rPr>
          <w:sz w:val="25"/>
        </w:rPr>
        <w:t>change</w:t>
        <w:tab/>
      </w:r>
      <w:r>
        <w:rPr>
          <w:position w:val="10"/>
          <w:sz w:val="24"/>
        </w:rPr>
        <w:t>1967-1979</w:t>
      </w:r>
    </w:p>
    <w:p>
      <w:pPr>
        <w:spacing w:before="80"/>
        <w:ind w:left="639" w:right="0" w:firstLine="0"/>
        <w:jc w:val="left"/>
        <w:rPr>
          <w:sz w:val="26"/>
        </w:rPr>
      </w:pPr>
      <w:r>
        <w:rPr/>
        <w:pict>
          <v:shape style="position:absolute;margin-left:354.839996pt;margin-top:4.498286pt;width:28.8pt;height:1.8pt;mso-position-horizontal-relative:page;mso-position-vertical-relative:paragraph;z-index:15737344" coordorigin="7097,90" coordsize="576,36" path="m7097,90l7097,121,7673,126,7673,97,7097,90xe" filled="true" fillcolor="#ff0000" stroked="false">
            <v:path arrowok="t"/>
            <v:fill type="solid"/>
            <w10:wrap type="none"/>
          </v:shape>
        </w:pict>
      </w:r>
      <w:r>
        <w:rPr>
          <w:sz w:val="26"/>
        </w:rPr>
        <w:t>30</w:t>
      </w:r>
    </w:p>
    <w:p>
      <w:pPr>
        <w:spacing w:before="73"/>
        <w:ind w:left="639" w:right="0" w:firstLine="0"/>
        <w:jc w:val="left"/>
        <w:rPr>
          <w:sz w:val="26"/>
        </w:rPr>
      </w:pPr>
      <w:r>
        <w:rPr>
          <w:sz w:val="26"/>
        </w:rPr>
        <w:t>25</w:t>
      </w:r>
    </w:p>
    <w:p>
      <w:pPr>
        <w:spacing w:before="75"/>
        <w:ind w:left="639" w:right="0" w:firstLine="0"/>
        <w:jc w:val="left"/>
        <w:rPr>
          <w:sz w:val="26"/>
        </w:rPr>
      </w:pPr>
      <w:r>
        <w:rPr>
          <w:sz w:val="26"/>
        </w:rPr>
        <w:t>20</w:t>
      </w:r>
    </w:p>
    <w:p>
      <w:pPr>
        <w:spacing w:before="73"/>
        <w:ind w:left="639" w:right="0" w:firstLine="0"/>
        <w:jc w:val="left"/>
        <w:rPr>
          <w:sz w:val="26"/>
        </w:rPr>
      </w:pPr>
      <w:r>
        <w:rPr>
          <w:sz w:val="26"/>
        </w:rPr>
        <w:t>15</w:t>
      </w:r>
    </w:p>
    <w:p>
      <w:pPr>
        <w:spacing w:before="74"/>
        <w:ind w:left="639" w:right="0" w:firstLine="0"/>
        <w:jc w:val="left"/>
        <w:rPr>
          <w:sz w:val="26"/>
        </w:rPr>
      </w:pPr>
      <w:r>
        <w:rPr>
          <w:sz w:val="26"/>
        </w:rPr>
        <w:t>10</w:t>
      </w:r>
    </w:p>
    <w:p>
      <w:pPr>
        <w:spacing w:before="73"/>
        <w:ind w:left="771" w:right="0" w:firstLine="0"/>
        <w:jc w:val="left"/>
        <w:rPr>
          <w:sz w:val="26"/>
        </w:rPr>
      </w:pPr>
      <w:r>
        <w:rPr>
          <w:w w:val="99"/>
          <w:sz w:val="26"/>
        </w:rPr>
        <w:t>5</w:t>
      </w:r>
    </w:p>
    <w:p>
      <w:pPr>
        <w:spacing w:before="73"/>
        <w:ind w:left="771" w:right="0" w:firstLine="0"/>
        <w:jc w:val="left"/>
        <w:rPr>
          <w:sz w:val="26"/>
        </w:rPr>
      </w:pPr>
      <w:r>
        <w:rPr>
          <w:w w:val="99"/>
          <w:sz w:val="26"/>
        </w:rPr>
        <w:t>0</w:t>
      </w:r>
    </w:p>
    <w:p>
      <w:pPr>
        <w:tabs>
          <w:tab w:pos="1995" w:val="left" w:leader="none"/>
          <w:tab w:pos="2962" w:val="left" w:leader="none"/>
          <w:tab w:pos="3927" w:val="left" w:leader="none"/>
          <w:tab w:pos="4894" w:val="left" w:leader="none"/>
          <w:tab w:pos="5791" w:val="left" w:leader="none"/>
          <w:tab w:pos="6761" w:val="left" w:leader="none"/>
          <w:tab w:pos="7726" w:val="left" w:leader="none"/>
        </w:tabs>
        <w:spacing w:before="89"/>
        <w:ind w:left="1030" w:right="0" w:firstLine="0"/>
        <w:jc w:val="left"/>
        <w:rPr>
          <w:sz w:val="26"/>
        </w:rPr>
      </w:pPr>
      <w:r>
        <w:rPr>
          <w:sz w:val="26"/>
        </w:rPr>
        <w:t>0</w:t>
        <w:tab/>
        <w:t>2</w:t>
        <w:tab/>
        <w:t>4</w:t>
        <w:tab/>
        <w:t>6</w:t>
        <w:tab/>
        <w:t>8</w:t>
        <w:tab/>
        <w:t>10</w:t>
        <w:tab/>
        <w:t>12</w:t>
        <w:tab/>
        <w:t>14</w:t>
      </w:r>
    </w:p>
    <w:p>
      <w:pPr>
        <w:pStyle w:val="Heading9"/>
        <w:spacing w:before="145"/>
        <w:ind w:left="4445"/>
      </w:pPr>
      <w:r>
        <w:rPr/>
        <w:t>Unemployment rate; Per cent</w:t>
      </w:r>
    </w:p>
    <w:p>
      <w:pPr>
        <w:pStyle w:val="BodyText"/>
        <w:spacing w:before="7"/>
        <w:rPr>
          <w:sz w:val="25"/>
        </w:rPr>
      </w:pPr>
    </w:p>
    <w:p>
      <w:pPr>
        <w:spacing w:line="303" w:lineRule="exact" w:before="0"/>
        <w:ind w:left="713" w:right="0" w:firstLine="0"/>
        <w:jc w:val="left"/>
        <w:rPr>
          <w:b/>
          <w:sz w:val="30"/>
        </w:rPr>
      </w:pPr>
      <w:r>
        <w:rPr>
          <w:b/>
          <w:sz w:val="30"/>
        </w:rPr>
        <w:t>US Phillips Curve 1967-2001</w:t>
      </w:r>
    </w:p>
    <w:p>
      <w:pPr>
        <w:spacing w:after="0" w:line="303" w:lineRule="exact"/>
        <w:jc w:val="left"/>
        <w:rPr>
          <w:sz w:val="30"/>
        </w:rPr>
        <w:sectPr>
          <w:pgSz w:w="12240" w:h="15840"/>
          <w:pgMar w:header="0" w:footer="237" w:top="880" w:bottom="420" w:left="1720" w:right="1560"/>
        </w:sectPr>
      </w:pPr>
    </w:p>
    <w:p>
      <w:pPr>
        <w:spacing w:before="224"/>
        <w:ind w:left="706" w:right="0" w:firstLine="0"/>
        <w:jc w:val="left"/>
        <w:rPr>
          <w:sz w:val="25"/>
        </w:rPr>
      </w:pPr>
      <w:r>
        <w:rPr>
          <w:sz w:val="25"/>
        </w:rPr>
        <w:t>GDP deflator;</w:t>
      </w:r>
    </w:p>
    <w:p>
      <w:pPr>
        <w:spacing w:before="37"/>
        <w:ind w:left="706" w:right="0" w:firstLine="0"/>
        <w:jc w:val="left"/>
        <w:rPr>
          <w:sz w:val="25"/>
        </w:rPr>
      </w:pPr>
      <w:r>
        <w:rPr>
          <w:sz w:val="25"/>
        </w:rPr>
        <w:t>Annual percentage change</w:t>
      </w:r>
    </w:p>
    <w:p>
      <w:pPr>
        <w:pStyle w:val="BodyText"/>
        <w:spacing w:before="173"/>
        <w:ind w:left="682"/>
      </w:pPr>
      <w:r>
        <w:rPr/>
        <w:pict>
          <v:group style="position:absolute;margin-left:138.119995pt;margin-top:16.076567pt;width:343.05pt;height:113.1pt;mso-position-horizontal-relative:page;mso-position-vertical-relative:paragraph;z-index:15734272" coordorigin="2762,322" coordsize="6861,2262">
            <v:shape style="position:absolute;left:2762;top:322;width:6860;height:2261" coordorigin="2762,323" coordsize="6860,2261" path="m2839,323l2839,2507m2762,2507l2839,2507m2762,2195l2839,2195m2762,1883l2839,1883m2762,1571l2839,1571m2762,1256l2839,1256m2762,947l2839,947m2762,635l2839,635m2762,323l2839,323m2839,2507l9622,2507m2839,2584l2839,2507m3806,2584l3806,2507m4778,2584l4778,2507m5746,2584l5746,2507m6715,2584l6715,2507m7685,2584l7685,2507m8654,2584l8654,2507m9622,2584l9622,2507e" filled="false" stroked="true" strokeweight=".12pt" strokecolor="#000000">
              <v:path arrowok="t"/>
              <v:stroke dashstyle="solid"/>
            </v:shape>
            <v:shape style="position:absolute;left:4509;top:1736;width:202;height:282" type="#_x0000_t75" stroked="false">
              <v:imagedata r:id="rId29" o:title=""/>
            </v:shape>
            <v:shape style="position:absolute;left:4538;top:1671;width:1184;height:77" coordorigin="4538,1672" coordsize="1184,77" path="m4538,1748l4565,1744,4594,1736,4632,1734,4670,1727,4716,1722,4762,1715,4814,1710,4862,1703,4970,1691,5074,1681,5122,1679,5167,1676,5210,1672,5400,1672,5474,1676,5542,1681,5570,1684,5602,1688,5630,1691,5654,1693,5676,1700,5693,1703,5710,1710,5722,1715e" filled="false" stroked="true" strokeweight="1.219pt" strokecolor="#000080">
              <v:path arrowok="t"/>
              <v:stroke dashstyle="solid"/>
            </v:shape>
            <v:shape style="position:absolute;left:5193;top:1625;width:553;height:243" type="#_x0000_t75" stroked="false">
              <v:imagedata r:id="rId30" o:title=""/>
            </v:shape>
            <v:shape style="position:absolute;left:5205;top:994;width:1776;height:644" coordorigin="5206,995" coordsize="1776,644" path="m5206,1638l5206,1612,5208,1583,5215,1549,5220,1513,5230,1477,5242,1436,5256,1396,5275,1355,5297,1314,5321,1276,5352,1240,5386,1201,5422,1168,5465,1139,5510,1112,5590,1084,5623,1074,5659,1064,5698,1060,5738,1050,5782,1043,5878,1031,5978,1019,6082,1009,6192,1004,6298,997,6406,995,6607,995,6698,1000,6737,1004,6778,1007,6814,1009,6847,1016,6876,1021,6902,1028,6924,1033,6943,1043m6943,1043l6958,1052,6977,1076,6979,1093,6982,1108,6979,1122,6977,1141,6970,1163,6950,1201,6926,1247,6895,1295,6859,1340,6821,1388,6780,1432,6737,1477,6698,1516,6658,1554,6622,1583,6590,1609,6566,1626e" filled="false" stroked="true" strokeweight="1.219pt" strokecolor="#000080">
              <v:path arrowok="t"/>
              <v:stroke dashstyle="solid"/>
            </v:shape>
            <v:shape style="position:absolute;left:6237;top:1479;width:342;height:178" type="#_x0000_t75" stroked="false">
              <v:imagedata r:id="rId31" o:title=""/>
            </v:shape>
            <v:shape style="position:absolute;left:5769;top:1419;width:480;height:72" coordorigin="5770,1420" coordsize="480,72" path="m6250,1492l6221,1487,6194,1480,6132,1475,6065,1468,5995,1463,5928,1456,5868,1448,5837,1444,5789,1429,5770,1420e" filled="false" stroked="true" strokeweight="1.219pt" strokecolor="#000080">
              <v:path arrowok="t"/>
              <v:stroke dashstyle="solid"/>
            </v:shape>
            <v:shape style="position:absolute;left:5623;top:1160;width:159;height:272" type="#_x0000_t75" stroked="false">
              <v:imagedata r:id="rId32" o:title=""/>
            </v:shape>
            <v:shape style="position:absolute;left:5671;top:1100;width:641;height:72" coordorigin="5671,1100" coordsize="641,72" path="m5671,1172l5750,1146,5830,1139,5878,1132,5926,1129,5974,1127,6072,1120,6120,1117,6166,1112,6209,1110,6250,1108,6283,1105,6312,1100e" filled="false" stroked="true" strokeweight="1.219pt" strokecolor="#000080">
              <v:path arrowok="t"/>
              <v:stroke dashstyle="solid"/>
            </v:shape>
            <v:shape style="position:absolute;left:6299;top:1008;width:243;height:104" type="#_x0000_t75" stroked="false">
              <v:imagedata r:id="rId33" o:title=""/>
            </v:shape>
            <v:shape style="position:absolute;left:6530;top:1030;width:1020;height:519" coordorigin="6530,1031" coordsize="1020,519" path="m6530,1031l6552,1040,6574,1045,6629,1067,6686,1096,6754,1122,6826,1156,6902,1189,7058,1266,7135,1302,7210,1343,7284,1381,7351,1420,7416,1456,7466,1489,7490,1508,7512,1523,7534,1535,7550,1549e" filled="false" stroked="true" strokeweight="1.219pt" strokecolor="#ff0000">
              <v:path arrowok="t"/>
              <v:stroke dashstyle="solid"/>
            </v:shape>
            <v:shape style="position:absolute;left:7473;top:1536;width:162;height:358" type="#_x0000_t75" stroked="false">
              <v:imagedata r:id="rId34" o:title=""/>
            </v:shape>
            <v:shape style="position:absolute;left:6477;top:1882;width:1008;height:46" coordorigin="6478,1883" coordsize="1008,46" path="m7486,1883l7466,1890,7445,1892,7426,1897,7399,1902,7342,1907,7282,1914,7210,1916,7140,1919,7063,1919,6989,1924,6569,1924,6518,1926,6497,1926,6478,1928e" filled="false" stroked="true" strokeweight="1.219pt" strokecolor="#ff0000">
              <v:path arrowok="t"/>
              <v:stroke dashstyle="solid"/>
            </v:shape>
            <v:shape style="position:absolute;left:6218;top:1916;width:272;height:248" type="#_x0000_t75" stroked="false">
              <v:imagedata r:id="rId35" o:title=""/>
            </v:shape>
            <v:shape style="position:absolute;left:5836;top:2038;width:394;height:113" coordorigin="5837,2039" coordsize="394,113" path="m6230,2152l6216,2152,6194,2149,6151,2140,6103,2125,6048,2108,5993,2087,5938,2070,5885,2051,5837,2039e" filled="false" stroked="true" strokeweight="1.219pt" strokecolor="#ff0000">
              <v:path arrowok="t"/>
              <v:stroke dashstyle="solid"/>
            </v:shape>
            <v:shape style="position:absolute;left:5378;top:1884;width:471;height:166" type="#_x0000_t75" stroked="false">
              <v:imagedata r:id="rId36" o:title=""/>
            </v:shape>
            <v:shape style="position:absolute;left:5556;top:1897;width:598;height:44" coordorigin="5556,1897" coordsize="598,44" path="m5556,1897l5582,1897,5611,1902,5722,1902,5760,1904,5846,1907,5930,1912,6014,1919,6053,1924,6091,1928,6125,1936,6154,1940e" filled="false" stroked="true" strokeweight="1.219pt" strokecolor="#008000">
              <v:path arrowok="t"/>
              <v:stroke dashstyle="solid"/>
            </v:shape>
            <v:shape style="position:absolute;left:6141;top:1928;width:344;height:226" type="#_x0000_t75" stroked="false">
              <v:imagedata r:id="rId37" o:title=""/>
            </v:shape>
            <v:shape style="position:absolute;left:4768;top:2125;width:1419;height:192" coordorigin="4769,2125" coordsize="1419,192" path="m6187,2125l6142,2128,6094,2137,6041,2142,5986,2152,5935,2161,5882,2171,5834,2176,5791,2180m5791,2180l5750,2183,5717,2180,5683,2180,5654,2176,5626,2173,5599,2171,5554,2171m5554,2171l5534,2173,5522,2176,5513,2183,5503,2188,5496,2197,5486,2204,5470,2207,5455,2209m5455,2209l5434,2209,5407,2207,5378,2204,5347,2200,5318,2197,5287,2195,5261,2197,5232,2200m5232,2200l5208,2209,5182,2221,5155,2240,5131,2255,5107,2274,5086,2288,5062,2300,5040,2310m5040,2310l5018,2315,4997,2317,4975,2315,4958,2310,4918,2298,4884,2284m4884,2284l4867,2274,4846,2260,4819,2243,4800,2226,4783,2209,4771,2195,4769,2185,4774,2176,4781,2171m4781,2171l4790,2166,4819,2161,4841,2159,4862,2159,4886,2154,4939,2154,4994,2152,5107,2152,5155,2149e" filled="false" stroked="true" strokeweight="1.219pt" strokecolor="#008000">
              <v:path arrowok="t"/>
              <v:stroke dashstyle="solid"/>
            </v:shape>
            <v:shape style="position:absolute;left:4646;top:1952;width:104;height:106" type="#_x0000_t75" stroked="false">
              <v:imagedata r:id="rId38" o:title=""/>
            </v:shape>
            <v:shape style="position:absolute;left:4487;top:1697;width:123;height:193" type="#_x0000_t75" stroked="false">
              <v:imagedata r:id="rId39" o:title=""/>
            </v:shape>
            <v:shape style="position:absolute;left:5210;top:1633;width:80;height:80" coordorigin="5210,1633" coordsize="80,80" path="m5251,1633l5210,1672,5251,1712,5290,1672,5251,1633xe" filled="true" fillcolor="#000080" stroked="false">
              <v:path arrowok="t"/>
              <v:fill type="solid"/>
            </v:shape>
            <v:shape style="position:absolute;left:5210;top:1633;width:80;height:80" coordorigin="5210,1633" coordsize="80,80" path="m5251,1633l5290,1672,5251,1712,5210,1672,5251,1633xe" filled="false" stroked="true" strokeweight="1.219pt" strokecolor="#000080">
              <v:path arrowok="t"/>
              <v:stroke dashstyle="solid"/>
            </v:shape>
            <v:shape style="position:absolute;left:5668;top:1664;width:104;height:104" type="#_x0000_t75" stroked="false">
              <v:imagedata r:id="rId40" o:title=""/>
            </v:shape>
            <v:shape style="position:absolute;left:5512;top:1815;width:80;height:80" coordorigin="5513,1816" coordsize="80,80" path="m5554,1816l5513,1856,5554,1895,5592,1856,5554,1816xe" filled="true" fillcolor="#000080" stroked="false">
              <v:path arrowok="t"/>
              <v:fill type="solid"/>
            </v:shape>
            <v:shape style="position:absolute;left:5512;top:1815;width:80;height:80" coordorigin="5513,1816" coordsize="80,80" path="m5554,1816l5592,1856,5554,1895,5513,1856,5554,1816xe" filled="false" stroked="true" strokeweight="1.219pt" strokecolor="#000080">
              <v:path arrowok="t"/>
              <v:stroke dashstyle="solid"/>
            </v:shape>
            <v:shape style="position:absolute;left:5164;top:1599;width:80;height:80" coordorigin="5165,1600" coordsize="80,80" path="m5206,1600l5165,1638,5206,1679,5244,1638,5206,1600xe" filled="true" fillcolor="#000080" stroked="false">
              <v:path arrowok="t"/>
              <v:fill type="solid"/>
            </v:shape>
            <v:shape style="position:absolute;left:5164;top:1599;width:80;height:80" coordorigin="5165,1600" coordsize="80,80" path="m5206,1600l5244,1638,5206,1679,5165,1638,5206,1600xe" filled="false" stroked="true" strokeweight="1.219pt" strokecolor="#000080">
              <v:path arrowok="t"/>
              <v:stroke dashstyle="solid"/>
            </v:shape>
            <v:shape style="position:absolute;left:5522;top:1052;width:80;height:80" coordorigin="5522,1052" coordsize="80,80" path="m5563,1052l5522,1093,5563,1132,5602,1093,5563,1052xe" filled="true" fillcolor="#000080" stroked="false">
              <v:path arrowok="t"/>
              <v:fill type="solid"/>
            </v:shape>
            <v:shape style="position:absolute;left:5522;top:1052;width:80;height:80" coordorigin="5522,1052" coordsize="80,80" path="m5563,1052l5602,1093,5563,1132,5522,1093,5563,1052xe" filled="false" stroked="true" strokeweight="1.219pt" strokecolor="#000080">
              <v:path arrowok="t"/>
              <v:stroke dashstyle="solid"/>
            </v:shape>
            <v:shape style="position:absolute;left:6890;top:992;width:104;height:104" type="#_x0000_t75" stroked="false">
              <v:imagedata r:id="rId11" o:title=""/>
            </v:shape>
            <v:shape style="position:absolute;left:6515;top:1575;width:104;height:104" type="#_x0000_t75" stroked="false">
              <v:imagedata r:id="rId15" o:title=""/>
            </v:shape>
            <v:shape style="position:absolute;left:6196;top:1440;width:104;height:104" type="#_x0000_t75" stroked="false">
              <v:imagedata r:id="rId11" o:title=""/>
            </v:shape>
            <v:shape style="position:absolute;left:5719;top:1366;width:104;height:104" type="#_x0000_t75" stroked="false">
              <v:imagedata r:id="rId14" o:title=""/>
            </v:shape>
            <v:shape style="position:absolute;left:5632;top:1131;width:80;height:80" coordorigin="5633,1132" coordsize="80,80" path="m5671,1132l5633,1172,5671,1211,5712,1172,5671,1132xe" filled="true" fillcolor="#000080" stroked="false">
              <v:path arrowok="t"/>
              <v:fill type="solid"/>
            </v:shape>
            <v:shape style="position:absolute;left:5632;top:1131;width:80;height:80" coordorigin="5633,1132" coordsize="80,80" path="m5671,1132l5712,1172,5671,1211,5633,1172,5671,1132xe" filled="false" stroked="true" strokeweight="1.219pt" strokecolor="#000080">
              <v:path arrowok="t"/>
              <v:stroke dashstyle="solid"/>
            </v:shape>
            <v:shape style="position:absolute;left:6261;top:1049;width:104;height:104" type="#_x0000_t75" stroked="false">
              <v:imagedata r:id="rId41" o:title=""/>
            </v:shape>
            <v:shape style="position:absolute;left:6477;top:980;width:104;height:104" type="#_x0000_t75" stroked="false">
              <v:imagedata r:id="rId42" o:title=""/>
            </v:shape>
            <v:shape style="position:absolute;left:7497;top:1498;width:104;height:104" type="#_x0000_t75" stroked="false">
              <v:imagedata r:id="rId42" o:title=""/>
            </v:shape>
            <v:shape style="position:absolute;left:7432;top:1832;width:104;height:104" type="#_x0000_t75" stroked="false">
              <v:imagedata r:id="rId43" o:title=""/>
            </v:shape>
            <v:shape style="position:absolute;left:6427;top:1877;width:104;height:104" type="#_x0000_t75" stroked="false">
              <v:imagedata r:id="rId17" o:title=""/>
            </v:shape>
            <v:shape style="position:absolute;left:6275;top:1961;width:104;height:104" type="#_x0000_t75" stroked="false">
              <v:imagedata r:id="rId19" o:title=""/>
            </v:shape>
            <v:shape style="position:absolute;left:6192;top:2113;width:80;height:80" coordorigin="6192,2113" coordsize="80,80" path="m6230,2113l6192,2152,6230,2192,6271,2152,6230,2113xe" filled="true" fillcolor="#ff0000" stroked="false">
              <v:path arrowok="t"/>
              <v:fill type="solid"/>
            </v:shape>
            <v:shape style="position:absolute;left:6192;top:2113;width:80;height:80" coordorigin="6192,2113" coordsize="80,80" path="m6230,2113l6271,2152,6230,2192,6192,2152,6230,2113xe" filled="false" stroked="true" strokeweight="1.219pt" strokecolor="#ff0000">
              <v:path arrowok="t"/>
              <v:stroke dashstyle="solid"/>
            </v:shape>
            <v:shape style="position:absolute;left:5783;top:1985;width:106;height:106" type="#_x0000_t75" stroked="false">
              <v:imagedata r:id="rId44" o:title=""/>
            </v:shape>
            <v:shape style="position:absolute;left:5464;top:1935;width:80;height:80" coordorigin="5465,1936" coordsize="80,80" path="m5503,1936l5465,1974,5503,2015,5544,1974,5503,1936xe" filled="true" fillcolor="#ff0000" stroked="false">
              <v:path arrowok="t"/>
              <v:fill type="solid"/>
            </v:shape>
            <v:shape style="position:absolute;left:5464;top:1935;width:80;height:80" coordorigin="5465,1936" coordsize="80,80" path="m5503,1936l5544,1974,5503,2015,5465,1974,5503,1936xe" filled="false" stroked="true" strokeweight="1.219pt" strokecolor="#ff0000">
              <v:path arrowok="t"/>
              <v:stroke dashstyle="solid"/>
            </v:shape>
            <v:shape style="position:absolute;left:5352;top:1873;width:80;height:80" coordorigin="5352,1873" coordsize="80,80" path="m5390,1873l5352,1914,5390,1952,5431,1914,5390,1873xe" filled="true" fillcolor="#ff0000" stroked="false">
              <v:path arrowok="t"/>
              <v:fill type="solid"/>
            </v:shape>
            <v:shape style="position:absolute;left:5352;top:1873;width:80;height:80" coordorigin="5352,1873" coordsize="80,80" path="m5390,1873l5431,1914,5390,1952,5352,1914,5390,1873xe" filled="false" stroked="true" strokeweight="1.219pt" strokecolor="#ff0000">
              <v:path arrowok="t"/>
              <v:stroke dashstyle="solid"/>
            </v:shape>
            <v:shape style="position:absolute;left:5515;top:1858;width:82;height:80" coordorigin="5515,1859" coordsize="82,80" path="m5556,1859l5515,1897,5556,1938,5597,1897,5556,1859xe" filled="true" fillcolor="#008000" stroked="false">
              <v:path arrowok="t"/>
              <v:fill type="solid"/>
            </v:shape>
            <v:shape style="position:absolute;left:5515;top:1858;width:82;height:80" coordorigin="5515,1859" coordsize="82,80" path="m5556,1859l5597,1897,5556,1938,5515,1897,5556,1859xe" filled="false" stroked="true" strokeweight="1.219pt" strokecolor="#008000">
              <v:path arrowok="t"/>
              <v:stroke dashstyle="solid"/>
            </v:shape>
            <v:shape style="position:absolute;left:6103;top:1889;width:104;height:104" type="#_x0000_t75" stroked="false">
              <v:imagedata r:id="rId45" o:title=""/>
            </v:shape>
            <v:shape style="position:absolute;left:6419;top:2079;width:104;height:104" type="#_x0000_t75" stroked="false">
              <v:imagedata r:id="rId24" o:title=""/>
            </v:shape>
            <v:shape style="position:absolute;left:6148;top:2084;width:80;height:80" coordorigin="6149,2084" coordsize="80,80" path="m6187,2084l6149,2125,6187,2164,6228,2125,6187,2084xe" filled="true" fillcolor="#008000" stroked="false">
              <v:path arrowok="t"/>
              <v:fill type="solid"/>
            </v:shape>
            <v:shape style="position:absolute;left:6148;top:2084;width:80;height:80" coordorigin="6149,2084" coordsize="80,80" path="m6187,2084l6228,2125,6187,2164,6149,2125,6187,2084xe" filled="false" stroked="true" strokeweight="1.219pt" strokecolor="#008000">
              <v:path arrowok="t"/>
              <v:stroke dashstyle="solid"/>
            </v:shape>
            <v:shape style="position:absolute;left:5750;top:2139;width:80;height:80" coordorigin="5750,2140" coordsize="80,80" path="m5791,2140l5750,2180,5791,2219,5830,2180,5791,2140xe" filled="true" fillcolor="#008000" stroked="false">
              <v:path arrowok="t"/>
              <v:fill type="solid"/>
            </v:shape>
            <v:shape style="position:absolute;left:5750;top:2139;width:80;height:80" coordorigin="5750,2140" coordsize="80,80" path="m5791,2140l5830,2180,5791,2219,5750,2180,5791,2140xe" filled="false" stroked="true" strokeweight="1.219pt" strokecolor="#008000">
              <v:path arrowok="t"/>
              <v:stroke dashstyle="solid"/>
            </v:shape>
            <v:shape style="position:absolute;left:5512;top:2129;width:80;height:80" coordorigin="5513,2130" coordsize="80,80" path="m5554,2130l5513,2171,5554,2209,5592,2171,5554,2130xe" filled="true" fillcolor="#008000" stroked="false">
              <v:path arrowok="t"/>
              <v:fill type="solid"/>
            </v:shape>
            <v:shape style="position:absolute;left:5512;top:2129;width:80;height:80" coordorigin="5513,2130" coordsize="80,80" path="m5554,2130l5592,2171,5554,2209,5513,2171,5554,2130xe" filled="false" stroked="true" strokeweight="1.219pt" strokecolor="#008000">
              <v:path arrowok="t"/>
              <v:stroke dashstyle="solid"/>
            </v:shape>
            <v:shape style="position:absolute;left:5414;top:2170;width:82;height:80" coordorigin="5414,2171" coordsize="82,80" path="m5455,2171l5414,2209,5455,2250,5496,2209,5455,2171xe" filled="true" fillcolor="#008000" stroked="false">
              <v:path arrowok="t"/>
              <v:fill type="solid"/>
            </v:shape>
            <v:shape style="position:absolute;left:5414;top:2170;width:82;height:80" coordorigin="5414,2171" coordsize="82,80" path="m5455,2171l5496,2209,5455,2250,5414,2209,5455,2171xe" filled="false" stroked="true" strokeweight="1.219pt" strokecolor="#008000">
              <v:path arrowok="t"/>
              <v:stroke dashstyle="solid"/>
            </v:shape>
            <v:shape style="position:absolute;left:5193;top:2161;width:80;height:80" coordorigin="5194,2161" coordsize="80,80" path="m5232,2161l5194,2200,5232,2240,5273,2200,5232,2161xe" filled="true" fillcolor="#008000" stroked="false">
              <v:path arrowok="t"/>
              <v:fill type="solid"/>
            </v:shape>
            <v:shape style="position:absolute;left:5193;top:2161;width:80;height:80" coordorigin="5194,2161" coordsize="80,80" path="m5232,2161l5273,2200,5232,2240,5194,2200,5232,2161xe" filled="false" stroked="true" strokeweight="1.219pt" strokecolor="#008000">
              <v:path arrowok="t"/>
              <v:stroke dashstyle="solid"/>
            </v:shape>
            <v:shape style="position:absolute;left:4999;top:2271;width:82;height:80" coordorigin="4999,2272" coordsize="82,80" path="m5040,2272l4999,2310,5040,2351,5081,2310,5040,2272xe" filled="true" fillcolor="#008000" stroked="false">
              <v:path arrowok="t"/>
              <v:fill type="solid"/>
            </v:shape>
            <v:shape style="position:absolute;left:4999;top:2271;width:82;height:80" coordorigin="4999,2272" coordsize="82,80" path="m5040,2272l5081,2310,5040,2351,4999,2310,5040,2272xe" filled="false" stroked="true" strokeweight="1.219pt" strokecolor="#008000">
              <v:path arrowok="t"/>
              <v:stroke dashstyle="solid"/>
            </v:shape>
            <v:shape style="position:absolute;left:4845;top:2242;width:80;height:80" coordorigin="4846,2243" coordsize="80,80" path="m4884,2243l4846,2284,4884,2322,4925,2284,4884,2243xe" filled="true" fillcolor="#008000" stroked="false">
              <v:path arrowok="t"/>
              <v:fill type="solid"/>
            </v:shape>
            <v:shape style="position:absolute;left:4845;top:2242;width:80;height:80" coordorigin="4846,2243" coordsize="80,80" path="m4884,2243l4925,2284,4884,2322,4846,2284,4884,2243xe" filled="false" stroked="true" strokeweight="1.219pt" strokecolor="#008000">
              <v:path arrowok="t"/>
              <v:stroke dashstyle="solid"/>
            </v:shape>
            <v:shape style="position:absolute;left:4740;top:2129;width:80;height:80" coordorigin="4740,2130" coordsize="80,80" path="m4781,2130l4740,2171,4781,2209,4819,2171,4781,2130xe" filled="true" fillcolor="#008000" stroked="false">
              <v:path arrowok="t"/>
              <v:fill type="solid"/>
            </v:shape>
            <v:shape style="position:absolute;left:4740;top:2129;width:80;height:80" coordorigin="4740,2130" coordsize="80,80" path="m4781,2130l4819,2171,4781,2209,4740,2171,4781,2130xe" filled="false" stroked="true" strokeweight="1.219pt" strokecolor="#008000">
              <v:path arrowok="t"/>
              <v:stroke dashstyle="solid"/>
            </v:shape>
            <v:shape style="position:absolute;left:5116;top:2108;width:80;height:80" coordorigin="5117,2108" coordsize="80,80" path="m5155,2108l5117,2149,5155,2188,5196,2149,5155,2108xe" filled="true" fillcolor="#008000" stroked="false">
              <v:path arrowok="t"/>
              <v:fill type="solid"/>
            </v:shape>
            <v:shape style="position:absolute;left:5116;top:2108;width:80;height:80" coordorigin="5117,2108" coordsize="80,80" path="m5155,2108l5196,2149,5155,2188,5117,2149,5155,2108xe" filled="false" stroked="true" strokeweight="1.219pt" strokecolor="#008000">
              <v:path arrowok="t"/>
              <v:stroke dashstyle="solid"/>
            </v:shape>
            <w10:wrap type="none"/>
          </v:group>
        </w:pict>
      </w:r>
      <w:r>
        <w:rPr>
          <w:w w:val="105"/>
        </w:rPr>
        <w:t>14</w:t>
      </w:r>
    </w:p>
    <w:p>
      <w:pPr>
        <w:pStyle w:val="BodyText"/>
        <w:spacing w:before="36"/>
        <w:ind w:left="682"/>
      </w:pPr>
      <w:r>
        <w:rPr>
          <w:w w:val="105"/>
        </w:rPr>
        <w:t>12</w:t>
      </w:r>
    </w:p>
    <w:p>
      <w:pPr>
        <w:pStyle w:val="BodyText"/>
        <w:spacing w:before="33"/>
        <w:ind w:left="682"/>
      </w:pPr>
      <w:r>
        <w:rPr>
          <w:w w:val="105"/>
        </w:rPr>
        <w:t>10</w:t>
      </w:r>
    </w:p>
    <w:p>
      <w:pPr>
        <w:pStyle w:val="BodyText"/>
        <w:spacing w:before="37"/>
        <w:ind w:left="807"/>
      </w:pPr>
      <w:r>
        <w:rPr>
          <w:w w:val="103"/>
        </w:rPr>
        <w:t>8</w:t>
      </w:r>
    </w:p>
    <w:p>
      <w:pPr>
        <w:pStyle w:val="BodyText"/>
        <w:spacing w:before="38"/>
        <w:ind w:left="807"/>
      </w:pPr>
      <w:r>
        <w:rPr>
          <w:w w:val="103"/>
        </w:rPr>
        <w:t>6</w:t>
      </w:r>
    </w:p>
    <w:p>
      <w:pPr>
        <w:pStyle w:val="BodyText"/>
        <w:spacing w:before="36"/>
        <w:ind w:left="807"/>
      </w:pPr>
      <w:r>
        <w:rPr>
          <w:w w:val="103"/>
        </w:rPr>
        <w:t>4</w:t>
      </w:r>
    </w:p>
    <w:p>
      <w:pPr>
        <w:pStyle w:val="BodyText"/>
        <w:spacing w:before="36"/>
        <w:ind w:left="807"/>
      </w:pPr>
      <w:r>
        <w:rPr>
          <w:w w:val="103"/>
        </w:rPr>
        <w:t>2</w:t>
      </w:r>
    </w:p>
    <w:p>
      <w:pPr>
        <w:pStyle w:val="BodyText"/>
        <w:spacing w:before="36"/>
        <w:ind w:left="807"/>
      </w:pPr>
      <w:r>
        <w:rPr>
          <w:w w:val="103"/>
        </w:rPr>
        <w:t>0</w:t>
      </w:r>
    </w:p>
    <w:p>
      <w:pPr>
        <w:pStyle w:val="BodyText"/>
        <w:spacing w:line="268" w:lineRule="exact"/>
        <w:ind w:right="1613"/>
        <w:jc w:val="right"/>
      </w:pPr>
      <w:r>
        <w:rPr/>
        <w:br w:type="column"/>
      </w:r>
      <w:r>
        <w:rPr/>
        <w:t>1967-1979</w:t>
      </w:r>
    </w:p>
    <w:p>
      <w:pPr>
        <w:pStyle w:val="BodyText"/>
        <w:tabs>
          <w:tab w:pos="578" w:val="left" w:leader="none"/>
          <w:tab w:pos="799" w:val="left" w:leader="none"/>
        </w:tabs>
        <w:spacing w:before="33"/>
        <w:ind w:right="1613"/>
        <w:jc w:val="right"/>
      </w:pPr>
      <w:r>
        <w:rPr/>
        <w:pict>
          <v:rect style="position:absolute;margin-left:360.359985pt;margin-top:-6.347131pt;width:28.92pt;height:1.56pt;mso-position-horizontal-relative:page;mso-position-vertical-relative:paragraph;z-index:15734784" filled="true" fillcolor="#000080" stroked="false">
            <v:fill type="solid"/>
            <w10:wrap type="none"/>
          </v:rect>
        </w:pict>
      </w:r>
      <w:r>
        <w:rPr>
          <w:w w:val="100"/>
          <w:u w:val="thick" w:color="FF0000"/>
        </w:rPr>
        <w:t> </w:t>
      </w:r>
      <w:r>
        <w:rPr>
          <w:u w:val="thick" w:color="FF0000"/>
        </w:rPr>
        <w:tab/>
      </w:r>
      <w:r>
        <w:rPr/>
        <w:tab/>
        <w:t>1980-1989</w:t>
      </w:r>
    </w:p>
    <w:p>
      <w:pPr>
        <w:pStyle w:val="BodyText"/>
        <w:spacing w:before="32"/>
        <w:ind w:right="1613"/>
        <w:jc w:val="right"/>
      </w:pPr>
      <w:r>
        <w:rPr/>
        <w:pict>
          <v:shape style="position:absolute;margin-left:360.359985pt;margin-top:13.043249pt;width:28.95pt;height:2.8pt;mso-position-horizontal-relative:page;mso-position-vertical-relative:paragraph;z-index:15735296" coordorigin="7207,261" coordsize="579,56" path="m7207,261l7207,292,7786,316,7786,287,7207,261xe" filled="true" fillcolor="#008000" stroked="false">
            <v:path arrowok="t"/>
            <v:fill type="solid"/>
            <w10:wrap type="none"/>
          </v:shape>
        </w:pict>
      </w:r>
      <w:r>
        <w:rPr/>
        <w:t>1990-2001</w:t>
      </w:r>
    </w:p>
    <w:p>
      <w:pPr>
        <w:spacing w:after="0"/>
        <w:jc w:val="right"/>
        <w:sectPr>
          <w:type w:val="continuous"/>
          <w:pgSz w:w="12240" w:h="15840"/>
          <w:pgMar w:top="1180" w:bottom="280" w:left="1720" w:right="1560"/>
          <w:cols w:num="2" w:equalWidth="0">
            <w:col w:w="3429" w:space="1376"/>
            <w:col w:w="4155"/>
          </w:cols>
        </w:sectPr>
      </w:pPr>
    </w:p>
    <w:p>
      <w:pPr>
        <w:pStyle w:val="BodyText"/>
        <w:tabs>
          <w:tab w:pos="1092" w:val="left" w:leader="none"/>
          <w:tab w:pos="2062" w:val="left" w:leader="none"/>
          <w:tab w:pos="3029" w:val="left" w:leader="none"/>
          <w:tab w:pos="4001" w:val="left" w:leader="none"/>
          <w:tab w:pos="4903" w:val="left" w:leader="none"/>
          <w:tab w:pos="5875" w:val="left" w:leader="none"/>
          <w:tab w:pos="6843" w:val="left" w:leader="none"/>
        </w:tabs>
        <w:spacing w:before="94"/>
        <w:ind w:left="123"/>
        <w:jc w:val="center"/>
      </w:pPr>
      <w:r>
        <w:rPr>
          <w:w w:val="105"/>
        </w:rPr>
        <w:t>0</w:t>
        <w:tab/>
        <w:t>2</w:t>
        <w:tab/>
        <w:t>4</w:t>
        <w:tab/>
        <w:t>6</w:t>
        <w:tab/>
        <w:t>8</w:t>
        <w:tab/>
        <w:t>10</w:t>
        <w:tab/>
        <w:t>12</w:t>
        <w:tab/>
        <w:t>14</w:t>
      </w:r>
    </w:p>
    <w:p>
      <w:pPr>
        <w:pStyle w:val="Heading9"/>
        <w:spacing w:before="91"/>
        <w:ind w:left="2768"/>
        <w:jc w:val="center"/>
      </w:pPr>
      <w:r>
        <w:rPr/>
        <w:t>Unemployment rate; Per cent</w:t>
      </w:r>
    </w:p>
    <w:p>
      <w:pPr>
        <w:pStyle w:val="BodyText"/>
        <w:rPr>
          <w:sz w:val="20"/>
        </w:rPr>
      </w:pPr>
    </w:p>
    <w:p>
      <w:pPr>
        <w:pStyle w:val="BodyText"/>
        <w:rPr>
          <w:sz w:val="20"/>
        </w:rPr>
      </w:pPr>
    </w:p>
    <w:p>
      <w:pPr>
        <w:pStyle w:val="BodyText"/>
        <w:rPr>
          <w:sz w:val="20"/>
        </w:rPr>
      </w:pPr>
    </w:p>
    <w:p>
      <w:pPr>
        <w:pStyle w:val="BodyText"/>
        <w:spacing w:before="90"/>
        <w:ind w:left="245"/>
      </w:pPr>
      <w:r>
        <w:rPr/>
        <w:t>Sources: IMF and OECD</w:t>
      </w:r>
    </w:p>
    <w:p>
      <w:pPr>
        <w:spacing w:after="0"/>
        <w:sectPr>
          <w:type w:val="continuous"/>
          <w:pgSz w:w="12240" w:h="15840"/>
          <w:pgMar w:top="1180" w:bottom="280" w:left="1720" w:right="1560"/>
        </w:sectPr>
      </w:pPr>
    </w:p>
    <w:p>
      <w:pPr>
        <w:pStyle w:val="Heading2"/>
      </w:pPr>
      <w:r>
        <w:rPr/>
        <w:t>Chart 2</w:t>
      </w:r>
    </w:p>
    <w:p>
      <w:pPr>
        <w:pStyle w:val="BodyText"/>
        <w:rPr>
          <w:b/>
          <w:sz w:val="20"/>
        </w:rPr>
      </w:pPr>
    </w:p>
    <w:p>
      <w:pPr>
        <w:pStyle w:val="BodyText"/>
        <w:rPr>
          <w:b/>
          <w:sz w:val="20"/>
        </w:rPr>
      </w:pPr>
    </w:p>
    <w:p>
      <w:pPr>
        <w:pStyle w:val="BodyText"/>
        <w:rPr>
          <w:b/>
          <w:sz w:val="20"/>
        </w:rPr>
      </w:pPr>
    </w:p>
    <w:p>
      <w:pPr>
        <w:spacing w:after="0"/>
        <w:rPr>
          <w:sz w:val="20"/>
        </w:rPr>
        <w:sectPr>
          <w:pgSz w:w="12240" w:h="15840"/>
          <w:pgMar w:header="0" w:footer="237" w:top="880" w:bottom="420" w:left="1720" w:right="1560"/>
        </w:sectPr>
      </w:pPr>
    </w:p>
    <w:p>
      <w:pPr>
        <w:pStyle w:val="Heading3"/>
        <w:spacing w:before="209"/>
      </w:pPr>
      <w:r>
        <w:rPr>
          <w:spacing w:val="-10"/>
        </w:rPr>
        <w:t>Consumption </w:t>
      </w:r>
      <w:r>
        <w:rPr>
          <w:spacing w:val="-4"/>
        </w:rPr>
        <w:t>to </w:t>
      </w:r>
      <w:r>
        <w:rPr/>
        <w:t>GDP </w:t>
      </w:r>
      <w:r>
        <w:rPr>
          <w:spacing w:val="-9"/>
        </w:rPr>
        <w:t>ratio</w:t>
      </w:r>
    </w:p>
    <w:p>
      <w:pPr>
        <w:pStyle w:val="BodyText"/>
        <w:rPr>
          <w:b/>
          <w:sz w:val="30"/>
        </w:rPr>
      </w:pPr>
      <w:r>
        <w:rPr/>
        <w:br w:type="column"/>
      </w:r>
      <w:r>
        <w:rPr>
          <w:b/>
          <w:sz w:val="30"/>
        </w:rPr>
      </w:r>
    </w:p>
    <w:p>
      <w:pPr>
        <w:spacing w:before="0"/>
        <w:ind w:left="423" w:right="0" w:firstLine="0"/>
        <w:jc w:val="left"/>
        <w:rPr>
          <w:b/>
          <w:sz w:val="24"/>
        </w:rPr>
      </w:pPr>
      <w:r>
        <w:rPr>
          <w:b/>
          <w:sz w:val="24"/>
        </w:rPr>
        <w:t>Ratio</w:t>
      </w:r>
    </w:p>
    <w:p>
      <w:pPr>
        <w:spacing w:after="0"/>
        <w:jc w:val="left"/>
        <w:rPr>
          <w:sz w:val="24"/>
        </w:rPr>
        <w:sectPr>
          <w:type w:val="continuous"/>
          <w:pgSz w:w="12240" w:h="15840"/>
          <w:pgMar w:top="1180" w:bottom="280" w:left="1720" w:right="1560"/>
          <w:cols w:num="2" w:equalWidth="0">
            <w:col w:w="4353" w:space="2722"/>
            <w:col w:w="1885"/>
          </w:cols>
        </w:sectPr>
      </w:pPr>
    </w:p>
    <w:p>
      <w:pPr>
        <w:pStyle w:val="BodyText"/>
        <w:spacing w:before="2"/>
        <w:rPr>
          <w:b/>
          <w:sz w:val="27"/>
        </w:rPr>
      </w:pPr>
    </w:p>
    <w:p>
      <w:pPr>
        <w:spacing w:after="0"/>
        <w:rPr>
          <w:sz w:val="27"/>
        </w:rPr>
        <w:sectPr>
          <w:type w:val="continuous"/>
          <w:pgSz w:w="12240" w:h="15840"/>
          <w:pgMar w:top="1180" w:bottom="280" w:left="1720" w:right="1560"/>
        </w:sect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3"/>
        <w:rPr>
          <w:b/>
          <w:sz w:val="32"/>
        </w:rPr>
      </w:pPr>
    </w:p>
    <w:p>
      <w:pPr>
        <w:pStyle w:val="BodyText"/>
        <w:tabs>
          <w:tab w:pos="1527" w:val="left" w:leader="none"/>
          <w:tab w:pos="2633" w:val="left" w:leader="none"/>
          <w:tab w:pos="3761" w:val="left" w:leader="none"/>
          <w:tab w:pos="4865" w:val="left" w:leader="none"/>
          <w:tab w:pos="5971" w:val="left" w:leader="none"/>
          <w:tab w:pos="7078" w:val="left" w:leader="none"/>
        </w:tabs>
        <w:ind w:left="423"/>
      </w:pPr>
      <w:r>
        <w:rPr>
          <w:spacing w:val="8"/>
        </w:rPr>
        <w:t>1990</w:t>
        <w:tab/>
        <w:t>1992</w:t>
        <w:tab/>
        <w:t>1994</w:t>
        <w:tab/>
        <w:t>1996</w:t>
        <w:tab/>
        <w:t>1998</w:t>
        <w:tab/>
        <w:t>2000</w:t>
        <w:tab/>
      </w:r>
      <w:r>
        <w:rPr>
          <w:spacing w:val="3"/>
        </w:rPr>
        <w:t>2002</w:t>
      </w:r>
    </w:p>
    <w:p>
      <w:pPr>
        <w:pStyle w:val="BodyText"/>
        <w:spacing w:before="93"/>
        <w:ind w:left="301"/>
      </w:pPr>
      <w:r>
        <w:rPr/>
        <w:br w:type="column"/>
      </w:r>
      <w:r>
        <w:rPr>
          <w:spacing w:val="9"/>
        </w:rPr>
        <w:t>0.72</w:t>
      </w:r>
    </w:p>
    <w:p>
      <w:pPr>
        <w:pStyle w:val="BodyText"/>
        <w:spacing w:before="187"/>
        <w:ind w:left="301"/>
      </w:pPr>
      <w:r>
        <w:rPr/>
        <w:pict>
          <v:group style="position:absolute;margin-left:119.254501pt;margin-top:-5.909609pt;width:358.25pt;height:235.6pt;mso-position-horizontal-relative:page;mso-position-vertical-relative:paragraph;z-index:15738880" coordorigin="2385,-118" coordsize="7165,4712">
            <v:shape style="position:absolute;left:2407;top:-117;width:7143;height:4709" coordorigin="2407,-117" coordsize="7143,4709" path="m9482,-117l9482,4592m9482,4592l9550,4592m9482,4129l9550,4129m9482,3641l9550,3641m9482,3178l9550,3178m9482,2713l9550,2713m9482,2228l9550,2228m9482,1762l9550,1762m9482,1299l9550,1299m9482,833l9550,833m9482,346l9550,346m9482,-117l9550,-117m2407,4592l9482,4592m2407,4592l2407,4527m3514,4592l3514,4527m4620,4592l4620,4527m5746,4592l5746,4527m6852,4592l6852,4527m7958,4592l7958,4527m9062,4592l9062,4527e" filled="false" stroked="true" strokeweight=".12pt" strokecolor="#000000">
              <v:path arrowok="t"/>
              <v:stroke dashstyle="solid"/>
            </v:shape>
            <v:line style="position:absolute" from="2407,3267" to="2542,3332" stroked="true" strokeweight="2.211pt" strokecolor="#ff00ff">
              <v:stroke dashstyle="solid"/>
            </v:line>
            <v:line style="position:absolute" from="2542,3332" to="2695,3221" stroked="true" strokeweight="2.211pt" strokecolor="#ff00ff">
              <v:stroke dashstyle="solid"/>
            </v:line>
            <v:shape style="position:absolute;left:2695;top:370;width:6502;height:3449" coordorigin="2695,370" coordsize="6502,3449" path="m2695,3221l2827,3154m2827,3154l2962,3200m2962,3200l3094,3332m3094,3332l3247,3200m3247,3200l3382,3399m3382,3399l3514,3553m3514,3553l3646,3068m3646,3068l3802,2979m3802,2979l3934,3089m3934,3089l4066,3068m4066,3068l4222,3044m4222,3044l4354,2845m4354,2845l4486,2957m4486,2957l4620,2957m4620,2957l4774,3377m4774,3377l4906,3509m4906,3509l5040,3663m5040,3663l5172,3819m5172,3819l5326,3773m5326,3773l5460,3531m5460,3531l5592,3598m5592,3598l5746,3574m5746,3574l5880,3399m5880,3399l6012,3243m6012,3243l6144,3089m6144,3089l6300,3353m6300,3353l6432,3068m6432,3068l6564,3310m6564,3310l6720,3111m6720,3111l6852,3022m6852,3022l6984,2979m6984,2979l7118,2957m7118,2957l7272,2869m7272,2869l7404,2425m7404,2425l7538,2228m7538,2228l7670,2403m7670,2403l7824,2293m7824,2293l7958,1894m7958,1894l8090,1784m8090,1784l8244,1609m8244,1609l8378,1498m8378,1498l8510,1409m8510,1409l8642,1299m8642,1299l8798,1054m8798,1054l8930,701m8930,701l9062,524m9062,524l9197,370e" filled="false" stroked="true" strokeweight="2.211pt" strokecolor="#ff00ff">
              <v:path arrowok="t"/>
              <v:stroke dashstyle="solid"/>
            </v:shape>
            <v:line style="position:absolute" from="9197,370" to="9350,392" stroked="true" strokeweight="2.211pt" strokecolor="#ff00ff">
              <v:stroke dashstyle="solid"/>
            </v:line>
            <v:line style="position:absolute" from="9350,392" to="9482,193" stroked="true" strokeweight="2.211pt" strokecolor="#ff00ff">
              <v:stroke dashstyle="solid"/>
            </v:line>
            <v:line style="position:absolute" from="2407,4328" to="2542,4371" stroked="true" strokeweight="2.211pt" strokecolor="#000080">
              <v:stroke dashstyle="solid"/>
            </v:line>
            <v:line style="position:absolute" from="2542,4371" to="2695,4460" stroked="true" strokeweight="2.211pt" strokecolor="#000080">
              <v:stroke dashstyle="solid"/>
            </v:line>
            <v:line style="position:absolute" from="2695,4460" to="2827,3997" stroked="true" strokeweight="2.211pt" strokecolor="#000080">
              <v:stroke dashstyle="solid"/>
            </v:line>
            <v:shape style="position:absolute;left:2827;top:2403;width:6370;height:1815" coordorigin="2827,2403" coordsize="6370,1815" path="m2827,3997l2962,4217m2962,4217l3094,3973m3094,3973l3247,3797m3247,3797l3382,4040m3382,4040l3514,4061m3514,4061l3646,3687m3646,3687l3802,3509m3802,3509l3934,3464m3934,3464l4066,3488m4066,3488l4222,3200m4222,3200l4354,3243m4354,3243l4486,3221m4486,3221l4620,3267m4620,3267l4774,3464m4774,3464l4906,3509m4906,3509l5040,3862m5040,3862l5172,3797m5172,3797l5326,3752m5326,3752l5460,3531m5460,3531l5592,3620m5592,3620l5746,3598m5746,3598l5880,3509m5880,3509l6012,3310m6012,3310l6144,3089m6144,3089l6300,3377m6300,3377l6432,3353m6432,3353l6564,3553m6564,3553l6720,3421m6720,3421l6852,3289m6852,3289l6984,3221m6984,3221l7118,3267m7118,3267l7272,3221m7272,3221l7404,2780m7404,2780l7538,2780m7538,2780l7670,3044m7670,3044l7824,3044m7824,3044l7958,2669m7958,2669l8090,2869m8090,2869l8244,2780m8244,2780l8378,2648m8378,2648l8510,2869m8510,2869l8642,2801m8642,2801l8798,2403m8798,2403l8930,2559m8930,2559l9062,2691m9062,2691l9197,2648e" filled="false" stroked="true" strokeweight="2.211pt" strokecolor="#000080">
              <v:path arrowok="t"/>
              <v:stroke dashstyle="solid"/>
            </v:shape>
            <v:line style="position:absolute" from="9197,2648" to="9350,2713" stroked="true" strokeweight="2.211pt" strokecolor="#000080">
              <v:stroke dashstyle="solid"/>
            </v:line>
            <v:line style="position:absolute" from="9350,2713" to="9482,2801" stroked="true" strokeweight="2.211pt" strokecolor="#000080">
              <v:stroke dashstyle="solid"/>
            </v:line>
            <v:shape style="position:absolute;left:6784;top:547;width:1620;height:270" type="#_x0000_t202" filled="false" stroked="false">
              <v:textbox inset="0,0,0,0">
                <w:txbxContent>
                  <w:p>
                    <w:pPr>
                      <w:spacing w:line="269" w:lineRule="exact" w:before="0"/>
                      <w:ind w:left="0" w:right="0" w:firstLine="0"/>
                      <w:jc w:val="left"/>
                      <w:rPr>
                        <w:sz w:val="24"/>
                      </w:rPr>
                    </w:pPr>
                    <w:r>
                      <w:rPr>
                        <w:sz w:val="24"/>
                      </w:rPr>
                      <w:t>Constant prices</w:t>
                    </w:r>
                  </w:p>
                </w:txbxContent>
              </v:textbox>
              <w10:wrap type="none"/>
            </v:shape>
            <v:shape style="position:absolute;left:6784;top:3688;width:1464;height:270" type="#_x0000_t202" filled="false" stroked="false">
              <v:textbox inset="0,0,0,0">
                <w:txbxContent>
                  <w:p>
                    <w:pPr>
                      <w:spacing w:line="269" w:lineRule="exact" w:before="0"/>
                      <w:ind w:left="0" w:right="0" w:firstLine="0"/>
                      <w:jc w:val="left"/>
                      <w:rPr>
                        <w:sz w:val="24"/>
                      </w:rPr>
                    </w:pPr>
                    <w:r>
                      <w:rPr>
                        <w:sz w:val="24"/>
                      </w:rPr>
                      <w:t>Current prices</w:t>
                    </w:r>
                  </w:p>
                </w:txbxContent>
              </v:textbox>
              <w10:wrap type="none"/>
            </v:shape>
            <w10:wrap type="none"/>
          </v:group>
        </w:pict>
      </w:r>
      <w:r>
        <w:rPr>
          <w:spacing w:val="9"/>
        </w:rPr>
        <w:t>0.71</w:t>
      </w:r>
    </w:p>
    <w:p>
      <w:pPr>
        <w:pStyle w:val="BodyText"/>
        <w:spacing w:before="212"/>
        <w:ind w:left="301"/>
      </w:pPr>
      <w:r>
        <w:rPr/>
        <w:t>0.7</w:t>
      </w:r>
    </w:p>
    <w:p>
      <w:pPr>
        <w:pStyle w:val="BodyText"/>
        <w:spacing w:before="187"/>
        <w:ind w:left="301"/>
      </w:pPr>
      <w:r>
        <w:rPr>
          <w:spacing w:val="9"/>
        </w:rPr>
        <w:t>0.69</w:t>
      </w:r>
    </w:p>
    <w:p>
      <w:pPr>
        <w:pStyle w:val="BodyText"/>
        <w:spacing w:before="189"/>
        <w:ind w:left="301"/>
      </w:pPr>
      <w:r>
        <w:rPr>
          <w:spacing w:val="9"/>
        </w:rPr>
        <w:t>0.68</w:t>
      </w:r>
    </w:p>
    <w:p>
      <w:pPr>
        <w:pStyle w:val="BodyText"/>
        <w:spacing w:before="188"/>
        <w:ind w:left="301"/>
      </w:pPr>
      <w:r>
        <w:rPr>
          <w:spacing w:val="9"/>
        </w:rPr>
        <w:t>0.67</w:t>
      </w:r>
    </w:p>
    <w:p>
      <w:pPr>
        <w:pStyle w:val="BodyText"/>
        <w:spacing w:before="211"/>
        <w:ind w:left="301"/>
      </w:pPr>
      <w:r>
        <w:rPr>
          <w:spacing w:val="9"/>
        </w:rPr>
        <w:t>0.66</w:t>
      </w:r>
    </w:p>
    <w:p>
      <w:pPr>
        <w:pStyle w:val="BodyText"/>
        <w:spacing w:before="187"/>
        <w:ind w:left="301"/>
      </w:pPr>
      <w:r>
        <w:rPr>
          <w:spacing w:val="9"/>
        </w:rPr>
        <w:t>0.65</w:t>
      </w:r>
    </w:p>
    <w:p>
      <w:pPr>
        <w:pStyle w:val="BodyText"/>
        <w:spacing w:before="190"/>
        <w:ind w:left="301"/>
      </w:pPr>
      <w:r>
        <w:rPr>
          <w:spacing w:val="9"/>
        </w:rPr>
        <w:t>0.64</w:t>
      </w:r>
    </w:p>
    <w:p>
      <w:pPr>
        <w:pStyle w:val="BodyText"/>
        <w:spacing w:before="209"/>
        <w:ind w:left="301"/>
      </w:pPr>
      <w:r>
        <w:rPr>
          <w:spacing w:val="9"/>
        </w:rPr>
        <w:t>0.63</w:t>
      </w:r>
    </w:p>
    <w:p>
      <w:pPr>
        <w:pStyle w:val="BodyText"/>
        <w:spacing w:before="189"/>
        <w:ind w:left="301"/>
      </w:pPr>
      <w:r>
        <w:rPr>
          <w:spacing w:val="9"/>
        </w:rPr>
        <w:t>0.62</w:t>
      </w:r>
    </w:p>
    <w:p>
      <w:pPr>
        <w:spacing w:after="0"/>
        <w:sectPr>
          <w:type w:val="continuous"/>
          <w:pgSz w:w="12240" w:h="15840"/>
          <w:pgMar w:top="1180" w:bottom="280" w:left="1720" w:right="1560"/>
          <w:cols w:num="2" w:equalWidth="0">
            <w:col w:w="7599" w:space="40"/>
            <w:col w:w="1321"/>
          </w:cols>
        </w:sectPr>
      </w:pPr>
    </w:p>
    <w:p>
      <w:pPr>
        <w:pStyle w:val="BodyText"/>
        <w:rPr>
          <w:sz w:val="20"/>
        </w:rPr>
      </w:pPr>
    </w:p>
    <w:p>
      <w:pPr>
        <w:pStyle w:val="BodyText"/>
        <w:rPr>
          <w:sz w:val="28"/>
        </w:rPr>
      </w:pPr>
    </w:p>
    <w:p>
      <w:pPr>
        <w:pStyle w:val="BodyText"/>
        <w:spacing w:before="91"/>
        <w:ind w:left="245"/>
      </w:pPr>
      <w:r>
        <w:rPr/>
        <w:t>Source: ONS</w:t>
      </w:r>
    </w:p>
    <w:p>
      <w:pPr>
        <w:spacing w:after="0"/>
        <w:sectPr>
          <w:type w:val="continuous"/>
          <w:pgSz w:w="12240" w:h="15840"/>
          <w:pgMar w:top="1180" w:bottom="280" w:left="1720" w:right="1560"/>
        </w:sectPr>
      </w:pPr>
    </w:p>
    <w:p>
      <w:pPr>
        <w:pStyle w:val="Heading2"/>
      </w:pPr>
      <w:r>
        <w:rPr/>
        <w:t>Chart 3</w:t>
      </w:r>
    </w:p>
    <w:p>
      <w:pPr>
        <w:pStyle w:val="BodyText"/>
        <w:rPr>
          <w:b/>
          <w:sz w:val="20"/>
        </w:rPr>
      </w:pPr>
    </w:p>
    <w:p>
      <w:pPr>
        <w:spacing w:after="0"/>
        <w:rPr>
          <w:sz w:val="20"/>
        </w:rPr>
        <w:sectPr>
          <w:pgSz w:w="12240" w:h="15840"/>
          <w:pgMar w:header="0" w:footer="237" w:top="880" w:bottom="420" w:left="1720" w:right="1560"/>
        </w:sectPr>
      </w:pPr>
    </w:p>
    <w:p>
      <w:pPr>
        <w:spacing w:line="266" w:lineRule="auto" w:before="206"/>
        <w:ind w:left="415" w:right="0" w:firstLine="0"/>
        <w:jc w:val="left"/>
        <w:rPr>
          <w:b/>
          <w:sz w:val="36"/>
        </w:rPr>
      </w:pPr>
      <w:r>
        <w:rPr>
          <w:b/>
          <w:sz w:val="36"/>
        </w:rPr>
        <w:t>Household de bt and mortgage equity withdrawal</w:t>
      </w:r>
    </w:p>
    <w:p>
      <w:pPr>
        <w:pStyle w:val="Heading4"/>
        <w:spacing w:before="1"/>
        <w:ind w:left="535"/>
      </w:pPr>
      <w:r>
        <w:rPr/>
        <w:pict>
          <v:group style="position:absolute;margin-left:128.520004pt;margin-top:3.865392pt;width:330.5pt;height:232.45pt;mso-position-horizontal-relative:page;mso-position-vertical-relative:paragraph;z-index:15741440" coordorigin="2570,77" coordsize="6610,4649">
            <v:shape style="position:absolute;left:2668;top:172;width:6512;height:4553" coordorigin="2669,173" coordsize="6512,4553" path="m9082,173l9082,4627m9082,4627l9180,4627m9082,4071l9180,4071m9082,3514l9180,3514m9082,2957l9180,2957m9082,2400l9180,2400m9082,1843l9180,1843m9082,1287l9180,1287m9082,730l9180,730m9082,173l9180,173m2669,4627l9082,4627m2669,4726l2669,4627m3684,4726l3684,4627m4726,4726l4726,4627m5741,4726l5741,4627m6782,4726l6782,4627m7800,4726l7800,4627m8815,4726l8815,4627e" filled="false" stroked="true" strokeweight=".12pt" strokecolor="#000000">
              <v:path arrowok="t"/>
              <v:stroke dashstyle="solid"/>
            </v:shape>
            <v:line style="position:absolute" from="2669,3103" to="2789,2837" stroked="true" strokeweight="2.42pt" strokecolor="#000080">
              <v:stroke dashstyle="solid"/>
            </v:line>
            <v:line style="position:absolute" from="2789,2837" to="2933,2789" stroked="true" strokeweight="2.42pt" strokecolor="#000080">
              <v:stroke dashstyle="solid"/>
            </v:line>
            <v:shape style="position:absolute;left:2932;top:1528;width:5883;height:2060" coordorigin="2933,1529" coordsize="5883,2060" path="m2933,2789l3055,2715m3055,2715l3175,2813m3175,2813l3322,2667m3322,2667l3442,2861m3442,2861l3564,2789m3564,2789l3684,2933m3684,2933l3830,3103m3830,3103l3950,2981m3950,2981l4073,3055m4073,3055l4217,2957m4217,2957l4337,3271m4337,3271l4459,3346m4459,3346l4603,3370m4603,3370l4726,3151m4726,3151l4846,3031m4846,3031l4968,3247m4968,3247l5112,3175m5112,3175l5234,3298m5234,3298l5354,3175m5354,3175l5501,3247m5501,3247l5621,3322m5621,3322l5741,3394m5741,3394l5887,3442m5887,3442l6007,3394m6007,3394l6130,3490m6130,3490l6250,3322m6250,3322l6396,3588m6396,3588l6516,3538m6516,3538l6638,3562m6638,3562l6782,3271m6782,3271l6905,3127m6905,3127l7025,3079m7025,3079l7171,2957m7171,2957l7291,2765m7291,2765l7411,3175m7411,3175l7534,2741m7534,2741l7678,2837m7678,2837l7800,2547m7800,2547l7920,2376m7920,2376l8066,2400m8066,2400l8186,2376m8186,2376l8309,2400m8309,2400l8453,2184m8453,2184l8575,1894m8575,1894l8695,1747m8695,1747l8815,1529e" filled="false" stroked="true" strokeweight="2.42pt" strokecolor="#000080">
              <v:path arrowok="t"/>
              <v:stroke dashstyle="solid"/>
            </v:shape>
            <v:line style="position:absolute" from="8815,1529" to="8962,1215" stroked="true" strokeweight="2.42pt" strokecolor="#000080">
              <v:stroke dashstyle="solid"/>
            </v:line>
            <v:line style="position:absolute" from="8962,1215" to="9082,972" stroked="true" strokeweight="2.42pt" strokecolor="#000080">
              <v:stroke dashstyle="solid"/>
            </v:line>
            <v:shape style="position:absolute;left:2570;top:172;width:99;height:4455" coordorigin="2570,173" coordsize="99,4455" path="m2669,173l2669,4627m2570,4627l2669,4627m2570,4145l2669,4145m2570,3636l2669,3636m2570,3151l2669,3151m2570,2643l2669,2643m2570,2158l2669,2158m2570,1651l2669,1651m2570,1167l2669,1167m2570,658l2669,658m2570,173l2669,173e" filled="false" stroked="true" strokeweight=".12pt" strokecolor="#000000">
              <v:path arrowok="t"/>
              <v:stroke dashstyle="solid"/>
            </v:shape>
            <v:line style="position:absolute" from="2669,1143" to="2789,1481" stroked="true" strokeweight="2.42pt" strokecolor="#ff00ff">
              <v:stroke dashstyle="solid"/>
            </v:line>
            <v:line style="position:absolute" from="2789,1481" to="2933,1894" stroked="true" strokeweight="2.42pt" strokecolor="#ff00ff">
              <v:stroke dashstyle="solid"/>
            </v:line>
            <v:shape style="position:absolute;left:2932;top:1310;width:5883;height:2907" coordorigin="2933,1311" coordsize="5883,2907" path="m2933,1894l3055,1795m3055,1795l3175,2014m3175,2014l3322,2158m3322,2158l3442,2424m3442,2424l3564,2691m3564,2691l3684,2741m3684,2741l3830,3031m3830,3031l3950,3103m3950,3103l4073,3975m4073,3975l4217,3588m4217,3588l4337,3708m4337,3708l4459,3636m4459,3636l4603,3151m4603,3151l4726,3660m4726,3660l4846,3298m4846,3298l4968,3514m4968,3514l5112,3780m5112,3780l5234,3951m5234,3951l5354,4217m5354,4217l5501,4193m5501,4193l5621,4145m5621,4145l5741,3951m5741,3951l5887,3927m5887,3927l6007,4119m6007,4119l6130,3780m6130,3780l6250,3538m6250,3538l6396,3660m6396,3660l6516,3708m6516,3708l6638,3732m6638,3732l6782,3636m6782,3636l6905,3708m6905,3708l7025,3588m7025,3588l7171,3466m7171,3466l7291,3394m7291,3394l7411,2837m7411,2837l7534,2475m7534,2475l7678,2691m7678,2691l7800,2523m7800,2523l7920,2619m7920,2619l8066,2741m8066,2741l8186,2595m8186,2595l8309,2400m8309,2400l8453,2014m8453,2014l8575,1699m8575,1699l8695,1529m8695,1529l8815,1311e" filled="false" stroked="true" strokeweight="2.42pt" strokecolor="#ff00ff">
              <v:path arrowok="t"/>
              <v:stroke dashstyle="solid"/>
            </v:shape>
            <v:line style="position:absolute" from="8815,1311" to="8962,852" stroked="true" strokeweight="2.42pt" strokecolor="#ff00ff">
              <v:stroke dashstyle="solid"/>
            </v:line>
            <v:line style="position:absolute" from="8962,852" to="9082,367" stroked="true" strokeweight="2.42pt" strokecolor="#ff00ff">
              <v:stroke dashstyle="solid"/>
            </v:line>
            <v:shape style="position:absolute;left:2860;top:77;width:2285;height:658" type="#_x0000_t202" filled="false" stroked="false">
              <v:textbox inset="0,0,0,0">
                <w:txbxContent>
                  <w:p>
                    <w:pPr>
                      <w:spacing w:line="294" w:lineRule="exact" w:before="0"/>
                      <w:ind w:left="0" w:right="0" w:firstLine="0"/>
                      <w:jc w:val="left"/>
                      <w:rPr>
                        <w:sz w:val="26"/>
                      </w:rPr>
                    </w:pPr>
                    <w:r>
                      <w:rPr>
                        <w:sz w:val="26"/>
                      </w:rPr>
                      <w:t>Per cent of post-tax</w:t>
                    </w:r>
                  </w:p>
                  <w:p>
                    <w:pPr>
                      <w:spacing w:before="63"/>
                      <w:ind w:left="0" w:right="0" w:firstLine="0"/>
                      <w:jc w:val="left"/>
                      <w:rPr>
                        <w:sz w:val="26"/>
                      </w:rPr>
                    </w:pPr>
                    <w:r>
                      <w:rPr>
                        <w:sz w:val="26"/>
                      </w:rPr>
                      <w:t>income</w:t>
                    </w:r>
                  </w:p>
                </w:txbxContent>
              </v:textbox>
              <w10:wrap type="none"/>
            </v:shape>
            <v:shape style="position:absolute;left:5863;top:77;width:2728;height:658" type="#_x0000_t202" filled="false" stroked="false">
              <v:textbox inset="0,0,0,0">
                <w:txbxContent>
                  <w:p>
                    <w:pPr>
                      <w:spacing w:line="294" w:lineRule="exact" w:before="0"/>
                      <w:ind w:left="0" w:right="23" w:firstLine="0"/>
                      <w:jc w:val="right"/>
                      <w:rPr>
                        <w:sz w:val="26"/>
                      </w:rPr>
                    </w:pPr>
                    <w:r>
                      <w:rPr>
                        <w:spacing w:val="7"/>
                        <w:sz w:val="26"/>
                      </w:rPr>
                      <w:t>Per </w:t>
                    </w:r>
                    <w:r>
                      <w:rPr>
                        <w:spacing w:val="3"/>
                        <w:sz w:val="26"/>
                      </w:rPr>
                      <w:t>cent  </w:t>
                    </w:r>
                    <w:r>
                      <w:rPr>
                        <w:spacing w:val="5"/>
                        <w:sz w:val="26"/>
                      </w:rPr>
                      <w:t>of  </w:t>
                    </w:r>
                    <w:r>
                      <w:rPr>
                        <w:spacing w:val="2"/>
                        <w:sz w:val="26"/>
                      </w:rPr>
                      <w:t>annual</w:t>
                    </w:r>
                    <w:r>
                      <w:rPr>
                        <w:spacing w:val="-25"/>
                        <w:sz w:val="26"/>
                      </w:rPr>
                      <w:t> </w:t>
                    </w:r>
                    <w:r>
                      <w:rPr>
                        <w:spacing w:val="8"/>
                        <w:sz w:val="26"/>
                      </w:rPr>
                      <w:t>post-</w:t>
                    </w:r>
                  </w:p>
                  <w:p>
                    <w:pPr>
                      <w:spacing w:before="63"/>
                      <w:ind w:left="0" w:right="18" w:firstLine="0"/>
                      <w:jc w:val="right"/>
                      <w:rPr>
                        <w:sz w:val="26"/>
                      </w:rPr>
                    </w:pPr>
                    <w:r>
                      <w:rPr>
                        <w:spacing w:val="8"/>
                        <w:sz w:val="26"/>
                      </w:rPr>
                      <w:t>tax</w:t>
                    </w:r>
                    <w:r>
                      <w:rPr>
                        <w:spacing w:val="51"/>
                        <w:sz w:val="26"/>
                      </w:rPr>
                      <w:t> </w:t>
                    </w:r>
                    <w:r>
                      <w:rPr>
                        <w:spacing w:val="5"/>
                        <w:sz w:val="26"/>
                      </w:rPr>
                      <w:t>income</w:t>
                    </w:r>
                  </w:p>
                </w:txbxContent>
              </v:textbox>
              <w10:wrap type="none"/>
            </v:shape>
            <v:shape style="position:absolute;left:4968;top:2256;width:1780;height:295" type="#_x0000_t202" filled="false" stroked="false">
              <v:textbox inset="0,0,0,0">
                <w:txbxContent>
                  <w:p>
                    <w:pPr>
                      <w:spacing w:line="294" w:lineRule="exact" w:before="0"/>
                      <w:ind w:left="0" w:right="0" w:firstLine="0"/>
                      <w:jc w:val="left"/>
                      <w:rPr>
                        <w:sz w:val="26"/>
                      </w:rPr>
                    </w:pPr>
                    <w:r>
                      <w:rPr>
                        <w:sz w:val="26"/>
                      </w:rPr>
                      <w:t>Total debt (rhs)</w:t>
                    </w:r>
                  </w:p>
                </w:txbxContent>
              </v:textbox>
              <w10:wrap type="none"/>
            </v:shape>
            <v:shape style="position:absolute;left:7144;top:3756;width:1273;height:295" type="#_x0000_t202" filled="false" stroked="false">
              <v:textbox inset="0,0,0,0">
                <w:txbxContent>
                  <w:p>
                    <w:pPr>
                      <w:spacing w:line="294" w:lineRule="exact" w:before="0"/>
                      <w:ind w:left="0" w:right="0" w:firstLine="0"/>
                      <w:jc w:val="left"/>
                      <w:rPr>
                        <w:sz w:val="26"/>
                      </w:rPr>
                    </w:pPr>
                    <w:r>
                      <w:rPr>
                        <w:sz w:val="26"/>
                      </w:rPr>
                      <w:t>MEW (lhs)</w:t>
                    </w:r>
                  </w:p>
                </w:txbxContent>
              </v:textbox>
              <w10:wrap type="none"/>
            </v:shape>
            <w10:wrap type="none"/>
          </v:group>
        </w:pict>
      </w:r>
      <w:r>
        <w:rPr>
          <w:w w:val="101"/>
        </w:rPr>
        <w:t>7</w:t>
      </w:r>
    </w:p>
    <w:p>
      <w:pPr>
        <w:spacing w:before="128"/>
        <w:ind w:left="535" w:right="0" w:firstLine="0"/>
        <w:jc w:val="left"/>
        <w:rPr>
          <w:b/>
          <w:sz w:val="31"/>
        </w:rPr>
      </w:pPr>
      <w:r>
        <w:rPr>
          <w:b/>
          <w:w w:val="101"/>
          <w:sz w:val="31"/>
        </w:rPr>
        <w:t>6</w:t>
      </w:r>
    </w:p>
    <w:p>
      <w:pPr>
        <w:spacing w:before="150"/>
        <w:ind w:left="535" w:right="0" w:firstLine="0"/>
        <w:jc w:val="left"/>
        <w:rPr>
          <w:b/>
          <w:sz w:val="31"/>
        </w:rPr>
      </w:pPr>
      <w:r>
        <w:rPr>
          <w:b/>
          <w:w w:val="101"/>
          <w:sz w:val="31"/>
        </w:rPr>
        <w:t>5</w:t>
      </w:r>
    </w:p>
    <w:p>
      <w:pPr>
        <w:spacing w:before="128"/>
        <w:ind w:left="535" w:right="0" w:firstLine="0"/>
        <w:jc w:val="left"/>
        <w:rPr>
          <w:b/>
          <w:sz w:val="31"/>
        </w:rPr>
      </w:pPr>
      <w:r>
        <w:rPr>
          <w:b/>
          <w:w w:val="101"/>
          <w:sz w:val="31"/>
        </w:rPr>
        <w:t>4</w:t>
      </w:r>
    </w:p>
    <w:p>
      <w:pPr>
        <w:spacing w:before="153"/>
        <w:ind w:left="535" w:right="0" w:firstLine="0"/>
        <w:jc w:val="left"/>
        <w:rPr>
          <w:b/>
          <w:sz w:val="31"/>
        </w:rPr>
      </w:pPr>
      <w:r>
        <w:rPr>
          <w:b/>
          <w:w w:val="101"/>
          <w:sz w:val="31"/>
        </w:rPr>
        <w:t>3</w:t>
      </w:r>
    </w:p>
    <w:p>
      <w:pPr>
        <w:spacing w:before="128"/>
        <w:ind w:left="535" w:right="0" w:firstLine="0"/>
        <w:jc w:val="left"/>
        <w:rPr>
          <w:b/>
          <w:sz w:val="31"/>
        </w:rPr>
      </w:pPr>
      <w:r>
        <w:rPr>
          <w:b/>
          <w:w w:val="101"/>
          <w:sz w:val="31"/>
        </w:rPr>
        <w:t>2</w:t>
      </w:r>
    </w:p>
    <w:p>
      <w:pPr>
        <w:spacing w:before="150"/>
        <w:ind w:left="535" w:right="0" w:firstLine="0"/>
        <w:jc w:val="left"/>
        <w:rPr>
          <w:b/>
          <w:sz w:val="31"/>
        </w:rPr>
      </w:pPr>
      <w:r>
        <w:rPr>
          <w:b/>
          <w:w w:val="101"/>
          <w:sz w:val="31"/>
        </w:rPr>
        <w:t>1</w:t>
      </w:r>
    </w:p>
    <w:p>
      <w:pPr>
        <w:spacing w:before="128"/>
        <w:ind w:left="535" w:right="0" w:firstLine="0"/>
        <w:jc w:val="left"/>
        <w:rPr>
          <w:b/>
          <w:sz w:val="31"/>
        </w:rPr>
      </w:pPr>
      <w:r>
        <w:rPr>
          <w:b/>
          <w:w w:val="101"/>
          <w:sz w:val="31"/>
        </w:rPr>
        <w:t>0</w:t>
      </w:r>
    </w:p>
    <w:p>
      <w:pPr>
        <w:spacing w:before="153"/>
        <w:ind w:left="439" w:right="0" w:firstLine="0"/>
        <w:jc w:val="left"/>
        <w:rPr>
          <w:b/>
          <w:sz w:val="31"/>
        </w:rPr>
      </w:pPr>
      <w:r>
        <w:rPr>
          <w:b/>
          <w:spacing w:val="-9"/>
          <w:sz w:val="31"/>
        </w:rPr>
        <w:t>-1</w:t>
      </w:r>
    </w:p>
    <w:p>
      <w:pPr>
        <w:spacing w:before="128"/>
        <w:ind w:left="439" w:right="0" w:firstLine="0"/>
        <w:jc w:val="left"/>
        <w:rPr>
          <w:b/>
          <w:sz w:val="31"/>
        </w:rPr>
      </w:pPr>
      <w:r>
        <w:rPr>
          <w:b/>
          <w:spacing w:val="-9"/>
          <w:sz w:val="31"/>
        </w:rPr>
        <w:t>-2</w:t>
      </w:r>
    </w:p>
    <w:p>
      <w:pPr>
        <w:tabs>
          <w:tab w:pos="1625" w:val="left" w:leader="none"/>
          <w:tab w:pos="2667" w:val="left" w:leader="none"/>
          <w:tab w:pos="3682" w:val="left" w:leader="none"/>
          <w:tab w:pos="4723" w:val="left" w:leader="none"/>
          <w:tab w:pos="5741" w:val="left" w:leader="none"/>
          <w:tab w:pos="6756" w:val="left" w:leader="none"/>
        </w:tabs>
        <w:spacing w:before="102"/>
        <w:ind w:left="607" w:right="0" w:firstLine="0"/>
        <w:jc w:val="left"/>
        <w:rPr>
          <w:b/>
          <w:sz w:val="31"/>
        </w:rPr>
      </w:pPr>
      <w:r>
        <w:rPr>
          <w:b/>
          <w:spacing w:val="9"/>
          <w:sz w:val="31"/>
        </w:rPr>
        <w:t>1990</w:t>
        <w:tab/>
        <w:t>1992</w:t>
        <w:tab/>
      </w:r>
      <w:r>
        <w:rPr>
          <w:b/>
          <w:spacing w:val="8"/>
          <w:sz w:val="31"/>
        </w:rPr>
        <w:t>1994</w:t>
        <w:tab/>
      </w:r>
      <w:r>
        <w:rPr>
          <w:b/>
          <w:spacing w:val="9"/>
          <w:sz w:val="31"/>
        </w:rPr>
        <w:t>1996</w:t>
        <w:tab/>
        <w:t>1998</w:t>
        <w:tab/>
      </w:r>
      <w:r>
        <w:rPr>
          <w:b/>
          <w:spacing w:val="8"/>
          <w:sz w:val="31"/>
        </w:rPr>
        <w:t>2000</w:t>
        <w:tab/>
      </w:r>
      <w:r>
        <w:rPr>
          <w:b/>
          <w:spacing w:val="4"/>
          <w:sz w:val="31"/>
        </w:rPr>
        <w:t>2002</w:t>
      </w:r>
    </w:p>
    <w:p>
      <w:pPr>
        <w:pStyle w:val="BodyText"/>
        <w:rPr>
          <w:b/>
          <w:sz w:val="34"/>
        </w:rPr>
      </w:pPr>
      <w:r>
        <w:rPr/>
        <w:br w:type="column"/>
      </w:r>
      <w:r>
        <w:rPr>
          <w:b/>
          <w:sz w:val="34"/>
        </w:rPr>
      </w:r>
    </w:p>
    <w:p>
      <w:pPr>
        <w:pStyle w:val="BodyText"/>
        <w:rPr>
          <w:b/>
          <w:sz w:val="34"/>
        </w:rPr>
      </w:pPr>
    </w:p>
    <w:p>
      <w:pPr>
        <w:pStyle w:val="BodyText"/>
        <w:spacing w:before="10"/>
        <w:rPr>
          <w:b/>
          <w:sz w:val="29"/>
        </w:rPr>
      </w:pPr>
    </w:p>
    <w:p>
      <w:pPr>
        <w:spacing w:before="0"/>
        <w:ind w:left="141" w:right="0" w:firstLine="0"/>
        <w:jc w:val="left"/>
        <w:rPr>
          <w:b/>
          <w:sz w:val="31"/>
        </w:rPr>
      </w:pPr>
      <w:r>
        <w:rPr>
          <w:b/>
          <w:spacing w:val="7"/>
          <w:sz w:val="31"/>
        </w:rPr>
        <w:t>130</w:t>
      </w:r>
    </w:p>
    <w:p>
      <w:pPr>
        <w:spacing w:before="201"/>
        <w:ind w:left="141" w:right="0" w:firstLine="0"/>
        <w:jc w:val="left"/>
        <w:rPr>
          <w:b/>
          <w:sz w:val="31"/>
        </w:rPr>
      </w:pPr>
      <w:r>
        <w:rPr>
          <w:b/>
          <w:spacing w:val="7"/>
          <w:sz w:val="31"/>
        </w:rPr>
        <w:t>125</w:t>
      </w:r>
    </w:p>
    <w:p>
      <w:pPr>
        <w:spacing w:before="200"/>
        <w:ind w:left="141" w:right="0" w:firstLine="0"/>
        <w:jc w:val="left"/>
        <w:rPr>
          <w:b/>
          <w:sz w:val="31"/>
        </w:rPr>
      </w:pPr>
      <w:r>
        <w:rPr>
          <w:b/>
          <w:spacing w:val="7"/>
          <w:sz w:val="31"/>
        </w:rPr>
        <w:t>120</w:t>
      </w:r>
    </w:p>
    <w:p>
      <w:pPr>
        <w:spacing w:before="200"/>
        <w:ind w:left="141" w:right="0" w:firstLine="0"/>
        <w:jc w:val="left"/>
        <w:rPr>
          <w:b/>
          <w:sz w:val="31"/>
        </w:rPr>
      </w:pPr>
      <w:r>
        <w:rPr>
          <w:b/>
          <w:spacing w:val="7"/>
          <w:sz w:val="31"/>
        </w:rPr>
        <w:t>115</w:t>
      </w:r>
    </w:p>
    <w:p>
      <w:pPr>
        <w:spacing w:before="201"/>
        <w:ind w:left="141" w:right="0" w:firstLine="0"/>
        <w:jc w:val="left"/>
        <w:rPr>
          <w:b/>
          <w:sz w:val="31"/>
        </w:rPr>
      </w:pPr>
      <w:r>
        <w:rPr>
          <w:b/>
          <w:spacing w:val="7"/>
          <w:sz w:val="31"/>
        </w:rPr>
        <w:t>110</w:t>
      </w:r>
    </w:p>
    <w:p>
      <w:pPr>
        <w:spacing w:before="200"/>
        <w:ind w:left="141" w:right="0" w:firstLine="0"/>
        <w:jc w:val="left"/>
        <w:rPr>
          <w:b/>
          <w:sz w:val="31"/>
        </w:rPr>
      </w:pPr>
      <w:r>
        <w:rPr>
          <w:b/>
          <w:spacing w:val="7"/>
          <w:sz w:val="31"/>
        </w:rPr>
        <w:t>105</w:t>
      </w:r>
    </w:p>
    <w:p>
      <w:pPr>
        <w:spacing w:before="200"/>
        <w:ind w:left="141" w:right="0" w:firstLine="0"/>
        <w:jc w:val="left"/>
        <w:rPr>
          <w:b/>
          <w:sz w:val="31"/>
        </w:rPr>
      </w:pPr>
      <w:r>
        <w:rPr>
          <w:b/>
          <w:spacing w:val="7"/>
          <w:sz w:val="31"/>
        </w:rPr>
        <w:t>100</w:t>
      </w:r>
    </w:p>
    <w:p>
      <w:pPr>
        <w:spacing w:before="201"/>
        <w:ind w:left="141" w:right="0" w:firstLine="0"/>
        <w:jc w:val="left"/>
        <w:rPr>
          <w:b/>
          <w:sz w:val="31"/>
        </w:rPr>
      </w:pPr>
      <w:r>
        <w:rPr>
          <w:b/>
          <w:spacing w:val="13"/>
          <w:sz w:val="31"/>
        </w:rPr>
        <w:t>95</w:t>
      </w:r>
    </w:p>
    <w:p>
      <w:pPr>
        <w:spacing w:before="200"/>
        <w:ind w:left="141" w:right="0" w:firstLine="0"/>
        <w:jc w:val="left"/>
        <w:rPr>
          <w:b/>
          <w:sz w:val="31"/>
        </w:rPr>
      </w:pPr>
      <w:r>
        <w:rPr>
          <w:b/>
          <w:spacing w:val="13"/>
          <w:sz w:val="31"/>
        </w:rPr>
        <w:t>90</w:t>
      </w:r>
    </w:p>
    <w:p>
      <w:pPr>
        <w:spacing w:after="0"/>
        <w:jc w:val="left"/>
        <w:rPr>
          <w:sz w:val="31"/>
        </w:rPr>
        <w:sectPr>
          <w:type w:val="continuous"/>
          <w:pgSz w:w="12240" w:h="15840"/>
          <w:pgMar w:top="1180" w:bottom="280" w:left="1720" w:right="1560"/>
          <w:cols w:num="2" w:equalWidth="0">
            <w:col w:w="7423" w:space="40"/>
            <w:col w:w="1497"/>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9"/>
        </w:rPr>
      </w:pPr>
    </w:p>
    <w:p>
      <w:pPr>
        <w:pStyle w:val="BodyText"/>
        <w:spacing w:before="91"/>
        <w:ind w:left="245"/>
      </w:pPr>
      <w:r>
        <w:rPr/>
        <w:t>Sources: ONS and Bank of England</w:t>
      </w:r>
    </w:p>
    <w:p>
      <w:pPr>
        <w:spacing w:after="0"/>
        <w:sectPr>
          <w:type w:val="continuous"/>
          <w:pgSz w:w="12240" w:h="15840"/>
          <w:pgMar w:top="1180" w:bottom="280" w:left="1720" w:right="1560"/>
        </w:sectPr>
      </w:pPr>
    </w:p>
    <w:p>
      <w:pPr>
        <w:pStyle w:val="Heading2"/>
      </w:pPr>
      <w:r>
        <w:rPr/>
        <w:t>Chart 4</w:t>
      </w:r>
    </w:p>
    <w:p>
      <w:pPr>
        <w:pStyle w:val="BodyText"/>
        <w:rPr>
          <w:b/>
          <w:sz w:val="20"/>
        </w:rPr>
      </w:pPr>
    </w:p>
    <w:p>
      <w:pPr>
        <w:pStyle w:val="BodyText"/>
        <w:spacing w:before="7"/>
        <w:rPr>
          <w:b/>
          <w:sz w:val="28"/>
        </w:rPr>
      </w:pPr>
    </w:p>
    <w:p>
      <w:pPr>
        <w:pStyle w:val="Heading5"/>
        <w:spacing w:line="278" w:lineRule="auto" w:before="91"/>
        <w:ind w:right="497"/>
      </w:pPr>
      <w:r>
        <w:rPr>
          <w:spacing w:val="-3"/>
        </w:rPr>
        <w:t>House </w:t>
      </w:r>
      <w:r>
        <w:rPr>
          <w:spacing w:val="-10"/>
        </w:rPr>
        <w:t>price </w:t>
      </w:r>
      <w:r>
        <w:rPr>
          <w:spacing w:val="-4"/>
        </w:rPr>
        <w:t>to </w:t>
      </w:r>
      <w:r>
        <w:rPr>
          <w:spacing w:val="-11"/>
        </w:rPr>
        <w:t>nominal </w:t>
      </w:r>
      <w:r>
        <w:rPr>
          <w:spacing w:val="-8"/>
        </w:rPr>
        <w:t>consumption </w:t>
      </w:r>
      <w:r>
        <w:rPr/>
        <w:t>per </w:t>
      </w:r>
      <w:r>
        <w:rPr>
          <w:spacing w:val="-4"/>
        </w:rPr>
        <w:t>household </w:t>
      </w:r>
      <w:r>
        <w:rPr>
          <w:spacing w:val="-8"/>
        </w:rPr>
        <w:t>ratio </w:t>
      </w:r>
      <w:r>
        <w:rPr>
          <w:spacing w:val="-7"/>
        </w:rPr>
        <w:t>and </w:t>
      </w:r>
      <w:r>
        <w:rPr>
          <w:spacing w:val="-5"/>
        </w:rPr>
        <w:t>house </w:t>
      </w:r>
      <w:r>
        <w:rPr>
          <w:spacing w:val="-11"/>
        </w:rPr>
        <w:t>price </w:t>
      </w:r>
      <w:r>
        <w:rPr>
          <w:spacing w:val="-3"/>
        </w:rPr>
        <w:t>to </w:t>
      </w:r>
      <w:r>
        <w:rPr>
          <w:spacing w:val="-7"/>
        </w:rPr>
        <w:t>earnings </w:t>
      </w:r>
      <w:r>
        <w:rPr>
          <w:spacing w:val="-8"/>
        </w:rPr>
        <w:t>ratio</w:t>
      </w:r>
    </w:p>
    <w:p>
      <w:pPr>
        <w:pStyle w:val="BodyText"/>
        <w:spacing w:before="3"/>
        <w:rPr>
          <w:b/>
          <w:sz w:val="13"/>
        </w:rPr>
      </w:pPr>
    </w:p>
    <w:p>
      <w:pPr>
        <w:spacing w:after="0"/>
        <w:rPr>
          <w:sz w:val="13"/>
        </w:rPr>
        <w:sectPr>
          <w:pgSz w:w="12240" w:h="15840"/>
          <w:pgMar w:header="0" w:footer="237" w:top="880" w:bottom="420" w:left="1720" w:right="156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Heading7"/>
        <w:tabs>
          <w:tab w:pos="1635" w:val="left" w:leader="none"/>
          <w:tab w:pos="2643" w:val="left" w:leader="none"/>
          <w:tab w:pos="3653" w:val="left" w:leader="none"/>
          <w:tab w:pos="4661" w:val="left" w:leader="none"/>
          <w:tab w:pos="5650" w:val="left" w:leader="none"/>
          <w:tab w:pos="6660" w:val="left" w:leader="none"/>
        </w:tabs>
        <w:spacing w:before="209"/>
        <w:ind w:left="627"/>
      </w:pPr>
      <w:r>
        <w:rPr>
          <w:spacing w:val="-8"/>
        </w:rPr>
        <w:t>1983</w:t>
        <w:tab/>
        <w:t>1986</w:t>
        <w:tab/>
        <w:t>1989</w:t>
        <w:tab/>
        <w:t>1992</w:t>
        <w:tab/>
        <w:t>1995</w:t>
        <w:tab/>
        <w:t>1998</w:t>
        <w:tab/>
      </w:r>
      <w:r>
        <w:rPr>
          <w:spacing w:val="-16"/>
        </w:rPr>
        <w:t>2001</w:t>
      </w:r>
    </w:p>
    <w:p>
      <w:pPr>
        <w:spacing w:before="93"/>
        <w:ind w:left="552" w:right="0" w:firstLine="0"/>
        <w:jc w:val="left"/>
        <w:rPr>
          <w:sz w:val="28"/>
        </w:rPr>
      </w:pPr>
      <w:r>
        <w:rPr/>
        <w:br w:type="column"/>
      </w:r>
      <w:r>
        <w:rPr>
          <w:spacing w:val="-7"/>
          <w:sz w:val="28"/>
        </w:rPr>
        <w:t>150</w:t>
      </w:r>
    </w:p>
    <w:p>
      <w:pPr>
        <w:pStyle w:val="Heading7"/>
      </w:pPr>
      <w:r>
        <w:rPr/>
        <w:pict>
          <v:group style="position:absolute;margin-left:129.660004pt;margin-top:-9.160201pt;width:336.9pt;height:264.5pt;mso-position-horizontal-relative:page;mso-position-vertical-relative:paragraph;z-index:15743488" coordorigin="2593,-183" coordsize="6738,5290">
            <v:shape style="position:absolute;left:2594;top:-167;width:6737;height:5273" coordorigin="2594,-166" coordsize="6737,5273" path="m9238,-166l9238,5013m9238,5013l9331,5013m9238,4442l9331,4442m9238,3870l9331,3870m9238,3280l9331,3280m9238,2709l9331,2709m9238,2138l9331,2138m9238,1566l9331,1566m9238,976l9331,976m9238,405l9331,405m9238,-166l9331,-166m2594,5013l9257,5013m2594,5106l2594,5013m3602,5106l3602,5013m4610,5106l4610,5013m5621,5106l5621,5013m6629,5106l6629,5013m7637,5106l7637,5013m8647,5106l8647,5013e" filled="false" stroked="true" strokeweight=".12pt" strokecolor="#000000">
              <v:path arrowok="t"/>
              <v:stroke dashstyle="solid"/>
            </v:shape>
            <v:line style="position:absolute" from="2614,2709" to="2688,2670" stroked="true" strokeweight="1.903pt" strokecolor="#000080">
              <v:stroke dashstyle="solid"/>
            </v:line>
            <v:line style="position:absolute" from="2688,2670" to="2784,2690" stroked="true" strokeweight="1.903pt" strokecolor="#000080">
              <v:stroke dashstyle="solid"/>
            </v:line>
            <v:line style="position:absolute" from="2784,2690" to="2861,2690" stroked="true" strokeweight="1.903pt" strokecolor="#000080">
              <v:stroke dashstyle="solid"/>
            </v:line>
            <v:shape style="position:absolute;left:2860;top:520;width:6204;height:2856" coordorigin="2861,520" coordsize="6204,2856" path="m2861,2690l2938,2670m2938,2670l3031,2690m3031,2690l3108,2555m3108,2555l3355,2555m3355,2555l3451,2632m3451,2632l3526,2574m3526,2574l3622,2613m3622,2613l3698,2536m3698,2536l3792,2404m3792,2404l3869,2270m3869,2270l3946,2214m3946,2214l4042,2138m4042,2138l4116,2099m4116,2099l4212,2003m4212,2003l4289,1871m4289,1871l4363,1547m4363,1547l4459,1091m4459,1091l4536,710m4536,710l4630,558m4630,558l4706,520m4706,520l4783,614m4783,614l4877,861m4877,861l4954,976m4954,976l5050,1185m5050,1185l5126,1262m5126,1262l5220,1338m5220,1338l5297,1396m5297,1396l5374,1586m5374,1586l5467,1737m5467,1737l5544,1833m5544,1833l5640,2022m5640,2022l5714,2289m5714,2289l5791,2385m5791,2385l5887,2651m5887,2651l5964,2728m5964,2728l6058,2728m6058,2728l6134,2805m6134,2805l6211,2841m6211,2841l6305,2860m6305,2860l6382,2918m6382,2918l6478,2975m6478,2975l6552,3052m6552,3052l6648,3107m6648,3107l6802,3338m6802,3338l6895,3338m6895,3338l6972,3357m6972,3357l7068,3338m7068,3338l7142,3376m7142,3376l7219,3318m7219,3318l7315,3261m7315,3261l7390,3299m7390,3299l7486,3299m7486,3299l7562,3318m7562,3318l7637,3318m7637,3318l7733,3299m7733,3299l7906,3299m7906,3299l7980,3357m7980,3357l8076,3280m8076,3280l8153,3107m8153,3107l8227,2994m8227,2994l8323,2918m8323,2918l8400,2956m8400,2956l8494,2994m8494,2994l8570,3014m8570,3014l8647,3014m8647,3014l8741,2860m8741,2860l8818,2747m8818,2747l8914,2632m8914,2632l8990,2346m8990,2346l9065,2118e" filled="false" stroked="true" strokeweight="1.903pt" strokecolor="#000080">
              <v:path arrowok="t"/>
              <v:stroke dashstyle="solid"/>
            </v:shape>
            <v:line style="position:absolute" from="9065,2118" to="9161,1737" stroked="true" strokeweight="1.903pt" strokecolor="#000080">
              <v:stroke dashstyle="solid"/>
            </v:line>
            <v:line style="position:absolute" from="9161,1737" to="9238,1319" stroked="true" strokeweight="1.903pt" strokecolor="#000080">
              <v:stroke dashstyle="solid"/>
            </v:line>
            <v:line style="position:absolute" from="2614,2709" to="2688,2670" stroked="true" strokeweight="1.903pt" strokecolor="#ff00ff">
              <v:stroke dashstyle="solid"/>
            </v:line>
            <v:line style="position:absolute" from="2688,2670" to="2784,2651" stroked="true" strokeweight="1.903pt" strokecolor="#ff00ff">
              <v:stroke dashstyle="solid"/>
            </v:line>
            <v:line style="position:absolute" from="2784,2651" to="2861,2690" stroked="true" strokeweight="1.903pt" strokecolor="#ff00ff">
              <v:stroke dashstyle="solid"/>
            </v:line>
            <v:shape style="position:absolute;left:2860;top:119;width:6204;height:3161" coordorigin="2861,119" coordsize="6204,3161" path="m2861,2690l2938,2651m2938,2651l3031,2613m3031,2613l3108,2594m3108,2594l3204,2594m3204,2594l3278,2555m3278,2555l3355,2613m3355,2613l3451,2670m3451,2670l3526,2555m3526,2555l3622,2519m3622,2519l3698,2462m3698,2462l3792,2366m3792,2366l3869,2270m3869,2270l3946,2099m3946,2099l4042,2061m4042,2061l4116,1984m4116,1984l4212,1871m4212,1871l4289,1566m4289,1566l4363,1223m4363,1223l4459,710m4459,710l4536,366m4536,366l4630,138m4630,138l4706,119m4706,119l4783,347m4783,347l4877,652m4877,652l4954,729m4954,729l5050,976m5050,976l5126,1185m5126,1185l5220,1319m5220,1319l5297,1377m5297,1377l5374,1586m5374,1586l5467,1775m5467,1775l5544,1948m5544,1948l5640,2176m5640,2176l5714,2366m5714,2366l5791,2481m5791,2481l5887,2766m5887,2766l5964,2766m5964,2766l6058,2747m6058,2747l6134,2786m6134,2786l6211,2805m6211,2805l6305,2822m6305,2822l6382,2918m6382,2918l6478,2975m6478,2975l6552,3052m6552,3052l6648,3090m6648,3090l6725,3184m6725,3184l6802,3261m6802,3261l6895,3280m6895,3280l6972,3242m6972,3242l7068,3165m7068,3165l7142,3184m7142,3184l7219,3107m7219,3107l7315,3090m7315,3090l7390,3033m7390,3033l7486,3052m7486,3052l7562,3071m7562,3071l7637,3071m7637,3071l7733,3052m7733,3052l7810,3052m7810,3052l7906,3033m7906,3033l7980,3071m7980,3071l8076,2994m8076,2994l8153,2841m8153,2841l8227,2747m8227,2747l8323,2613m8323,2613l8400,2632m8400,2632l8494,2632m8494,2632l8570,2690m8570,2690l8647,2709m8647,2709l8741,2481m8741,2481l8818,2346m8818,2346l8914,2214m8914,2214l8990,1929m8990,1929l9065,1698e" filled="false" stroked="true" strokeweight="1.903pt" strokecolor="#ff00ff">
              <v:path arrowok="t"/>
              <v:stroke dashstyle="solid"/>
            </v:shape>
            <v:line style="position:absolute" from="9065,1698" to="9161,1319" stroked="true" strokeweight="1.903pt" strokecolor="#ff00ff">
              <v:stroke dashstyle="solid"/>
            </v:line>
            <v:line style="position:absolute" from="9161,1319" to="9238,844" stroked="true" strokeweight="1.903pt" strokecolor="#ff00ff">
              <v:stroke dashstyle="solid"/>
            </v:line>
            <v:shape style="position:absolute;left:6192;top:-184;width:2294;height:317" type="#_x0000_t202" filled="false" stroked="false">
              <v:textbox inset="0,0,0,0">
                <w:txbxContent>
                  <w:p>
                    <w:pPr>
                      <w:spacing w:line="315" w:lineRule="exact" w:before="0"/>
                      <w:ind w:left="0" w:right="0" w:firstLine="0"/>
                      <w:jc w:val="left"/>
                      <w:rPr>
                        <w:sz w:val="28"/>
                      </w:rPr>
                    </w:pPr>
                    <w:r>
                      <w:rPr>
                        <w:spacing w:val="-5"/>
                        <w:sz w:val="28"/>
                      </w:rPr>
                      <w:t>Index: </w:t>
                    </w:r>
                    <w:r>
                      <w:rPr>
                        <w:spacing w:val="-7"/>
                        <w:sz w:val="28"/>
                      </w:rPr>
                      <w:t>1983Q1= 100</w:t>
                    </w:r>
                  </w:p>
                </w:txbxContent>
              </v:textbox>
              <w10:wrap type="none"/>
            </v:shape>
            <v:shape style="position:absolute;left:5126;top:560;width:2662;height:317" type="#_x0000_t202" filled="false" stroked="false">
              <v:textbox inset="0,0,0,0">
                <w:txbxContent>
                  <w:p>
                    <w:pPr>
                      <w:spacing w:line="315" w:lineRule="exact" w:before="0"/>
                      <w:ind w:left="0" w:right="0" w:firstLine="0"/>
                      <w:jc w:val="left"/>
                      <w:rPr>
                        <w:sz w:val="28"/>
                      </w:rPr>
                    </w:pPr>
                    <w:r>
                      <w:rPr>
                        <w:sz w:val="28"/>
                      </w:rPr>
                      <w:t>House price to earnings</w:t>
                    </w:r>
                  </w:p>
                </w:txbxContent>
              </v:textbox>
              <w10:wrap type="none"/>
            </v:shape>
            <v:shape style="position:absolute;left:4192;top:3738;width:4494;height:698" type="#_x0000_t202" filled="false" stroked="false">
              <v:textbox inset="0,0,0,0">
                <w:txbxContent>
                  <w:p>
                    <w:pPr>
                      <w:spacing w:line="315" w:lineRule="exact" w:before="0"/>
                      <w:ind w:left="0" w:right="0" w:firstLine="0"/>
                      <w:jc w:val="left"/>
                      <w:rPr>
                        <w:sz w:val="28"/>
                      </w:rPr>
                    </w:pPr>
                    <w:r>
                      <w:rPr>
                        <w:spacing w:val="-3"/>
                        <w:sz w:val="28"/>
                      </w:rPr>
                      <w:t>House </w:t>
                    </w:r>
                    <w:r>
                      <w:rPr>
                        <w:spacing w:val="-6"/>
                        <w:sz w:val="28"/>
                      </w:rPr>
                      <w:t>price </w:t>
                    </w:r>
                    <w:r>
                      <w:rPr>
                        <w:sz w:val="28"/>
                      </w:rPr>
                      <w:t>to </w:t>
                    </w:r>
                    <w:r>
                      <w:rPr>
                        <w:spacing w:val="-9"/>
                        <w:sz w:val="28"/>
                      </w:rPr>
                      <w:t>nominal </w:t>
                    </w:r>
                    <w:r>
                      <w:rPr>
                        <w:spacing w:val="-8"/>
                        <w:sz w:val="28"/>
                      </w:rPr>
                      <w:t>consumption </w:t>
                    </w:r>
                    <w:r>
                      <w:rPr>
                        <w:sz w:val="28"/>
                      </w:rPr>
                      <w:t>per</w:t>
                    </w:r>
                  </w:p>
                  <w:p>
                    <w:pPr>
                      <w:spacing w:before="59"/>
                      <w:ind w:left="0" w:right="0" w:firstLine="0"/>
                      <w:jc w:val="left"/>
                      <w:rPr>
                        <w:sz w:val="28"/>
                      </w:rPr>
                    </w:pPr>
                    <w:r>
                      <w:rPr>
                        <w:sz w:val="28"/>
                      </w:rPr>
                      <w:t>household</w:t>
                    </w:r>
                  </w:p>
                </w:txbxContent>
              </v:textbox>
              <w10:wrap type="none"/>
            </v:shape>
            <w10:wrap type="none"/>
          </v:group>
        </w:pict>
      </w:r>
      <w:r>
        <w:rPr>
          <w:spacing w:val="-7"/>
        </w:rPr>
        <w:t>140</w:t>
      </w:r>
    </w:p>
    <w:p>
      <w:pPr>
        <w:spacing w:before="250"/>
        <w:ind w:left="552" w:right="0" w:firstLine="0"/>
        <w:jc w:val="left"/>
        <w:rPr>
          <w:sz w:val="28"/>
        </w:rPr>
      </w:pPr>
      <w:r>
        <w:rPr>
          <w:spacing w:val="-7"/>
          <w:sz w:val="28"/>
        </w:rPr>
        <w:t>130</w:t>
      </w:r>
    </w:p>
    <w:p>
      <w:pPr>
        <w:spacing w:before="266"/>
        <w:ind w:left="552" w:right="0" w:firstLine="0"/>
        <w:jc w:val="left"/>
        <w:rPr>
          <w:sz w:val="28"/>
        </w:rPr>
      </w:pPr>
      <w:r>
        <w:rPr>
          <w:spacing w:val="-7"/>
          <w:sz w:val="28"/>
        </w:rPr>
        <w:t>120</w:t>
      </w:r>
    </w:p>
    <w:p>
      <w:pPr>
        <w:spacing w:before="249"/>
        <w:ind w:left="552" w:right="0" w:firstLine="0"/>
        <w:jc w:val="left"/>
        <w:rPr>
          <w:sz w:val="28"/>
        </w:rPr>
      </w:pPr>
      <w:r>
        <w:rPr>
          <w:spacing w:val="-7"/>
          <w:sz w:val="28"/>
        </w:rPr>
        <w:t>110</w:t>
      </w:r>
    </w:p>
    <w:p>
      <w:pPr>
        <w:spacing w:before="249"/>
        <w:ind w:left="552" w:right="0" w:firstLine="0"/>
        <w:jc w:val="left"/>
        <w:rPr>
          <w:sz w:val="28"/>
        </w:rPr>
      </w:pPr>
      <w:r>
        <w:rPr>
          <w:spacing w:val="-7"/>
          <w:sz w:val="28"/>
        </w:rPr>
        <w:t>100</w:t>
      </w:r>
    </w:p>
    <w:p>
      <w:pPr>
        <w:spacing w:before="249"/>
        <w:ind w:left="552" w:right="0" w:firstLine="0"/>
        <w:jc w:val="left"/>
        <w:rPr>
          <w:sz w:val="28"/>
        </w:rPr>
      </w:pPr>
      <w:r>
        <w:rPr>
          <w:spacing w:val="-11"/>
          <w:sz w:val="28"/>
        </w:rPr>
        <w:t>90</w:t>
      </w:r>
    </w:p>
    <w:p>
      <w:pPr>
        <w:spacing w:before="269"/>
        <w:ind w:left="552" w:right="0" w:firstLine="0"/>
        <w:jc w:val="left"/>
        <w:rPr>
          <w:sz w:val="28"/>
        </w:rPr>
      </w:pPr>
      <w:r>
        <w:rPr>
          <w:spacing w:val="-11"/>
          <w:sz w:val="28"/>
        </w:rPr>
        <w:t>80</w:t>
      </w:r>
    </w:p>
    <w:p>
      <w:pPr>
        <w:spacing w:before="249"/>
        <w:ind w:left="552" w:right="0" w:firstLine="0"/>
        <w:jc w:val="left"/>
        <w:rPr>
          <w:sz w:val="28"/>
        </w:rPr>
      </w:pPr>
      <w:r>
        <w:rPr>
          <w:spacing w:val="-11"/>
          <w:sz w:val="28"/>
        </w:rPr>
        <w:t>70</w:t>
      </w:r>
    </w:p>
    <w:p>
      <w:pPr>
        <w:spacing w:before="249"/>
        <w:ind w:left="552" w:right="0" w:firstLine="0"/>
        <w:jc w:val="left"/>
        <w:rPr>
          <w:sz w:val="28"/>
        </w:rPr>
      </w:pPr>
      <w:r>
        <w:rPr>
          <w:spacing w:val="-11"/>
          <w:sz w:val="28"/>
        </w:rPr>
        <w:t>60</w:t>
      </w:r>
    </w:p>
    <w:p>
      <w:pPr>
        <w:spacing w:after="0"/>
        <w:jc w:val="left"/>
        <w:rPr>
          <w:sz w:val="28"/>
        </w:rPr>
        <w:sectPr>
          <w:type w:val="continuous"/>
          <w:pgSz w:w="12240" w:h="15840"/>
          <w:pgMar w:top="1180" w:bottom="280" w:left="1720" w:right="1560"/>
          <w:cols w:num="2" w:equalWidth="0">
            <w:col w:w="7192" w:space="40"/>
            <w:col w:w="1728"/>
          </w:cols>
        </w:sectPr>
      </w:pPr>
    </w:p>
    <w:p>
      <w:pPr>
        <w:pStyle w:val="BodyText"/>
        <w:rPr>
          <w:sz w:val="20"/>
        </w:rPr>
      </w:pPr>
    </w:p>
    <w:p>
      <w:pPr>
        <w:pStyle w:val="BodyText"/>
        <w:rPr>
          <w:sz w:val="20"/>
        </w:rPr>
      </w:pPr>
    </w:p>
    <w:p>
      <w:pPr>
        <w:pStyle w:val="BodyText"/>
        <w:rPr>
          <w:sz w:val="20"/>
        </w:rPr>
      </w:pPr>
    </w:p>
    <w:p>
      <w:pPr>
        <w:pStyle w:val="BodyText"/>
        <w:spacing w:before="213"/>
        <w:ind w:left="245"/>
      </w:pPr>
      <w:r>
        <w:rPr/>
        <w:t>Sources: Halifax, Office of the Deputy Prime Minister, ONS and Bank of England</w:t>
      </w:r>
    </w:p>
    <w:p>
      <w:pPr>
        <w:spacing w:after="0"/>
        <w:sectPr>
          <w:type w:val="continuous"/>
          <w:pgSz w:w="12240" w:h="15840"/>
          <w:pgMar w:top="1180" w:bottom="280" w:left="1720" w:right="1560"/>
        </w:sectPr>
      </w:pPr>
    </w:p>
    <w:p>
      <w:pPr>
        <w:pStyle w:val="Heading2"/>
        <w:ind w:left="295"/>
      </w:pPr>
      <w:r>
        <w:rPr/>
        <w:t>Chart 5</w:t>
      </w:r>
    </w:p>
    <w:p>
      <w:pPr>
        <w:pStyle w:val="BodyText"/>
        <w:rPr>
          <w:b/>
          <w:sz w:val="20"/>
        </w:rPr>
      </w:pPr>
    </w:p>
    <w:p>
      <w:pPr>
        <w:pStyle w:val="BodyText"/>
        <w:rPr>
          <w:b/>
          <w:sz w:val="20"/>
        </w:rPr>
      </w:pPr>
    </w:p>
    <w:p>
      <w:pPr>
        <w:pStyle w:val="BodyText"/>
        <w:spacing w:before="10"/>
        <w:rPr>
          <w:b/>
          <w:sz w:val="26"/>
        </w:rPr>
      </w:pPr>
    </w:p>
    <w:p>
      <w:pPr>
        <w:spacing w:after="0"/>
        <w:rPr>
          <w:sz w:val="26"/>
        </w:rPr>
        <w:sectPr>
          <w:pgSz w:w="12240" w:h="15840"/>
          <w:pgMar w:header="0" w:footer="237" w:top="880" w:bottom="420" w:left="1720" w:right="1560"/>
        </w:sectPr>
      </w:pPr>
    </w:p>
    <w:p>
      <w:pPr>
        <w:spacing w:before="90"/>
        <w:ind w:left="439" w:right="0" w:firstLine="0"/>
        <w:jc w:val="left"/>
        <w:rPr>
          <w:b/>
          <w:sz w:val="38"/>
        </w:rPr>
      </w:pPr>
      <w:r>
        <w:rPr/>
        <w:pict>
          <v:group style="position:absolute;margin-left:124.792999pt;margin-top:42.093323pt;width:320.05pt;height:272.9pt;mso-position-horizontal-relative:page;mso-position-vertical-relative:paragraph;z-index:15744512" coordorigin="2496,842" coordsize="6401,5458">
            <v:shape style="position:absolute;left:2520;top:888;width:6377;height:5410" coordorigin="2520,889" coordsize="6377,5410" path="m8774,889l8774,6298m8774,6298l8897,6298m8774,5526l8897,5526m8774,4753l8897,4753m8774,3980l8897,3980m8774,3207l8897,3207m8774,2434l8897,2434m8774,1662l8897,1662m8774,889l8897,889m2520,6298l8774,6298m2520,6298l2520,6178m3898,6298l3898,6178m5273,6298l5273,6178m6650,6298l6650,6178m8026,6298l8026,6178e" filled="false" stroked="true" strokeweight=".12pt" strokecolor="#000000">
              <v:path arrowok="t"/>
              <v:stroke dashstyle="solid"/>
            </v:shape>
            <v:line style="position:absolute" from="2520,4270" to="2594,4054" stroked="true" strokeweight="2.414pt" strokecolor="#ff00ff">
              <v:stroke dashstyle="solid"/>
            </v:line>
            <v:line style="position:absolute" from="2594,4054" to="2666,3740" stroked="true" strokeweight="2.414pt" strokecolor="#ff00ff">
              <v:stroke dashstyle="solid"/>
            </v:line>
            <v:line style="position:absolute" from="2666,3740" to="2738,3644" stroked="true" strokeweight="2.414pt" strokecolor="#ff00ff">
              <v:stroke dashstyle="solid"/>
            </v:line>
            <v:line style="position:absolute" from="2738,3644" to="2786,3474" stroked="true" strokeweight="2.414pt" strokecolor="#ff00ff">
              <v:stroke dashstyle="solid"/>
            </v:line>
            <v:shape style="position:absolute;left:2786;top:3473;width:1522;height:1160" coordorigin="2786,3474" coordsize="1522,1160" path="m2786,3474l2858,3644m2858,3644l2930,3980m2930,3980l3005,4078m3005,4078l3077,3860m3077,3860l3149,3980m3149,3980l3197,3788m3197,3788l3269,3788m3269,3788l3343,3860m3343,3860l3415,3860m3415,3860l3487,3668m3487,3668l3559,3692m3559,3692l3631,3740m3631,3740l3679,3788m3679,3788l3754,4102m3754,4102l3826,4004m3826,4004l3898,4030m3898,4030l3970,3788m3970,3788l4042,3740m4042,3740l4090,3474m4090,3474l4164,3980m4164,3980l4236,4270m4236,4270l4308,4633e" filled="false" stroked="true" strokeweight="2.414pt" strokecolor="#ff00ff">
              <v:path arrowok="t"/>
              <v:stroke dashstyle="solid"/>
            </v:shape>
            <v:shape style="position:absolute;left:4283;top:4150;width:603;height:531" type="#_x0000_t75" stroked="false">
              <v:imagedata r:id="rId46" o:title=""/>
            </v:shape>
            <v:shape style="position:absolute;left:4862;top:2266;width:3648;height:2028" coordorigin="4862,2266" coordsize="3648,2028" path="m4862,4294l4937,3716m4937,3716l4985,3980m4985,3980l5057,3956m5057,3956l5129,3980m5129,3980l5201,3788m5201,3788l5273,3980m5273,3980l5347,3860m5347,3860l5419,3522m5419,3522l5467,3668m5467,3668l5539,3498m5539,3498l5611,3522m5611,3522l5686,3692m5686,3692l5758,3498m5758,3498l5830,3306m5830,3306l5878,3087m5878,3087l5950,3183m5950,3183l6022,3594m6022,3594l6096,3354m6096,3354l6168,3402m6168,3402l6240,3111m6240,3111l6312,3183m6312,3183l6360,3498m6360,3498l6432,3450m6432,3450l6506,3716m6506,3716l6578,3668m6578,3668l6650,3860m6650,3860l6722,3908m6722,3908l6770,4174m6770,4174l6842,3956m6842,3956l6917,3884m6917,3884l6989,3932m6989,3932l7061,3692m7061,3692l7133,3668m7133,3668l7205,3378m7205,3378l7255,3258m7255,3258l7327,3306m7327,3306l7399,3231m7399,3231l7543,2943m7543,2943l7615,2821m7615,2821l7666,2895m7666,2895l7738,2967m7738,2967l7810,2871m7810,2871l7882,2797m7882,2797l7954,2653m7954,2653l8026,2797m8026,2797l8100,2605m8100,2605l8148,2533m8148,2533l8220,2629m8220,2629l8292,2557m8292,2557l8364,2605m8364,2605l8438,3015m8438,3015l8510,2266e" filled="false" stroked="true" strokeweight="2.414pt" strokecolor="#ff00ff">
              <v:path arrowok="t"/>
              <v:stroke dashstyle="solid"/>
            </v:shape>
            <v:line style="position:absolute" from="8510,2266" to="8558,1952" stroked="true" strokeweight="2.414pt" strokecolor="#ff00ff">
              <v:stroke dashstyle="solid"/>
            </v:line>
            <v:line style="position:absolute" from="8558,1952" to="8630,1976" stroked="true" strokeweight="2.414pt" strokecolor="#ff00ff">
              <v:stroke dashstyle="solid"/>
            </v:line>
            <v:line style="position:absolute" from="8630,1976" to="8702,2194" stroked="true" strokeweight="2.414pt" strokecolor="#ff00ff">
              <v:stroke dashstyle="solid"/>
            </v:line>
            <v:line style="position:absolute" from="8702,2194" to="8774,1856" stroked="true" strokeweight="2.414pt" strokecolor="#ff00ff">
              <v:stroke dashstyle="solid"/>
            </v:line>
            <v:shape style="position:absolute;left:6964;top:841;width:1361;height:348" type="#_x0000_t202" filled="false" stroked="false">
              <v:textbox inset="0,0,0,0">
                <w:txbxContent>
                  <w:p>
                    <w:pPr>
                      <w:spacing w:line="347" w:lineRule="exact" w:before="0"/>
                      <w:ind w:left="0" w:right="0" w:firstLine="0"/>
                      <w:jc w:val="left"/>
                      <w:rPr>
                        <w:sz w:val="31"/>
                      </w:rPr>
                    </w:pPr>
                    <w:r>
                      <w:rPr>
                        <w:spacing w:val="-10"/>
                        <w:sz w:val="31"/>
                      </w:rPr>
                      <w:t>1995 </w:t>
                    </w:r>
                    <w:r>
                      <w:rPr>
                        <w:sz w:val="31"/>
                      </w:rPr>
                      <w:t>= </w:t>
                    </w:r>
                    <w:r>
                      <w:rPr>
                        <w:spacing w:val="-8"/>
                        <w:sz w:val="31"/>
                      </w:rPr>
                      <w:t>100</w:t>
                    </w:r>
                  </w:p>
                </w:txbxContent>
              </v:textbox>
              <w10:wrap type="none"/>
            </v:shape>
            <w10:wrap type="none"/>
          </v:group>
        </w:pict>
      </w:r>
      <w:r>
        <w:rPr>
          <w:b/>
          <w:spacing w:val="-12"/>
          <w:sz w:val="38"/>
        </w:rPr>
        <w:t>Terms </w:t>
      </w:r>
      <w:r>
        <w:rPr>
          <w:b/>
          <w:sz w:val="38"/>
        </w:rPr>
        <w:t>of</w:t>
      </w:r>
      <w:r>
        <w:rPr>
          <w:b/>
          <w:spacing w:val="-59"/>
          <w:sz w:val="38"/>
        </w:rPr>
        <w:t> </w:t>
      </w:r>
      <w:r>
        <w:rPr>
          <w:b/>
          <w:spacing w:val="-12"/>
          <w:sz w:val="38"/>
        </w:rPr>
        <w:t>trade</w:t>
      </w: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Heading1"/>
        <w:tabs>
          <w:tab w:pos="1791" w:val="left" w:leader="none"/>
          <w:tab w:pos="3166" w:val="left" w:leader="none"/>
          <w:tab w:pos="4543" w:val="left" w:leader="none"/>
          <w:tab w:pos="5919" w:val="left" w:leader="none"/>
        </w:tabs>
        <w:spacing w:before="329"/>
      </w:pPr>
      <w:r>
        <w:rPr/>
        <w:t>1980</w:t>
        <w:tab/>
        <w:t>1985</w:t>
        <w:tab/>
        <w:t>1990</w:t>
        <w:tab/>
        <w:t>1995</w:t>
        <w:tab/>
        <w:t>2000</w:t>
      </w:r>
    </w:p>
    <w:p>
      <w:pPr>
        <w:pStyle w:val="BodyText"/>
        <w:spacing w:before="8"/>
        <w:rPr>
          <w:sz w:val="57"/>
        </w:rPr>
      </w:pPr>
      <w:r>
        <w:rPr/>
        <w:br w:type="column"/>
      </w:r>
      <w:r>
        <w:rPr>
          <w:sz w:val="57"/>
        </w:rPr>
      </w:r>
    </w:p>
    <w:p>
      <w:pPr>
        <w:spacing w:before="0"/>
        <w:ind w:left="413" w:right="0" w:firstLine="0"/>
        <w:jc w:val="left"/>
        <w:rPr>
          <w:sz w:val="38"/>
        </w:rPr>
      </w:pPr>
      <w:r>
        <w:rPr>
          <w:sz w:val="38"/>
        </w:rPr>
        <w:t>120</w:t>
      </w:r>
    </w:p>
    <w:p>
      <w:pPr>
        <w:spacing w:before="336"/>
        <w:ind w:left="413" w:right="0" w:firstLine="0"/>
        <w:jc w:val="left"/>
        <w:rPr>
          <w:sz w:val="38"/>
        </w:rPr>
      </w:pPr>
      <w:r>
        <w:rPr>
          <w:sz w:val="38"/>
        </w:rPr>
        <w:t>115</w:t>
      </w:r>
    </w:p>
    <w:p>
      <w:pPr>
        <w:spacing w:before="335"/>
        <w:ind w:left="413" w:right="0" w:firstLine="0"/>
        <w:jc w:val="left"/>
        <w:rPr>
          <w:sz w:val="38"/>
        </w:rPr>
      </w:pPr>
      <w:r>
        <w:rPr>
          <w:sz w:val="38"/>
        </w:rPr>
        <w:t>110</w:t>
      </w:r>
    </w:p>
    <w:p>
      <w:pPr>
        <w:spacing w:before="336"/>
        <w:ind w:left="413" w:right="0" w:firstLine="0"/>
        <w:jc w:val="left"/>
        <w:rPr>
          <w:sz w:val="38"/>
        </w:rPr>
      </w:pPr>
      <w:r>
        <w:rPr>
          <w:sz w:val="38"/>
        </w:rPr>
        <w:t>105</w:t>
      </w:r>
    </w:p>
    <w:p>
      <w:pPr>
        <w:spacing w:before="336"/>
        <w:ind w:left="413" w:right="0" w:firstLine="0"/>
        <w:jc w:val="left"/>
        <w:rPr>
          <w:sz w:val="38"/>
        </w:rPr>
      </w:pPr>
      <w:r>
        <w:rPr>
          <w:sz w:val="38"/>
        </w:rPr>
        <w:t>100</w:t>
      </w:r>
    </w:p>
    <w:p>
      <w:pPr>
        <w:spacing w:before="336"/>
        <w:ind w:left="413" w:right="0" w:firstLine="0"/>
        <w:jc w:val="left"/>
        <w:rPr>
          <w:sz w:val="38"/>
        </w:rPr>
      </w:pPr>
      <w:r>
        <w:rPr>
          <w:sz w:val="38"/>
        </w:rPr>
        <w:t>95</w:t>
      </w:r>
    </w:p>
    <w:p>
      <w:pPr>
        <w:spacing w:before="336"/>
        <w:ind w:left="413" w:right="0" w:firstLine="0"/>
        <w:jc w:val="left"/>
        <w:rPr>
          <w:sz w:val="38"/>
        </w:rPr>
      </w:pPr>
      <w:r>
        <w:rPr>
          <w:sz w:val="38"/>
        </w:rPr>
        <w:t>90</w:t>
      </w:r>
    </w:p>
    <w:p>
      <w:pPr>
        <w:spacing w:before="336"/>
        <w:ind w:left="413" w:right="0" w:firstLine="0"/>
        <w:jc w:val="left"/>
        <w:rPr>
          <w:sz w:val="38"/>
        </w:rPr>
      </w:pPr>
      <w:r>
        <w:rPr>
          <w:sz w:val="38"/>
        </w:rPr>
        <w:t>85</w:t>
      </w:r>
    </w:p>
    <w:p>
      <w:pPr>
        <w:spacing w:after="0"/>
        <w:jc w:val="left"/>
        <w:rPr>
          <w:sz w:val="38"/>
        </w:rPr>
        <w:sectPr>
          <w:type w:val="continuous"/>
          <w:pgSz w:w="12240" w:h="15840"/>
          <w:pgMar w:top="1180" w:bottom="280" w:left="1720" w:right="1560"/>
          <w:cols w:num="2" w:equalWidth="0">
            <w:col w:w="6735" w:space="196"/>
            <w:col w:w="2029"/>
          </w:cols>
        </w:sectPr>
      </w:pPr>
    </w:p>
    <w:p>
      <w:pPr>
        <w:pStyle w:val="BodyText"/>
        <w:rPr>
          <w:sz w:val="20"/>
        </w:rPr>
      </w:pPr>
    </w:p>
    <w:p>
      <w:pPr>
        <w:pStyle w:val="BodyText"/>
        <w:rPr>
          <w:sz w:val="23"/>
        </w:rPr>
      </w:pPr>
    </w:p>
    <w:p>
      <w:pPr>
        <w:pStyle w:val="BodyText"/>
        <w:spacing w:before="1"/>
        <w:ind w:left="245"/>
      </w:pPr>
      <w:r>
        <w:rPr/>
        <w:t>Source: ONS</w:t>
      </w:r>
    </w:p>
    <w:p>
      <w:pPr>
        <w:spacing w:after="0"/>
        <w:sectPr>
          <w:type w:val="continuous"/>
          <w:pgSz w:w="12240" w:h="15840"/>
          <w:pgMar w:top="1180" w:bottom="280" w:left="1720" w:right="1560"/>
        </w:sectPr>
      </w:pPr>
    </w:p>
    <w:p>
      <w:pPr>
        <w:pStyle w:val="Heading2"/>
      </w:pPr>
      <w:r>
        <w:rPr/>
        <w:t>Chart 6</w:t>
      </w:r>
    </w:p>
    <w:p>
      <w:pPr>
        <w:pStyle w:val="BodyText"/>
        <w:rPr>
          <w:b/>
          <w:sz w:val="20"/>
        </w:rPr>
      </w:pPr>
    </w:p>
    <w:p>
      <w:pPr>
        <w:pStyle w:val="BodyText"/>
        <w:rPr>
          <w:b/>
          <w:sz w:val="20"/>
        </w:rPr>
      </w:pPr>
    </w:p>
    <w:p>
      <w:pPr>
        <w:pStyle w:val="BodyText"/>
        <w:rPr>
          <w:b/>
          <w:sz w:val="20"/>
        </w:rPr>
      </w:pPr>
    </w:p>
    <w:p>
      <w:pPr>
        <w:pStyle w:val="BodyText"/>
        <w:spacing w:before="5"/>
        <w:rPr>
          <w:b/>
          <w:sz w:val="26"/>
        </w:rPr>
      </w:pPr>
    </w:p>
    <w:p>
      <w:pPr>
        <w:pStyle w:val="Heading3"/>
        <w:ind w:left="1212"/>
        <w:rPr>
          <w:b w:val="0"/>
          <w:sz w:val="32"/>
        </w:rPr>
      </w:pPr>
      <w:r>
        <w:rPr/>
        <w:t>Ratio of dwellings to households</w:t>
      </w:r>
      <w:r>
        <w:rPr>
          <w:spacing w:val="62"/>
        </w:rPr>
        <w:t> </w:t>
      </w:r>
      <w:r>
        <w:rPr>
          <w:b w:val="0"/>
          <w:position w:val="11"/>
          <w:sz w:val="32"/>
        </w:rPr>
        <w:t>(a)</w:t>
      </w:r>
    </w:p>
    <w:p>
      <w:pPr>
        <w:pStyle w:val="BodyText"/>
        <w:spacing w:before="7"/>
        <w:rPr>
          <w:sz w:val="19"/>
        </w:rPr>
      </w:pPr>
      <w:r>
        <w:rPr/>
        <w:drawing>
          <wp:anchor distT="0" distB="0" distL="0" distR="0" allowOverlap="1" layoutInCell="1" locked="0" behindDoc="0" simplePos="0" relativeHeight="32">
            <wp:simplePos x="0" y="0"/>
            <wp:positionH relativeFrom="page">
              <wp:posOffset>1790700</wp:posOffset>
            </wp:positionH>
            <wp:positionV relativeFrom="paragraph">
              <wp:posOffset>168440</wp:posOffset>
            </wp:positionV>
            <wp:extent cx="4496162" cy="4087558"/>
            <wp:effectExtent l="0" t="0" r="0" b="0"/>
            <wp:wrapTopAndBottom/>
            <wp:docPr id="3" name="image41.png"/>
            <wp:cNvGraphicFramePr>
              <a:graphicFrameLocks noChangeAspect="1"/>
            </wp:cNvGraphicFramePr>
            <a:graphic>
              <a:graphicData uri="http://schemas.openxmlformats.org/drawingml/2006/picture">
                <pic:pic>
                  <pic:nvPicPr>
                    <pic:cNvPr id="4" name="image41.png"/>
                    <pic:cNvPicPr/>
                  </pic:nvPicPr>
                  <pic:blipFill>
                    <a:blip r:embed="rId47" cstate="print"/>
                    <a:stretch>
                      <a:fillRect/>
                    </a:stretch>
                  </pic:blipFill>
                  <pic:spPr>
                    <a:xfrm>
                      <a:off x="0" y="0"/>
                      <a:ext cx="4496162" cy="4087558"/>
                    </a:xfrm>
                    <a:prstGeom prst="rect">
                      <a:avLst/>
                    </a:prstGeom>
                  </pic:spPr>
                </pic:pic>
              </a:graphicData>
            </a:graphic>
          </wp:anchor>
        </w:drawing>
      </w:r>
    </w:p>
    <w:p>
      <w:pPr>
        <w:pStyle w:val="BodyText"/>
        <w:rPr>
          <w:sz w:val="61"/>
        </w:rPr>
      </w:pPr>
    </w:p>
    <w:p>
      <w:pPr>
        <w:pStyle w:val="BodyText"/>
        <w:ind w:left="245"/>
      </w:pPr>
      <w:r>
        <w:rPr/>
        <w:t>Source: Office of the Deputy Prime Minister.</w:t>
      </w:r>
    </w:p>
    <w:p>
      <w:pPr>
        <w:pStyle w:val="BodyText"/>
      </w:pPr>
    </w:p>
    <w:p>
      <w:pPr>
        <w:pStyle w:val="BodyText"/>
        <w:ind w:left="245" w:right="464"/>
      </w:pPr>
      <w:r>
        <w:rPr/>
        <w:t>(a)Figures for the stock of dwellings are for 31 December each year prior to 1991 and 31 March from 1991 onwards. This may account for most of the fall in the ratio in 1991.</w:t>
      </w:r>
    </w:p>
    <w:p>
      <w:pPr>
        <w:spacing w:after="0"/>
        <w:sectPr>
          <w:pgSz w:w="12240" w:h="15840"/>
          <w:pgMar w:header="0" w:footer="237" w:top="880" w:bottom="420" w:left="1720" w:right="1560"/>
        </w:sectPr>
      </w:pPr>
    </w:p>
    <w:p>
      <w:pPr>
        <w:pStyle w:val="Heading2"/>
      </w:pPr>
      <w:r>
        <w:rPr/>
        <w:t>Chart 7</w:t>
      </w:r>
    </w:p>
    <w:p>
      <w:pPr>
        <w:pStyle w:val="BodyText"/>
        <w:spacing w:before="6"/>
        <w:rPr>
          <w:b/>
          <w:sz w:val="50"/>
        </w:rPr>
      </w:pPr>
    </w:p>
    <w:p>
      <w:pPr>
        <w:spacing w:line="249" w:lineRule="auto" w:before="0"/>
        <w:ind w:left="308" w:right="0" w:firstLine="0"/>
        <w:jc w:val="left"/>
        <w:rPr>
          <w:b/>
          <w:sz w:val="40"/>
        </w:rPr>
      </w:pPr>
      <w:r>
        <w:rPr>
          <w:b/>
          <w:spacing w:val="-7"/>
          <w:sz w:val="40"/>
        </w:rPr>
        <w:t>Average financial </w:t>
      </w:r>
      <w:r>
        <w:rPr>
          <w:b/>
          <w:spacing w:val="-6"/>
          <w:sz w:val="40"/>
        </w:rPr>
        <w:t>assets, </w:t>
      </w:r>
      <w:r>
        <w:rPr>
          <w:b/>
          <w:spacing w:val="-8"/>
          <w:sz w:val="40"/>
        </w:rPr>
        <w:t>housing </w:t>
      </w:r>
      <w:r>
        <w:rPr>
          <w:b/>
          <w:spacing w:val="-7"/>
          <w:sz w:val="40"/>
        </w:rPr>
        <w:t>wealth and debt </w:t>
      </w:r>
      <w:r>
        <w:rPr>
          <w:b/>
          <w:spacing w:val="-9"/>
          <w:sz w:val="40"/>
        </w:rPr>
        <w:t>at </w:t>
      </w:r>
      <w:r>
        <w:rPr>
          <w:b/>
          <w:spacing w:val="-7"/>
          <w:sz w:val="40"/>
        </w:rPr>
        <w:t>different </w:t>
      </w:r>
      <w:r>
        <w:rPr>
          <w:b/>
          <w:spacing w:val="-6"/>
          <w:sz w:val="40"/>
        </w:rPr>
        <w:t>levels </w:t>
      </w:r>
      <w:r>
        <w:rPr>
          <w:b/>
          <w:spacing w:val="-4"/>
          <w:sz w:val="40"/>
        </w:rPr>
        <w:t>of </w:t>
      </w:r>
      <w:r>
        <w:rPr>
          <w:b/>
          <w:spacing w:val="-7"/>
          <w:sz w:val="40"/>
        </w:rPr>
        <w:t>household </w:t>
      </w:r>
      <w:r>
        <w:rPr>
          <w:b/>
          <w:spacing w:val="-8"/>
          <w:sz w:val="40"/>
        </w:rPr>
        <w:t>indebtedness (2000)</w:t>
      </w:r>
    </w:p>
    <w:p>
      <w:pPr>
        <w:spacing w:after="0" w:line="249" w:lineRule="auto"/>
        <w:jc w:val="left"/>
        <w:rPr>
          <w:sz w:val="40"/>
        </w:rPr>
        <w:sectPr>
          <w:pgSz w:w="12240" w:h="15840"/>
          <w:pgMar w:header="0" w:footer="237" w:top="880" w:bottom="420" w:left="1720" w:right="1560"/>
        </w:sectPr>
      </w:pPr>
    </w:p>
    <w:p>
      <w:pPr>
        <w:pStyle w:val="BodyText"/>
        <w:spacing w:before="5"/>
        <w:rPr>
          <w:b/>
          <w:sz w:val="31"/>
        </w:rPr>
      </w:pPr>
    </w:p>
    <w:p>
      <w:pPr>
        <w:pStyle w:val="Heading8"/>
        <w:spacing w:line="379" w:lineRule="auto" w:before="0"/>
        <w:ind w:left="814" w:right="38" w:firstLine="7"/>
        <w:jc w:val="both"/>
      </w:pPr>
      <w:r>
        <w:rPr>
          <w:spacing w:val="-5"/>
          <w:w w:val="105"/>
        </w:rPr>
        <w:t>Financial</w:t>
      </w:r>
      <w:r>
        <w:rPr>
          <w:spacing w:val="-27"/>
          <w:w w:val="105"/>
        </w:rPr>
        <w:t> </w:t>
      </w:r>
      <w:r>
        <w:rPr>
          <w:spacing w:val="-6"/>
          <w:w w:val="105"/>
        </w:rPr>
        <w:t>assets </w:t>
      </w:r>
      <w:r>
        <w:rPr>
          <w:spacing w:val="-5"/>
          <w:w w:val="105"/>
        </w:rPr>
        <w:t>Housing</w:t>
      </w:r>
      <w:r>
        <w:rPr>
          <w:spacing w:val="-35"/>
          <w:w w:val="105"/>
        </w:rPr>
        <w:t> </w:t>
      </w:r>
      <w:r>
        <w:rPr>
          <w:spacing w:val="-5"/>
          <w:w w:val="105"/>
        </w:rPr>
        <w:t>wealth </w:t>
      </w:r>
      <w:r>
        <w:rPr>
          <w:spacing w:val="-4"/>
          <w:w w:val="105"/>
        </w:rPr>
        <w:t>Total</w:t>
      </w:r>
      <w:r>
        <w:rPr>
          <w:spacing w:val="-10"/>
          <w:w w:val="105"/>
        </w:rPr>
        <w:t> </w:t>
      </w:r>
      <w:r>
        <w:rPr>
          <w:spacing w:val="-5"/>
          <w:w w:val="105"/>
        </w:rPr>
        <w:t>debt</w:t>
      </w:r>
    </w:p>
    <w:p>
      <w:pPr>
        <w:spacing w:before="95"/>
        <w:ind w:left="814" w:right="0" w:firstLine="0"/>
        <w:jc w:val="left"/>
        <w:rPr>
          <w:sz w:val="26"/>
        </w:rPr>
      </w:pPr>
      <w:r>
        <w:rPr/>
        <w:br w:type="column"/>
      </w:r>
      <w:r>
        <w:rPr>
          <w:w w:val="105"/>
          <w:sz w:val="26"/>
        </w:rPr>
        <w:t>£ </w:t>
      </w:r>
      <w:r>
        <w:rPr>
          <w:spacing w:val="-5"/>
          <w:w w:val="105"/>
          <w:sz w:val="26"/>
        </w:rPr>
        <w:t>thousands</w:t>
      </w:r>
      <w:r>
        <w:rPr>
          <w:spacing w:val="-45"/>
          <w:w w:val="105"/>
          <w:sz w:val="26"/>
        </w:rPr>
        <w:t> </w:t>
      </w:r>
      <w:r>
        <w:rPr>
          <w:spacing w:val="-7"/>
          <w:w w:val="105"/>
          <w:position w:val="-13"/>
          <w:sz w:val="26"/>
        </w:rPr>
        <w:t>200</w:t>
      </w:r>
    </w:p>
    <w:p>
      <w:pPr>
        <w:spacing w:before="202"/>
        <w:ind w:left="2105" w:right="0" w:firstLine="0"/>
        <w:jc w:val="left"/>
        <w:rPr>
          <w:sz w:val="26"/>
        </w:rPr>
      </w:pPr>
      <w:r>
        <w:rPr/>
        <w:pict>
          <v:group style="position:absolute;margin-left:106.085342pt;margin-top:-7.034581pt;width:366pt;height:248.75pt;mso-position-horizontal-relative:page;mso-position-vertical-relative:paragraph;z-index:-16337920" coordorigin="2122,-141" coordsize="7320,4975">
            <v:rect style="position:absolute;left:2316;top:4363;width:154;height:401" filled="true" fillcolor="#9a9aff" stroked="false">
              <v:fill type="solid"/>
            </v:rect>
            <v:rect style="position:absolute;left:2316;top:4363;width:156;height:401" filled="false" stroked="true" strokeweight="1.408858pt" strokecolor="#000000">
              <v:stroke dashstyle="solid"/>
            </v:rect>
            <v:rect style="position:absolute;left:2469;top:3346;width:154;height:1419" filled="true" fillcolor="#9a3365" stroked="false">
              <v:fill type="solid"/>
            </v:rect>
            <v:rect style="position:absolute;left:2469;top:3346;width:154;height:1419" filled="false" stroked="true" strokeweight="1.402206pt" strokecolor="#000000">
              <v:stroke dashstyle="solid"/>
            </v:rect>
            <v:rect style="position:absolute;left:2853;top:4613;width:154;height:152" filled="true" fillcolor="#9a9aff" stroked="false">
              <v:fill type="solid"/>
            </v:rect>
            <v:rect style="position:absolute;left:2853;top:4613;width:154;height:152" filled="false" stroked="true" strokeweight="1.42972pt" strokecolor="#000000">
              <v:stroke dashstyle="solid"/>
            </v:rect>
            <v:rect style="position:absolute;left:3007;top:4162;width:156;height:603" filled="true" fillcolor="#9a3365" stroked="false">
              <v:fill type="solid"/>
            </v:rect>
            <v:rect style="position:absolute;left:3007;top:4162;width:156;height:603" filled="false" stroked="true" strokeweight="1.405048pt" strokecolor="#000000">
              <v:stroke dashstyle="solid"/>
            </v:rect>
            <v:rect style="position:absolute;left:3391;top:4613;width:156;height:152" filled="true" fillcolor="#9a9aff" stroked="false">
              <v:fill type="solid"/>
            </v:rect>
            <v:rect style="position:absolute;left:3391;top:4613;width:159;height:152" filled="false" stroked="true" strokeweight="1.430573pt" strokecolor="#000000">
              <v:stroke dashstyle="solid"/>
            </v:rect>
            <v:rect style="position:absolute;left:3547;top:4143;width:178;height:622" filled="true" fillcolor="#9a3365" stroked="false">
              <v:fill type="solid"/>
            </v:rect>
            <v:rect style="position:absolute;left:3547;top:4143;width:178;height:622" filled="false" stroked="true" strokeweight="1.405748pt" strokecolor="#000000">
              <v:stroke dashstyle="solid"/>
            </v:rect>
            <v:rect style="position:absolute;left:3955;top:4613;width:154;height:152" filled="true" fillcolor="#9a9aff" stroked="false">
              <v:fill type="solid"/>
            </v:rect>
            <v:rect style="position:absolute;left:3955;top:4613;width:156;height:152" filled="false" stroked="true" strokeweight="1.430152pt" strokecolor="#000000">
              <v:stroke dashstyle="solid"/>
            </v:rect>
            <v:rect style="position:absolute;left:4108;top:3891;width:159;height:874" filled="true" fillcolor="#9a3365" stroked="false">
              <v:fill type="solid"/>
            </v:rect>
            <v:rect style="position:absolute;left:4108;top:3891;width:159;height:874" filled="false" stroked="true" strokeweight="1.403328pt" strokecolor="#000000">
              <v:stroke dashstyle="solid"/>
            </v:rect>
            <v:rect style="position:absolute;left:3724;top:4738;width:156;height:27" filled="true" fillcolor="#ffffcc" stroked="false">
              <v:fill type="solid"/>
            </v:rect>
            <v:rect style="position:absolute;left:3724;top:4738;width:156;height:27" filled="false" stroked="true" strokeweight="1.455464pt" strokecolor="#000000">
              <v:stroke dashstyle="solid"/>
            </v:rect>
            <v:rect style="position:absolute;left:4492;top:4539;width:156;height:226" filled="true" fillcolor="#9a9aff" stroked="false">
              <v:fill type="solid"/>
            </v:rect>
            <v:rect style="position:absolute;left:4492;top:4539;width:159;height:226" filled="false" stroked="true" strokeweight="1.419871pt" strokecolor="#000000">
              <v:stroke dashstyle="solid"/>
            </v:rect>
            <v:rect style="position:absolute;left:4648;top:3718;width:154;height:1047" filled="true" fillcolor="#9a3365" stroked="false">
              <v:fill type="solid"/>
            </v:rect>
            <v:rect style="position:absolute;left:4648;top:3718;width:154;height:1047" filled="false" stroked="true" strokeweight="1.402733pt" strokecolor="#000000">
              <v:stroke dashstyle="solid"/>
            </v:rect>
            <v:rect style="position:absolute;left:4264;top:4714;width:154;height:51" filled="true" fillcolor="#ffffcc" stroked="false">
              <v:fill type="solid"/>
            </v:rect>
            <v:rect style="position:absolute;left:4264;top:4714;width:154;height:51" filled="false" stroked="true" strokeweight="1.451617pt" strokecolor="#000000">
              <v:stroke dashstyle="solid"/>
            </v:rect>
            <v:rect style="position:absolute;left:5035;top:4613;width:152;height:152" filled="true" fillcolor="#9a9aff" stroked="false">
              <v:fill type="solid"/>
            </v:rect>
            <v:rect style="position:absolute;left:5035;top:4613;width:154;height:152" filled="false" stroked="true" strokeweight="1.42972pt" strokecolor="#000000">
              <v:stroke dashstyle="solid"/>
            </v:rect>
            <v:rect style="position:absolute;left:5186;top:3396;width:154;height:1369" filled="true" fillcolor="#9a3365" stroked="false">
              <v:fill type="solid"/>
            </v:rect>
            <v:rect style="position:absolute;left:5186;top:3396;width:154;height:1369" filled="false" stroked="true" strokeweight="1.402253pt" strokecolor="#000000">
              <v:stroke dashstyle="solid"/>
            </v:rect>
            <v:rect style="position:absolute;left:4802;top:4589;width:154;height:176" filled="true" fillcolor="#ffffcc" stroked="false">
              <v:fill type="solid"/>
            </v:rect>
            <v:rect style="position:absolute;left:4802;top:4589;width:154;height:176" filled="false" stroked="true" strokeweight="1.425657pt" strokecolor="#000000">
              <v:stroke dashstyle="solid"/>
            </v:rect>
            <v:rect style="position:absolute;left:5570;top:4488;width:154;height:276" filled="true" fillcolor="#9a9aff" stroked="false">
              <v:fill type="solid"/>
            </v:rect>
            <v:rect style="position:absolute;left:5570;top:4488;width:154;height:276" filled="false" stroked="true" strokeweight="1.414673pt" strokecolor="#000000">
              <v:stroke dashstyle="solid"/>
            </v:rect>
            <v:rect style="position:absolute;left:5724;top:3096;width:183;height:1668" filled="true" fillcolor="#9a3365" stroked="false">
              <v:fill type="solid"/>
            </v:rect>
            <v:rect style="position:absolute;left:5724;top:3096;width:183;height:1668" filled="false" stroked="true" strokeweight="1.402218pt" strokecolor="#000000">
              <v:stroke dashstyle="solid"/>
            </v:rect>
            <v:rect style="position:absolute;left:5340;top:4462;width:156;height:303" filled="true" fillcolor="#ffffcc" stroked="false">
              <v:fill type="solid"/>
            </v:rect>
            <v:rect style="position:absolute;left:5340;top:4462;width:156;height:303" filled="false" stroked="true" strokeweight="1.413218pt" strokecolor="#000000">
              <v:stroke dashstyle="solid"/>
            </v:rect>
            <v:rect style="position:absolute;left:6136;top:4488;width:152;height:276" filled="true" fillcolor="#9a9aff" stroked="false">
              <v:fill type="solid"/>
            </v:rect>
            <v:rect style="position:absolute;left:6136;top:4488;width:154;height:276" filled="false" stroked="true" strokeweight="1.414673pt" strokecolor="#000000">
              <v:stroke dashstyle="solid"/>
            </v:rect>
            <v:rect style="position:absolute;left:6288;top:2945;width:154;height:1820" filled="true" fillcolor="#9a3365" stroked="false">
              <v:fill type="solid"/>
            </v:rect>
            <v:rect style="position:absolute;left:6288;top:2945;width:154;height:1820" filled="false" stroked="true" strokeweight="1.401956pt" strokecolor="#000000">
              <v:stroke dashstyle="solid"/>
            </v:rect>
            <v:rect style="position:absolute;left:5904;top:4287;width:159;height:478" filled="true" fillcolor="#ffffcc" stroked="false">
              <v:fill type="solid"/>
            </v:rect>
            <v:rect style="position:absolute;left:5904;top:4287;width:159;height:478" filled="false" stroked="true" strokeweight="1.407058pt" strokecolor="#000000">
              <v:stroke dashstyle="solid"/>
            </v:rect>
            <v:rect style="position:absolute;left:6674;top:4539;width:152;height:226" filled="true" fillcolor="#9a9aff" stroked="false">
              <v:fill type="solid"/>
            </v:rect>
            <v:rect style="position:absolute;left:6674;top:4539;width:154;height:226" filled="false" stroked="true" strokeweight="1.419124pt" strokecolor="#000000">
              <v:stroke dashstyle="solid"/>
            </v:rect>
            <v:rect style="position:absolute;left:6825;top:2770;width:159;height:1995" filled="true" fillcolor="#9a3365" stroked="false">
              <v:fill type="solid"/>
            </v:rect>
            <v:rect style="position:absolute;left:6825;top:2770;width:159;height:1995" filled="false" stroked="true" strokeweight="1.401911pt" strokecolor="#000000">
              <v:stroke dashstyle="solid"/>
            </v:rect>
            <v:rect style="position:absolute;left:6441;top:4042;width:159;height:723" filled="true" fillcolor="#ffffcc" stroked="false">
              <v:fill type="solid"/>
            </v:rect>
            <v:rect style="position:absolute;left:6441;top:4042;width:159;height:723" filled="false" stroked="true" strokeweight="1.404107pt" strokecolor="#000000">
              <v:stroke dashstyle="solid"/>
            </v:rect>
            <v:rect style="position:absolute;left:7209;top:4539;width:156;height:226" filled="true" fillcolor="#9a9aff" stroked="false">
              <v:fill type="solid"/>
            </v:rect>
            <v:rect style="position:absolute;left:7209;top:4539;width:159;height:226" filled="false" stroked="true" strokeweight="1.419871pt" strokecolor="#000000">
              <v:stroke dashstyle="solid"/>
            </v:rect>
            <v:rect style="position:absolute;left:7365;top:2323;width:156;height:2441" filled="true" fillcolor="#9a3365" stroked="false">
              <v:fill type="solid"/>
            </v:rect>
            <v:rect style="position:absolute;left:7365;top:2323;width:156;height:2441" filled="false" stroked="true" strokeweight="1.401789pt" strokecolor="#000000">
              <v:stroke dashstyle="solid"/>
            </v:rect>
            <v:rect style="position:absolute;left:6981;top:3792;width:154;height:972" filled="true" fillcolor="#ffffcc" stroked="false">
              <v:fill type="solid"/>
            </v:rect>
            <v:rect style="position:absolute;left:6981;top:3792;width:154;height:972" filled="false" stroked="true" strokeweight="1.402914pt" strokecolor="#000000">
              <v:stroke dashstyle="solid"/>
            </v:rect>
            <v:rect style="position:absolute;left:7752;top:4462;width:152;height:303" filled="true" fillcolor="#9a9aff" stroked="false">
              <v:fill type="solid"/>
            </v:rect>
            <v:rect style="position:absolute;left:7752;top:4462;width:154;height:303" filled="false" stroked="true" strokeweight="1.412934pt" strokecolor="#000000">
              <v:stroke dashstyle="solid"/>
            </v:rect>
            <v:rect style="position:absolute;left:7903;top:2225;width:183;height:2540" filled="true" fillcolor="#9a3365" stroked="false">
              <v:fill type="solid"/>
            </v:rect>
            <v:rect style="position:absolute;left:7903;top:2225;width:183;height:2540" filled="false" stroked="true" strokeweight="1.401848pt" strokecolor="#000000">
              <v:stroke dashstyle="solid"/>
            </v:rect>
            <v:rect style="position:absolute;left:7519;top:3543;width:154;height:1222" filled="true" fillcolor="#ffffcc" stroked="false">
              <v:fill type="solid"/>
            </v:rect>
            <v:rect style="position:absolute;left:7519;top:3543;width:154;height:1222" filled="false" stroked="true" strokeweight="1.402426pt" strokecolor="#000000">
              <v:stroke dashstyle="solid"/>
            </v:rect>
            <v:rect style="position:absolute;left:8313;top:4488;width:156;height:276" filled="true" fillcolor="#9a9aff" stroked="false">
              <v:fill type="solid"/>
            </v:rect>
            <v:rect style="position:absolute;left:8313;top:4488;width:156;height:276" filled="false" stroked="true" strokeweight="1.414988pt" strokecolor="#000000">
              <v:stroke dashstyle="solid"/>
            </v:rect>
            <v:rect style="position:absolute;left:8469;top:1803;width:154;height:2962" filled="true" fillcolor="#9a3365" stroked="false">
              <v:fill type="solid"/>
            </v:rect>
            <v:rect style="position:absolute;left:8469;top:1803;width:154;height:2962" filled="false" stroked="true" strokeweight="1.401712pt" strokecolor="#000000">
              <v:stroke dashstyle="solid"/>
            </v:rect>
            <v:rect style="position:absolute;left:8083;top:3322;width:154;height:1443" filled="true" fillcolor="#ffffcc" stroked="false">
              <v:fill type="solid"/>
            </v:rect>
            <v:rect style="position:absolute;left:8083;top:3322;width:154;height:1443" filled="false" stroked="true" strokeweight="1.402185pt" strokecolor="#000000">
              <v:stroke dashstyle="solid"/>
            </v:rect>
            <v:rect style="position:absolute;left:8853;top:4363;width:152;height:401" filled="true" fillcolor="#9a9aff" stroked="false">
              <v:fill type="solid"/>
            </v:rect>
            <v:rect style="position:absolute;left:8853;top:4363;width:154;height:401" filled="false" stroked="true" strokeweight="1.408663pt" strokecolor="#000000">
              <v:stroke dashstyle="solid"/>
            </v:rect>
            <v:rect style="position:absolute;left:9004;top:-65;width:156;height:4829" filled="true" fillcolor="#9a3365" stroked="false">
              <v:fill type="solid"/>
            </v:rect>
            <v:rect style="position:absolute;left:9004;top:-65;width:156;height:4829" filled="false" stroked="true" strokeweight="1.401621pt" strokecolor="#000000">
              <v:stroke dashstyle="solid"/>
            </v:rect>
            <v:rect style="position:absolute;left:8620;top:3046;width:159;height:1719" filled="true" fillcolor="#ffffcc" stroked="false">
              <v:fill type="solid"/>
            </v:rect>
            <v:rect style="position:absolute;left:8620;top:3046;width:159;height:1719" filled="false" stroked="true" strokeweight="1.40203pt" strokecolor="#000000">
              <v:stroke dashstyle="solid"/>
            </v:rect>
            <v:rect style="position:absolute;left:9158;top:2275;width:159;height:2489" filled="true" fillcolor="#ffffcc" stroked="false">
              <v:fill type="solid"/>
            </v:rect>
            <v:rect style="position:absolute;left:9158;top:2275;width:159;height:2489" filled="false" stroked="true" strokeweight="1.401787pt" strokecolor="#000000">
              <v:stroke dashstyle="solid"/>
            </v:rect>
            <v:shape style="position:absolute;left:2289;top:-139;width:7150;height:4973" coordorigin="2290,-139" coordsize="7150,4973" path="m9367,-139l9367,4760,9439,4760m9367,4263l9439,4263m9367,3793l9439,3793m9367,3296l9439,3296m9367,2797l9439,2797m9367,2300l9439,2300m9367,1829l9439,1829m9367,1328l9439,1328m9367,833l9439,833m9367,361l9439,361m9367,-139l9439,-139m2290,4762l9363,4762m2290,4834l2290,4760m2830,4834l2830,4760m3367,4834l3367,4760m3931,4834l3931,4760m4469,4834l4469,4760m5006,4834l5006,4760m5546,4834l5546,4760m6108,4834l6108,4760m6651,4834l6651,4760m7186,4834l7186,4760m7723,4834l7723,4760m8287,4834l8287,4760m8825,4834l8825,4760m9367,4834l9367,4760e" filled="false" stroked="true" strokeweight=".204041pt" strokecolor="#000000">
              <v:path arrowok="t"/>
              <v:stroke dashstyle="solid"/>
            </v:shape>
            <v:rect style="position:absolute;left:2136;top:-89;width:183;height:178" filled="true" fillcolor="#9a9aff" stroked="false">
              <v:fill type="solid"/>
            </v:rect>
            <v:rect style="position:absolute;left:2136;top:-89;width:183;height:178" filled="false" stroked="true" strokeweight="1.430027pt" strokecolor="#000000">
              <v:stroke dashstyle="solid"/>
            </v:rect>
            <v:rect style="position:absolute;left:2136;top:387;width:183;height:173" filled="true" fillcolor="#9a3365" stroked="false">
              <v:fill type="solid"/>
            </v:rect>
            <v:rect style="position:absolute;left:2136;top:387;width:183;height:173" filled="false" stroked="true" strokeweight="1.430784pt" strokecolor="#000000">
              <v:stroke dashstyle="solid"/>
            </v:rect>
            <v:rect style="position:absolute;left:2136;top:857;width:183;height:178" filled="true" fillcolor="#ffffcc" stroked="false">
              <v:fill type="solid"/>
            </v:rect>
            <v:rect style="position:absolute;left:2136;top:857;width:183;height:178" filled="false" stroked="true" strokeweight="1.430027pt" strokecolor="#000000">
              <v:stroke dashstyle="solid"/>
            </v:rect>
            <w10:wrap type="none"/>
          </v:group>
        </w:pict>
      </w:r>
      <w:r>
        <w:rPr>
          <w:spacing w:val="-7"/>
          <w:w w:val="105"/>
          <w:sz w:val="26"/>
        </w:rPr>
        <w:t>180</w:t>
      </w:r>
    </w:p>
    <w:p>
      <w:pPr>
        <w:spacing w:before="172"/>
        <w:ind w:left="2105" w:right="0" w:firstLine="0"/>
        <w:jc w:val="left"/>
        <w:rPr>
          <w:sz w:val="26"/>
        </w:rPr>
      </w:pPr>
      <w:r>
        <w:rPr>
          <w:spacing w:val="-7"/>
          <w:w w:val="105"/>
          <w:sz w:val="26"/>
        </w:rPr>
        <w:t>160</w:t>
      </w:r>
    </w:p>
    <w:p>
      <w:pPr>
        <w:spacing w:before="202"/>
        <w:ind w:left="2105" w:right="0" w:firstLine="0"/>
        <w:jc w:val="left"/>
        <w:rPr>
          <w:sz w:val="26"/>
        </w:rPr>
      </w:pPr>
      <w:r>
        <w:rPr>
          <w:spacing w:val="-7"/>
          <w:w w:val="105"/>
          <w:sz w:val="26"/>
        </w:rPr>
        <w:t>140</w:t>
      </w:r>
    </w:p>
    <w:p>
      <w:pPr>
        <w:spacing w:before="196"/>
        <w:ind w:left="2105" w:right="0" w:firstLine="0"/>
        <w:jc w:val="left"/>
        <w:rPr>
          <w:sz w:val="26"/>
        </w:rPr>
      </w:pPr>
      <w:r>
        <w:rPr>
          <w:spacing w:val="-7"/>
          <w:w w:val="105"/>
          <w:sz w:val="26"/>
        </w:rPr>
        <w:t>120</w:t>
      </w:r>
    </w:p>
    <w:p>
      <w:pPr>
        <w:spacing w:before="173"/>
        <w:ind w:left="2105" w:right="0" w:firstLine="0"/>
        <w:jc w:val="left"/>
        <w:rPr>
          <w:sz w:val="26"/>
        </w:rPr>
      </w:pPr>
      <w:r>
        <w:rPr>
          <w:spacing w:val="-7"/>
          <w:w w:val="105"/>
          <w:sz w:val="26"/>
        </w:rPr>
        <w:t>100</w:t>
      </w:r>
    </w:p>
    <w:p>
      <w:pPr>
        <w:spacing w:before="201"/>
        <w:ind w:left="2093" w:right="0" w:firstLine="0"/>
        <w:jc w:val="left"/>
        <w:rPr>
          <w:sz w:val="26"/>
        </w:rPr>
      </w:pPr>
      <w:r>
        <w:rPr>
          <w:spacing w:val="-7"/>
          <w:w w:val="105"/>
          <w:sz w:val="26"/>
        </w:rPr>
        <w:t>80</w:t>
      </w:r>
    </w:p>
    <w:p>
      <w:pPr>
        <w:spacing w:before="198"/>
        <w:ind w:left="2093" w:right="0" w:firstLine="0"/>
        <w:jc w:val="left"/>
        <w:rPr>
          <w:sz w:val="26"/>
        </w:rPr>
      </w:pPr>
      <w:r>
        <w:rPr>
          <w:spacing w:val="-7"/>
          <w:w w:val="105"/>
          <w:sz w:val="26"/>
        </w:rPr>
        <w:t>60</w:t>
      </w:r>
    </w:p>
    <w:p>
      <w:pPr>
        <w:spacing w:before="197"/>
        <w:ind w:left="2093" w:right="0" w:firstLine="0"/>
        <w:jc w:val="left"/>
        <w:rPr>
          <w:sz w:val="26"/>
        </w:rPr>
      </w:pPr>
      <w:r>
        <w:rPr>
          <w:spacing w:val="-7"/>
          <w:w w:val="105"/>
          <w:sz w:val="26"/>
        </w:rPr>
        <w:t>40</w:t>
      </w:r>
    </w:p>
    <w:p>
      <w:pPr>
        <w:spacing w:before="177"/>
        <w:ind w:left="2093" w:right="0" w:firstLine="0"/>
        <w:jc w:val="left"/>
        <w:rPr>
          <w:sz w:val="26"/>
        </w:rPr>
      </w:pPr>
      <w:r>
        <w:rPr>
          <w:spacing w:val="-7"/>
          <w:w w:val="105"/>
          <w:sz w:val="26"/>
        </w:rPr>
        <w:t>20</w:t>
      </w:r>
    </w:p>
    <w:p>
      <w:pPr>
        <w:spacing w:before="195"/>
        <w:ind w:left="2081" w:right="0" w:firstLine="0"/>
        <w:jc w:val="left"/>
        <w:rPr>
          <w:sz w:val="26"/>
        </w:rPr>
      </w:pPr>
      <w:r>
        <w:rPr/>
        <w:pict>
          <v:shape style="position:absolute;margin-left:364.035553pt;margin-top:23.753725pt;width:97.3pt;height:40.450pt;mso-position-horizontal-relative:page;mso-position-vertical-relative:paragraph;z-index:15747072" type="#_x0000_t202" filled="false" stroked="false">
            <v:textbox inset="0,0,0,0" style="layout-flow:vertical;mso-layout-flow-alt:bottom-to-top">
              <w:txbxContent>
                <w:p>
                  <w:pPr>
                    <w:spacing w:before="15"/>
                    <w:ind w:left="0" w:right="28" w:firstLine="0"/>
                    <w:jc w:val="right"/>
                    <w:rPr>
                      <w:sz w:val="26"/>
                    </w:rPr>
                  </w:pPr>
                  <w:r>
                    <w:rPr>
                      <w:sz w:val="26"/>
                    </w:rPr>
                    <w:t>45-55k</w:t>
                  </w:r>
                </w:p>
                <w:p>
                  <w:pPr>
                    <w:spacing w:before="238"/>
                    <w:ind w:left="0" w:right="28" w:firstLine="0"/>
                    <w:jc w:val="right"/>
                    <w:rPr>
                      <w:sz w:val="26"/>
                    </w:rPr>
                  </w:pPr>
                  <w:r>
                    <w:rPr>
                      <w:sz w:val="26"/>
                    </w:rPr>
                    <w:t>55-65k</w:t>
                  </w:r>
                </w:p>
                <w:p>
                  <w:pPr>
                    <w:spacing w:before="239"/>
                    <w:ind w:left="0" w:right="28" w:firstLine="0"/>
                    <w:jc w:val="right"/>
                    <w:rPr>
                      <w:sz w:val="26"/>
                    </w:rPr>
                  </w:pPr>
                  <w:r>
                    <w:rPr>
                      <w:sz w:val="26"/>
                    </w:rPr>
                    <w:t>65-75k</w:t>
                  </w:r>
                </w:p>
                <w:p>
                  <w:pPr>
                    <w:spacing w:before="236"/>
                    <w:ind w:left="0" w:right="18" w:firstLine="0"/>
                    <w:jc w:val="right"/>
                    <w:rPr>
                      <w:sz w:val="26"/>
                    </w:rPr>
                  </w:pPr>
                  <w:r>
                    <w:rPr>
                      <w:sz w:val="26"/>
                    </w:rPr>
                    <w:t>75k+</w:t>
                  </w:r>
                </w:p>
              </w:txbxContent>
            </v:textbox>
            <w10:wrap type="none"/>
          </v:shape>
        </w:pict>
      </w:r>
      <w:r>
        <w:rPr>
          <w:w w:val="102"/>
          <w:sz w:val="26"/>
        </w:rPr>
        <w:t>0</w:t>
      </w:r>
    </w:p>
    <w:p>
      <w:pPr>
        <w:spacing w:after="0"/>
        <w:jc w:val="left"/>
        <w:rPr>
          <w:sz w:val="26"/>
        </w:rPr>
        <w:sectPr>
          <w:type w:val="continuous"/>
          <w:pgSz w:w="12240" w:h="15840"/>
          <w:pgMar w:top="1180" w:bottom="280" w:left="1720" w:right="1560"/>
          <w:cols w:num="2" w:equalWidth="0">
            <w:col w:w="2486" w:space="3348"/>
            <w:col w:w="3126"/>
          </w:cols>
        </w:sectPr>
      </w:pPr>
    </w:p>
    <w:p>
      <w:pPr>
        <w:pStyle w:val="BodyText"/>
        <w:rPr>
          <w:sz w:val="20"/>
        </w:rPr>
      </w:pPr>
    </w:p>
    <w:p>
      <w:pPr>
        <w:pStyle w:val="BodyText"/>
        <w:rPr>
          <w:sz w:val="20"/>
        </w:rPr>
      </w:pPr>
    </w:p>
    <w:p>
      <w:pPr>
        <w:pStyle w:val="BodyText"/>
        <w:rPr>
          <w:sz w:val="20"/>
        </w:rPr>
      </w:pPr>
    </w:p>
    <w:p>
      <w:pPr>
        <w:pStyle w:val="BodyText"/>
        <w:rPr>
          <w:sz w:val="20"/>
        </w:rPr>
      </w:pPr>
    </w:p>
    <w:p>
      <w:pPr>
        <w:spacing w:line="468" w:lineRule="auto" w:before="223"/>
        <w:ind w:left="240" w:right="2454" w:firstLine="3052"/>
        <w:jc w:val="left"/>
        <w:rPr>
          <w:sz w:val="26"/>
        </w:rPr>
      </w:pPr>
      <w:r>
        <w:rPr/>
        <w:pict>
          <v:shape style="position:absolute;margin-left:118.994156pt;margin-top:-46.90303pt;width:97.8pt;height:53.95pt;mso-position-horizontal-relative:page;mso-position-vertical-relative:paragraph;z-index:15746048" type="#_x0000_t202" filled="false" stroked="false">
            <v:textbox inset="0,0,0,0" style="layout-flow:vertical;mso-layout-flow-alt:bottom-to-top">
              <w:txbxContent>
                <w:p>
                  <w:pPr>
                    <w:spacing w:before="15"/>
                    <w:ind w:left="0" w:right="22" w:firstLine="0"/>
                    <w:jc w:val="right"/>
                    <w:rPr>
                      <w:sz w:val="26"/>
                    </w:rPr>
                  </w:pPr>
                  <w:r>
                    <w:rPr>
                      <w:w w:val="102"/>
                      <w:sz w:val="26"/>
                    </w:rPr>
                    <w:t>0</w:t>
                  </w:r>
                </w:p>
                <w:p>
                  <w:pPr>
                    <w:spacing w:before="238"/>
                    <w:ind w:left="0" w:right="22" w:firstLine="0"/>
                    <w:jc w:val="right"/>
                    <w:rPr>
                      <w:sz w:val="26"/>
                    </w:rPr>
                  </w:pPr>
                  <w:r>
                    <w:rPr>
                      <w:sz w:val="26"/>
                    </w:rPr>
                    <w:t>1-500</w:t>
                  </w:r>
                </w:p>
                <w:p>
                  <w:pPr>
                    <w:spacing w:before="241"/>
                    <w:ind w:left="0" w:right="30" w:firstLine="0"/>
                    <w:jc w:val="right"/>
                    <w:rPr>
                      <w:sz w:val="26"/>
                    </w:rPr>
                  </w:pPr>
                  <w:r>
                    <w:rPr>
                      <w:sz w:val="26"/>
                    </w:rPr>
                    <w:t>500-1000</w:t>
                  </w:r>
                </w:p>
                <w:p>
                  <w:pPr>
                    <w:spacing w:before="244"/>
                    <w:ind w:left="0" w:right="18" w:firstLine="0"/>
                    <w:jc w:val="right"/>
                    <w:rPr>
                      <w:sz w:val="26"/>
                    </w:rPr>
                  </w:pPr>
                  <w:r>
                    <w:rPr>
                      <w:sz w:val="26"/>
                    </w:rPr>
                    <w:t>1-5k</w:t>
                  </w:r>
                </w:p>
              </w:txbxContent>
            </v:textbox>
            <w10:wrap type="none"/>
          </v:shape>
        </w:pict>
      </w:r>
      <w:r>
        <w:rPr/>
        <w:pict>
          <v:shape style="position:absolute;margin-left:227.835205pt;margin-top:-46.662933pt;width:124.8pt;height:40.15pt;mso-position-horizontal-relative:page;mso-position-vertical-relative:paragraph;z-index:15746560" type="#_x0000_t202" filled="false" stroked="false">
            <v:textbox inset="0,0,0,0" style="layout-flow:vertical;mso-layout-flow-alt:bottom-to-top">
              <w:txbxContent>
                <w:p>
                  <w:pPr>
                    <w:spacing w:before="15"/>
                    <w:ind w:left="156" w:right="0" w:firstLine="0"/>
                    <w:jc w:val="left"/>
                    <w:rPr>
                      <w:sz w:val="26"/>
                    </w:rPr>
                  </w:pPr>
                  <w:r>
                    <w:rPr>
                      <w:w w:val="105"/>
                      <w:sz w:val="26"/>
                    </w:rPr>
                    <w:t>5-10k</w:t>
                  </w:r>
                </w:p>
                <w:p>
                  <w:pPr>
                    <w:spacing w:before="245"/>
                    <w:ind w:left="20" w:right="0" w:firstLine="0"/>
                    <w:jc w:val="left"/>
                    <w:rPr>
                      <w:sz w:val="26"/>
                    </w:rPr>
                  </w:pPr>
                  <w:r>
                    <w:rPr>
                      <w:w w:val="105"/>
                      <w:sz w:val="26"/>
                    </w:rPr>
                    <w:t>10-15k</w:t>
                  </w:r>
                </w:p>
                <w:p>
                  <w:pPr>
                    <w:spacing w:before="239"/>
                    <w:ind w:left="20" w:right="0" w:firstLine="0"/>
                    <w:jc w:val="left"/>
                    <w:rPr>
                      <w:sz w:val="26"/>
                    </w:rPr>
                  </w:pPr>
                  <w:r>
                    <w:rPr>
                      <w:w w:val="105"/>
                      <w:sz w:val="26"/>
                    </w:rPr>
                    <w:t>15-25k</w:t>
                  </w:r>
                </w:p>
                <w:p>
                  <w:pPr>
                    <w:spacing w:before="236"/>
                    <w:ind w:left="20" w:right="0" w:firstLine="0"/>
                    <w:jc w:val="left"/>
                    <w:rPr>
                      <w:sz w:val="26"/>
                    </w:rPr>
                  </w:pPr>
                  <w:r>
                    <w:rPr>
                      <w:w w:val="105"/>
                      <w:sz w:val="26"/>
                    </w:rPr>
                    <w:t>25-35k</w:t>
                  </w:r>
                </w:p>
                <w:p>
                  <w:pPr>
                    <w:spacing w:before="244"/>
                    <w:ind w:left="20" w:right="0" w:firstLine="0"/>
                    <w:jc w:val="left"/>
                    <w:rPr>
                      <w:sz w:val="26"/>
                    </w:rPr>
                  </w:pPr>
                  <w:r>
                    <w:rPr>
                      <w:w w:val="105"/>
                      <w:sz w:val="26"/>
                    </w:rPr>
                    <w:t>35-45k</w:t>
                  </w:r>
                </w:p>
              </w:txbxContent>
            </v:textbox>
            <w10:wrap type="none"/>
          </v:shape>
        </w:pict>
      </w:r>
      <w:r>
        <w:rPr>
          <w:spacing w:val="-5"/>
          <w:w w:val="105"/>
          <w:sz w:val="26"/>
        </w:rPr>
        <w:t>Household </w:t>
      </w:r>
      <w:r>
        <w:rPr>
          <w:spacing w:val="-4"/>
          <w:w w:val="105"/>
          <w:sz w:val="26"/>
        </w:rPr>
        <w:t>total </w:t>
      </w:r>
      <w:r>
        <w:rPr>
          <w:spacing w:val="-3"/>
          <w:w w:val="105"/>
          <w:sz w:val="26"/>
        </w:rPr>
        <w:t>gross </w:t>
      </w:r>
      <w:r>
        <w:rPr>
          <w:spacing w:val="-4"/>
          <w:w w:val="105"/>
          <w:sz w:val="26"/>
        </w:rPr>
        <w:t>debt </w:t>
      </w:r>
      <w:r>
        <w:rPr>
          <w:w w:val="105"/>
          <w:sz w:val="26"/>
        </w:rPr>
        <w:t>(£) </w:t>
      </w:r>
      <w:r>
        <w:rPr>
          <w:spacing w:val="-5"/>
          <w:w w:val="105"/>
          <w:sz w:val="26"/>
        </w:rPr>
        <w:t>Sources: </w:t>
      </w:r>
      <w:r>
        <w:rPr>
          <w:spacing w:val="-6"/>
          <w:w w:val="105"/>
          <w:sz w:val="26"/>
        </w:rPr>
        <w:t>BHPS </w:t>
      </w:r>
      <w:r>
        <w:rPr>
          <w:spacing w:val="-4"/>
          <w:w w:val="105"/>
          <w:sz w:val="26"/>
        </w:rPr>
        <w:t>and Bank </w:t>
      </w:r>
      <w:r>
        <w:rPr>
          <w:spacing w:val="-5"/>
          <w:w w:val="105"/>
          <w:sz w:val="26"/>
        </w:rPr>
        <w:t>calculations.</w:t>
      </w:r>
    </w:p>
    <w:p>
      <w:pPr>
        <w:spacing w:after="0" w:line="468" w:lineRule="auto"/>
        <w:jc w:val="left"/>
        <w:rPr>
          <w:sz w:val="26"/>
        </w:rPr>
        <w:sectPr>
          <w:type w:val="continuous"/>
          <w:pgSz w:w="12240" w:h="15840"/>
          <w:pgMar w:top="1180" w:bottom="280" w:left="1720" w:right="1560"/>
        </w:sectPr>
      </w:pPr>
    </w:p>
    <w:p>
      <w:pPr>
        <w:spacing w:before="58"/>
        <w:ind w:left="245" w:right="0" w:firstLine="0"/>
        <w:jc w:val="left"/>
        <w:rPr>
          <w:b/>
          <w:sz w:val="36"/>
        </w:rPr>
      </w:pPr>
      <w:r>
        <w:rPr>
          <w:b/>
          <w:sz w:val="36"/>
        </w:rPr>
        <w:t>Chart 8</w:t>
      </w:r>
    </w:p>
    <w:p>
      <w:pPr>
        <w:pStyle w:val="BodyText"/>
        <w:rPr>
          <w:b/>
          <w:sz w:val="20"/>
        </w:rPr>
      </w:pPr>
    </w:p>
    <w:p>
      <w:pPr>
        <w:pStyle w:val="BodyText"/>
        <w:spacing w:before="1"/>
        <w:rPr>
          <w:b/>
          <w:sz w:val="20"/>
        </w:rPr>
      </w:pPr>
    </w:p>
    <w:p>
      <w:pPr>
        <w:spacing w:line="242" w:lineRule="auto" w:before="85"/>
        <w:ind w:left="1436" w:right="1292" w:firstLine="0"/>
        <w:jc w:val="left"/>
        <w:rPr>
          <w:b/>
          <w:sz w:val="36"/>
        </w:rPr>
      </w:pPr>
      <w:r>
        <w:rPr>
          <w:b/>
          <w:sz w:val="36"/>
        </w:rPr>
        <w:t>Distribution of total liabilities and liquid assets across individual households</w:t>
      </w:r>
    </w:p>
    <w:p>
      <w:pPr>
        <w:pStyle w:val="BodyText"/>
        <w:spacing w:before="5"/>
        <w:rPr>
          <w:b/>
        </w:rPr>
      </w:pPr>
      <w:r>
        <w:rPr/>
        <w:drawing>
          <wp:anchor distT="0" distB="0" distL="0" distR="0" allowOverlap="1" layoutInCell="1" locked="0" behindDoc="0" simplePos="0" relativeHeight="37">
            <wp:simplePos x="0" y="0"/>
            <wp:positionH relativeFrom="page">
              <wp:posOffset>1955292</wp:posOffset>
            </wp:positionH>
            <wp:positionV relativeFrom="paragraph">
              <wp:posOffset>203632</wp:posOffset>
            </wp:positionV>
            <wp:extent cx="4460139" cy="4376547"/>
            <wp:effectExtent l="0" t="0" r="0" b="0"/>
            <wp:wrapTopAndBottom/>
            <wp:docPr id="5" name="image42.png"/>
            <wp:cNvGraphicFramePr>
              <a:graphicFrameLocks noChangeAspect="1"/>
            </wp:cNvGraphicFramePr>
            <a:graphic>
              <a:graphicData uri="http://schemas.openxmlformats.org/drawingml/2006/picture">
                <pic:pic>
                  <pic:nvPicPr>
                    <pic:cNvPr id="6" name="image42.png"/>
                    <pic:cNvPicPr/>
                  </pic:nvPicPr>
                  <pic:blipFill>
                    <a:blip r:embed="rId48" cstate="print"/>
                    <a:stretch>
                      <a:fillRect/>
                    </a:stretch>
                  </pic:blipFill>
                  <pic:spPr>
                    <a:xfrm>
                      <a:off x="0" y="0"/>
                      <a:ext cx="4460139" cy="4376547"/>
                    </a:xfrm>
                    <a:prstGeom prst="rect">
                      <a:avLst/>
                    </a:prstGeom>
                  </pic:spPr>
                </pic:pic>
              </a:graphicData>
            </a:graphic>
          </wp:anchor>
        </w:drawing>
      </w:r>
    </w:p>
    <w:p>
      <w:pPr>
        <w:pStyle w:val="BodyText"/>
        <w:rPr>
          <w:b/>
          <w:sz w:val="40"/>
        </w:rPr>
      </w:pPr>
    </w:p>
    <w:p>
      <w:pPr>
        <w:pStyle w:val="BodyText"/>
        <w:spacing w:before="7"/>
        <w:rPr>
          <w:b/>
          <w:sz w:val="37"/>
        </w:rPr>
      </w:pPr>
    </w:p>
    <w:p>
      <w:pPr>
        <w:pStyle w:val="BodyText"/>
        <w:ind w:left="245"/>
      </w:pPr>
      <w:r>
        <w:rPr/>
        <w:t>Source: British Household Panel Survey, 2000.</w:t>
      </w:r>
    </w:p>
    <w:p>
      <w:pPr>
        <w:pStyle w:val="BodyText"/>
      </w:pPr>
    </w:p>
    <w:p>
      <w:pPr>
        <w:pStyle w:val="BodyText"/>
        <w:ind w:left="245" w:right="456"/>
      </w:pPr>
      <w:r>
        <w:rPr/>
        <w:t>(a) The full BHPS survey for 2000 contains information on the total liabilities and the liquid assets of more than 5,000 households. Households in the upper percentile of either the liquid assets or the total liabilities distribution were removed. This chart is based on a random 10% sample of the remaining households, with each dot representing one of those households.</w:t>
      </w:r>
    </w:p>
    <w:sectPr>
      <w:pgSz w:w="12240" w:h="15840"/>
      <w:pgMar w:header="0" w:footer="237" w:top="880" w:bottom="420" w:left="172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880005pt;margin-top:769.091492pt;width:18pt;height:15.4pt;mso-position-horizontal-relative:page;mso-position-vertical-relative:page;z-index:-16354816" type="#_x0000_t202" filled="false" stroked="false">
          <v:textbox inset="0,0,0,0">
            <w:txbxContent>
              <w:p>
                <w:pPr>
                  <w:pStyle w:val="BodyText"/>
                  <w:spacing w:before="11"/>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7"/>
      <w:numFmt w:val="decimal"/>
      <w:lvlText w:val="(%1)"/>
      <w:lvlJc w:val="left"/>
      <w:pPr>
        <w:ind w:left="1097" w:hanging="852"/>
        <w:jc w:val="left"/>
      </w:pPr>
      <w:rPr>
        <w:rFonts w:hint="default" w:ascii="Times New Roman" w:hAnsi="Times New Roman" w:eastAsia="Times New Roman" w:cs="Times New Roman"/>
        <w:spacing w:val="-5"/>
        <w:w w:val="97"/>
        <w:sz w:val="24"/>
        <w:szCs w:val="24"/>
        <w:lang w:val="en-US" w:eastAsia="en-US" w:bidi="ar-SA"/>
      </w:rPr>
    </w:lvl>
    <w:lvl w:ilvl="1">
      <w:start w:val="0"/>
      <w:numFmt w:val="bullet"/>
      <w:lvlText w:val="•"/>
      <w:lvlJc w:val="left"/>
      <w:pPr>
        <w:ind w:left="1886" w:hanging="852"/>
      </w:pPr>
      <w:rPr>
        <w:rFonts w:hint="default"/>
        <w:lang w:val="en-US" w:eastAsia="en-US" w:bidi="ar-SA"/>
      </w:rPr>
    </w:lvl>
    <w:lvl w:ilvl="2">
      <w:start w:val="0"/>
      <w:numFmt w:val="bullet"/>
      <w:lvlText w:val="•"/>
      <w:lvlJc w:val="left"/>
      <w:pPr>
        <w:ind w:left="2672" w:hanging="852"/>
      </w:pPr>
      <w:rPr>
        <w:rFonts w:hint="default"/>
        <w:lang w:val="en-US" w:eastAsia="en-US" w:bidi="ar-SA"/>
      </w:rPr>
    </w:lvl>
    <w:lvl w:ilvl="3">
      <w:start w:val="0"/>
      <w:numFmt w:val="bullet"/>
      <w:lvlText w:val="•"/>
      <w:lvlJc w:val="left"/>
      <w:pPr>
        <w:ind w:left="3458" w:hanging="852"/>
      </w:pPr>
      <w:rPr>
        <w:rFonts w:hint="default"/>
        <w:lang w:val="en-US" w:eastAsia="en-US" w:bidi="ar-SA"/>
      </w:rPr>
    </w:lvl>
    <w:lvl w:ilvl="4">
      <w:start w:val="0"/>
      <w:numFmt w:val="bullet"/>
      <w:lvlText w:val="•"/>
      <w:lvlJc w:val="left"/>
      <w:pPr>
        <w:ind w:left="4244" w:hanging="852"/>
      </w:pPr>
      <w:rPr>
        <w:rFonts w:hint="default"/>
        <w:lang w:val="en-US" w:eastAsia="en-US" w:bidi="ar-SA"/>
      </w:rPr>
    </w:lvl>
    <w:lvl w:ilvl="5">
      <w:start w:val="0"/>
      <w:numFmt w:val="bullet"/>
      <w:lvlText w:val="•"/>
      <w:lvlJc w:val="left"/>
      <w:pPr>
        <w:ind w:left="5030" w:hanging="852"/>
      </w:pPr>
      <w:rPr>
        <w:rFonts w:hint="default"/>
        <w:lang w:val="en-US" w:eastAsia="en-US" w:bidi="ar-SA"/>
      </w:rPr>
    </w:lvl>
    <w:lvl w:ilvl="6">
      <w:start w:val="0"/>
      <w:numFmt w:val="bullet"/>
      <w:lvlText w:val="•"/>
      <w:lvlJc w:val="left"/>
      <w:pPr>
        <w:ind w:left="5816" w:hanging="852"/>
      </w:pPr>
      <w:rPr>
        <w:rFonts w:hint="default"/>
        <w:lang w:val="en-US" w:eastAsia="en-US" w:bidi="ar-SA"/>
      </w:rPr>
    </w:lvl>
    <w:lvl w:ilvl="7">
      <w:start w:val="0"/>
      <w:numFmt w:val="bullet"/>
      <w:lvlText w:val="•"/>
      <w:lvlJc w:val="left"/>
      <w:pPr>
        <w:ind w:left="6602" w:hanging="852"/>
      </w:pPr>
      <w:rPr>
        <w:rFonts w:hint="default"/>
        <w:lang w:val="en-US" w:eastAsia="en-US" w:bidi="ar-SA"/>
      </w:rPr>
    </w:lvl>
    <w:lvl w:ilvl="8">
      <w:start w:val="0"/>
      <w:numFmt w:val="bullet"/>
      <w:lvlText w:val="•"/>
      <w:lvlJc w:val="left"/>
      <w:pPr>
        <w:ind w:left="7388" w:hanging="852"/>
      </w:pPr>
      <w:rPr>
        <w:rFonts w:hint="default"/>
        <w:lang w:val="en-US" w:eastAsia="en-US" w:bidi="ar-SA"/>
      </w:rPr>
    </w:lvl>
  </w:abstractNum>
  <w:abstractNum w:abstractNumId="3">
    <w:multiLevelType w:val="hybridMultilevel"/>
    <w:lvl w:ilvl="0">
      <w:start w:val="12"/>
      <w:numFmt w:val="decimal"/>
      <w:lvlText w:val="(%1)"/>
      <w:lvlJc w:val="left"/>
      <w:pPr>
        <w:ind w:left="1097" w:hanging="852"/>
        <w:jc w:val="left"/>
      </w:pPr>
      <w:rPr>
        <w:rFonts w:hint="default" w:ascii="Times New Roman" w:hAnsi="Times New Roman" w:eastAsia="Times New Roman" w:cs="Times New Roman"/>
        <w:spacing w:val="-8"/>
        <w:w w:val="97"/>
        <w:sz w:val="24"/>
        <w:szCs w:val="24"/>
        <w:lang w:val="en-US" w:eastAsia="en-US" w:bidi="ar-SA"/>
      </w:rPr>
    </w:lvl>
    <w:lvl w:ilvl="1">
      <w:start w:val="0"/>
      <w:numFmt w:val="bullet"/>
      <w:lvlText w:val="•"/>
      <w:lvlJc w:val="left"/>
      <w:pPr>
        <w:ind w:left="1886" w:hanging="852"/>
      </w:pPr>
      <w:rPr>
        <w:rFonts w:hint="default"/>
        <w:lang w:val="en-US" w:eastAsia="en-US" w:bidi="ar-SA"/>
      </w:rPr>
    </w:lvl>
    <w:lvl w:ilvl="2">
      <w:start w:val="0"/>
      <w:numFmt w:val="bullet"/>
      <w:lvlText w:val="•"/>
      <w:lvlJc w:val="left"/>
      <w:pPr>
        <w:ind w:left="2672" w:hanging="852"/>
      </w:pPr>
      <w:rPr>
        <w:rFonts w:hint="default"/>
        <w:lang w:val="en-US" w:eastAsia="en-US" w:bidi="ar-SA"/>
      </w:rPr>
    </w:lvl>
    <w:lvl w:ilvl="3">
      <w:start w:val="0"/>
      <w:numFmt w:val="bullet"/>
      <w:lvlText w:val="•"/>
      <w:lvlJc w:val="left"/>
      <w:pPr>
        <w:ind w:left="3458" w:hanging="852"/>
      </w:pPr>
      <w:rPr>
        <w:rFonts w:hint="default"/>
        <w:lang w:val="en-US" w:eastAsia="en-US" w:bidi="ar-SA"/>
      </w:rPr>
    </w:lvl>
    <w:lvl w:ilvl="4">
      <w:start w:val="0"/>
      <w:numFmt w:val="bullet"/>
      <w:lvlText w:val="•"/>
      <w:lvlJc w:val="left"/>
      <w:pPr>
        <w:ind w:left="4244" w:hanging="852"/>
      </w:pPr>
      <w:rPr>
        <w:rFonts w:hint="default"/>
        <w:lang w:val="en-US" w:eastAsia="en-US" w:bidi="ar-SA"/>
      </w:rPr>
    </w:lvl>
    <w:lvl w:ilvl="5">
      <w:start w:val="0"/>
      <w:numFmt w:val="bullet"/>
      <w:lvlText w:val="•"/>
      <w:lvlJc w:val="left"/>
      <w:pPr>
        <w:ind w:left="5030" w:hanging="852"/>
      </w:pPr>
      <w:rPr>
        <w:rFonts w:hint="default"/>
        <w:lang w:val="en-US" w:eastAsia="en-US" w:bidi="ar-SA"/>
      </w:rPr>
    </w:lvl>
    <w:lvl w:ilvl="6">
      <w:start w:val="0"/>
      <w:numFmt w:val="bullet"/>
      <w:lvlText w:val="•"/>
      <w:lvlJc w:val="left"/>
      <w:pPr>
        <w:ind w:left="5816" w:hanging="852"/>
      </w:pPr>
      <w:rPr>
        <w:rFonts w:hint="default"/>
        <w:lang w:val="en-US" w:eastAsia="en-US" w:bidi="ar-SA"/>
      </w:rPr>
    </w:lvl>
    <w:lvl w:ilvl="7">
      <w:start w:val="0"/>
      <w:numFmt w:val="bullet"/>
      <w:lvlText w:val="•"/>
      <w:lvlJc w:val="left"/>
      <w:pPr>
        <w:ind w:left="6602" w:hanging="852"/>
      </w:pPr>
      <w:rPr>
        <w:rFonts w:hint="default"/>
        <w:lang w:val="en-US" w:eastAsia="en-US" w:bidi="ar-SA"/>
      </w:rPr>
    </w:lvl>
    <w:lvl w:ilvl="8">
      <w:start w:val="0"/>
      <w:numFmt w:val="bullet"/>
      <w:lvlText w:val="•"/>
      <w:lvlJc w:val="left"/>
      <w:pPr>
        <w:ind w:left="7388" w:hanging="852"/>
      </w:pPr>
      <w:rPr>
        <w:rFonts w:hint="default"/>
        <w:lang w:val="en-US" w:eastAsia="en-US" w:bidi="ar-SA"/>
      </w:rPr>
    </w:lvl>
  </w:abstractNum>
  <w:abstractNum w:abstractNumId="2">
    <w:multiLevelType w:val="hybridMultilevel"/>
    <w:lvl w:ilvl="0">
      <w:start w:val="5"/>
      <w:numFmt w:val="decimal"/>
      <w:lvlText w:val="(%1)"/>
      <w:lvlJc w:val="left"/>
      <w:pPr>
        <w:ind w:left="1097" w:hanging="852"/>
        <w:jc w:val="left"/>
      </w:pPr>
      <w:rPr>
        <w:rFonts w:hint="default" w:ascii="Times New Roman" w:hAnsi="Times New Roman" w:eastAsia="Times New Roman" w:cs="Times New Roman"/>
        <w:spacing w:val="-7"/>
        <w:w w:val="95"/>
        <w:sz w:val="24"/>
        <w:szCs w:val="24"/>
        <w:lang w:val="en-US" w:eastAsia="en-US" w:bidi="ar-SA"/>
      </w:rPr>
    </w:lvl>
    <w:lvl w:ilvl="1">
      <w:start w:val="0"/>
      <w:numFmt w:val="bullet"/>
      <w:lvlText w:val="•"/>
      <w:lvlJc w:val="left"/>
      <w:pPr>
        <w:ind w:left="1100" w:hanging="852"/>
      </w:pPr>
      <w:rPr>
        <w:rFonts w:hint="default"/>
        <w:lang w:val="en-US" w:eastAsia="en-US" w:bidi="ar-SA"/>
      </w:rPr>
    </w:lvl>
    <w:lvl w:ilvl="2">
      <w:start w:val="0"/>
      <w:numFmt w:val="bullet"/>
      <w:lvlText w:val="•"/>
      <w:lvlJc w:val="left"/>
      <w:pPr>
        <w:ind w:left="3500" w:hanging="852"/>
      </w:pPr>
      <w:rPr>
        <w:rFonts w:hint="default"/>
        <w:lang w:val="en-US" w:eastAsia="en-US" w:bidi="ar-SA"/>
      </w:rPr>
    </w:lvl>
    <w:lvl w:ilvl="3">
      <w:start w:val="0"/>
      <w:numFmt w:val="bullet"/>
      <w:lvlText w:val="•"/>
      <w:lvlJc w:val="left"/>
      <w:pPr>
        <w:ind w:left="2993" w:hanging="852"/>
      </w:pPr>
      <w:rPr>
        <w:rFonts w:hint="default"/>
        <w:lang w:val="en-US" w:eastAsia="en-US" w:bidi="ar-SA"/>
      </w:rPr>
    </w:lvl>
    <w:lvl w:ilvl="4">
      <w:start w:val="0"/>
      <w:numFmt w:val="bullet"/>
      <w:lvlText w:val="•"/>
      <w:lvlJc w:val="left"/>
      <w:pPr>
        <w:ind w:left="2487" w:hanging="852"/>
      </w:pPr>
      <w:rPr>
        <w:rFonts w:hint="default"/>
        <w:lang w:val="en-US" w:eastAsia="en-US" w:bidi="ar-SA"/>
      </w:rPr>
    </w:lvl>
    <w:lvl w:ilvl="5">
      <w:start w:val="0"/>
      <w:numFmt w:val="bullet"/>
      <w:lvlText w:val="•"/>
      <w:lvlJc w:val="left"/>
      <w:pPr>
        <w:ind w:left="1980" w:hanging="852"/>
      </w:pPr>
      <w:rPr>
        <w:rFonts w:hint="default"/>
        <w:lang w:val="en-US" w:eastAsia="en-US" w:bidi="ar-SA"/>
      </w:rPr>
    </w:lvl>
    <w:lvl w:ilvl="6">
      <w:start w:val="0"/>
      <w:numFmt w:val="bullet"/>
      <w:lvlText w:val="•"/>
      <w:lvlJc w:val="left"/>
      <w:pPr>
        <w:ind w:left="1474" w:hanging="852"/>
      </w:pPr>
      <w:rPr>
        <w:rFonts w:hint="default"/>
        <w:lang w:val="en-US" w:eastAsia="en-US" w:bidi="ar-SA"/>
      </w:rPr>
    </w:lvl>
    <w:lvl w:ilvl="7">
      <w:start w:val="0"/>
      <w:numFmt w:val="bullet"/>
      <w:lvlText w:val="•"/>
      <w:lvlJc w:val="left"/>
      <w:pPr>
        <w:ind w:left="967" w:hanging="852"/>
      </w:pPr>
      <w:rPr>
        <w:rFonts w:hint="default"/>
        <w:lang w:val="en-US" w:eastAsia="en-US" w:bidi="ar-SA"/>
      </w:rPr>
    </w:lvl>
    <w:lvl w:ilvl="8">
      <w:start w:val="0"/>
      <w:numFmt w:val="bullet"/>
      <w:lvlText w:val="•"/>
      <w:lvlJc w:val="left"/>
      <w:pPr>
        <w:ind w:left="461" w:hanging="852"/>
      </w:pPr>
      <w:rPr>
        <w:rFonts w:hint="default"/>
        <w:lang w:val="en-US" w:eastAsia="en-US" w:bidi="ar-SA"/>
      </w:rPr>
    </w:lvl>
  </w:abstractNum>
  <w:abstractNum w:abstractNumId="1">
    <w:multiLevelType w:val="hybridMultilevel"/>
    <w:lvl w:ilvl="0">
      <w:start w:val="1"/>
      <w:numFmt w:val="decimal"/>
      <w:lvlText w:val="(%1)"/>
      <w:lvlJc w:val="left"/>
      <w:pPr>
        <w:ind w:left="1097" w:hanging="852"/>
        <w:jc w:val="left"/>
      </w:pPr>
      <w:rPr>
        <w:rFonts w:hint="default" w:ascii="Times New Roman" w:hAnsi="Times New Roman" w:eastAsia="Times New Roman" w:cs="Times New Roman"/>
        <w:spacing w:val="-4"/>
        <w:w w:val="88"/>
        <w:sz w:val="24"/>
        <w:szCs w:val="24"/>
        <w:lang w:val="en-US" w:eastAsia="en-US" w:bidi="ar-SA"/>
      </w:rPr>
    </w:lvl>
    <w:lvl w:ilvl="1">
      <w:start w:val="0"/>
      <w:numFmt w:val="bullet"/>
      <w:lvlText w:val="•"/>
      <w:lvlJc w:val="left"/>
      <w:pPr>
        <w:ind w:left="1886" w:hanging="852"/>
      </w:pPr>
      <w:rPr>
        <w:rFonts w:hint="default"/>
        <w:lang w:val="en-US" w:eastAsia="en-US" w:bidi="ar-SA"/>
      </w:rPr>
    </w:lvl>
    <w:lvl w:ilvl="2">
      <w:start w:val="0"/>
      <w:numFmt w:val="bullet"/>
      <w:lvlText w:val="•"/>
      <w:lvlJc w:val="left"/>
      <w:pPr>
        <w:ind w:left="2672" w:hanging="852"/>
      </w:pPr>
      <w:rPr>
        <w:rFonts w:hint="default"/>
        <w:lang w:val="en-US" w:eastAsia="en-US" w:bidi="ar-SA"/>
      </w:rPr>
    </w:lvl>
    <w:lvl w:ilvl="3">
      <w:start w:val="0"/>
      <w:numFmt w:val="bullet"/>
      <w:lvlText w:val="•"/>
      <w:lvlJc w:val="left"/>
      <w:pPr>
        <w:ind w:left="3458" w:hanging="852"/>
      </w:pPr>
      <w:rPr>
        <w:rFonts w:hint="default"/>
        <w:lang w:val="en-US" w:eastAsia="en-US" w:bidi="ar-SA"/>
      </w:rPr>
    </w:lvl>
    <w:lvl w:ilvl="4">
      <w:start w:val="0"/>
      <w:numFmt w:val="bullet"/>
      <w:lvlText w:val="•"/>
      <w:lvlJc w:val="left"/>
      <w:pPr>
        <w:ind w:left="4244" w:hanging="852"/>
      </w:pPr>
      <w:rPr>
        <w:rFonts w:hint="default"/>
        <w:lang w:val="en-US" w:eastAsia="en-US" w:bidi="ar-SA"/>
      </w:rPr>
    </w:lvl>
    <w:lvl w:ilvl="5">
      <w:start w:val="0"/>
      <w:numFmt w:val="bullet"/>
      <w:lvlText w:val="•"/>
      <w:lvlJc w:val="left"/>
      <w:pPr>
        <w:ind w:left="5030" w:hanging="852"/>
      </w:pPr>
      <w:rPr>
        <w:rFonts w:hint="default"/>
        <w:lang w:val="en-US" w:eastAsia="en-US" w:bidi="ar-SA"/>
      </w:rPr>
    </w:lvl>
    <w:lvl w:ilvl="6">
      <w:start w:val="0"/>
      <w:numFmt w:val="bullet"/>
      <w:lvlText w:val="•"/>
      <w:lvlJc w:val="left"/>
      <w:pPr>
        <w:ind w:left="5816" w:hanging="852"/>
      </w:pPr>
      <w:rPr>
        <w:rFonts w:hint="default"/>
        <w:lang w:val="en-US" w:eastAsia="en-US" w:bidi="ar-SA"/>
      </w:rPr>
    </w:lvl>
    <w:lvl w:ilvl="7">
      <w:start w:val="0"/>
      <w:numFmt w:val="bullet"/>
      <w:lvlText w:val="•"/>
      <w:lvlJc w:val="left"/>
      <w:pPr>
        <w:ind w:left="6602" w:hanging="852"/>
      </w:pPr>
      <w:rPr>
        <w:rFonts w:hint="default"/>
        <w:lang w:val="en-US" w:eastAsia="en-US" w:bidi="ar-SA"/>
      </w:rPr>
    </w:lvl>
    <w:lvl w:ilvl="8">
      <w:start w:val="0"/>
      <w:numFmt w:val="bullet"/>
      <w:lvlText w:val="•"/>
      <w:lvlJc w:val="left"/>
      <w:pPr>
        <w:ind w:left="7388" w:hanging="852"/>
      </w:pPr>
      <w:rPr>
        <w:rFonts w:hint="default"/>
        <w:lang w:val="en-US" w:eastAsia="en-US" w:bidi="ar-SA"/>
      </w:rPr>
    </w:lvl>
  </w:abstractNum>
  <w:abstractNum w:abstractNumId="0">
    <w:multiLevelType w:val="hybridMultilevel"/>
    <w:lvl w:ilvl="0">
      <w:start w:val="1"/>
      <w:numFmt w:val="decimal"/>
      <w:lvlText w:val="%1"/>
      <w:lvlJc w:val="left"/>
      <w:pPr>
        <w:ind w:left="965" w:hanging="720"/>
        <w:jc w:val="left"/>
      </w:pPr>
      <w:rPr>
        <w:rFonts w:hint="default"/>
        <w:b/>
        <w:bCs/>
        <w:w w:val="100"/>
        <w:lang w:val="en-US" w:eastAsia="en-US" w:bidi="ar-SA"/>
      </w:rPr>
    </w:lvl>
    <w:lvl w:ilvl="1">
      <w:start w:val="1"/>
      <w:numFmt w:val="decimal"/>
      <w:lvlText w:val="%1.%2"/>
      <w:lvlJc w:val="left"/>
      <w:pPr>
        <w:ind w:left="964" w:hanging="720"/>
        <w:jc w:val="left"/>
      </w:pPr>
      <w:rPr>
        <w:rFonts w:hint="default" w:ascii="Times New Roman" w:hAnsi="Times New Roman" w:eastAsia="Times New Roman" w:cs="Times New Roman"/>
        <w:b/>
        <w:bCs/>
        <w:spacing w:val="-1"/>
        <w:w w:val="100"/>
        <w:sz w:val="24"/>
        <w:szCs w:val="24"/>
        <w:lang w:val="en-US" w:eastAsia="en-US" w:bidi="ar-SA"/>
      </w:rPr>
    </w:lvl>
    <w:lvl w:ilvl="2">
      <w:start w:val="0"/>
      <w:numFmt w:val="bullet"/>
      <w:lvlText w:val="•"/>
      <w:lvlJc w:val="left"/>
      <w:pPr>
        <w:ind w:left="2560" w:hanging="720"/>
      </w:pPr>
      <w:rPr>
        <w:rFonts w:hint="default"/>
        <w:lang w:val="en-US" w:eastAsia="en-US" w:bidi="ar-SA"/>
      </w:rPr>
    </w:lvl>
    <w:lvl w:ilvl="3">
      <w:start w:val="0"/>
      <w:numFmt w:val="bullet"/>
      <w:lvlText w:val="•"/>
      <w:lvlJc w:val="left"/>
      <w:pPr>
        <w:ind w:left="3360" w:hanging="720"/>
      </w:pPr>
      <w:rPr>
        <w:rFonts w:hint="default"/>
        <w:lang w:val="en-US" w:eastAsia="en-US" w:bidi="ar-SA"/>
      </w:rPr>
    </w:lvl>
    <w:lvl w:ilvl="4">
      <w:start w:val="0"/>
      <w:numFmt w:val="bullet"/>
      <w:lvlText w:val="•"/>
      <w:lvlJc w:val="left"/>
      <w:pPr>
        <w:ind w:left="4160" w:hanging="720"/>
      </w:pPr>
      <w:rPr>
        <w:rFonts w:hint="default"/>
        <w:lang w:val="en-US" w:eastAsia="en-US" w:bidi="ar-SA"/>
      </w:rPr>
    </w:lvl>
    <w:lvl w:ilvl="5">
      <w:start w:val="0"/>
      <w:numFmt w:val="bullet"/>
      <w:lvlText w:val="•"/>
      <w:lvlJc w:val="left"/>
      <w:pPr>
        <w:ind w:left="4960" w:hanging="720"/>
      </w:pPr>
      <w:rPr>
        <w:rFonts w:hint="default"/>
        <w:lang w:val="en-US" w:eastAsia="en-US" w:bidi="ar-SA"/>
      </w:rPr>
    </w:lvl>
    <w:lvl w:ilvl="6">
      <w:start w:val="0"/>
      <w:numFmt w:val="bullet"/>
      <w:lvlText w:val="•"/>
      <w:lvlJc w:val="left"/>
      <w:pPr>
        <w:ind w:left="5760" w:hanging="720"/>
      </w:pPr>
      <w:rPr>
        <w:rFonts w:hint="default"/>
        <w:lang w:val="en-US" w:eastAsia="en-US" w:bidi="ar-SA"/>
      </w:rPr>
    </w:lvl>
    <w:lvl w:ilvl="7">
      <w:start w:val="0"/>
      <w:numFmt w:val="bullet"/>
      <w:lvlText w:val="•"/>
      <w:lvlJc w:val="left"/>
      <w:pPr>
        <w:ind w:left="6560" w:hanging="720"/>
      </w:pPr>
      <w:rPr>
        <w:rFonts w:hint="default"/>
        <w:lang w:val="en-US" w:eastAsia="en-US" w:bidi="ar-SA"/>
      </w:rPr>
    </w:lvl>
    <w:lvl w:ilvl="8">
      <w:start w:val="0"/>
      <w:numFmt w:val="bullet"/>
      <w:lvlText w:val="•"/>
      <w:lvlJc w:val="left"/>
      <w:pPr>
        <w:ind w:left="7360" w:hanging="72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336"/>
      <w:ind w:left="413"/>
      <w:outlineLvl w:val="1"/>
    </w:pPr>
    <w:rPr>
      <w:rFonts w:ascii="Times New Roman" w:hAnsi="Times New Roman" w:eastAsia="Times New Roman" w:cs="Times New Roman"/>
      <w:sz w:val="38"/>
      <w:szCs w:val="38"/>
      <w:lang w:val="en-US" w:eastAsia="en-US" w:bidi="ar-SA"/>
    </w:rPr>
  </w:style>
  <w:style w:styleId="Heading2" w:type="paragraph">
    <w:name w:val="Heading 2"/>
    <w:basedOn w:val="Normal"/>
    <w:uiPriority w:val="1"/>
    <w:qFormat/>
    <w:pPr>
      <w:spacing w:before="58"/>
      <w:ind w:left="245"/>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spacing w:before="82"/>
      <w:ind w:left="423"/>
      <w:outlineLvl w:val="3"/>
    </w:pPr>
    <w:rPr>
      <w:rFonts w:ascii="Times New Roman" w:hAnsi="Times New Roman" w:eastAsia="Times New Roman" w:cs="Times New Roman"/>
      <w:b/>
      <w:bCs/>
      <w:sz w:val="35"/>
      <w:szCs w:val="35"/>
      <w:lang w:val="en-US" w:eastAsia="en-US" w:bidi="ar-SA"/>
    </w:rPr>
  </w:style>
  <w:style w:styleId="Heading4" w:type="paragraph">
    <w:name w:val="Heading 4"/>
    <w:basedOn w:val="Normal"/>
    <w:uiPriority w:val="1"/>
    <w:qFormat/>
    <w:pPr>
      <w:spacing w:before="128"/>
      <w:ind w:left="141"/>
      <w:outlineLvl w:val="4"/>
    </w:pPr>
    <w:rPr>
      <w:rFonts w:ascii="Times New Roman" w:hAnsi="Times New Roman" w:eastAsia="Times New Roman" w:cs="Times New Roman"/>
      <w:b/>
      <w:bCs/>
      <w:sz w:val="31"/>
      <w:szCs w:val="31"/>
      <w:lang w:val="en-US" w:eastAsia="en-US" w:bidi="ar-SA"/>
    </w:rPr>
  </w:style>
  <w:style w:styleId="Heading5" w:type="paragraph">
    <w:name w:val="Heading 5"/>
    <w:basedOn w:val="Normal"/>
    <w:uiPriority w:val="1"/>
    <w:qFormat/>
    <w:pPr>
      <w:ind w:left="396"/>
      <w:outlineLvl w:val="5"/>
    </w:pPr>
    <w:rPr>
      <w:rFonts w:ascii="Times New Roman" w:hAnsi="Times New Roman" w:eastAsia="Times New Roman" w:cs="Times New Roman"/>
      <w:b/>
      <w:bCs/>
      <w:sz w:val="30"/>
      <w:szCs w:val="30"/>
      <w:lang w:val="en-US" w:eastAsia="en-US" w:bidi="ar-SA"/>
    </w:rPr>
  </w:style>
  <w:style w:styleId="Heading6" w:type="paragraph">
    <w:name w:val="Heading 6"/>
    <w:basedOn w:val="Normal"/>
    <w:uiPriority w:val="1"/>
    <w:qFormat/>
    <w:pPr>
      <w:spacing w:before="78"/>
      <w:ind w:left="245"/>
      <w:outlineLvl w:val="6"/>
    </w:pPr>
    <w:rPr>
      <w:rFonts w:ascii="Times New Roman" w:hAnsi="Times New Roman" w:eastAsia="Times New Roman" w:cs="Times New Roman"/>
      <w:b/>
      <w:bCs/>
      <w:sz w:val="28"/>
      <w:szCs w:val="28"/>
      <w:lang w:val="en-US" w:eastAsia="en-US" w:bidi="ar-SA"/>
    </w:rPr>
  </w:style>
  <w:style w:styleId="Heading7" w:type="paragraph">
    <w:name w:val="Heading 7"/>
    <w:basedOn w:val="Normal"/>
    <w:uiPriority w:val="1"/>
    <w:qFormat/>
    <w:pPr>
      <w:spacing w:before="249"/>
      <w:ind w:left="552"/>
      <w:outlineLvl w:val="7"/>
    </w:pPr>
    <w:rPr>
      <w:rFonts w:ascii="Times New Roman" w:hAnsi="Times New Roman" w:eastAsia="Times New Roman" w:cs="Times New Roman"/>
      <w:sz w:val="28"/>
      <w:szCs w:val="28"/>
      <w:lang w:val="en-US" w:eastAsia="en-US" w:bidi="ar-SA"/>
    </w:rPr>
  </w:style>
  <w:style w:styleId="Heading8" w:type="paragraph">
    <w:name w:val="Heading 8"/>
    <w:basedOn w:val="Normal"/>
    <w:uiPriority w:val="1"/>
    <w:qFormat/>
    <w:pPr>
      <w:spacing w:before="73"/>
      <w:outlineLvl w:val="8"/>
    </w:pPr>
    <w:rPr>
      <w:rFonts w:ascii="Times New Roman" w:hAnsi="Times New Roman" w:eastAsia="Times New Roman" w:cs="Times New Roman"/>
      <w:sz w:val="26"/>
      <w:szCs w:val="26"/>
      <w:lang w:val="en-US" w:eastAsia="en-US" w:bidi="ar-SA"/>
    </w:rPr>
  </w:style>
  <w:style w:styleId="Heading9" w:type="paragraph">
    <w:name w:val="Heading 9"/>
    <w:basedOn w:val="Normal"/>
    <w:uiPriority w:val="1"/>
    <w:qFormat/>
    <w:pPr>
      <w:spacing w:before="37"/>
      <w:ind w:left="706"/>
      <w:outlineLvl w:val="9"/>
    </w:pPr>
    <w:rPr>
      <w:rFonts w:ascii="Times New Roman" w:hAnsi="Times New Roman" w:eastAsia="Times New Roman" w:cs="Times New Roman"/>
      <w:sz w:val="25"/>
      <w:szCs w:val="25"/>
      <w:lang w:val="en-US" w:eastAsia="en-US" w:bidi="ar-SA"/>
    </w:rPr>
  </w:style>
  <w:style w:styleId="ListParagraph" w:type="paragraph">
    <w:name w:val="List Paragraph"/>
    <w:basedOn w:val="Normal"/>
    <w:uiPriority w:val="1"/>
    <w:qFormat/>
    <w:pPr>
      <w:ind w:left="1097" w:hanging="8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 at the BIS on 29 March 2003</dc:subject>
  <dc:title>Asset Prices, Financial Imbalances and Monetary Policy: Are Inflation Targets Enough?</dc:title>
  <dcterms:created xsi:type="dcterms:W3CDTF">2020-06-02T20:06:48Z</dcterms:created>
  <dcterms:modified xsi:type="dcterms:W3CDTF">2020-06-02T20:06:48Z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2003-03-28T00:00:00Z</vt:filetime>
  </property>
  <property fmtid="{D5CDD505-2E9C-101B-9397-08002B2CF9AE}" pid="3" name="Creator">
    <vt:lpwstr>AdobePS5.dll Version 5.2</vt:lpwstr>
  </property>
  <property fmtid="{D5CDD505-2E9C-101B-9397-08002B2CF9AE}" pid="4" name="LastSaved">
    <vt:filetime>2020-06-02T00:00:00Z</vt:filetime>
  </property>
</Properties>
</file>