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1"/>
        </w:rPr>
      </w:pPr>
    </w:p>
    <w:p>
      <w:pPr>
        <w:spacing w:before="1"/>
        <w:ind w:left="2085" w:right="2502" w:firstLine="0"/>
        <w:jc w:val="center"/>
        <w:rPr>
          <w:sz w:val="21"/>
        </w:rPr>
      </w:pPr>
      <w:r>
        <w:rPr>
          <w:sz w:val="21"/>
        </w:rPr>
        <w:t>Speech by</w:t>
      </w:r>
    </w:p>
    <w:p>
      <w:pPr>
        <w:pStyle w:val="BodyText"/>
        <w:rPr>
          <w:sz w:val="24"/>
        </w:rPr>
      </w:pPr>
    </w:p>
    <w:p>
      <w:pPr>
        <w:pStyle w:val="BodyText"/>
        <w:rPr>
          <w:sz w:val="24"/>
        </w:rPr>
      </w:pPr>
    </w:p>
    <w:p>
      <w:pPr>
        <w:pStyle w:val="BodyText"/>
        <w:rPr>
          <w:sz w:val="24"/>
        </w:rPr>
      </w:pPr>
    </w:p>
    <w:p>
      <w:pPr>
        <w:pStyle w:val="BodyText"/>
        <w:spacing w:before="6"/>
        <w:rPr>
          <w:sz w:val="35"/>
        </w:rPr>
      </w:pPr>
    </w:p>
    <w:p>
      <w:pPr>
        <w:spacing w:before="0"/>
        <w:ind w:left="2087" w:right="2502" w:firstLine="0"/>
        <w:jc w:val="center"/>
        <w:rPr>
          <w:b/>
          <w:sz w:val="21"/>
        </w:rPr>
      </w:pPr>
      <w:r>
        <w:rPr>
          <w:b/>
          <w:sz w:val="21"/>
        </w:rPr>
        <w:t>MERVYN KING</w:t>
      </w:r>
    </w:p>
    <w:p>
      <w:pPr>
        <w:spacing w:before="3"/>
        <w:ind w:left="2086" w:right="2502" w:firstLine="0"/>
        <w:jc w:val="center"/>
        <w:rPr>
          <w:b/>
          <w:sz w:val="21"/>
        </w:rPr>
      </w:pPr>
      <w:r>
        <w:rPr>
          <w:b/>
          <w:sz w:val="21"/>
        </w:rPr>
        <w:t>GOVERNOR OF THE BANK OF ENGLAND</w:t>
      </w:r>
    </w:p>
    <w:p>
      <w:pPr>
        <w:pStyle w:val="BodyText"/>
        <w:rPr>
          <w:b/>
          <w:sz w:val="24"/>
        </w:rPr>
      </w:pPr>
    </w:p>
    <w:p>
      <w:pPr>
        <w:pStyle w:val="BodyText"/>
        <w:rPr>
          <w:b/>
          <w:sz w:val="24"/>
        </w:rPr>
      </w:pPr>
    </w:p>
    <w:p>
      <w:pPr>
        <w:pStyle w:val="BodyText"/>
        <w:rPr>
          <w:b/>
          <w:sz w:val="24"/>
        </w:rPr>
      </w:pPr>
    </w:p>
    <w:p>
      <w:pPr>
        <w:pStyle w:val="BodyText"/>
        <w:rPr>
          <w:b/>
          <w:sz w:val="24"/>
        </w:rPr>
      </w:pPr>
    </w:p>
    <w:p>
      <w:pPr>
        <w:pStyle w:val="BodyText"/>
        <w:spacing w:before="8"/>
        <w:rPr>
          <w:b/>
          <w:sz w:val="32"/>
        </w:rPr>
      </w:pPr>
    </w:p>
    <w:p>
      <w:pPr>
        <w:spacing w:line="244" w:lineRule="auto" w:before="0"/>
        <w:ind w:left="2087" w:right="2502" w:firstLine="0"/>
        <w:jc w:val="center"/>
        <w:rPr>
          <w:sz w:val="21"/>
        </w:rPr>
      </w:pPr>
      <w:r>
        <w:rPr>
          <w:sz w:val="21"/>
        </w:rPr>
        <w:t>“Banking: From Bagehot to Basel, and Back Again” The Second Bagehot Lecture</w:t>
      </w:r>
    </w:p>
    <w:p>
      <w:pPr>
        <w:spacing w:line="241" w:lineRule="exact" w:before="0"/>
        <w:ind w:left="2086" w:right="2502" w:firstLine="0"/>
        <w:jc w:val="center"/>
        <w:rPr>
          <w:sz w:val="21"/>
        </w:rPr>
      </w:pPr>
      <w:r>
        <w:rPr>
          <w:sz w:val="21"/>
        </w:rPr>
        <w:t>Buttonwood Gathering, New York City</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1"/>
        <w:rPr>
          <w:sz w:val="30"/>
        </w:rPr>
      </w:pPr>
    </w:p>
    <w:p>
      <w:pPr>
        <w:spacing w:before="1"/>
        <w:ind w:left="2087" w:right="2499" w:firstLine="0"/>
        <w:jc w:val="center"/>
        <w:rPr>
          <w:sz w:val="21"/>
        </w:rPr>
      </w:pPr>
      <w:r>
        <w:rPr>
          <w:sz w:val="21"/>
        </w:rPr>
        <w:t>on Monday 25 October 2010</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2"/>
        <w:rPr>
          <w:sz w:val="28"/>
        </w:rPr>
      </w:pPr>
    </w:p>
    <w:p>
      <w:pPr>
        <w:pStyle w:val="BodyText"/>
        <w:spacing w:line="242" w:lineRule="auto"/>
        <w:ind w:left="110" w:right="671"/>
      </w:pPr>
      <w:r>
        <w:rPr/>
        <w:t>I am indebted to Stephen Burgess, Philip Evans, Andy Haldane, Andrew Hauser, Vicky Saporta, Jenny Scott, Paul Tucker and especially to Iain de Weymarn for their useful comments and suggestions on earlier drafts.</w:t>
      </w:r>
    </w:p>
    <w:p>
      <w:pPr>
        <w:spacing w:after="0" w:line="242" w:lineRule="auto"/>
        <w:sectPr>
          <w:type w:val="continuous"/>
          <w:pgSz w:w="11900" w:h="16840"/>
          <w:pgMar w:top="1600" w:bottom="280" w:left="1640" w:right="1220"/>
        </w:sectPr>
      </w:pPr>
    </w:p>
    <w:p>
      <w:pPr>
        <w:pStyle w:val="BodyText"/>
        <w:rPr>
          <w:sz w:val="20"/>
        </w:rPr>
      </w:pPr>
    </w:p>
    <w:p>
      <w:pPr>
        <w:pStyle w:val="BodyText"/>
        <w:rPr>
          <w:sz w:val="20"/>
        </w:rPr>
      </w:pPr>
    </w:p>
    <w:p>
      <w:pPr>
        <w:pStyle w:val="BodyText"/>
        <w:rPr>
          <w:sz w:val="20"/>
        </w:rPr>
      </w:pPr>
    </w:p>
    <w:p>
      <w:pPr>
        <w:pStyle w:val="BodyText"/>
        <w:spacing w:before="6"/>
      </w:pPr>
    </w:p>
    <w:p>
      <w:pPr>
        <w:pStyle w:val="Heading1"/>
        <w:numPr>
          <w:ilvl w:val="0"/>
          <w:numId w:val="1"/>
        </w:numPr>
        <w:tabs>
          <w:tab w:pos="441" w:val="left" w:leader="none"/>
        </w:tabs>
        <w:spacing w:line="240" w:lineRule="auto" w:before="94" w:after="0"/>
        <w:ind w:left="440" w:right="0" w:hanging="331"/>
        <w:jc w:val="left"/>
      </w:pPr>
      <w:r>
        <w:rPr/>
        <w:t>Introduction</w:t>
      </w:r>
    </w:p>
    <w:p>
      <w:pPr>
        <w:pStyle w:val="BodyText"/>
        <w:rPr>
          <w:b/>
          <w:sz w:val="26"/>
        </w:rPr>
      </w:pPr>
    </w:p>
    <w:p>
      <w:pPr>
        <w:pStyle w:val="BodyText"/>
        <w:spacing w:before="9"/>
        <w:rPr>
          <w:b/>
          <w:sz w:val="20"/>
        </w:rPr>
      </w:pPr>
    </w:p>
    <w:p>
      <w:pPr>
        <w:pStyle w:val="BodyText"/>
        <w:spacing w:line="364" w:lineRule="auto"/>
        <w:ind w:left="110" w:right="625"/>
      </w:pPr>
      <w:r>
        <w:rPr/>
        <w:t>Walter Bagehot was a brilliant observer and writer on contemporary economic and financial matters. In his remarkable book </w:t>
      </w:r>
      <w:r>
        <w:rPr>
          <w:i/>
        </w:rPr>
        <w:t>Lombard Street</w:t>
      </w:r>
      <w:r>
        <w:rPr/>
        <w:t>, Bagehot brought together his own observations with the analysis of earlier thinkers such as Henry Thornton to provide  a critique of central banking as practised by the Bank of England and a manifesto for how central banks could handle financial crises in future by acting as a lender of last</w:t>
      </w:r>
      <w:r>
        <w:rPr>
          <w:spacing w:val="54"/>
        </w:rPr>
        <w:t> </w:t>
      </w:r>
      <w:r>
        <w:rPr/>
        <w:t>resort.</w:t>
      </w:r>
    </w:p>
    <w:p>
      <w:pPr>
        <w:pStyle w:val="BodyText"/>
        <w:spacing w:line="364" w:lineRule="auto" w:before="2"/>
        <w:ind w:left="110" w:right="671"/>
      </w:pPr>
      <w:r>
        <w:rPr/>
        <w:t>The present financial crisis dwarfs any of those witnessed by Bagehot. What lessons can we draw from recent and current experience to update Bagehot’s vision of finance and central banking?</w:t>
      </w:r>
    </w:p>
    <w:p>
      <w:pPr>
        <w:pStyle w:val="BodyText"/>
        <w:spacing w:before="2"/>
        <w:rPr>
          <w:sz w:val="35"/>
        </w:rPr>
      </w:pPr>
    </w:p>
    <w:p>
      <w:pPr>
        <w:pStyle w:val="BodyText"/>
        <w:spacing w:line="364" w:lineRule="auto"/>
        <w:ind w:left="110" w:right="664"/>
      </w:pPr>
      <w:r>
        <w:rPr/>
        <w:t>Surely the most important lesson from the financial crisis is the importance of a resilient and robust banking system. The countries most affected by the banking crisis have experienced the worst economic crisis since the 1930s.  Output is somewhere between   5% and 10% below where it would have been had there not been a crisis. Unemployment is up, businesses have closed, and the direct and indirect costs to the taxpayer have resulted in fiscal deficits in several countries of over 10% of GDP – the largest peacetime deficits</w:t>
      </w:r>
      <w:r>
        <w:rPr>
          <w:spacing w:val="-1"/>
        </w:rPr>
        <w:t> </w:t>
      </w:r>
      <w:r>
        <w:rPr/>
        <w:t>ever.</w:t>
      </w:r>
    </w:p>
    <w:p>
      <w:pPr>
        <w:pStyle w:val="BodyText"/>
        <w:spacing w:before="4"/>
        <w:rPr>
          <w:sz w:val="35"/>
        </w:rPr>
      </w:pPr>
    </w:p>
    <w:p>
      <w:pPr>
        <w:pStyle w:val="BodyText"/>
        <w:spacing w:line="364" w:lineRule="auto" w:before="1"/>
        <w:ind w:left="110" w:right="671"/>
      </w:pPr>
      <w:r>
        <w:rPr/>
        <w:t>At the heart of this crisis was the expansion and subsequent contraction of the balance sheet of the banking system. Other parts of the financial system in general functioned normally. And we saw in 1987 and again in the early 2000s, that a sharp fall in equity values did not cause the same damage as did the banking crisis. Equity markets provide a natural safety valve, and when they suffer sharp falls, economic policy can respond. But when the banking system failed in September 2008, not even massive injections of both liquidity and capital by the state could prevent a devastating collapse of confidence and output around the world.  So it is imperative that we find an answer to the question of   how to make our banking system more</w:t>
      </w:r>
      <w:r>
        <w:rPr>
          <w:spacing w:val="7"/>
        </w:rPr>
        <w:t> </w:t>
      </w:r>
      <w:r>
        <w:rPr/>
        <w:t>stable.</w:t>
      </w:r>
    </w:p>
    <w:p>
      <w:pPr>
        <w:spacing w:after="0" w:line="364" w:lineRule="auto"/>
        <w:sectPr>
          <w:headerReference w:type="default" r:id="rId5"/>
          <w:pgSz w:w="11900" w:h="16840"/>
          <w:pgMar w:header="1447" w:footer="0" w:top="1660" w:bottom="280" w:left="1640" w:right="1220"/>
          <w:pgNumType w:start="2"/>
        </w:sectPr>
      </w:pPr>
    </w:p>
    <w:p>
      <w:pPr>
        <w:pStyle w:val="BodyText"/>
        <w:rPr>
          <w:sz w:val="20"/>
        </w:rPr>
      </w:pPr>
    </w:p>
    <w:p>
      <w:pPr>
        <w:pStyle w:val="BodyText"/>
        <w:spacing w:line="364" w:lineRule="auto" w:before="224"/>
        <w:ind w:left="110" w:right="671"/>
      </w:pPr>
      <w:r>
        <w:rPr/>
        <w:t>As Bagehot knew only too well, banking crises are endemic to the market economy that has evolved since the Industrial Revolution.  The words “banking” and “crises” are natural bedfellows. If love and marriage go together like a horse and carriage, then banking and crisis go together like Oxford and the Isis, intertwined for as long as anyone can remember. Unfortunately, such crises are occurring more frequently and on an ever larger scale.</w:t>
      </w:r>
      <w:r>
        <w:rPr>
          <w:spacing w:val="56"/>
        </w:rPr>
        <w:t> </w:t>
      </w:r>
      <w:r>
        <w:rPr/>
        <w:t>Why?</w:t>
      </w:r>
    </w:p>
    <w:p>
      <w:pPr>
        <w:pStyle w:val="BodyText"/>
        <w:spacing w:before="7"/>
        <w:rPr>
          <w:sz w:val="35"/>
        </w:rPr>
      </w:pPr>
    </w:p>
    <w:p>
      <w:pPr>
        <w:pStyle w:val="Heading1"/>
        <w:numPr>
          <w:ilvl w:val="0"/>
          <w:numId w:val="1"/>
        </w:numPr>
        <w:tabs>
          <w:tab w:pos="441" w:val="left" w:leader="none"/>
        </w:tabs>
        <w:spacing w:line="240" w:lineRule="auto" w:before="0" w:after="0"/>
        <w:ind w:left="440" w:right="0" w:hanging="331"/>
        <w:jc w:val="left"/>
      </w:pPr>
      <w:r>
        <w:rPr/>
        <w:t>The practice of</w:t>
      </w:r>
      <w:r>
        <w:rPr>
          <w:spacing w:val="2"/>
        </w:rPr>
        <w:t> </w:t>
      </w:r>
      <w:r>
        <w:rPr/>
        <w:t>banking:</w:t>
      </w:r>
    </w:p>
    <w:p>
      <w:pPr>
        <w:pStyle w:val="BodyText"/>
        <w:rPr>
          <w:b/>
          <w:sz w:val="26"/>
        </w:rPr>
      </w:pPr>
    </w:p>
    <w:p>
      <w:pPr>
        <w:pStyle w:val="BodyText"/>
        <w:spacing w:before="9"/>
        <w:rPr>
          <w:b/>
          <w:sz w:val="20"/>
        </w:rPr>
      </w:pPr>
    </w:p>
    <w:p>
      <w:pPr>
        <w:pStyle w:val="BodyText"/>
        <w:spacing w:line="364" w:lineRule="auto"/>
        <w:ind w:left="110" w:right="708"/>
      </w:pPr>
      <w:r>
        <w:rPr/>
        <w:t>For almost a century after Bagehot wrote </w:t>
      </w:r>
      <w:r>
        <w:rPr>
          <w:i/>
        </w:rPr>
        <w:t>Lombard Street</w:t>
      </w:r>
      <w:r>
        <w:rPr/>
        <w:t>, the size of the banking sector in the UK, relative to GDP, was broadly stable at around 50%. But, over the past fifty years, bank balance sheets have grown so fast that today they are over five times annual GDP. The size of the US banking industry has grown from around 20% in Bagehot’s  time to around 100% of GDP today. And, until recently, the true scale of balance sheets was understated by these figures because banks were allowed to put exposures to entities such as special purpose vehicles off balance</w:t>
      </w:r>
      <w:r>
        <w:rPr>
          <w:spacing w:val="4"/>
        </w:rPr>
        <w:t> </w:t>
      </w:r>
      <w:r>
        <w:rPr/>
        <w:t>sheet.</w:t>
      </w:r>
    </w:p>
    <w:p>
      <w:pPr>
        <w:pStyle w:val="BodyText"/>
        <w:spacing w:before="4"/>
        <w:rPr>
          <w:sz w:val="35"/>
        </w:rPr>
      </w:pPr>
    </w:p>
    <w:p>
      <w:pPr>
        <w:pStyle w:val="BodyText"/>
        <w:spacing w:line="364" w:lineRule="auto"/>
        <w:ind w:left="110" w:right="537"/>
      </w:pPr>
      <w:r>
        <w:rPr/>
        <w:t>Surprisingly, such an extraordinary rate of expansion has been accompanied by   increasing concentration: the largest institutions have expanded the most. Table 1 shows that the asset holdings of the top ten banks in the UK amount to over 450% of GDP, with RBS, Barclays and HSBC each individually having assets in excess of UK GDP. Table 2 shows that in the US, the top ten banks amount to over 60% of GDP, six times larger than the top ten fifty years ago.  Bank of America today accounts for the same proportion of  the US banking system as all of the top 10 banks put together in</w:t>
      </w:r>
      <w:r>
        <w:rPr>
          <w:spacing w:val="19"/>
        </w:rPr>
        <w:t> </w:t>
      </w:r>
      <w:r>
        <w:rPr/>
        <w:t>1960.</w:t>
      </w:r>
    </w:p>
    <w:p>
      <w:pPr>
        <w:pStyle w:val="BodyText"/>
        <w:spacing w:before="3"/>
        <w:rPr>
          <w:sz w:val="35"/>
        </w:rPr>
      </w:pPr>
    </w:p>
    <w:p>
      <w:pPr>
        <w:pStyle w:val="BodyText"/>
        <w:spacing w:line="364" w:lineRule="auto" w:before="1"/>
        <w:ind w:left="110" w:right="671"/>
      </w:pPr>
      <w:r>
        <w:rPr/>
        <w:t>While banks’ balance sheets have exploded, so have the risks associated with those balance sheets. Bagehot would have been used to banks with leverage ratios (total assets, or liabilities, to capital) of around six to one.  But capital ratios have declined and  leverage has risen. Immediately prior to the crisis, leverage in the banking system of the industrialised world had increased to astronomical levels. Simple leverage ratios of</w:t>
      </w:r>
      <w:r>
        <w:rPr>
          <w:spacing w:val="37"/>
        </w:rPr>
        <w:t> </w:t>
      </w:r>
      <w:r>
        <w:rPr/>
        <w:t>close</w:t>
      </w:r>
    </w:p>
    <w:p>
      <w:pPr>
        <w:spacing w:after="0" w:line="364" w:lineRule="auto"/>
        <w:sectPr>
          <w:pgSz w:w="11900" w:h="16840"/>
          <w:pgMar w:header="1447" w:footer="0" w:top="1660" w:bottom="280" w:left="1640" w:right="1220"/>
        </w:sectPr>
      </w:pPr>
    </w:p>
    <w:p>
      <w:pPr>
        <w:pStyle w:val="BodyText"/>
        <w:rPr>
          <w:sz w:val="20"/>
        </w:rPr>
      </w:pPr>
    </w:p>
    <w:p>
      <w:pPr>
        <w:pStyle w:val="BodyText"/>
        <w:spacing w:line="364" w:lineRule="auto" w:before="224"/>
        <w:ind w:left="110" w:right="671"/>
      </w:pPr>
      <w:r>
        <w:rPr/>
        <w:t>to 50 or more could be found in the US, UK, and the continent of Europe, driven in part by the expansion of trading books (Brennan, Haldane and Madouros, 2010).</w:t>
      </w:r>
    </w:p>
    <w:p>
      <w:pPr>
        <w:pStyle w:val="BodyText"/>
        <w:spacing w:before="2"/>
        <w:rPr>
          <w:sz w:val="35"/>
        </w:rPr>
      </w:pPr>
    </w:p>
    <w:p>
      <w:pPr>
        <w:pStyle w:val="BodyText"/>
        <w:spacing w:line="364" w:lineRule="auto"/>
        <w:ind w:left="110" w:right="539"/>
      </w:pPr>
      <w:r>
        <w:rPr/>
        <w:t>And banks resorted to using more short-term, wholesale funding.  The average maturity   of wholesale funding issued by banks has declined by two thirds in the UK and by around three quarters in the US over the past thirty years – at the same time as reliance on wholesale funding has increased. As a result, they have run a higher degree of maturity mismatch between their long-dated assets and short-term funding. To cap it all, they held  a lower proportion of liquid assets on their balance sheets, so they were more exposed if some of the short-term funding dried up.  In less than fifty years, the share of highly   liquid assets that UK banks hold has declined from around a third of their assets to less than 2% last year (Bank of England, 2009). Banks tested the limits of where</w:t>
      </w:r>
      <w:r>
        <w:rPr>
          <w:spacing w:val="32"/>
        </w:rPr>
        <w:t> </w:t>
      </w:r>
      <w:r>
        <w:rPr/>
        <w:t>the</w:t>
      </w:r>
    </w:p>
    <w:p>
      <w:pPr>
        <w:pStyle w:val="BodyText"/>
        <w:spacing w:line="364" w:lineRule="auto" w:before="5"/>
        <w:ind w:left="110" w:right="768"/>
      </w:pPr>
      <w:r>
        <w:rPr/>
        <w:t>risk-return trade-off was located, in all parts of their operations. As John Kay wrote about his experience on the board of HBoS, the problems began “on the day it was decided that treasury should be a profit centre in its own right rather than an ancillary activity” (Kay, 2008).</w:t>
      </w:r>
    </w:p>
    <w:p>
      <w:pPr>
        <w:pStyle w:val="BodyText"/>
        <w:spacing w:before="3"/>
        <w:rPr>
          <w:sz w:val="35"/>
        </w:rPr>
      </w:pPr>
    </w:p>
    <w:p>
      <w:pPr>
        <w:pStyle w:val="BodyText"/>
        <w:spacing w:line="364" w:lineRule="auto"/>
        <w:ind w:left="110" w:right="697"/>
      </w:pPr>
      <w:r>
        <w:rPr/>
        <w:t>Moreover, the size of the balance sheet is no longer limited by the scale of opportunities to lend to companies or individuals in the real economy. So-called ‘financial engineering’ allows banks to manufacture additional assets without limit. And in the run-up to the crisis, they were aided and abetted in this endeavour by a host of vehicles and funds in the so-called shadow banking system, which in the US grew in gross terms to</w:t>
      </w:r>
      <w:r>
        <w:rPr>
          <w:spacing w:val="4"/>
        </w:rPr>
        <w:t> </w:t>
      </w:r>
      <w:r>
        <w:rPr/>
        <w:t>be</w:t>
      </w:r>
      <w:r>
        <w:rPr>
          <w:spacing w:val="6"/>
        </w:rPr>
        <w:t> </w:t>
      </w:r>
      <w:r>
        <w:rPr/>
        <w:t>larger</w:t>
      </w:r>
      <w:r>
        <w:rPr>
          <w:spacing w:val="4"/>
        </w:rPr>
        <w:t> </w:t>
      </w:r>
      <w:r>
        <w:rPr/>
        <w:t>than</w:t>
      </w:r>
      <w:r>
        <w:rPr>
          <w:spacing w:val="5"/>
        </w:rPr>
        <w:t> </w:t>
      </w:r>
      <w:r>
        <w:rPr/>
        <w:t>the</w:t>
      </w:r>
      <w:r>
        <w:rPr>
          <w:spacing w:val="4"/>
        </w:rPr>
        <w:t> </w:t>
      </w:r>
      <w:r>
        <w:rPr/>
        <w:t>traditional</w:t>
      </w:r>
      <w:r>
        <w:rPr>
          <w:spacing w:val="5"/>
        </w:rPr>
        <w:t> </w:t>
      </w:r>
      <w:r>
        <w:rPr/>
        <w:t>banking</w:t>
      </w:r>
      <w:r>
        <w:rPr>
          <w:spacing w:val="7"/>
        </w:rPr>
        <w:t> </w:t>
      </w:r>
      <w:r>
        <w:rPr/>
        <w:t>sector.</w:t>
      </w:r>
      <w:r>
        <w:rPr>
          <w:spacing w:val="10"/>
        </w:rPr>
        <w:t> </w:t>
      </w:r>
      <w:r>
        <w:rPr/>
        <w:t>This</w:t>
      </w:r>
      <w:r>
        <w:rPr>
          <w:spacing w:val="6"/>
        </w:rPr>
        <w:t> </w:t>
      </w:r>
      <w:r>
        <w:rPr/>
        <w:t>shadow</w:t>
      </w:r>
      <w:r>
        <w:rPr>
          <w:spacing w:val="5"/>
        </w:rPr>
        <w:t> </w:t>
      </w:r>
      <w:r>
        <w:rPr/>
        <w:t>banking</w:t>
      </w:r>
      <w:r>
        <w:rPr>
          <w:spacing w:val="7"/>
        </w:rPr>
        <w:t> </w:t>
      </w:r>
      <w:r>
        <w:rPr/>
        <w:t>system,</w:t>
      </w:r>
      <w:r>
        <w:rPr>
          <w:spacing w:val="6"/>
        </w:rPr>
        <w:t> </w:t>
      </w:r>
      <w:r>
        <w:rPr/>
        <w:t>as</w:t>
      </w:r>
      <w:r>
        <w:rPr>
          <w:spacing w:val="6"/>
        </w:rPr>
        <w:t> </w:t>
      </w:r>
      <w:r>
        <w:rPr/>
        <w:t>well</w:t>
      </w:r>
      <w:r>
        <w:rPr>
          <w:spacing w:val="4"/>
        </w:rPr>
        <w:t> </w:t>
      </w:r>
      <w:r>
        <w:rPr/>
        <w:t>as</w:t>
      </w:r>
    </w:p>
    <w:p>
      <w:pPr>
        <w:pStyle w:val="BodyText"/>
        <w:spacing w:line="364" w:lineRule="auto" w:before="2"/>
        <w:ind w:left="110" w:right="676"/>
      </w:pPr>
      <w:r>
        <w:rPr/>
        <w:t>holding securitised debt and a host of manufactured – or ‘synthetic’ – exposures was also a significant source of funding for the conventional banking system.  Money market  funds and other similar entities had call liabilities totalling over $7 trillion. And they on lent very significant amounts to banks, both directly and indirectly via chains of transactions.</w:t>
      </w:r>
    </w:p>
    <w:p>
      <w:pPr>
        <w:pStyle w:val="BodyText"/>
        <w:spacing w:before="3"/>
        <w:rPr>
          <w:sz w:val="35"/>
        </w:rPr>
      </w:pPr>
    </w:p>
    <w:p>
      <w:pPr>
        <w:pStyle w:val="BodyText"/>
        <w:spacing w:line="364" w:lineRule="auto"/>
        <w:ind w:left="110" w:right="671"/>
      </w:pPr>
      <w:r>
        <w:rPr/>
        <w:t>This has had two consequences. First, the financial system has become enormously more interconnected. This means that promoting stability of the system as a whole using a</w:t>
      </w:r>
    </w:p>
    <w:p>
      <w:pPr>
        <w:spacing w:after="0" w:line="364" w:lineRule="auto"/>
        <w:sectPr>
          <w:pgSz w:w="11900" w:h="16840"/>
          <w:pgMar w:header="1447" w:footer="0" w:top="1660" w:bottom="280" w:left="1640" w:right="1220"/>
        </w:sectPr>
      </w:pPr>
    </w:p>
    <w:p>
      <w:pPr>
        <w:pStyle w:val="BodyText"/>
        <w:rPr>
          <w:sz w:val="20"/>
        </w:rPr>
      </w:pPr>
    </w:p>
    <w:p>
      <w:pPr>
        <w:pStyle w:val="BodyText"/>
        <w:spacing w:line="364" w:lineRule="auto" w:before="224"/>
        <w:ind w:left="110" w:right="697"/>
      </w:pPr>
      <w:r>
        <w:rPr/>
        <w:t>regime of regulation of individual institutions is much less likely to be successful than hitherto. Maturity mismatch can grow through chains of transactions – without any significant amount being located in any one institution – a risk described many years ago by Martin Hellwig (Hellwig, 1995). Second, although many of these positions net out when the financial system is seen as a whole, gross balance sheets are not restricted by  the scale of the real economy and so banks were able to expand at a remarkable pace. So when the crisis began in 2007, uncertainty about where losses would ultimately fall led confidence in banks to seep away. This was obvious through the crisis. Almost no institution was immune from suspicion, the result of the knock-on consequences so eloquently described by Bagehot when he</w:t>
      </w:r>
      <w:r>
        <w:rPr>
          <w:spacing w:val="6"/>
        </w:rPr>
        <w:t> </w:t>
      </w:r>
      <w:r>
        <w:rPr/>
        <w:t>wrote:</w:t>
      </w:r>
    </w:p>
    <w:p>
      <w:pPr>
        <w:pStyle w:val="BodyText"/>
        <w:spacing w:before="7"/>
        <w:rPr>
          <w:sz w:val="35"/>
        </w:rPr>
      </w:pPr>
    </w:p>
    <w:p>
      <w:pPr>
        <w:spacing w:line="364" w:lineRule="auto" w:before="0"/>
        <w:ind w:left="110" w:right="671" w:firstLine="0"/>
        <w:jc w:val="left"/>
        <w:rPr>
          <w:sz w:val="23"/>
        </w:rPr>
      </w:pPr>
      <w:r>
        <w:rPr>
          <w:sz w:val="23"/>
        </w:rPr>
        <w:t>“</w:t>
      </w:r>
      <w:r>
        <w:rPr>
          <w:i/>
          <w:sz w:val="23"/>
        </w:rPr>
        <w:t>At first, incipient panic amounts to a kind of vague conversation: Is A. B. as good as he </w:t>
      </w:r>
      <w:r>
        <w:rPr>
          <w:i/>
          <w:sz w:val="23"/>
        </w:rPr>
        <w:t>used to be? Has not C. D. lost money? and a thousand such questions. A hundred people are talked about, and a thousand think, 'Am I talked about, or am I not?' 'Is my credit as good as it used to be, or is it less?' And every day, as a panic grows, this floating suspicion becomes both more intense and more diffused; it attacks more persons; and attacks them all more virulently than at first. All men of experience, therefore, try to 'strengthen themselves,' as it is called, in the early stage of a panic; they borrow money while they can; they come to their banker and offer bills for discount, which commonly they would not have offered for days or weeks to come. And if the merchant be a regular customer, a banker does not like to refuse, because if he does he will be said, or may be said, to be in want of money, and so may attract the panic to himself.</w:t>
      </w:r>
      <w:r>
        <w:rPr>
          <w:sz w:val="23"/>
        </w:rPr>
        <w:t>”</w:t>
      </w:r>
    </w:p>
    <w:p>
      <w:pPr>
        <w:pStyle w:val="BodyText"/>
        <w:spacing w:before="5"/>
        <w:rPr>
          <w:sz w:val="35"/>
        </w:rPr>
      </w:pPr>
    </w:p>
    <w:p>
      <w:pPr>
        <w:pStyle w:val="BodyText"/>
        <w:spacing w:line="364" w:lineRule="auto"/>
        <w:ind w:left="110" w:right="697"/>
      </w:pPr>
      <w:r>
        <w:rPr/>
        <w:t>This sentiment is described more prosaically in Tables 3 and 4. They show that the risk premia demanded by investors to lend to all large banks rose very sharply during the crisis.  For most banks the spreads on their senior unsecured debt had more than trebled   in October 2008 relative to their levels at the start of 2007. Similarly, credit default swap premia – the cost of insuring a bank’s debt – shot up.  All banks, irrespective of the precise nature of their business and balance sheet, were tarred with the same</w:t>
      </w:r>
      <w:r>
        <w:rPr>
          <w:spacing w:val="40"/>
        </w:rPr>
        <w:t> </w:t>
      </w:r>
      <w:r>
        <w:rPr/>
        <w:t>brush.</w:t>
      </w:r>
    </w:p>
    <w:p>
      <w:pPr>
        <w:pStyle w:val="BodyText"/>
        <w:spacing w:before="4"/>
        <w:ind w:left="110"/>
      </w:pPr>
      <w:r>
        <w:rPr/>
        <w:t>Moreover spreads and CDS premia remain elevated today – almost universally, large UK</w:t>
      </w:r>
    </w:p>
    <w:p>
      <w:pPr>
        <w:spacing w:after="0"/>
        <w:sectPr>
          <w:pgSz w:w="11900" w:h="16840"/>
          <w:pgMar w:header="1447" w:footer="0" w:top="1660" w:bottom="280" w:left="1640" w:right="1220"/>
        </w:sectPr>
      </w:pPr>
    </w:p>
    <w:p>
      <w:pPr>
        <w:pStyle w:val="BodyText"/>
        <w:rPr>
          <w:sz w:val="20"/>
        </w:rPr>
      </w:pPr>
    </w:p>
    <w:p>
      <w:pPr>
        <w:pStyle w:val="BodyText"/>
        <w:spacing w:line="364" w:lineRule="auto" w:before="224"/>
        <w:ind w:left="110" w:right="671"/>
      </w:pPr>
      <w:r>
        <w:rPr/>
        <w:t>and US banks face much higher borrowing charges compared to risk-free rates, and are seen as riskier entities, than prior to the crisis.</w:t>
      </w:r>
    </w:p>
    <w:p>
      <w:pPr>
        <w:pStyle w:val="BodyText"/>
        <w:spacing w:before="2"/>
        <w:rPr>
          <w:sz w:val="35"/>
        </w:rPr>
      </w:pPr>
    </w:p>
    <w:p>
      <w:pPr>
        <w:pStyle w:val="BodyText"/>
        <w:spacing w:line="364" w:lineRule="auto"/>
        <w:ind w:left="110" w:right="671"/>
      </w:pPr>
      <w:r>
        <w:rPr/>
        <w:t>The size, concentration and riskiness of banks have increased in an extraordinary fashion and would be unrecognisable to Bagehot. Higher reported rates of return on equity were superficial hallmarks of success. These higher rates of return were required by, and a consequence of, the change in the pattern of banks’ funding with increased leverage and more short-term funding. They did not represent a significant improvement in the overall rate of return on assets. Not merely were banks’ own reported profits exaggerating the contribution of the financial sector to the economy, so were the national accounts.</w:t>
      </w:r>
    </w:p>
    <w:p>
      <w:pPr>
        <w:pStyle w:val="BodyText"/>
        <w:spacing w:before="4"/>
        <w:rPr>
          <w:sz w:val="35"/>
        </w:rPr>
      </w:pPr>
    </w:p>
    <w:p>
      <w:pPr>
        <w:pStyle w:val="BodyText"/>
        <w:spacing w:line="364" w:lineRule="auto"/>
        <w:ind w:left="110" w:right="684"/>
      </w:pPr>
      <w:r>
        <w:rPr/>
        <w:t>In the US, the share of gross value added of the financial sector as a share of GDP rose from around 2-3% in the decade after World War II to about 8% in 2008, driven in large part by a rise in the gross operating surplus of financial intermediaries. And in the UK, in the past decade, the measured scale of the financial sector, compared to GDP, has   roughly doubled to around 10%.  But this exaggerates the contribution of financial services. Banks do not always charge directly for the services they provide. So the value added of the financial sector is measured by official statisticians (using the United   Nations System of National Accounts) as the difference between interest receipts and payments of a "reference rate of interest" which attempts to measure the pure cost of borrowing funds. This convention overstates the true value added of the financial sector because it includes the return to risky lending represented by the difference between the hypothetical pure cost of borrowing funds and the return that is earned. But the fact that risk is channelled through an intermediation industry does not mean that the value added from risk-bearing in the economy is solely attributable to the existence of an intermediation sector. If companies financed themselves directly from households, the statisticians would regard the return on risk-bearing as value added created in that  industry. Financial intermediation does add value, but not as much as the statistical convention would</w:t>
      </w:r>
      <w:r>
        <w:rPr>
          <w:spacing w:val="1"/>
        </w:rPr>
        <w:t> </w:t>
      </w:r>
      <w:r>
        <w:rPr/>
        <w:t>suggest.</w:t>
      </w:r>
    </w:p>
    <w:p>
      <w:pPr>
        <w:spacing w:after="0" w:line="364" w:lineRule="auto"/>
        <w:sectPr>
          <w:pgSz w:w="11900" w:h="16840"/>
          <w:pgMar w:header="1447" w:footer="0" w:top="1660" w:bottom="280" w:left="1640" w:right="1220"/>
        </w:sectPr>
      </w:pPr>
    </w:p>
    <w:p>
      <w:pPr>
        <w:pStyle w:val="BodyText"/>
        <w:rPr>
          <w:sz w:val="20"/>
        </w:rPr>
      </w:pPr>
    </w:p>
    <w:p>
      <w:pPr>
        <w:pStyle w:val="BodyText"/>
        <w:spacing w:line="364" w:lineRule="auto" w:before="224"/>
        <w:ind w:left="110" w:right="707"/>
      </w:pPr>
      <w:r>
        <w:rPr/>
        <w:t>Moreover, a financial sector that takes on risk with the implicit support of the tax-payer can generate measured value added that reflects not genuine risk-bearing but the upside profits from the implicit subsidy. And even without an implicit subsidy the return to risk-bearing can be mismeasured. It is widely understood that an insurance company should not count as profits the receipt of premia on an insurance policy that will pay out</w:t>
      </w:r>
    </w:p>
    <w:p>
      <w:pPr>
        <w:pStyle w:val="BodyText"/>
        <w:spacing w:line="364" w:lineRule="auto" w:before="4"/>
        <w:ind w:left="110" w:right="677" w:hanging="1"/>
      </w:pPr>
      <w:r>
        <w:rPr/>
        <w:t>only when a low-frequency event occurs at some point in the future. But part of the value added of the financial sector prior to the crisis reflected temporary profits from taking   risk and it was only after September 2008 that much of that so-called economic activity resulted in enormous reported losses by</w:t>
      </w:r>
      <w:r>
        <w:rPr>
          <w:spacing w:val="7"/>
        </w:rPr>
        <w:t> </w:t>
      </w:r>
      <w:r>
        <w:rPr/>
        <w:t>banks.</w:t>
      </w:r>
    </w:p>
    <w:p>
      <w:pPr>
        <w:pStyle w:val="BodyText"/>
        <w:spacing w:before="1"/>
        <w:rPr>
          <w:sz w:val="35"/>
        </w:rPr>
      </w:pPr>
    </w:p>
    <w:p>
      <w:pPr>
        <w:pStyle w:val="BodyText"/>
        <w:spacing w:line="364" w:lineRule="auto" w:before="1"/>
        <w:ind w:left="110" w:right="657"/>
      </w:pPr>
      <w:r>
        <w:rPr/>
        <w:t>It is possible to make a very rough estimate of the possible size of this distortion in the reported financial sector output data.  If we assume that true labour and capital productivity in the financial services industry grew in line with that in the wider economy in the 10 years prior to the crisis, then, given the inputs of capital and labour over that period, the official estimate might have overstated UK financial sector value added by almost £30 billion up to 2007 – around half of the growth in the official measure. The impact of this adjustment on overall GDP is likely to be relatively small because much of the output of the financial sector is treated as intermediate inputs to other sectors in the economy.  Such an estimate is supported by the finding of my Bank of England  colleagues that the increase in rates of return on equity earned by banks were accounted for almost entirely by an increase in leverage, capital gains on assets in trading books and the reported profits on contracts that produced losses only after the crisis occurred.  And   it is consistent with the estimates calculated by Colangelo and Inklaar (2010) for the euro area. They found that around 40% of measured financial sector value added probably captured compensation for bearing</w:t>
      </w:r>
      <w:r>
        <w:rPr>
          <w:spacing w:val="2"/>
        </w:rPr>
        <w:t> </w:t>
      </w:r>
      <w:r>
        <w:rPr/>
        <w:t>risk.</w:t>
      </w:r>
    </w:p>
    <w:p>
      <w:pPr>
        <w:pStyle w:val="BodyText"/>
        <w:spacing w:before="10"/>
        <w:rPr>
          <w:sz w:val="35"/>
        </w:rPr>
      </w:pPr>
    </w:p>
    <w:p>
      <w:pPr>
        <w:pStyle w:val="Heading1"/>
        <w:numPr>
          <w:ilvl w:val="0"/>
          <w:numId w:val="1"/>
        </w:numPr>
        <w:tabs>
          <w:tab w:pos="441" w:val="left" w:leader="none"/>
        </w:tabs>
        <w:spacing w:line="240" w:lineRule="auto" w:before="0" w:after="0"/>
        <w:ind w:left="440" w:right="0" w:hanging="331"/>
        <w:jc w:val="left"/>
      </w:pPr>
      <w:r>
        <w:rPr/>
        <w:t>The theory of</w:t>
      </w:r>
      <w:r>
        <w:rPr>
          <w:spacing w:val="2"/>
        </w:rPr>
        <w:t> </w:t>
      </w:r>
      <w:r>
        <w:rPr/>
        <w:t>banking</w:t>
      </w:r>
    </w:p>
    <w:p>
      <w:pPr>
        <w:pStyle w:val="BodyText"/>
        <w:rPr>
          <w:b/>
          <w:sz w:val="26"/>
        </w:rPr>
      </w:pPr>
    </w:p>
    <w:p>
      <w:pPr>
        <w:pStyle w:val="BodyText"/>
        <w:spacing w:before="9"/>
        <w:rPr>
          <w:b/>
          <w:sz w:val="20"/>
        </w:rPr>
      </w:pPr>
    </w:p>
    <w:p>
      <w:pPr>
        <w:pStyle w:val="BodyText"/>
        <w:spacing w:line="364" w:lineRule="auto"/>
        <w:ind w:left="110" w:right="671"/>
      </w:pPr>
      <w:r>
        <w:rPr/>
        <w:t>Why are banks so risky? The starting point is that banks make heavy use of short-term debt. Short-term debt holders can always run if they start to have doubts about an institution. Equity holders and long-term debt holders cannot cut and run so easily.</w:t>
      </w:r>
    </w:p>
    <w:p>
      <w:pPr>
        <w:spacing w:after="0" w:line="364" w:lineRule="auto"/>
        <w:sectPr>
          <w:pgSz w:w="11900" w:h="16840"/>
          <w:pgMar w:header="1447" w:footer="0" w:top="1660" w:bottom="280" w:left="1640" w:right="1220"/>
        </w:sectPr>
      </w:pPr>
    </w:p>
    <w:p>
      <w:pPr>
        <w:pStyle w:val="BodyText"/>
        <w:rPr>
          <w:sz w:val="20"/>
        </w:rPr>
      </w:pPr>
    </w:p>
    <w:p>
      <w:pPr>
        <w:pStyle w:val="BodyText"/>
        <w:rPr>
          <w:sz w:val="20"/>
        </w:rPr>
      </w:pPr>
    </w:p>
    <w:p>
      <w:pPr>
        <w:pStyle w:val="BodyText"/>
        <w:spacing w:before="4"/>
        <w:rPr>
          <w:sz w:val="26"/>
        </w:rPr>
      </w:pPr>
    </w:p>
    <w:p>
      <w:pPr>
        <w:pStyle w:val="BodyText"/>
        <w:spacing w:line="364" w:lineRule="auto" w:before="93"/>
        <w:ind w:left="110" w:right="644"/>
      </w:pPr>
      <w:r>
        <w:rPr/>
        <w:t>Douglas Diamond and Philip Dybvig showed nearly thirty years ago that this can create fragile institutions even in the absence of risk associated with the assets that a bank holds. All that is required is a cost to the liquidation of long-term assets and that banks serve customers on a first-come, first-served basis (Diamond and Dybvig, 1983). Nevertheless, there are benefits to this maturity transformation – funds can be pooled allowing a greater proportion to be directed to long-term illiquid investments, and less held back to meet individual needs for liquidity. And from Diamond’s and Dybvig’s insights, flows an intellectual foundation for many of the policy structures that we have today – especially deposit insurance and Bagehot’s time-honoured key principle of central banks acting as lender of last resort in a crisis.  If the only problem is one of illiquidity leading to   fragility, then central banks can easily act to ward off problems. By demonstrating a willingness to step in to provide temporary liquidity support, then the likelihood of problems arising in the first place is dramatically diminished. It was wholly appropriate that this was the focus of Bagehot’s writings – at the time, the structure of the banking system meant that illiquidity was often the key problem. And central banks did not appreciate the importance of the role that they could play. Bagehot’s whole purpose was  to convince the Bank of England to fulfil this role.  But the changes in the banking   system over the past fifty years mean that a much more diverse range of problems can strike today.  In September 2007, everyone thought that the crisis was one of liquidity   and as a result there was an expectation central banks could provide the solution. But it quickly became clear that it was in fact a crisis of</w:t>
      </w:r>
      <w:r>
        <w:rPr>
          <w:spacing w:val="12"/>
        </w:rPr>
        <w:t> </w:t>
      </w:r>
      <w:r>
        <w:rPr/>
        <w:t>solvency.</w:t>
      </w:r>
    </w:p>
    <w:p>
      <w:pPr>
        <w:pStyle w:val="BodyText"/>
        <w:spacing w:before="1"/>
        <w:rPr>
          <w:sz w:val="36"/>
        </w:rPr>
      </w:pPr>
    </w:p>
    <w:p>
      <w:pPr>
        <w:pStyle w:val="BodyText"/>
        <w:spacing w:line="364" w:lineRule="auto"/>
        <w:ind w:left="110" w:right="606"/>
      </w:pPr>
      <w:r>
        <w:rPr/>
        <w:t>Diamond and Dybvig’s analysis consciously omitted the fact that, in reality, banks’ assets are risky.  And not only are banks’ assets risky, but banks are highly leveraged  institutions. This leaves them heavily exposed – with very high debt-equity ratios, small movements in asset valuations are enough to wipe out their equity and leave banks insolvent. That means the distinction between illiquidity and solvency can be difficult in practice – the difference in timing might be just a few days. If a crisis is in fact one of insolvency, brought on by excessive leverage and risk, then central bank</w:t>
      </w:r>
      <w:r>
        <w:rPr>
          <w:spacing w:val="28"/>
        </w:rPr>
        <w:t> </w:t>
      </w:r>
      <w:r>
        <w:rPr/>
        <w:t>liquidity</w:t>
      </w:r>
    </w:p>
    <w:p>
      <w:pPr>
        <w:spacing w:after="0" w:line="364" w:lineRule="auto"/>
        <w:sectPr>
          <w:pgSz w:w="11900" w:h="16840"/>
          <w:pgMar w:header="1447" w:footer="0" w:top="1660" w:bottom="280" w:left="1640" w:right="1220"/>
        </w:sectPr>
      </w:pPr>
    </w:p>
    <w:p>
      <w:pPr>
        <w:pStyle w:val="BodyText"/>
        <w:rPr>
          <w:sz w:val="20"/>
        </w:rPr>
      </w:pPr>
    </w:p>
    <w:p>
      <w:pPr>
        <w:pStyle w:val="BodyText"/>
        <w:spacing w:line="364" w:lineRule="auto" w:before="224"/>
        <w:ind w:left="110" w:right="671"/>
      </w:pPr>
      <w:r>
        <w:rPr/>
        <w:t>provision cannot provide the answer. Central banks can offer liquidity insurance only to solvent institutions or as a bridge to a more permanent solution.</w:t>
      </w:r>
    </w:p>
    <w:p>
      <w:pPr>
        <w:pStyle w:val="BodyText"/>
        <w:spacing w:before="2"/>
        <w:rPr>
          <w:sz w:val="35"/>
        </w:rPr>
      </w:pPr>
    </w:p>
    <w:p>
      <w:pPr>
        <w:pStyle w:val="BodyText"/>
        <w:spacing w:line="364" w:lineRule="auto"/>
        <w:ind w:left="110" w:right="671"/>
      </w:pPr>
      <w:r>
        <w:rPr/>
        <w:t>It is this structure, in which risky long-term assets are funded by short-term deposits, that makes banks so hazardous. Yet many treat loans to banks as if they were riskless. In isolation, this would be akin to a belief in alchemy – risk-free deposits can never be supported by long-term risky investments in isolation. To work, financial alchemy requires the implicit support of the tax</w:t>
      </w:r>
      <w:r>
        <w:rPr>
          <w:spacing w:val="4"/>
        </w:rPr>
        <w:t> </w:t>
      </w:r>
      <w:r>
        <w:rPr/>
        <w:t>payer.</w:t>
      </w:r>
    </w:p>
    <w:p>
      <w:pPr>
        <w:pStyle w:val="BodyText"/>
        <w:spacing w:before="3"/>
        <w:rPr>
          <w:sz w:val="35"/>
        </w:rPr>
      </w:pPr>
    </w:p>
    <w:p>
      <w:pPr>
        <w:pStyle w:val="BodyText"/>
        <w:spacing w:line="364" w:lineRule="auto"/>
        <w:ind w:left="110" w:right="671"/>
      </w:pPr>
      <w:r>
        <w:rPr/>
        <w:t>When all the functions of the financial system are heavily interconnected, any problems that arise can end up playing havoc with services vital to the functioning of the economy</w:t>
      </w:r>
    </w:p>
    <w:p>
      <w:pPr>
        <w:pStyle w:val="BodyText"/>
        <w:spacing w:line="364" w:lineRule="auto" w:before="1"/>
        <w:ind w:left="110" w:right="671"/>
      </w:pPr>
      <w:r>
        <w:rPr/>
        <w:t>– the payments system, the services of money and the provision of working capital to industry. If such services are materially threatened, governments will never be able to sit idly by. Institutions supplying such services are quite simply too important to fail.</w:t>
      </w:r>
    </w:p>
    <w:p>
      <w:pPr>
        <w:pStyle w:val="BodyText"/>
        <w:spacing w:line="364" w:lineRule="auto" w:before="1"/>
        <w:ind w:left="110" w:right="671"/>
      </w:pPr>
      <w:r>
        <w:rPr/>
        <w:t>Everyone knows it. So, highly risky banking institutions enjoy implicit public sector support. In turn, public support incentivises banks to take on yet more risk, knowing that, if things go well, they will reap the rewards while the public sector will foot the bill if things go wrong.  Greater risk begets greater size, most probably greater importance to   the functioning of the economy, higher implicit public subsidies, and hence yet larger incentives to take risk – described by Martin Wolf as the “financial doomsday</w:t>
      </w:r>
      <w:r>
        <w:rPr>
          <w:spacing w:val="7"/>
        </w:rPr>
        <w:t> </w:t>
      </w:r>
      <w:r>
        <w:rPr/>
        <w:t>machine”.</w:t>
      </w:r>
    </w:p>
    <w:p>
      <w:pPr>
        <w:pStyle w:val="BodyText"/>
        <w:spacing w:before="3"/>
        <w:rPr>
          <w:sz w:val="35"/>
        </w:rPr>
      </w:pPr>
    </w:p>
    <w:p>
      <w:pPr>
        <w:pStyle w:val="BodyText"/>
        <w:spacing w:line="364" w:lineRule="auto" w:before="1"/>
        <w:ind w:left="110" w:right="671"/>
      </w:pPr>
      <w:r>
        <w:rPr/>
        <w:t>The failure in the crisis was not one of intellectual imagination or economic science to understand these issues. Economists recognised that distorted incentives, whether arising from implicit public subsidies, asymmetric information or a host of other imperfections, will cause a market-based outcome to be sub-optimal from the perspective of society.</w:t>
      </w:r>
    </w:p>
    <w:p>
      <w:pPr>
        <w:pStyle w:val="BodyText"/>
        <w:spacing w:line="364" w:lineRule="auto" w:before="2"/>
        <w:ind w:left="110" w:right="844"/>
        <w:jc w:val="both"/>
      </w:pPr>
      <w:r>
        <w:rPr/>
        <w:t>This idea has been at the centre of modern economics since the extraordinary series of papers written by Arrow and Debreu in the 1950s (Arrow, 1951; Debreu, 1951; Arrow and Debreu, 1954).</w:t>
      </w:r>
    </w:p>
    <w:p>
      <w:pPr>
        <w:pStyle w:val="BodyText"/>
        <w:spacing w:before="2"/>
        <w:rPr>
          <w:sz w:val="35"/>
        </w:rPr>
      </w:pPr>
    </w:p>
    <w:p>
      <w:pPr>
        <w:pStyle w:val="BodyText"/>
        <w:spacing w:line="364" w:lineRule="auto"/>
        <w:ind w:left="110" w:right="671"/>
      </w:pPr>
      <w:r>
        <w:rPr/>
        <w:t>The real failure was a lapse into hubris – we came to believe that crises created by massive maturity transformation were problems that no longer applied to modern</w:t>
      </w:r>
    </w:p>
    <w:p>
      <w:pPr>
        <w:spacing w:after="0" w:line="364" w:lineRule="auto"/>
        <w:sectPr>
          <w:pgSz w:w="11900" w:h="16840"/>
          <w:pgMar w:header="1447" w:footer="0" w:top="1660" w:bottom="280" w:left="1640" w:right="1220"/>
        </w:sectPr>
      </w:pPr>
    </w:p>
    <w:p>
      <w:pPr>
        <w:pStyle w:val="BodyText"/>
        <w:rPr>
          <w:sz w:val="20"/>
        </w:rPr>
      </w:pPr>
    </w:p>
    <w:p>
      <w:pPr>
        <w:pStyle w:val="BodyText"/>
        <w:spacing w:line="364" w:lineRule="auto" w:before="224"/>
        <w:ind w:left="110" w:right="707"/>
      </w:pPr>
      <w:r>
        <w:rPr/>
        <w:t>banking, that they belonged to an era in which people wore whiskers and top hats. There was an inability to see through the veil of modern finance to the fact that the balance sheets of too many banks were an accident waiting to happen, with levels of leverage on  a scale that could not resist even the slightest tremor to confidence about the uncertain value of bank assets. For all the clever innovation in the financial system, its Achilles  heel was, and remains, simply the extraordinary – indeed absurd – levels of leverage represented by a heavy reliance on short-term</w:t>
      </w:r>
      <w:r>
        <w:rPr>
          <w:spacing w:val="5"/>
        </w:rPr>
        <w:t> </w:t>
      </w:r>
      <w:r>
        <w:rPr/>
        <w:t>debt.</w:t>
      </w:r>
    </w:p>
    <w:p>
      <w:pPr>
        <w:pStyle w:val="BodyText"/>
        <w:spacing w:before="4"/>
        <w:rPr>
          <w:sz w:val="35"/>
        </w:rPr>
      </w:pPr>
    </w:p>
    <w:p>
      <w:pPr>
        <w:pStyle w:val="BodyText"/>
        <w:spacing w:line="364" w:lineRule="auto"/>
        <w:ind w:left="110" w:right="697"/>
      </w:pPr>
      <w:r>
        <w:rPr/>
        <w:t>Modern financiers are now invoking other dubious claims to resist reforms that might limit the public subsidies they have enjoyed in the past. No one should blame them for that – indeed, we should not expect anything else. They are responding to incentives. Some claim that reducing leverage and holding more equity capital would be expensive. But, as economists, such as my colleague David Miles (2010) and Anat Admati and her colleagues (Admati et. al., 2010), have argued, the cost of capital overall is much less sensitive to changes in the amount of debt in a bank’s balance sheet than many bankers claim – a proposition demonstrated forcefully by Professors Modigliani and Miller over fifty years ago (Modigliani and Miller, 1958).  And the benefits to society, most  obviously through greater financial stability, but also through factors such as higher tax revenue, are likely to swamp any change in the private costs faced by banks. What does reduce the cost of capital is the ability to borrow short to lend long. But the scale of maturity transformation undertaken today produces private benefits and social costs. We have seen from the experience of first Iceland, and now Ireland, the results that can  follow from allowing a banking system to become too large relative to national output without having first solved the "too important to fail"</w:t>
      </w:r>
      <w:r>
        <w:rPr>
          <w:spacing w:val="14"/>
        </w:rPr>
        <w:t> </w:t>
      </w:r>
      <w:r>
        <w:rPr/>
        <w:t>problem.</w:t>
      </w:r>
    </w:p>
    <w:p>
      <w:pPr>
        <w:pStyle w:val="BodyText"/>
        <w:rPr>
          <w:sz w:val="36"/>
        </w:rPr>
      </w:pPr>
    </w:p>
    <w:p>
      <w:pPr>
        <w:pStyle w:val="Heading1"/>
        <w:numPr>
          <w:ilvl w:val="0"/>
          <w:numId w:val="1"/>
        </w:numPr>
        <w:tabs>
          <w:tab w:pos="441" w:val="left" w:leader="none"/>
        </w:tabs>
        <w:spacing w:line="240" w:lineRule="auto" w:before="0" w:after="0"/>
        <w:ind w:left="440" w:right="0" w:hanging="331"/>
        <w:jc w:val="left"/>
      </w:pPr>
      <w:r>
        <w:rPr/>
        <w:t>Finding a</w:t>
      </w:r>
      <w:r>
        <w:rPr>
          <w:spacing w:val="2"/>
        </w:rPr>
        <w:t> </w:t>
      </w:r>
      <w:r>
        <w:rPr/>
        <w:t>Solution</w:t>
      </w:r>
    </w:p>
    <w:p>
      <w:pPr>
        <w:pStyle w:val="BodyText"/>
        <w:rPr>
          <w:b/>
          <w:sz w:val="26"/>
        </w:rPr>
      </w:pPr>
    </w:p>
    <w:p>
      <w:pPr>
        <w:pStyle w:val="BodyText"/>
        <w:spacing w:before="9"/>
        <w:rPr>
          <w:b/>
          <w:sz w:val="20"/>
        </w:rPr>
      </w:pPr>
    </w:p>
    <w:p>
      <w:pPr>
        <w:pStyle w:val="BodyText"/>
        <w:spacing w:line="364" w:lineRule="auto" w:before="1"/>
        <w:ind w:left="110" w:right="768"/>
      </w:pPr>
      <w:r>
        <w:rPr/>
        <w:t>Many remedies for reducing the riskiness of our financial system have been proposed, ranging from higher capital requirements on banks to functional separation and other more radical ideas. The guiding principle of any change should be to ensure that the costs of maturity transformation – the costs of periodic financial crises – fall on those</w:t>
      </w:r>
    </w:p>
    <w:p>
      <w:pPr>
        <w:spacing w:after="0" w:line="364" w:lineRule="auto"/>
        <w:sectPr>
          <w:pgSz w:w="11900" w:h="16840"/>
          <w:pgMar w:header="1447" w:footer="0" w:top="1660" w:bottom="280" w:left="1640" w:right="1220"/>
        </w:sectPr>
      </w:pPr>
    </w:p>
    <w:p>
      <w:pPr>
        <w:pStyle w:val="BodyText"/>
        <w:rPr>
          <w:sz w:val="20"/>
        </w:rPr>
      </w:pPr>
    </w:p>
    <w:p>
      <w:pPr>
        <w:pStyle w:val="BodyText"/>
        <w:spacing w:line="364" w:lineRule="auto" w:before="224"/>
        <w:ind w:left="110" w:right="671"/>
      </w:pPr>
      <w:r>
        <w:rPr/>
        <w:t>who enjoy the benefits of maturity transformation – the reduced cost of financial intermediation. All proposals should be evaluated by this simple criterion.</w:t>
      </w:r>
    </w:p>
    <w:p>
      <w:pPr>
        <w:pStyle w:val="BodyText"/>
        <w:spacing w:line="364" w:lineRule="auto" w:before="1"/>
        <w:ind w:left="110" w:right="707"/>
      </w:pPr>
      <w:r>
        <w:rPr/>
        <w:t>The first, and most obvious, response to the divergence between private benefits and social costs is the imposition of a permanent tax on the activity of maturity transformation to “internalise the externalities”. Such a tax, or levy, has been discussed by the G7, and introduced in the UK. The principle that the “polluter pays” for the costs they impose on others is an old one, going back at least to Pigou in the 1920s. The main practical problem is to calibrate the costs to maturity transformation. The loss of world output from the financial crisis is enormous, even though such a crisis might be considered a once in a generation, or even once in a century, event. It is not difficult to see that a crisis that reduces output by between 5% and 10% for a number of years, and occurs once every fifty years, amounts to an annual cost several multiples of the revenue that will be generated by the UK bank levy (Haldane, 2010). But how can we be certain of correctly establishing what the tax should be when we are trying to internalise costs that occur so infrequently? So although there is a sound case for a levy directed at the size of short-term borrowing, it would be foolish to regard that as the main tool to align costs and benefits of risky balance sheet</w:t>
      </w:r>
      <w:r>
        <w:rPr>
          <w:spacing w:val="3"/>
        </w:rPr>
        <w:t> </w:t>
      </w:r>
      <w:r>
        <w:rPr/>
        <w:t>activity.</w:t>
      </w:r>
    </w:p>
    <w:p>
      <w:pPr>
        <w:pStyle w:val="BodyText"/>
        <w:spacing w:before="8"/>
        <w:rPr>
          <w:sz w:val="35"/>
        </w:rPr>
      </w:pPr>
    </w:p>
    <w:p>
      <w:pPr>
        <w:pStyle w:val="BodyText"/>
        <w:spacing w:line="364" w:lineRule="auto"/>
        <w:ind w:left="110" w:right="671"/>
      </w:pPr>
      <w:r>
        <w:rPr/>
        <w:t>If setting the appropriate price is hard, then some form of controls on quantities might be  a better answer (Weitzman, 1974). For example, limits on leverage have much to commend them. And for a generation, the quantitative control of this type that regulators have embraced was embodied in the capital standards set within the Basel</w:t>
      </w:r>
      <w:r>
        <w:rPr>
          <w:spacing w:val="46"/>
        </w:rPr>
        <w:t> </w:t>
      </w:r>
      <w:r>
        <w:rPr/>
        <w:t>framework.</w:t>
      </w:r>
    </w:p>
    <w:p>
      <w:pPr>
        <w:pStyle w:val="BodyText"/>
        <w:spacing w:line="364" w:lineRule="auto" w:before="2"/>
        <w:ind w:left="110" w:right="606"/>
      </w:pPr>
      <w:r>
        <w:rPr/>
        <w:t>Last month a new concordat on such standards was reached in Basel – the so-called Basel III requirements.  The challenge here is to set the requirements in a way that will materially affect the probability of a</w:t>
      </w:r>
      <w:r>
        <w:rPr>
          <w:spacing w:val="6"/>
        </w:rPr>
        <w:t> </w:t>
      </w:r>
      <w:r>
        <w:rPr/>
        <w:t>crisis.</w:t>
      </w:r>
    </w:p>
    <w:p>
      <w:pPr>
        <w:pStyle w:val="BodyText"/>
        <w:spacing w:before="2"/>
        <w:rPr>
          <w:sz w:val="35"/>
        </w:rPr>
      </w:pPr>
    </w:p>
    <w:p>
      <w:pPr>
        <w:pStyle w:val="BodyText"/>
        <w:spacing w:line="364" w:lineRule="auto"/>
        <w:ind w:left="110" w:right="637"/>
        <w:jc w:val="both"/>
      </w:pPr>
      <w:r>
        <w:rPr/>
        <w:t>Other forms of quantitative intervention include functional separation to reduce the costs of maturity transformation by ring-fencing those activities that we are most concerned to safeguard from disruption. If successful, the costs of any failure of financial institutions would be reduced. The challenge with this approach is to prevent the costs associated</w:t>
      </w:r>
    </w:p>
    <w:p>
      <w:pPr>
        <w:spacing w:after="0" w:line="364" w:lineRule="auto"/>
        <w:jc w:val="both"/>
        <w:sectPr>
          <w:pgSz w:w="11900" w:h="16840"/>
          <w:pgMar w:header="1447" w:footer="0" w:top="1660" w:bottom="280" w:left="1640" w:right="1220"/>
        </w:sectPr>
      </w:pPr>
    </w:p>
    <w:p>
      <w:pPr>
        <w:pStyle w:val="BodyText"/>
        <w:rPr>
          <w:sz w:val="20"/>
        </w:rPr>
      </w:pPr>
    </w:p>
    <w:p>
      <w:pPr>
        <w:pStyle w:val="BodyText"/>
        <w:spacing w:before="224"/>
        <w:ind w:left="110"/>
      </w:pPr>
      <w:r>
        <w:rPr/>
        <w:t>with the activity of maturity transformation from gravitating to another set of</w:t>
      </w:r>
      <w:r>
        <w:rPr>
          <w:spacing w:val="55"/>
        </w:rPr>
        <w:t> </w:t>
      </w:r>
      <w:r>
        <w:rPr/>
        <w:t>institutions</w:t>
      </w:r>
    </w:p>
    <w:p>
      <w:pPr>
        <w:pStyle w:val="ListParagraph"/>
        <w:numPr>
          <w:ilvl w:val="0"/>
          <w:numId w:val="2"/>
        </w:numPr>
        <w:tabs>
          <w:tab w:pos="288" w:val="left" w:leader="none"/>
        </w:tabs>
        <w:spacing w:line="240" w:lineRule="auto" w:before="138" w:after="0"/>
        <w:ind w:left="287" w:right="0" w:hanging="178"/>
        <w:jc w:val="left"/>
        <w:rPr>
          <w:sz w:val="23"/>
        </w:rPr>
      </w:pPr>
      <w:r>
        <w:rPr>
          <w:sz w:val="23"/>
        </w:rPr>
        <w:t>the “shadow” banking</w:t>
      </w:r>
      <w:r>
        <w:rPr>
          <w:spacing w:val="2"/>
          <w:sz w:val="23"/>
        </w:rPr>
        <w:t> </w:t>
      </w:r>
      <w:r>
        <w:rPr>
          <w:sz w:val="23"/>
        </w:rPr>
        <w:t>system.</w:t>
      </w:r>
    </w:p>
    <w:p>
      <w:pPr>
        <w:pStyle w:val="BodyText"/>
        <w:rPr>
          <w:sz w:val="26"/>
        </w:rPr>
      </w:pPr>
    </w:p>
    <w:p>
      <w:pPr>
        <w:pStyle w:val="BodyText"/>
        <w:spacing w:before="1"/>
        <w:rPr>
          <w:sz w:val="21"/>
        </w:rPr>
      </w:pPr>
    </w:p>
    <w:p>
      <w:pPr>
        <w:pStyle w:val="BodyText"/>
        <w:ind w:left="110"/>
      </w:pPr>
      <w:r>
        <w:rPr/>
        <w:t>Whatever solution is adopted, the aim must be to align private and social costs.</w:t>
      </w:r>
    </w:p>
    <w:p>
      <w:pPr>
        <w:pStyle w:val="BodyText"/>
        <w:rPr>
          <w:sz w:val="26"/>
        </w:rPr>
      </w:pPr>
    </w:p>
    <w:p>
      <w:pPr>
        <w:pStyle w:val="BodyText"/>
        <w:spacing w:before="1"/>
        <w:rPr>
          <w:sz w:val="21"/>
        </w:rPr>
      </w:pPr>
    </w:p>
    <w:p>
      <w:pPr>
        <w:pStyle w:val="Heading1"/>
        <w:numPr>
          <w:ilvl w:val="0"/>
          <w:numId w:val="1"/>
        </w:numPr>
        <w:tabs>
          <w:tab w:pos="441" w:val="left" w:leader="none"/>
        </w:tabs>
        <w:spacing w:line="240" w:lineRule="auto" w:before="0" w:after="0"/>
        <w:ind w:left="440" w:right="0" w:hanging="331"/>
        <w:jc w:val="left"/>
      </w:pPr>
      <w:r>
        <w:rPr/>
        <w:t>Why Basel III is not a complete</w:t>
      </w:r>
      <w:r>
        <w:rPr>
          <w:spacing w:val="4"/>
        </w:rPr>
        <w:t> </w:t>
      </w:r>
      <w:r>
        <w:rPr/>
        <w:t>answer</w:t>
      </w:r>
    </w:p>
    <w:p>
      <w:pPr>
        <w:pStyle w:val="BodyText"/>
        <w:rPr>
          <w:b/>
          <w:sz w:val="26"/>
        </w:rPr>
      </w:pPr>
    </w:p>
    <w:p>
      <w:pPr>
        <w:pStyle w:val="BodyText"/>
        <w:spacing w:before="11"/>
        <w:rPr>
          <w:b/>
          <w:sz w:val="20"/>
        </w:rPr>
      </w:pPr>
    </w:p>
    <w:p>
      <w:pPr>
        <w:pStyle w:val="BodyText"/>
        <w:spacing w:line="364" w:lineRule="auto"/>
        <w:ind w:left="110" w:right="629"/>
      </w:pPr>
      <w:r>
        <w:rPr/>
        <w:t>Lauded as a new standard, Basel III is seen by some as the answer to the failure of regulation to prevent the financial crisis. It is certainly a step in the right direction, an improvement on both Basel I and the ill-fated Basel II, and we should all welcome it.   But if it is a giant leap for the regulators of the world, it is only a small step for mankind. Basel III on its own will not prevent another crisis for a number of</w:t>
      </w:r>
      <w:r>
        <w:rPr>
          <w:spacing w:val="29"/>
        </w:rPr>
        <w:t> </w:t>
      </w:r>
      <w:r>
        <w:rPr/>
        <w:t>reasons.</w:t>
      </w:r>
    </w:p>
    <w:p>
      <w:pPr>
        <w:pStyle w:val="BodyText"/>
        <w:spacing w:before="3"/>
        <w:rPr>
          <w:sz w:val="35"/>
        </w:rPr>
      </w:pPr>
    </w:p>
    <w:p>
      <w:pPr>
        <w:pStyle w:val="BodyText"/>
        <w:spacing w:line="364" w:lineRule="auto"/>
        <w:ind w:left="110" w:right="575"/>
      </w:pPr>
      <w:r>
        <w:rPr/>
        <w:t>First, even the new levels of capital are insufficient to prevent another crisis. Calibrating required capital by reference to the losses incurred during the recent crisis takes inadequate account of the benefits to banks of massive government intervention and the implicit guarantee.  More fundamentally, it fails to recognise that when sentiment  changes only very high levels of capital would be sufficient to enable banks to obtain funding on anything like normal spreads to policy rates, as we can see at present. When investors change their view about the unknowable future – as they will occasionally in sudden and discontinuous ways – banks that were perceived as well-capitalised can seem under-capitalised with concerns over their solvency. That is what happened in 2007-08. As the IMF have pointed out differences in capital ratios failed to predict which financial institutions would be vulnerable in the crisis (IMF, 2009). Only very much higher levels of</w:t>
      </w:r>
      <w:r>
        <w:rPr>
          <w:spacing w:val="3"/>
        </w:rPr>
        <w:t> </w:t>
      </w:r>
      <w:r>
        <w:rPr/>
        <w:t>capital</w:t>
      </w:r>
      <w:r>
        <w:rPr>
          <w:spacing w:val="4"/>
        </w:rPr>
        <w:t> </w:t>
      </w:r>
      <w:r>
        <w:rPr/>
        <w:t>–</w:t>
      </w:r>
      <w:r>
        <w:rPr>
          <w:spacing w:val="5"/>
        </w:rPr>
        <w:t> </w:t>
      </w:r>
      <w:r>
        <w:rPr/>
        <w:t>levels</w:t>
      </w:r>
      <w:r>
        <w:rPr>
          <w:spacing w:val="3"/>
        </w:rPr>
        <w:t> </w:t>
      </w:r>
      <w:r>
        <w:rPr/>
        <w:t>that</w:t>
      </w:r>
      <w:r>
        <w:rPr>
          <w:spacing w:val="3"/>
        </w:rPr>
        <w:t> </w:t>
      </w:r>
      <w:r>
        <w:rPr/>
        <w:t>would</w:t>
      </w:r>
      <w:r>
        <w:rPr>
          <w:spacing w:val="5"/>
        </w:rPr>
        <w:t> </w:t>
      </w:r>
      <w:r>
        <w:rPr/>
        <w:t>be</w:t>
      </w:r>
      <w:r>
        <w:rPr>
          <w:spacing w:val="4"/>
        </w:rPr>
        <w:t> </w:t>
      </w:r>
      <w:r>
        <w:rPr/>
        <w:t>seen</w:t>
      </w:r>
      <w:r>
        <w:rPr>
          <w:spacing w:val="5"/>
        </w:rPr>
        <w:t> </w:t>
      </w:r>
      <w:r>
        <w:rPr/>
        <w:t>by</w:t>
      </w:r>
      <w:r>
        <w:rPr>
          <w:spacing w:val="6"/>
        </w:rPr>
        <w:t> </w:t>
      </w:r>
      <w:r>
        <w:rPr/>
        <w:t>the</w:t>
      </w:r>
      <w:r>
        <w:rPr>
          <w:spacing w:val="5"/>
        </w:rPr>
        <w:t> </w:t>
      </w:r>
      <w:r>
        <w:rPr/>
        <w:t>industry</w:t>
      </w:r>
      <w:r>
        <w:rPr>
          <w:spacing w:val="6"/>
        </w:rPr>
        <w:t> </w:t>
      </w:r>
      <w:r>
        <w:rPr/>
        <w:t>as</w:t>
      </w:r>
      <w:r>
        <w:rPr>
          <w:spacing w:val="2"/>
        </w:rPr>
        <w:t> </w:t>
      </w:r>
      <w:r>
        <w:rPr/>
        <w:t>wildly</w:t>
      </w:r>
      <w:r>
        <w:rPr>
          <w:spacing w:val="6"/>
        </w:rPr>
        <w:t> </w:t>
      </w:r>
      <w:r>
        <w:rPr/>
        <w:t>excessive</w:t>
      </w:r>
      <w:r>
        <w:rPr>
          <w:spacing w:val="3"/>
        </w:rPr>
        <w:t> </w:t>
      </w:r>
      <w:r>
        <w:rPr/>
        <w:t>most</w:t>
      </w:r>
      <w:r>
        <w:rPr>
          <w:spacing w:val="5"/>
        </w:rPr>
        <w:t> </w:t>
      </w:r>
      <w:r>
        <w:rPr/>
        <w:t>of</w:t>
      </w:r>
      <w:r>
        <w:rPr>
          <w:spacing w:val="4"/>
        </w:rPr>
        <w:t> </w:t>
      </w:r>
      <w:r>
        <w:rPr/>
        <w:t>the</w:t>
      </w:r>
      <w:r>
        <w:rPr>
          <w:spacing w:val="2"/>
        </w:rPr>
        <w:t> </w:t>
      </w:r>
      <w:r>
        <w:rPr/>
        <w:t>time</w:t>
      </w:r>
    </w:p>
    <w:p>
      <w:pPr>
        <w:pStyle w:val="ListParagraph"/>
        <w:numPr>
          <w:ilvl w:val="0"/>
          <w:numId w:val="2"/>
        </w:numPr>
        <w:tabs>
          <w:tab w:pos="286" w:val="left" w:leader="none"/>
        </w:tabs>
        <w:spacing w:line="240" w:lineRule="auto" w:before="6" w:after="0"/>
        <w:ind w:left="285" w:right="0" w:hanging="176"/>
        <w:jc w:val="left"/>
        <w:rPr>
          <w:sz w:val="23"/>
        </w:rPr>
      </w:pPr>
      <w:r>
        <w:rPr>
          <w:sz w:val="23"/>
        </w:rPr>
        <w:t>would prevent such a</w:t>
      </w:r>
      <w:r>
        <w:rPr>
          <w:spacing w:val="3"/>
          <w:sz w:val="23"/>
        </w:rPr>
        <w:t> </w:t>
      </w:r>
      <w:r>
        <w:rPr>
          <w:sz w:val="23"/>
        </w:rPr>
        <w:t>crisis.</w:t>
      </w:r>
    </w:p>
    <w:p>
      <w:pPr>
        <w:pStyle w:val="BodyText"/>
        <w:rPr>
          <w:sz w:val="26"/>
        </w:rPr>
      </w:pPr>
    </w:p>
    <w:p>
      <w:pPr>
        <w:pStyle w:val="BodyText"/>
        <w:rPr>
          <w:sz w:val="21"/>
        </w:rPr>
      </w:pPr>
    </w:p>
    <w:p>
      <w:pPr>
        <w:pStyle w:val="BodyText"/>
        <w:spacing w:line="364" w:lineRule="auto"/>
        <w:ind w:left="110" w:right="728"/>
      </w:pPr>
      <w:r>
        <w:rPr/>
        <w:t>Second, the Basel approach calculates the amount of capital required by using a measure of “risk-weighted” assets. Those risk weights are computed from past experience. Yet  the circumstances in which capital needs to be available to absorb potential losses are precisely those when earlier judgements about the risk of different assets and</w:t>
      </w:r>
      <w:r>
        <w:rPr>
          <w:spacing w:val="36"/>
        </w:rPr>
        <w:t> </w:t>
      </w:r>
      <w:r>
        <w:rPr/>
        <w:t>their</w:t>
      </w:r>
    </w:p>
    <w:p>
      <w:pPr>
        <w:spacing w:after="0" w:line="364" w:lineRule="auto"/>
        <w:sectPr>
          <w:pgSz w:w="11900" w:h="16840"/>
          <w:pgMar w:header="1447" w:footer="0" w:top="1660" w:bottom="280" w:left="1640" w:right="1220"/>
        </w:sectPr>
      </w:pPr>
    </w:p>
    <w:p>
      <w:pPr>
        <w:pStyle w:val="BodyText"/>
        <w:rPr>
          <w:sz w:val="20"/>
        </w:rPr>
      </w:pPr>
    </w:p>
    <w:p>
      <w:pPr>
        <w:pStyle w:val="BodyText"/>
        <w:spacing w:line="364" w:lineRule="auto" w:before="224"/>
        <w:ind w:left="110" w:right="768"/>
      </w:pPr>
      <w:r>
        <w:rPr/>
        <w:t>correlation are shown to be wrong.  One might well say that a financial crisis occurs when the Basel risk weights turn out to be poor estimates of underlying risk. And that is not because investors, banks or regulators are incompetent.  It is because the relevant risks are often impossible to assess in terms of fixed probabilities. Events can take place that we could not have envisaged, let alone to which we could attach probabilities.  If only banks were playing in a casino then we probably could calculate appropriate risk weights. Unfortunately, the world is more complicated. So the regulatory framework needs to contain elements that are robust with respect to changes in the appropriate risk weights, and that is why the Bank of England advocated a simple leverage ratio as a key backstop to capital</w:t>
      </w:r>
      <w:r>
        <w:rPr>
          <w:spacing w:val="1"/>
        </w:rPr>
        <w:t> </w:t>
      </w:r>
      <w:r>
        <w:rPr/>
        <w:t>requirements.</w:t>
      </w:r>
    </w:p>
    <w:p>
      <w:pPr>
        <w:pStyle w:val="BodyText"/>
        <w:spacing w:before="7"/>
        <w:rPr>
          <w:sz w:val="35"/>
        </w:rPr>
      </w:pPr>
    </w:p>
    <w:p>
      <w:pPr>
        <w:pStyle w:val="BodyText"/>
        <w:spacing w:line="364" w:lineRule="auto"/>
        <w:ind w:left="110" w:right="650"/>
      </w:pPr>
      <w:r>
        <w:rPr/>
        <w:t>Third, the Basel framework still focuses largely on the assets side of a bank’s balance sheet.  Basel II excluded consideration of the liquidity and liability structure of the  balance sheet, so much so that when the UK adopted Basel II in 2007, of all the major banks the one with the highest capital ratio was, believe it or not, Northern Rock. Within weeks of announcing that it intended to return excess capital to its shareholders, Northern Rock ran out of money.  Basel II was based on a judgement that mortgages were the  safest form of lending irrespective of how they were financed.  If a business model is based around a particular funding model that suddenly becomes unviable, then the business model becomes unviable too, as events in 2007 showed. Whether the measures included in Basel III will be able to deal properly with the risks that result from  inadequate</w:t>
      </w:r>
      <w:r>
        <w:rPr>
          <w:spacing w:val="6"/>
        </w:rPr>
        <w:t> </w:t>
      </w:r>
      <w:r>
        <w:rPr/>
        <w:t>levels</w:t>
      </w:r>
      <w:r>
        <w:rPr>
          <w:spacing w:val="3"/>
        </w:rPr>
        <w:t> </w:t>
      </w:r>
      <w:r>
        <w:rPr/>
        <w:t>of</w:t>
      </w:r>
      <w:r>
        <w:rPr>
          <w:spacing w:val="4"/>
        </w:rPr>
        <w:t> </w:t>
      </w:r>
      <w:r>
        <w:rPr/>
        <w:t>liquid</w:t>
      </w:r>
      <w:r>
        <w:rPr>
          <w:spacing w:val="6"/>
        </w:rPr>
        <w:t> </w:t>
      </w:r>
      <w:r>
        <w:rPr/>
        <w:t>assets</w:t>
      </w:r>
      <w:r>
        <w:rPr>
          <w:spacing w:val="7"/>
        </w:rPr>
        <w:t> </w:t>
      </w:r>
      <w:r>
        <w:rPr/>
        <w:t>and</w:t>
      </w:r>
      <w:r>
        <w:rPr>
          <w:spacing w:val="6"/>
        </w:rPr>
        <w:t> </w:t>
      </w:r>
      <w:r>
        <w:rPr/>
        <w:t>a</w:t>
      </w:r>
      <w:r>
        <w:rPr>
          <w:spacing w:val="6"/>
        </w:rPr>
        <w:t> </w:t>
      </w:r>
      <w:r>
        <w:rPr/>
        <w:t>risky</w:t>
      </w:r>
      <w:r>
        <w:rPr>
          <w:spacing w:val="4"/>
        </w:rPr>
        <w:t> </w:t>
      </w:r>
      <w:r>
        <w:rPr/>
        <w:t>structure</w:t>
      </w:r>
      <w:r>
        <w:rPr>
          <w:spacing w:val="5"/>
        </w:rPr>
        <w:t> </w:t>
      </w:r>
      <w:r>
        <w:rPr/>
        <w:t>of</w:t>
      </w:r>
      <w:r>
        <w:rPr>
          <w:spacing w:val="6"/>
        </w:rPr>
        <w:t> </w:t>
      </w:r>
      <w:r>
        <w:rPr/>
        <w:t>liabilities</w:t>
      </w:r>
      <w:r>
        <w:rPr>
          <w:spacing w:val="5"/>
        </w:rPr>
        <w:t> </w:t>
      </w:r>
      <w:r>
        <w:rPr/>
        <w:t>remains</w:t>
      </w:r>
      <w:r>
        <w:rPr>
          <w:spacing w:val="5"/>
        </w:rPr>
        <w:t> </w:t>
      </w:r>
      <w:r>
        <w:rPr/>
        <w:t>to</w:t>
      </w:r>
      <w:r>
        <w:rPr>
          <w:spacing w:val="5"/>
        </w:rPr>
        <w:t> </w:t>
      </w:r>
      <w:r>
        <w:rPr/>
        <w:t>be</w:t>
      </w:r>
      <w:r>
        <w:rPr>
          <w:spacing w:val="6"/>
        </w:rPr>
        <w:t> </w:t>
      </w:r>
      <w:r>
        <w:rPr/>
        <w:t>seen.</w:t>
      </w:r>
    </w:p>
    <w:p>
      <w:pPr>
        <w:pStyle w:val="BodyText"/>
        <w:spacing w:before="5"/>
        <w:rPr>
          <w:sz w:val="35"/>
        </w:rPr>
      </w:pPr>
    </w:p>
    <w:p>
      <w:pPr>
        <w:pStyle w:val="BodyText"/>
        <w:spacing w:line="364" w:lineRule="auto"/>
        <w:ind w:left="110" w:right="525"/>
      </w:pPr>
      <w:r>
        <w:rPr/>
        <w:t>One criticism of Basel III with which I have no truck is the length of the transition period. Banks have up to 2019 to adjust fully to the new requirements. Although some of the calculations of the alleged economic cost of higher capital requirements presented by the industry seem to me exaggerated (Institute of International Finance, 2010), I do believe that it is important in the present phase of de-leveraging not to exacerbate the challenge banks face in raising capital today. Banks should take advantage of opportunities to raise loss-absorbing capital, and should recognise the importance of using profits to rebuild capital rather than pay out higher dividends and compensation. But we must not</w:t>
      </w:r>
      <w:r>
        <w:rPr>
          <w:spacing w:val="55"/>
        </w:rPr>
        <w:t> </w:t>
      </w:r>
      <w:r>
        <w:rPr/>
        <w:t>forget</w:t>
      </w:r>
    </w:p>
    <w:p>
      <w:pPr>
        <w:spacing w:after="0" w:line="364" w:lineRule="auto"/>
        <w:sectPr>
          <w:pgSz w:w="11900" w:h="16840"/>
          <w:pgMar w:header="1447" w:footer="0" w:top="1660" w:bottom="280" w:left="1640" w:right="1220"/>
        </w:sectPr>
      </w:pPr>
    </w:p>
    <w:p>
      <w:pPr>
        <w:pStyle w:val="BodyText"/>
        <w:rPr>
          <w:sz w:val="20"/>
        </w:rPr>
      </w:pPr>
    </w:p>
    <w:p>
      <w:pPr>
        <w:pStyle w:val="BodyText"/>
        <w:spacing w:line="364" w:lineRule="auto" w:before="224"/>
        <w:ind w:left="110" w:right="697"/>
      </w:pPr>
      <w:r>
        <w:rPr/>
        <w:t>the principle underlying the Basel approach: asking banks to maintain a buffer of capital above the minimum requirement allows them to run the buffer down in circumstances  like the present.  Rebuilding the buffer is a task for the future.  So even though the Bank  of England would have preferred an agreement to set capital ratios at higher levels in the long run, we have no intention of asking UK banks to adopt a faster timetable for implementation of Basel III. That logic should apply to any reforms we choose to implement. We should not expect to change the financial system for the better overnight. Rather we need radical reforms that will give us a much more robust system in the long run, accepting that it may take a period of many years to get</w:t>
      </w:r>
      <w:r>
        <w:rPr>
          <w:spacing w:val="17"/>
        </w:rPr>
        <w:t> </w:t>
      </w:r>
      <w:r>
        <w:rPr/>
        <w:t>there.</w:t>
      </w:r>
    </w:p>
    <w:p>
      <w:pPr>
        <w:pStyle w:val="BodyText"/>
        <w:spacing w:before="5"/>
        <w:rPr>
          <w:sz w:val="35"/>
        </w:rPr>
      </w:pPr>
    </w:p>
    <w:p>
      <w:pPr>
        <w:pStyle w:val="BodyText"/>
        <w:spacing w:line="364" w:lineRule="auto" w:before="1"/>
        <w:ind w:left="110" w:right="702"/>
      </w:pPr>
      <w:r>
        <w:rPr/>
        <w:t>As with a bank levy, it is no criticism of Basel III to say that it is not a “silver bullet”.   The difficulty of identifying and calibrating the difference between the private and social costs of maturity transformation means that there is merit in having a basket of different measures to rein in excessive risk-taking. In the area of financial stability, it makes sense to have both belt and</w:t>
      </w:r>
      <w:r>
        <w:rPr>
          <w:spacing w:val="3"/>
        </w:rPr>
        <w:t> </w:t>
      </w:r>
      <w:r>
        <w:rPr/>
        <w:t>braces.</w:t>
      </w:r>
    </w:p>
    <w:p>
      <w:pPr>
        <w:pStyle w:val="BodyText"/>
        <w:spacing w:before="5"/>
        <w:rPr>
          <w:sz w:val="35"/>
        </w:rPr>
      </w:pPr>
    </w:p>
    <w:p>
      <w:pPr>
        <w:pStyle w:val="Heading1"/>
        <w:numPr>
          <w:ilvl w:val="0"/>
          <w:numId w:val="1"/>
        </w:numPr>
        <w:tabs>
          <w:tab w:pos="499" w:val="left" w:leader="none"/>
          <w:tab w:pos="500" w:val="left" w:leader="none"/>
        </w:tabs>
        <w:spacing w:line="240" w:lineRule="auto" w:before="0" w:after="0"/>
        <w:ind w:left="499" w:right="0" w:hanging="390"/>
        <w:jc w:val="left"/>
      </w:pPr>
      <w:r>
        <w:rPr/>
        <w:t>Large</w:t>
      </w:r>
      <w:r>
        <w:rPr>
          <w:spacing w:val="17"/>
        </w:rPr>
        <w:t> </w:t>
      </w:r>
      <w:r>
        <w:rPr/>
        <w:t>Institutions</w:t>
      </w:r>
    </w:p>
    <w:p>
      <w:pPr>
        <w:pStyle w:val="BodyText"/>
        <w:rPr>
          <w:b/>
          <w:sz w:val="26"/>
        </w:rPr>
      </w:pPr>
    </w:p>
    <w:p>
      <w:pPr>
        <w:pStyle w:val="BodyText"/>
        <w:spacing w:before="8"/>
        <w:rPr>
          <w:b/>
          <w:sz w:val="20"/>
        </w:rPr>
      </w:pPr>
    </w:p>
    <w:p>
      <w:pPr>
        <w:pStyle w:val="BodyText"/>
        <w:spacing w:line="364" w:lineRule="auto"/>
        <w:ind w:left="110" w:right="676"/>
      </w:pPr>
      <w:r>
        <w:rPr/>
        <w:t>The implicit subsidy to banks that are perceived as “too important to fail” can be  important to banks of any size but is usually seen as bigger for large institutions for   which existing bank resolution procedures either do or could not apply. Moreover, most large complex financial institutions are global – at least in life if not in death. So a major international effort is underway to try to work out how best to deal with such institutions, initiated by heads of government at the G-20 Summit in Pittsburgh in 2009. Much of this work is being led by the Financial Stability Board. Ideas agreed in principle or under consideration include an addition to the Basel III capital requirement of an extra layer of either equity or other loss-absorbing capital, a special resolution regime for large institutions that would allow losses to be shared among creditors as well</w:t>
      </w:r>
      <w:r>
        <w:rPr>
          <w:spacing w:val="29"/>
        </w:rPr>
        <w:t> </w:t>
      </w:r>
      <w:r>
        <w:rPr/>
        <w:t>as</w:t>
      </w:r>
    </w:p>
    <w:p>
      <w:pPr>
        <w:pStyle w:val="BodyText"/>
        <w:spacing w:line="364" w:lineRule="auto" w:before="6"/>
        <w:ind w:left="110" w:right="671"/>
      </w:pPr>
      <w:r>
        <w:rPr/>
        <w:t>equity-holders, and tentative steps towards international harmonisation of resolution procedures on which my colleague Paul Tucker and others are engaged.</w:t>
      </w:r>
    </w:p>
    <w:p>
      <w:pPr>
        <w:spacing w:after="0" w:line="364" w:lineRule="auto"/>
        <w:sectPr>
          <w:pgSz w:w="11900" w:h="16840"/>
          <w:pgMar w:header="1447" w:footer="0" w:top="1660" w:bottom="280" w:left="1640" w:right="1220"/>
        </w:sectPr>
      </w:pPr>
    </w:p>
    <w:p>
      <w:pPr>
        <w:pStyle w:val="BodyText"/>
        <w:rPr>
          <w:sz w:val="20"/>
        </w:rPr>
      </w:pPr>
    </w:p>
    <w:p>
      <w:pPr>
        <w:pStyle w:val="BodyText"/>
        <w:spacing w:line="364" w:lineRule="auto" w:before="224"/>
        <w:ind w:left="110" w:right="697"/>
      </w:pPr>
      <w:r>
        <w:rPr/>
        <w:t>Some countries have already started down the road of augmenting the Basel calibration with additional requirements of their own for large banks. Earlier this month the Swiss authorities announced just such a requirement for their two current systemically important banks – UBS and Credit Suisse. In future, they will have to hold additional amounts of both equity capital and loss-bearing contingent capital which takes their total holding of equity-like capital to 19%, compared with the Basel standard of</w:t>
      </w:r>
      <w:r>
        <w:rPr>
          <w:spacing w:val="29"/>
        </w:rPr>
        <w:t> </w:t>
      </w:r>
      <w:r>
        <w:rPr/>
        <w:t>7%.</w:t>
      </w:r>
    </w:p>
    <w:p>
      <w:pPr>
        <w:pStyle w:val="BodyText"/>
        <w:spacing w:before="4"/>
        <w:rPr>
          <w:sz w:val="35"/>
        </w:rPr>
      </w:pPr>
    </w:p>
    <w:p>
      <w:pPr>
        <w:pStyle w:val="BodyText"/>
        <w:spacing w:line="364" w:lineRule="auto"/>
        <w:ind w:left="110" w:right="643"/>
      </w:pPr>
      <w:r>
        <w:rPr/>
        <w:t>But in most other countries, identifying in advance a group of financial institutions whose failure would be intolerable, and so are “too important to fail”, is a hazardous   undertaking.  In itself it would simply increase the subsidy by making it explicit.  And it   is hard to see why institutions whose failure cannot be contemplated should be in the private sector in the first place. But if international regulators failed to agree on higher capital requirements in general, adding to the loss-absorbing capacity of large institutions could be a second-best</w:t>
      </w:r>
      <w:r>
        <w:rPr>
          <w:spacing w:val="4"/>
        </w:rPr>
        <w:t> </w:t>
      </w:r>
      <w:r>
        <w:rPr/>
        <w:t>outcome.</w:t>
      </w:r>
    </w:p>
    <w:p>
      <w:pPr>
        <w:pStyle w:val="BodyText"/>
        <w:spacing w:before="4"/>
        <w:rPr>
          <w:sz w:val="35"/>
        </w:rPr>
      </w:pPr>
    </w:p>
    <w:p>
      <w:pPr>
        <w:pStyle w:val="BodyText"/>
        <w:spacing w:line="364" w:lineRule="auto" w:before="1"/>
        <w:ind w:left="110" w:right="633"/>
      </w:pPr>
      <w:r>
        <w:rPr/>
        <w:t>Solving the “too important to fail” problem will require ultimately that every financial sector entity can be left to fail without risk of threatening the functioning of the economy. So it is natural that improved resolution procedures is part of the overall strategy – and within many countries big steps forward have already been taken. But the successful resolution of a large institution would, in the absence of an implausibly large deposit insurance fund, require the ability to bail-in creditors. Yet that possibility would give an incentive to the bank to increase its dependence on short-term funding so that more creditors might get out in time. That might increase rather than decrease the fragility of  the institution. So there would need to be restrictions on the maturity structure of its liabilities. Resolution would naturally go hand-in-hand with a greater reliance on instruments such as contingent capital. And there would be enormous challenges in resolving global banks that span countries with different legal jurisdictions. Extending resolution procedures to large institutions is a necessary but not sufficient condition for stability of the banking</w:t>
      </w:r>
      <w:r>
        <w:rPr>
          <w:spacing w:val="2"/>
        </w:rPr>
        <w:t> </w:t>
      </w:r>
      <w:r>
        <w:rPr/>
        <w:t>system.</w:t>
      </w:r>
    </w:p>
    <w:p>
      <w:pPr>
        <w:spacing w:after="0" w:line="364" w:lineRule="auto"/>
        <w:sectPr>
          <w:pgSz w:w="11900" w:h="16840"/>
          <w:pgMar w:header="1447" w:footer="0" w:top="1660" w:bottom="280" w:left="1640" w:right="1220"/>
        </w:sectPr>
      </w:pPr>
    </w:p>
    <w:p>
      <w:pPr>
        <w:pStyle w:val="BodyText"/>
        <w:rPr>
          <w:sz w:val="20"/>
        </w:rPr>
      </w:pPr>
    </w:p>
    <w:p>
      <w:pPr>
        <w:pStyle w:val="Heading1"/>
        <w:numPr>
          <w:ilvl w:val="0"/>
          <w:numId w:val="1"/>
        </w:numPr>
        <w:tabs>
          <w:tab w:pos="441" w:val="left" w:leader="none"/>
        </w:tabs>
        <w:spacing w:line="240" w:lineRule="auto" w:before="226" w:after="0"/>
        <w:ind w:left="440" w:right="0" w:hanging="331"/>
        <w:jc w:val="left"/>
      </w:pPr>
      <w:r>
        <w:rPr/>
        <w:t>More radical reforms</w:t>
      </w:r>
    </w:p>
    <w:p>
      <w:pPr>
        <w:pStyle w:val="BodyText"/>
        <w:rPr>
          <w:b/>
          <w:sz w:val="26"/>
        </w:rPr>
      </w:pPr>
    </w:p>
    <w:p>
      <w:pPr>
        <w:pStyle w:val="BodyText"/>
        <w:spacing w:before="10"/>
        <w:rPr>
          <w:b/>
          <w:sz w:val="20"/>
        </w:rPr>
      </w:pPr>
    </w:p>
    <w:p>
      <w:pPr>
        <w:pStyle w:val="BodyText"/>
        <w:spacing w:line="364" w:lineRule="auto"/>
        <w:ind w:left="110" w:right="671"/>
      </w:pPr>
      <w:r>
        <w:rPr/>
        <w:t>All of these potential reforms would be steps in the right direction.  They would all help  to put more of the costs of maturity mismatch on the shoulders of those who reap the benefits. But taxes, the Basel capital requirements, special arrangements for systemically important financial institutions and enhanced resolution procedures all have drawbacks and are unlikely to do the job perfectly. So, if we cannot rely solely on these types of measures, are there more fundamental directions in which we could move that would  align costs and benefits more</w:t>
      </w:r>
      <w:r>
        <w:rPr>
          <w:spacing w:val="3"/>
        </w:rPr>
        <w:t> </w:t>
      </w:r>
      <w:r>
        <w:rPr/>
        <w:t>effectively?</w:t>
      </w:r>
    </w:p>
    <w:p>
      <w:pPr>
        <w:pStyle w:val="BodyText"/>
        <w:spacing w:before="4"/>
        <w:rPr>
          <w:sz w:val="35"/>
        </w:rPr>
      </w:pPr>
    </w:p>
    <w:p>
      <w:pPr>
        <w:pStyle w:val="BodyText"/>
        <w:spacing w:line="364" w:lineRule="auto"/>
        <w:ind w:left="110" w:right="671"/>
      </w:pPr>
      <w:r>
        <w:rPr/>
        <w:t>One simple solution, advocated by my colleague David Miles, would be to move to very much higher levels of capital requirements – several orders of magnitude higher.  A related proposal is to ensure there are large amounts of contingent capital in a bank’s liability structure. Much more loss-absorbing capital – actual or contingent – can substantially reduce the size of costs that might be borne outside of a financial firm. But unless complete, capital requirements will never be able to guarantee that costs will not spill over elsewhere. This leads to the limiting case of proposals such as Professor Kotlikoff’s idea to introduce what he calls "limited purpose banking" (Kotlikoff, 2010). That would ensure that each pool of investments made by a bank is turned into a mutual fund with no maturity mismatch. There is no possibility of alchemy. It is an idea worthy of further study.</w:t>
      </w:r>
    </w:p>
    <w:p>
      <w:pPr>
        <w:pStyle w:val="BodyText"/>
        <w:spacing w:before="5"/>
        <w:rPr>
          <w:sz w:val="35"/>
        </w:rPr>
      </w:pPr>
    </w:p>
    <w:p>
      <w:pPr>
        <w:pStyle w:val="BodyText"/>
        <w:spacing w:line="364" w:lineRule="auto" w:before="1"/>
        <w:ind w:left="110" w:right="768"/>
      </w:pPr>
      <w:r>
        <w:rPr/>
        <w:t>Another avenue of reform is some form of functional separation. The Volcker Rule is one example. Another, more fundamental, example would be to divorce the payment system from risky lending activity – that is to prevent fractional reserve banking (for example, as proposed by Fisher, 1936, Friedman, 1960, Tobin, 1987 and more recently by Kay, 2009).</w:t>
      </w:r>
    </w:p>
    <w:p>
      <w:pPr>
        <w:pStyle w:val="BodyText"/>
        <w:spacing w:before="3"/>
        <w:rPr>
          <w:sz w:val="35"/>
        </w:rPr>
      </w:pPr>
    </w:p>
    <w:p>
      <w:pPr>
        <w:pStyle w:val="BodyText"/>
        <w:spacing w:line="364" w:lineRule="auto"/>
        <w:ind w:left="110" w:right="671"/>
      </w:pPr>
      <w:r>
        <w:rPr/>
        <w:t>In essence these proposals recognise that if banks undertake risky activities then it is highly dangerous to allow such “gambling” to take place on the same balance sheet as is used to support the payments system, and other crucial parts of the financial</w:t>
      </w:r>
    </w:p>
    <w:p>
      <w:pPr>
        <w:spacing w:after="0" w:line="364" w:lineRule="auto"/>
        <w:sectPr>
          <w:pgSz w:w="11900" w:h="16840"/>
          <w:pgMar w:header="1447" w:footer="0" w:top="1660" w:bottom="280" w:left="1640" w:right="1220"/>
        </w:sectPr>
      </w:pPr>
    </w:p>
    <w:p>
      <w:pPr>
        <w:pStyle w:val="BodyText"/>
        <w:rPr>
          <w:sz w:val="20"/>
        </w:rPr>
      </w:pPr>
    </w:p>
    <w:p>
      <w:pPr>
        <w:pStyle w:val="BodyText"/>
        <w:spacing w:line="364" w:lineRule="auto" w:before="224"/>
        <w:ind w:left="110" w:right="671"/>
      </w:pPr>
      <w:r>
        <w:rPr/>
        <w:t>infrastructure. And eliminating fractional reserve banking explicitly recognises that the pretence that risk-free deposits can be supported by risky assets is alchemy. If there is a need for genuinely safe deposits the only way they can be provided, while ensuring costs and benefits are fully aligned, is to insist such deposits do not coexist with risky assets.</w:t>
      </w:r>
    </w:p>
    <w:p>
      <w:pPr>
        <w:pStyle w:val="BodyText"/>
        <w:spacing w:before="3"/>
        <w:rPr>
          <w:sz w:val="35"/>
        </w:rPr>
      </w:pPr>
    </w:p>
    <w:p>
      <w:pPr>
        <w:pStyle w:val="BodyText"/>
        <w:spacing w:line="364" w:lineRule="auto"/>
        <w:ind w:left="110" w:right="638"/>
      </w:pPr>
      <w:r>
        <w:rPr/>
        <w:t>The advantage of these types of more fundamental proposals is that no tax or capital requirement needs to be calibrated.  And if successfully enforced then they certainly  would be robust measures. But a key challenge is to ensure that maturity transformation does not simply migrate outside of the regulated perimeter, and end up benefiting from an implicit public subsidy (Tucker, 2010b). That is difficult because it is the nature of the services – not the institutions – that is the concern.  Ultimately, we need a system   whereby the suppliers of funds to risky activities, whether intermediated via banks or any other entity, must understand that they will not be protected from loss by taxpayer  bailouts. Creditors should know that they will bear losses in the event of</w:t>
      </w:r>
      <w:r>
        <w:rPr>
          <w:spacing w:val="41"/>
        </w:rPr>
        <w:t> </w:t>
      </w:r>
      <w:r>
        <w:rPr/>
        <w:t>failure.</w:t>
      </w:r>
    </w:p>
    <w:p>
      <w:pPr>
        <w:pStyle w:val="BodyText"/>
        <w:spacing w:line="364" w:lineRule="auto" w:before="5"/>
        <w:ind w:left="110" w:right="657"/>
      </w:pPr>
      <w:r>
        <w:rPr/>
        <w:t>We certainly cannot rely on being able to expand the scope of regulation without limit to prevent the migration of maturity mismatch.  Regulators will never be able to keep up with the pace and scale of financial innovation.  Nor should we want to restrict  innovation. But it should be undertaken by investors using their own money not by intermediaries who also provide crucial services to the economy, allowing them to reap  an implicit public subsidy. It will not be possible to regulate all parts of the financial system as if they were banks.  As Jeffrey Lacker, President of the Federal Reserve Bank  of Richmond, has argued, “merely expanding the scope of regulation to chase those firms that extract implicit guarantees by engaging in maturity transformation would be an interminable journey with yet more financial instability in its wake” (Lacker, 2010). In  the end, clarity about the regulatory perimeter is both desirable and unavoidable – a task given to the Financial Policy Committee as part of the Bank of England’s new responsibilities.  And the attraction of the more radical solutions is that they offer the  hope of avoiding the seemingly inevitable drift to ever more complex and costly regulation.</w:t>
      </w:r>
    </w:p>
    <w:p>
      <w:pPr>
        <w:spacing w:after="0" w:line="364" w:lineRule="auto"/>
        <w:sectPr>
          <w:pgSz w:w="11900" w:h="16840"/>
          <w:pgMar w:header="1447" w:footer="0" w:top="1660" w:bottom="280" w:left="1640" w:right="1220"/>
        </w:sectPr>
      </w:pPr>
    </w:p>
    <w:p>
      <w:pPr>
        <w:pStyle w:val="BodyText"/>
        <w:rPr>
          <w:sz w:val="20"/>
        </w:rPr>
      </w:pPr>
    </w:p>
    <w:p>
      <w:pPr>
        <w:pStyle w:val="BodyText"/>
        <w:spacing w:line="364" w:lineRule="auto" w:before="224"/>
        <w:ind w:left="110" w:right="671"/>
      </w:pPr>
      <w:r>
        <w:rPr/>
        <w:t>The broad answer to the problem is likely to be remarkably simple. Banks should be financed much more heavily by equity rather than short-term debt. Much, much more equity; much, much less short-term debt. Risky investments cannot be financed in any other way. What we cannot countenance is a continuation of the system in which bank executives trade and take risks on their own account, and yet those who finance them are protected from loss by the implicit taxpayer guarantees. The difficulty is in finding the right practical way to achieve that. Some of the solutions that economists have proposed have been dismissed by some as impractical and pie in the sky. But I am reminded of Keynes’ dictum that “practical men who believe themselves to be quite exempt from any intellectual influence are usually the slaves of some defunct economist” (Keynes, 1936). Of all the many ways of organising banking, the worst is the one we have today.</w:t>
      </w:r>
    </w:p>
    <w:p>
      <w:pPr>
        <w:pStyle w:val="BodyText"/>
        <w:spacing w:before="7"/>
        <w:rPr>
          <w:sz w:val="35"/>
        </w:rPr>
      </w:pPr>
    </w:p>
    <w:p>
      <w:pPr>
        <w:pStyle w:val="BodyText"/>
        <w:spacing w:line="364" w:lineRule="auto"/>
        <w:ind w:left="110" w:right="671"/>
      </w:pPr>
      <w:r>
        <w:rPr/>
        <w:t>I have suggested a number of ways in which the system could be reformed. But making the right choice will take much careful thought and a good deal of time. So I do not want today to offer a blueprint – and indeed that is for others to do.  In the UK we are   fortunate. The Independent Commission on Banking was set up earlier this year. It has outstanding members. I am sure they will lead us to the right solution, and I look forward to their</w:t>
      </w:r>
      <w:r>
        <w:rPr>
          <w:spacing w:val="1"/>
        </w:rPr>
        <w:t> </w:t>
      </w:r>
      <w:r>
        <w:rPr/>
        <w:t>findings.</w:t>
      </w:r>
    </w:p>
    <w:p>
      <w:pPr>
        <w:pStyle w:val="BodyText"/>
        <w:spacing w:before="5"/>
        <w:rPr>
          <w:sz w:val="35"/>
        </w:rPr>
      </w:pPr>
    </w:p>
    <w:p>
      <w:pPr>
        <w:pStyle w:val="Heading1"/>
        <w:numPr>
          <w:ilvl w:val="0"/>
          <w:numId w:val="1"/>
        </w:numPr>
        <w:tabs>
          <w:tab w:pos="441" w:val="left" w:leader="none"/>
        </w:tabs>
        <w:spacing w:line="240" w:lineRule="auto" w:before="0" w:after="0"/>
        <w:ind w:left="440" w:right="0" w:hanging="331"/>
        <w:jc w:val="left"/>
      </w:pPr>
      <w:r>
        <w:rPr/>
        <w:t>Conclusions</w:t>
      </w:r>
    </w:p>
    <w:p>
      <w:pPr>
        <w:pStyle w:val="BodyText"/>
        <w:rPr>
          <w:b/>
          <w:sz w:val="26"/>
        </w:rPr>
      </w:pPr>
    </w:p>
    <w:p>
      <w:pPr>
        <w:pStyle w:val="BodyText"/>
        <w:spacing w:before="9"/>
        <w:rPr>
          <w:b/>
          <w:sz w:val="20"/>
        </w:rPr>
      </w:pPr>
    </w:p>
    <w:p>
      <w:pPr>
        <w:pStyle w:val="BodyText"/>
        <w:spacing w:line="364" w:lineRule="auto" w:before="1"/>
        <w:ind w:left="110" w:right="671"/>
      </w:pPr>
      <w:r>
        <w:rPr/>
        <w:t>There is no simple answer to the to important to fail nature of banks. Maturity transformation brings economic benefits but it creates real economic costs. The problem is that the costs do not fall on those who enjoy the benefits. The damaging externalities created by excessive maturity transformation and risk-taking must be</w:t>
      </w:r>
      <w:r>
        <w:rPr>
          <w:spacing w:val="35"/>
        </w:rPr>
        <w:t> </w:t>
      </w:r>
      <w:r>
        <w:rPr/>
        <w:t>internalised.</w:t>
      </w:r>
    </w:p>
    <w:p>
      <w:pPr>
        <w:pStyle w:val="BodyText"/>
        <w:spacing w:before="1"/>
        <w:rPr>
          <w:sz w:val="35"/>
        </w:rPr>
      </w:pPr>
    </w:p>
    <w:p>
      <w:pPr>
        <w:pStyle w:val="BodyText"/>
        <w:spacing w:line="364" w:lineRule="auto" w:before="1"/>
        <w:ind w:left="110" w:right="539"/>
      </w:pPr>
      <w:r>
        <w:rPr/>
        <w:t>A market economy has proved to be the most reliable means for a society to expand its standard of living. But ever since the Industrial Revolution we have not cracked the problem of how to ensure a more stable banking system. We know that there will always be sharp and unpredictable movements in expectations, sentiment and hence valuations of financial assets. They represent our best guess as to what the future holds, and</w:t>
      </w:r>
      <w:r>
        <w:rPr>
          <w:spacing w:val="45"/>
        </w:rPr>
        <w:t> </w:t>
      </w:r>
      <w:r>
        <w:rPr/>
        <w:t>views</w:t>
      </w:r>
    </w:p>
    <w:p>
      <w:pPr>
        <w:spacing w:after="0" w:line="364" w:lineRule="auto"/>
        <w:sectPr>
          <w:pgSz w:w="11900" w:h="16840"/>
          <w:pgMar w:header="1447" w:footer="0" w:top="1660" w:bottom="280" w:left="1640" w:right="1220"/>
        </w:sectPr>
      </w:pPr>
    </w:p>
    <w:p>
      <w:pPr>
        <w:pStyle w:val="BodyText"/>
        <w:rPr>
          <w:sz w:val="20"/>
        </w:rPr>
      </w:pPr>
    </w:p>
    <w:p>
      <w:pPr>
        <w:pStyle w:val="BodyText"/>
        <w:spacing w:line="364" w:lineRule="auto" w:before="224"/>
        <w:ind w:left="110" w:right="537"/>
      </w:pPr>
      <w:r>
        <w:rPr/>
        <w:t>about the future can change radically and unpredictably. It is a phenomenon that we must learn to live with. But changes in expectations can create havoc with the banking system because it relies so heavily on transforming short-term debt into long-term risky assets.</w:t>
      </w:r>
    </w:p>
    <w:p>
      <w:pPr>
        <w:pStyle w:val="BodyText"/>
        <w:spacing w:line="364" w:lineRule="auto" w:before="2"/>
        <w:ind w:left="110" w:right="671"/>
      </w:pPr>
      <w:r>
        <w:rPr/>
        <w:t>For a society to base its financial system on alchemy is a poor advertisement for its rationality.</w:t>
      </w:r>
    </w:p>
    <w:p>
      <w:pPr>
        <w:pStyle w:val="BodyText"/>
        <w:spacing w:line="364" w:lineRule="auto" w:before="2"/>
        <w:ind w:left="110" w:right="671"/>
      </w:pPr>
      <w:r>
        <w:rPr/>
        <w:t>Change is, I believe, inevitable. The question is only whether we can think our way through to a better outcome before the next generation is damaged by a future and bigger crisis. This crisis has already left a legacy of debt to the next generation. We must not leave them the legacy of a fragile banking system too.</w:t>
      </w:r>
    </w:p>
    <w:p>
      <w:pPr>
        <w:pStyle w:val="BodyText"/>
        <w:spacing w:before="1"/>
        <w:rPr>
          <w:sz w:val="35"/>
        </w:rPr>
      </w:pPr>
    </w:p>
    <w:p>
      <w:pPr>
        <w:pStyle w:val="BodyText"/>
        <w:spacing w:line="364" w:lineRule="auto" w:before="1"/>
        <w:ind w:left="110" w:right="671"/>
      </w:pPr>
      <w:r>
        <w:rPr/>
        <w:t>I have explained the principles on which a successful reform of the system should rest. It is a program that will take many years, if not decades. But, as Bagehot concluded in Lombard Street, “I have written in vain if I require to say now that the problem is  delicate, that the solution is varying and difficult, and that the result is inestimable to us all.”</w:t>
      </w:r>
    </w:p>
    <w:p>
      <w:pPr>
        <w:spacing w:after="0" w:line="364" w:lineRule="auto"/>
        <w:sectPr>
          <w:pgSz w:w="11900" w:h="16840"/>
          <w:pgMar w:header="1447" w:footer="0" w:top="1660" w:bottom="280" w:left="1640" w:right="1220"/>
        </w:sectPr>
      </w:pPr>
    </w:p>
    <w:p>
      <w:pPr>
        <w:pStyle w:val="BodyText"/>
        <w:rPr>
          <w:sz w:val="20"/>
        </w:rPr>
      </w:pPr>
    </w:p>
    <w:p>
      <w:pPr>
        <w:pStyle w:val="BodyText"/>
        <w:spacing w:before="8"/>
        <w:rPr>
          <w:sz w:val="19"/>
        </w:rPr>
      </w:pPr>
    </w:p>
    <w:p>
      <w:pPr>
        <w:spacing w:before="1"/>
        <w:ind w:left="110" w:right="0" w:firstLine="0"/>
        <w:jc w:val="left"/>
        <w:rPr>
          <w:b/>
          <w:sz w:val="21"/>
        </w:rPr>
      </w:pPr>
      <w:r>
        <w:rPr>
          <w:b/>
          <w:sz w:val="21"/>
        </w:rPr>
        <w:t>References</w:t>
      </w:r>
    </w:p>
    <w:p>
      <w:pPr>
        <w:pStyle w:val="BodyText"/>
        <w:spacing w:before="1"/>
        <w:rPr>
          <w:b/>
          <w:sz w:val="31"/>
        </w:rPr>
      </w:pPr>
    </w:p>
    <w:p>
      <w:pPr>
        <w:spacing w:line="367" w:lineRule="auto" w:before="1"/>
        <w:ind w:left="110" w:right="671" w:firstLine="0"/>
        <w:jc w:val="left"/>
        <w:rPr>
          <w:sz w:val="21"/>
        </w:rPr>
      </w:pPr>
      <w:r>
        <w:rPr>
          <w:sz w:val="21"/>
        </w:rPr>
        <w:t>Admati, A.R., DeMarzo, P.M., Hellwig, M.F., and Pfleiderer, P (2010), ‘Fallacies, Irrelevant Facts, and Myths in the Discussion of Capital regulation: Why Bank Equity is Not Expensive’ Stanford Business School, mimeo.</w:t>
      </w:r>
    </w:p>
    <w:p>
      <w:pPr>
        <w:pStyle w:val="BodyText"/>
        <w:spacing w:before="3"/>
        <w:rPr>
          <w:sz w:val="20"/>
        </w:rPr>
      </w:pPr>
    </w:p>
    <w:p>
      <w:pPr>
        <w:spacing w:line="367" w:lineRule="auto" w:before="0"/>
        <w:ind w:left="110" w:right="671" w:firstLine="0"/>
        <w:jc w:val="left"/>
        <w:rPr>
          <w:sz w:val="21"/>
        </w:rPr>
      </w:pPr>
      <w:r>
        <w:rPr>
          <w:sz w:val="21"/>
        </w:rPr>
        <w:t>Arrow, K.J. (1951), ‘An extension of the basic theorems of classical welfare economics’, In Proceedings of the Second Berkeley Symposium on Mathematical Statistics and Probability, ed.</w:t>
      </w:r>
    </w:p>
    <w:p>
      <w:pPr>
        <w:spacing w:line="239" w:lineRule="exact" w:before="0"/>
        <w:ind w:left="110" w:right="0" w:firstLine="0"/>
        <w:jc w:val="left"/>
        <w:rPr>
          <w:i/>
          <w:sz w:val="21"/>
        </w:rPr>
      </w:pPr>
      <w:r>
        <w:rPr>
          <w:sz w:val="21"/>
        </w:rPr>
        <w:t>J. Neyman, Berkeley: University of California Press</w:t>
      </w:r>
      <w:r>
        <w:rPr>
          <w:i/>
          <w:sz w:val="21"/>
        </w:rPr>
        <w:t>, </w:t>
      </w:r>
      <w:r>
        <w:rPr>
          <w:sz w:val="21"/>
        </w:rPr>
        <w:t>507–32</w:t>
      </w:r>
      <w:r>
        <w:rPr>
          <w:i/>
          <w:sz w:val="21"/>
        </w:rPr>
        <w:t>.</w:t>
      </w:r>
    </w:p>
    <w:p>
      <w:pPr>
        <w:pStyle w:val="BodyText"/>
        <w:spacing w:before="5"/>
        <w:rPr>
          <w:i/>
          <w:sz w:val="31"/>
        </w:rPr>
      </w:pPr>
    </w:p>
    <w:p>
      <w:pPr>
        <w:spacing w:before="1"/>
        <w:ind w:left="110" w:right="0" w:firstLine="0"/>
        <w:jc w:val="left"/>
        <w:rPr>
          <w:sz w:val="21"/>
        </w:rPr>
      </w:pPr>
      <w:r>
        <w:rPr>
          <w:sz w:val="21"/>
        </w:rPr>
        <w:t>Arrow, K.J. and Debreu, G. (1954) ‘Existence of an equilibrium for a competitive</w:t>
      </w:r>
      <w:r>
        <w:rPr>
          <w:spacing w:val="51"/>
          <w:sz w:val="21"/>
        </w:rPr>
        <w:t> </w:t>
      </w:r>
      <w:r>
        <w:rPr>
          <w:sz w:val="21"/>
        </w:rPr>
        <w:t>economy’,</w:t>
      </w:r>
    </w:p>
    <w:p>
      <w:pPr>
        <w:spacing w:before="126"/>
        <w:ind w:left="110" w:right="0" w:firstLine="0"/>
        <w:jc w:val="left"/>
        <w:rPr>
          <w:i/>
          <w:sz w:val="21"/>
        </w:rPr>
      </w:pPr>
      <w:r>
        <w:rPr>
          <w:i/>
          <w:sz w:val="21"/>
        </w:rPr>
        <w:t>Econometrica 22, </w:t>
      </w:r>
      <w:r>
        <w:rPr>
          <w:sz w:val="21"/>
        </w:rPr>
        <w:t>265–90</w:t>
      </w:r>
      <w:r>
        <w:rPr>
          <w:i/>
          <w:sz w:val="21"/>
        </w:rPr>
        <w:t>.</w:t>
      </w:r>
    </w:p>
    <w:p>
      <w:pPr>
        <w:pStyle w:val="BodyText"/>
        <w:spacing w:before="5"/>
        <w:rPr>
          <w:i/>
          <w:sz w:val="31"/>
        </w:rPr>
      </w:pPr>
    </w:p>
    <w:p>
      <w:pPr>
        <w:spacing w:line="367" w:lineRule="auto" w:before="0"/>
        <w:ind w:left="110" w:right="671" w:firstLine="0"/>
        <w:jc w:val="left"/>
        <w:rPr>
          <w:sz w:val="21"/>
        </w:rPr>
      </w:pPr>
      <w:r>
        <w:rPr>
          <w:sz w:val="21"/>
        </w:rPr>
        <w:t>Bagehot, W. (1873), ‘Lombard Street: A Description of the Money Market’, Wiley &amp; Sons, (reprinted 1999).</w:t>
      </w:r>
    </w:p>
    <w:p>
      <w:pPr>
        <w:pStyle w:val="BodyText"/>
        <w:spacing w:before="2"/>
        <w:rPr>
          <w:sz w:val="20"/>
        </w:rPr>
      </w:pPr>
    </w:p>
    <w:p>
      <w:pPr>
        <w:spacing w:line="369" w:lineRule="auto" w:before="0"/>
        <w:ind w:left="110" w:right="671" w:firstLine="0"/>
        <w:jc w:val="left"/>
        <w:rPr>
          <w:sz w:val="21"/>
        </w:rPr>
      </w:pPr>
      <w:r>
        <w:rPr>
          <w:sz w:val="21"/>
        </w:rPr>
        <w:t>Bank of England, (2009), ‘Financial Stability Report’, June 2009, available at </w:t>
      </w:r>
      <w:hyperlink r:id="rId6">
        <w:r>
          <w:rPr>
            <w:color w:val="0000FF"/>
            <w:sz w:val="21"/>
            <w:u w:val="single" w:color="0000FF"/>
          </w:rPr>
          <w:t>http://www.bankofengland.co.uk/publications/fsr/2009/fsrfull0906.pdf</w:t>
        </w:r>
      </w:hyperlink>
    </w:p>
    <w:p>
      <w:pPr>
        <w:pStyle w:val="BodyText"/>
        <w:spacing w:before="7"/>
        <w:rPr>
          <w:sz w:val="11"/>
        </w:rPr>
      </w:pPr>
    </w:p>
    <w:p>
      <w:pPr>
        <w:spacing w:before="95"/>
        <w:ind w:left="110" w:right="0" w:firstLine="0"/>
        <w:jc w:val="left"/>
        <w:rPr>
          <w:sz w:val="21"/>
        </w:rPr>
      </w:pPr>
      <w:r>
        <w:rPr>
          <w:sz w:val="21"/>
        </w:rPr>
        <w:t>Diamond, D.W. and Dybvig, P. H. (1983, </w:t>
      </w:r>
      <w:r>
        <w:rPr>
          <w:i/>
          <w:sz w:val="21"/>
        </w:rPr>
        <w:t>91</w:t>
      </w:r>
      <w:r>
        <w:rPr>
          <w:sz w:val="21"/>
        </w:rPr>
        <w:t>(3)), ‘Bank Runs, Deposit Insurance, and Liquidity’,</w:t>
      </w:r>
    </w:p>
    <w:p>
      <w:pPr>
        <w:spacing w:before="128"/>
        <w:ind w:left="110" w:right="0" w:firstLine="0"/>
        <w:jc w:val="left"/>
        <w:rPr>
          <w:sz w:val="21"/>
        </w:rPr>
      </w:pPr>
      <w:r>
        <w:rPr>
          <w:i/>
          <w:sz w:val="21"/>
        </w:rPr>
        <w:t>The Journal of Political Economy</w:t>
      </w:r>
      <w:r>
        <w:rPr>
          <w:sz w:val="21"/>
        </w:rPr>
        <w:t>, pp. 401-19.</w:t>
      </w:r>
    </w:p>
    <w:p>
      <w:pPr>
        <w:pStyle w:val="BodyText"/>
        <w:spacing w:before="3"/>
        <w:rPr>
          <w:sz w:val="31"/>
        </w:rPr>
      </w:pPr>
    </w:p>
    <w:p>
      <w:pPr>
        <w:spacing w:line="367" w:lineRule="auto" w:before="0"/>
        <w:ind w:left="110" w:right="671" w:firstLine="0"/>
        <w:jc w:val="left"/>
        <w:rPr>
          <w:sz w:val="21"/>
        </w:rPr>
      </w:pPr>
      <w:r>
        <w:rPr>
          <w:sz w:val="21"/>
        </w:rPr>
        <w:t>Brennan, S., Haldane, A. and Madouros, V. (2010), ‘The Contribution of the Financial Sector Miracle or Mirage?’, available at </w:t>
      </w:r>
      <w:hyperlink r:id="rId7">
        <w:r>
          <w:rPr>
            <w:color w:val="0000FF"/>
            <w:sz w:val="21"/>
            <w:u w:val="single" w:color="0000FF"/>
          </w:rPr>
          <w:t>http://www.bankofengland.co.uk/publications/speeches/2010/speech442.pdf</w:t>
        </w:r>
      </w:hyperlink>
    </w:p>
    <w:p>
      <w:pPr>
        <w:pStyle w:val="BodyText"/>
        <w:spacing w:before="1"/>
        <w:rPr>
          <w:sz w:val="12"/>
        </w:rPr>
      </w:pPr>
    </w:p>
    <w:p>
      <w:pPr>
        <w:spacing w:line="367" w:lineRule="auto" w:before="94"/>
        <w:ind w:left="110" w:right="671" w:firstLine="0"/>
        <w:jc w:val="left"/>
        <w:rPr>
          <w:sz w:val="21"/>
        </w:rPr>
      </w:pPr>
      <w:r>
        <w:rPr>
          <w:sz w:val="21"/>
        </w:rPr>
        <w:t>Colangelo, A. and Inklaar, R. (2010), ‘Banking Sector Output Measurement in the Euro Area – A Modified Approach’, ECB Working Paper Series No. 1204.</w:t>
      </w:r>
    </w:p>
    <w:p>
      <w:pPr>
        <w:pStyle w:val="BodyText"/>
        <w:spacing w:before="2"/>
        <w:rPr>
          <w:sz w:val="20"/>
        </w:rPr>
      </w:pPr>
    </w:p>
    <w:p>
      <w:pPr>
        <w:spacing w:line="600" w:lineRule="auto" w:before="0"/>
        <w:ind w:left="110" w:right="1084" w:hanging="1"/>
        <w:jc w:val="left"/>
        <w:rPr>
          <w:sz w:val="21"/>
        </w:rPr>
      </w:pPr>
      <w:r>
        <w:rPr>
          <w:sz w:val="21"/>
        </w:rPr>
        <w:t>Debreu, G. (1951), ‘The coefficient of resource utilization’, </w:t>
      </w:r>
      <w:r>
        <w:rPr>
          <w:i/>
          <w:sz w:val="21"/>
        </w:rPr>
        <w:t>Econometrica </w:t>
      </w:r>
      <w:r>
        <w:rPr>
          <w:sz w:val="21"/>
        </w:rPr>
        <w:t>19, 273–92. Fisher, I (1936), ‘100% Money’, Revised edition, New York: Adelphi Company, 1936.</w:t>
      </w:r>
    </w:p>
    <w:p>
      <w:pPr>
        <w:spacing w:line="367" w:lineRule="auto" w:before="0"/>
        <w:ind w:left="110" w:right="671" w:firstLine="0"/>
        <w:jc w:val="left"/>
        <w:rPr>
          <w:sz w:val="21"/>
        </w:rPr>
      </w:pPr>
      <w:r>
        <w:rPr>
          <w:sz w:val="21"/>
        </w:rPr>
        <w:t>Friedman, M. (1960), ‘A Program for Monetary Stability’ New York: Fordham University Press, 1960.</w:t>
      </w:r>
    </w:p>
    <w:p>
      <w:pPr>
        <w:pStyle w:val="BodyText"/>
        <w:rPr>
          <w:sz w:val="20"/>
        </w:rPr>
      </w:pPr>
    </w:p>
    <w:p>
      <w:pPr>
        <w:spacing w:line="367" w:lineRule="auto" w:before="1"/>
        <w:ind w:left="110" w:right="671" w:firstLine="0"/>
        <w:jc w:val="left"/>
        <w:rPr>
          <w:sz w:val="21"/>
        </w:rPr>
      </w:pPr>
      <w:r>
        <w:rPr>
          <w:sz w:val="21"/>
        </w:rPr>
        <w:t>Haldane, A. (2010), ‘The $100 Billion Question’, available at </w:t>
      </w:r>
      <w:hyperlink r:id="rId8">
        <w:r>
          <w:rPr>
            <w:color w:val="0000FF"/>
            <w:sz w:val="21"/>
            <w:u w:val="single" w:color="0000FF"/>
          </w:rPr>
          <w:t>http://www.bankofengland.co.uk/publications/speeches/2010/speech433.pdf</w:t>
        </w:r>
      </w:hyperlink>
    </w:p>
    <w:p>
      <w:pPr>
        <w:spacing w:after="0" w:line="367" w:lineRule="auto"/>
        <w:jc w:val="left"/>
        <w:rPr>
          <w:sz w:val="21"/>
        </w:rPr>
        <w:sectPr>
          <w:pgSz w:w="11900" w:h="16840"/>
          <w:pgMar w:header="1447" w:footer="0" w:top="1660" w:bottom="280" w:left="1640" w:right="1220"/>
        </w:sectPr>
      </w:pPr>
    </w:p>
    <w:p>
      <w:pPr>
        <w:pStyle w:val="BodyText"/>
        <w:rPr>
          <w:sz w:val="20"/>
        </w:rPr>
      </w:pPr>
    </w:p>
    <w:p>
      <w:pPr>
        <w:pStyle w:val="BodyText"/>
        <w:spacing w:before="6"/>
        <w:rPr>
          <w:sz w:val="19"/>
        </w:rPr>
      </w:pPr>
    </w:p>
    <w:p>
      <w:pPr>
        <w:spacing w:line="367" w:lineRule="auto" w:before="0"/>
        <w:ind w:left="110" w:right="671" w:firstLine="0"/>
        <w:jc w:val="left"/>
        <w:rPr>
          <w:sz w:val="21"/>
        </w:rPr>
      </w:pPr>
      <w:r>
        <w:rPr>
          <w:sz w:val="21"/>
        </w:rPr>
        <w:t>Hellwig, M. (1995), ‘Systemic Aspects of Risk Management in Banking and Finance’, </w:t>
      </w:r>
      <w:r>
        <w:rPr>
          <w:i/>
          <w:sz w:val="21"/>
        </w:rPr>
        <w:t>Swiss </w:t>
      </w:r>
      <w:r>
        <w:rPr>
          <w:i/>
          <w:sz w:val="21"/>
        </w:rPr>
        <w:t>Journal of Economics and Statistics, </w:t>
      </w:r>
      <w:r>
        <w:rPr>
          <w:sz w:val="21"/>
        </w:rPr>
        <w:t>Vol. 131 (4/2), 723-737.</w:t>
      </w:r>
    </w:p>
    <w:p>
      <w:pPr>
        <w:pStyle w:val="BodyText"/>
        <w:spacing w:before="3"/>
        <w:rPr>
          <w:sz w:val="20"/>
        </w:rPr>
      </w:pPr>
    </w:p>
    <w:p>
      <w:pPr>
        <w:spacing w:before="0"/>
        <w:ind w:left="110" w:right="0" w:firstLine="0"/>
        <w:jc w:val="left"/>
        <w:rPr>
          <w:sz w:val="21"/>
        </w:rPr>
      </w:pPr>
      <w:r>
        <w:rPr>
          <w:sz w:val="21"/>
        </w:rPr>
        <w:t>IMF (2009), ‘Global Financial Stability Report’, April 2009.</w:t>
      </w:r>
    </w:p>
    <w:p>
      <w:pPr>
        <w:pStyle w:val="BodyText"/>
        <w:spacing w:before="5"/>
        <w:rPr>
          <w:sz w:val="31"/>
        </w:rPr>
      </w:pPr>
    </w:p>
    <w:p>
      <w:pPr>
        <w:spacing w:line="367" w:lineRule="auto" w:before="0"/>
        <w:ind w:left="110" w:right="547" w:firstLine="0"/>
        <w:jc w:val="left"/>
        <w:rPr>
          <w:sz w:val="21"/>
        </w:rPr>
      </w:pPr>
      <w:r>
        <w:rPr>
          <w:sz w:val="21"/>
        </w:rPr>
        <w:t>Institute of International Finance (2010), ‘Interim Report on the Cumulative Impact on the Global Economy of Proposed Changes in the Banking Regulatory Framework’, available at </w:t>
      </w:r>
      <w:hyperlink r:id="rId9">
        <w:r>
          <w:rPr>
            <w:color w:val="0000FF"/>
            <w:sz w:val="21"/>
            <w:u w:val="single" w:color="0000FF"/>
          </w:rPr>
          <w:t>http://www.ebf-fbe.eu/uploads/10-Interim%20NCI_June2010_Web.pdf</w:t>
        </w:r>
      </w:hyperlink>
    </w:p>
    <w:p>
      <w:pPr>
        <w:pStyle w:val="BodyText"/>
        <w:spacing w:before="11"/>
        <w:rPr>
          <w:sz w:val="11"/>
        </w:rPr>
      </w:pPr>
    </w:p>
    <w:p>
      <w:pPr>
        <w:spacing w:line="597" w:lineRule="auto" w:before="94"/>
        <w:ind w:left="110" w:right="671" w:firstLine="0"/>
        <w:jc w:val="left"/>
        <w:rPr>
          <w:sz w:val="21"/>
        </w:rPr>
      </w:pPr>
      <w:r>
        <w:rPr>
          <w:sz w:val="21"/>
        </w:rPr>
        <w:t>Kay, J. (2008), ‘We let down diligent folk at the Halifax’, </w:t>
      </w:r>
      <w:r>
        <w:rPr>
          <w:i/>
          <w:sz w:val="21"/>
        </w:rPr>
        <w:t>Financial Times, </w:t>
      </w:r>
      <w:r>
        <w:rPr>
          <w:sz w:val="21"/>
        </w:rPr>
        <w:t>24 September 2008 Kay, J. (2009), ‘Narrow Banking: The reform of banking regulation’, CSFI report.</w:t>
      </w:r>
    </w:p>
    <w:p>
      <w:pPr>
        <w:spacing w:line="367" w:lineRule="auto" w:before="3"/>
        <w:ind w:left="110" w:right="671" w:firstLine="0"/>
        <w:jc w:val="left"/>
        <w:rPr>
          <w:sz w:val="21"/>
        </w:rPr>
      </w:pPr>
      <w:r>
        <w:rPr>
          <w:sz w:val="21"/>
        </w:rPr>
        <w:t>Keynes, J.M. (1936), ‘The general theory of employment, interest and money’, London: MacMillan (reprinted 2007).</w:t>
      </w:r>
    </w:p>
    <w:p>
      <w:pPr>
        <w:pStyle w:val="BodyText"/>
        <w:spacing w:before="1"/>
        <w:rPr>
          <w:sz w:val="20"/>
        </w:rPr>
      </w:pPr>
    </w:p>
    <w:p>
      <w:pPr>
        <w:spacing w:line="367" w:lineRule="auto" w:before="0"/>
        <w:ind w:left="110" w:right="671" w:firstLine="0"/>
        <w:jc w:val="left"/>
        <w:rPr>
          <w:sz w:val="21"/>
        </w:rPr>
      </w:pPr>
      <w:r>
        <w:rPr>
          <w:sz w:val="21"/>
        </w:rPr>
        <w:t>Kotlikoff, L.J. (2010), ‘Jimmy Stewart is Dead: Ending the World's Ongoing Financial Plague with Limited Purpose Banking’, John Wiley &amp; Sons.</w:t>
      </w:r>
    </w:p>
    <w:p>
      <w:pPr>
        <w:pStyle w:val="BodyText"/>
        <w:spacing w:before="5"/>
        <w:rPr>
          <w:sz w:val="20"/>
        </w:rPr>
      </w:pPr>
    </w:p>
    <w:p>
      <w:pPr>
        <w:spacing w:line="367" w:lineRule="auto" w:before="0"/>
        <w:ind w:left="110" w:right="537" w:firstLine="0"/>
        <w:jc w:val="left"/>
        <w:rPr>
          <w:sz w:val="21"/>
        </w:rPr>
      </w:pPr>
      <w:r>
        <w:rPr>
          <w:sz w:val="21"/>
        </w:rPr>
        <w:t>Lacker, J.M. (2010), ‘Real Regulatory Reform’, available at </w:t>
      </w:r>
      <w:hyperlink r:id="rId10">
        <w:r>
          <w:rPr>
            <w:color w:val="0000FF"/>
            <w:sz w:val="21"/>
            <w:u w:val="single" w:color="0000FF"/>
          </w:rPr>
          <w:t>http://www.richmondfed.org/press_room/speeches/president_jeff_lacker/2010/lacker_speech_201</w:t>
        </w:r>
      </w:hyperlink>
      <w:r>
        <w:rPr>
          <w:color w:val="0000FF"/>
          <w:sz w:val="21"/>
        </w:rPr>
        <w:t> </w:t>
      </w:r>
      <w:r>
        <w:rPr>
          <w:color w:val="0000FF"/>
          <w:sz w:val="21"/>
          <w:u w:val="single" w:color="0000FF"/>
        </w:rPr>
        <w:t>00301.cfm</w:t>
      </w:r>
    </w:p>
    <w:p>
      <w:pPr>
        <w:pStyle w:val="BodyText"/>
        <w:spacing w:before="10"/>
        <w:rPr>
          <w:sz w:val="11"/>
        </w:rPr>
      </w:pPr>
    </w:p>
    <w:p>
      <w:pPr>
        <w:spacing w:line="367" w:lineRule="auto" w:before="94"/>
        <w:ind w:left="110" w:right="671" w:firstLine="0"/>
        <w:jc w:val="left"/>
        <w:rPr>
          <w:sz w:val="21"/>
        </w:rPr>
      </w:pPr>
      <w:r>
        <w:rPr>
          <w:sz w:val="21"/>
        </w:rPr>
        <w:t>Miles, D. (2010), ‘Leverage and Monetary Policy’, available at </w:t>
      </w:r>
      <w:hyperlink r:id="rId11">
        <w:r>
          <w:rPr>
            <w:color w:val="0000FF"/>
            <w:sz w:val="21"/>
            <w:u w:val="single" w:color="0000FF"/>
          </w:rPr>
          <w:t>http://www.bankofengland.co.uk/publications/speeches/2010/speech451.pdf</w:t>
        </w:r>
      </w:hyperlink>
    </w:p>
    <w:p>
      <w:pPr>
        <w:pStyle w:val="BodyText"/>
        <w:spacing w:before="1"/>
        <w:rPr>
          <w:sz w:val="12"/>
        </w:rPr>
      </w:pPr>
    </w:p>
    <w:p>
      <w:pPr>
        <w:spacing w:line="367" w:lineRule="auto" w:before="94"/>
        <w:ind w:left="110" w:right="671" w:firstLine="0"/>
        <w:jc w:val="left"/>
        <w:rPr>
          <w:sz w:val="21"/>
        </w:rPr>
      </w:pPr>
      <w:r>
        <w:rPr>
          <w:sz w:val="21"/>
        </w:rPr>
        <w:t>Modigliani, F. and Miller, M.H. (1958), ‘The cost of capital, corporate finance and the theory of investment’, </w:t>
      </w:r>
      <w:r>
        <w:rPr>
          <w:i/>
          <w:sz w:val="21"/>
        </w:rPr>
        <w:t>American Economic Review </w:t>
      </w:r>
      <w:r>
        <w:rPr>
          <w:sz w:val="21"/>
        </w:rPr>
        <w:t>48, 261–97.</w:t>
      </w:r>
    </w:p>
    <w:p>
      <w:pPr>
        <w:pStyle w:val="BodyText"/>
        <w:spacing w:before="2"/>
        <w:rPr>
          <w:sz w:val="20"/>
        </w:rPr>
      </w:pPr>
    </w:p>
    <w:p>
      <w:pPr>
        <w:spacing w:before="0"/>
        <w:ind w:left="110" w:right="0" w:firstLine="0"/>
        <w:jc w:val="left"/>
        <w:rPr>
          <w:sz w:val="21"/>
        </w:rPr>
      </w:pPr>
      <w:r>
        <w:rPr>
          <w:sz w:val="21"/>
        </w:rPr>
        <w:t>Pigou, A.C. (1920) ‘The Economics of Welfare’, 4th edition, London: Macmillan, 1932.</w:t>
      </w:r>
    </w:p>
    <w:p>
      <w:pPr>
        <w:pStyle w:val="BodyText"/>
        <w:spacing w:before="4"/>
        <w:rPr>
          <w:sz w:val="31"/>
        </w:rPr>
      </w:pPr>
    </w:p>
    <w:p>
      <w:pPr>
        <w:spacing w:line="367" w:lineRule="auto" w:before="0"/>
        <w:ind w:left="110" w:right="537" w:firstLine="0"/>
        <w:jc w:val="left"/>
        <w:rPr>
          <w:sz w:val="21"/>
        </w:rPr>
      </w:pPr>
      <w:r>
        <w:rPr>
          <w:sz w:val="21"/>
        </w:rPr>
        <w:t>Tobin, J (1987), ‘The Case for Preserving Regulatory Distinctions’, in Restructuring the Financial System, Federal Reserve Bank of Kansas City, 1987, pp. 167-183.</w:t>
      </w:r>
    </w:p>
    <w:p>
      <w:pPr>
        <w:pStyle w:val="BodyText"/>
        <w:spacing w:before="3"/>
        <w:rPr>
          <w:sz w:val="20"/>
        </w:rPr>
      </w:pPr>
    </w:p>
    <w:p>
      <w:pPr>
        <w:spacing w:line="367" w:lineRule="auto" w:before="1"/>
        <w:ind w:left="110" w:right="671" w:firstLine="0"/>
        <w:jc w:val="left"/>
        <w:rPr>
          <w:sz w:val="21"/>
        </w:rPr>
      </w:pPr>
      <w:r>
        <w:rPr>
          <w:sz w:val="21"/>
        </w:rPr>
        <w:t>Tucker, P. (2010a), ‘Resolution of Large and Complex Financial Institutions: The Big Issues’ available at </w:t>
      </w:r>
      <w:hyperlink r:id="rId12">
        <w:r>
          <w:rPr>
            <w:color w:val="0000FF"/>
            <w:sz w:val="21"/>
            <w:u w:val="single" w:color="0000FF"/>
          </w:rPr>
          <w:t>http://www.bankofengland.co.uk/publications/speeches/2010/speech431.pdf</w:t>
        </w:r>
      </w:hyperlink>
    </w:p>
    <w:p>
      <w:pPr>
        <w:pStyle w:val="BodyText"/>
        <w:spacing w:before="10"/>
        <w:rPr>
          <w:sz w:val="11"/>
        </w:rPr>
      </w:pPr>
    </w:p>
    <w:p>
      <w:pPr>
        <w:spacing w:line="367" w:lineRule="auto" w:before="95"/>
        <w:ind w:left="110" w:right="671" w:firstLine="0"/>
        <w:jc w:val="left"/>
        <w:rPr>
          <w:sz w:val="21"/>
        </w:rPr>
      </w:pPr>
      <w:r>
        <w:rPr>
          <w:sz w:val="21"/>
        </w:rPr>
        <w:t>Tucker, P. (2010b), ‘Shadow Banking, Financing Markets and Financial Stability’ available at </w:t>
      </w:r>
      <w:hyperlink r:id="rId13">
        <w:r>
          <w:rPr>
            <w:color w:val="0000FF"/>
            <w:sz w:val="21"/>
            <w:u w:val="single" w:color="0000FF"/>
          </w:rPr>
          <w:t>http://www.bankofengland.co.uk/publications/speeches/2010/speech420.pdf</w:t>
        </w:r>
      </w:hyperlink>
    </w:p>
    <w:p>
      <w:pPr>
        <w:spacing w:after="0" w:line="367" w:lineRule="auto"/>
        <w:jc w:val="left"/>
        <w:rPr>
          <w:sz w:val="21"/>
        </w:rPr>
        <w:sectPr>
          <w:pgSz w:w="11900" w:h="16840"/>
          <w:pgMar w:header="1447" w:footer="0" w:top="1660" w:bottom="280" w:left="1640" w:right="1220"/>
        </w:sectPr>
      </w:pPr>
    </w:p>
    <w:p>
      <w:pPr>
        <w:pStyle w:val="BodyText"/>
        <w:rPr>
          <w:sz w:val="20"/>
        </w:rPr>
      </w:pPr>
    </w:p>
    <w:p>
      <w:pPr>
        <w:pStyle w:val="BodyText"/>
        <w:spacing w:before="6"/>
        <w:rPr>
          <w:sz w:val="19"/>
        </w:rPr>
      </w:pPr>
    </w:p>
    <w:p>
      <w:pPr>
        <w:spacing w:before="0"/>
        <w:ind w:left="110" w:right="0" w:firstLine="0"/>
        <w:jc w:val="left"/>
        <w:rPr>
          <w:sz w:val="21"/>
        </w:rPr>
      </w:pPr>
      <w:r>
        <w:rPr>
          <w:sz w:val="21"/>
        </w:rPr>
        <w:t>Weitzman, M. L. (1974), ‘Prices vs. Quantities’, </w:t>
      </w:r>
      <w:r>
        <w:rPr>
          <w:i/>
          <w:sz w:val="21"/>
        </w:rPr>
        <w:t>Review of Economic Studies</w:t>
      </w:r>
      <w:r>
        <w:rPr>
          <w:sz w:val="21"/>
        </w:rPr>
        <w:t>, vol. 41, p.477-91.</w:t>
      </w:r>
    </w:p>
    <w:p>
      <w:pPr>
        <w:pStyle w:val="BodyText"/>
        <w:spacing w:before="4"/>
        <w:rPr>
          <w:sz w:val="31"/>
        </w:rPr>
      </w:pPr>
    </w:p>
    <w:p>
      <w:pPr>
        <w:spacing w:line="367" w:lineRule="auto" w:before="1"/>
        <w:ind w:left="110" w:right="537" w:firstLine="0"/>
        <w:jc w:val="left"/>
        <w:rPr>
          <w:sz w:val="21"/>
        </w:rPr>
      </w:pPr>
      <w:r>
        <w:rPr>
          <w:sz w:val="21"/>
        </w:rPr>
        <w:t>Wolf, M. (2010), ‘The challenge of halting the financial doomsday machine’, Financial Times, 20 April 2010.</w:t>
      </w:r>
    </w:p>
    <w:p>
      <w:pPr>
        <w:spacing w:after="0" w:line="367" w:lineRule="auto"/>
        <w:jc w:val="left"/>
        <w:rPr>
          <w:sz w:val="21"/>
        </w:rPr>
        <w:sectPr>
          <w:pgSz w:w="11900" w:h="16840"/>
          <w:pgMar w:header="1447" w:footer="0" w:top="1660" w:bottom="280" w:left="1640" w:right="1220"/>
        </w:sectPr>
      </w:pPr>
    </w:p>
    <w:p>
      <w:pPr>
        <w:pStyle w:val="BodyText"/>
        <w:rPr>
          <w:sz w:val="20"/>
        </w:rPr>
      </w:pPr>
    </w:p>
    <w:p>
      <w:pPr>
        <w:pStyle w:val="Heading1"/>
        <w:spacing w:before="226"/>
        <w:ind w:left="110" w:firstLine="0"/>
      </w:pPr>
      <w:r>
        <w:rPr/>
        <w:t>Table 1: Top 10 UK-headquartered commercial banks, 1960 and 2010</w:t>
      </w:r>
    </w:p>
    <w:p>
      <w:pPr>
        <w:pStyle w:val="BodyText"/>
        <w:spacing w:before="9"/>
        <w:rPr>
          <w:b/>
          <w:sz w:val="12"/>
        </w:rPr>
      </w:pPr>
    </w:p>
    <w:p>
      <w:pPr>
        <w:spacing w:before="1"/>
        <w:ind w:left="174" w:right="0" w:firstLine="0"/>
        <w:jc w:val="left"/>
        <w:rPr>
          <w:rFonts w:ascii="Calibri"/>
          <w:b/>
          <w:sz w:val="16"/>
        </w:rPr>
      </w:pPr>
      <w:r>
        <w:rPr>
          <w:rFonts w:ascii="Calibri"/>
          <w:b/>
          <w:w w:val="105"/>
          <w:sz w:val="16"/>
        </w:rPr>
        <w:t>1960</w:t>
      </w:r>
    </w:p>
    <w:tbl>
      <w:tblPr>
        <w:tblW w:w="0" w:type="auto"/>
        <w:jc w:val="left"/>
        <w:tblInd w:w="155"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CellMar>
          <w:top w:w="0" w:type="dxa"/>
          <w:left w:w="0" w:type="dxa"/>
          <w:bottom w:w="0" w:type="dxa"/>
          <w:right w:w="0" w:type="dxa"/>
        </w:tblCellMar>
        <w:tblLook w:val="01E0"/>
      </w:tblPr>
      <w:tblGrid>
        <w:gridCol w:w="3335"/>
        <w:gridCol w:w="1684"/>
        <w:gridCol w:w="1684"/>
        <w:gridCol w:w="1684"/>
      </w:tblGrid>
      <w:tr>
        <w:trPr>
          <w:trHeight w:val="612" w:hRule="atLeast"/>
        </w:trPr>
        <w:tc>
          <w:tcPr>
            <w:tcW w:w="3335" w:type="dxa"/>
            <w:tcBorders>
              <w:top w:val="nil"/>
              <w:left w:val="nil"/>
              <w:bottom w:val="nil"/>
            </w:tcBorders>
            <w:shd w:val="clear" w:color="auto" w:fill="000000"/>
          </w:tcPr>
          <w:p>
            <w:pPr>
              <w:pStyle w:val="TableParagraph"/>
              <w:spacing w:before="4"/>
              <w:ind w:left="0"/>
              <w:jc w:val="left"/>
              <w:rPr>
                <w:rFonts w:ascii="Calibri"/>
                <w:b/>
                <w:sz w:val="18"/>
              </w:rPr>
            </w:pPr>
          </w:p>
          <w:p>
            <w:pPr>
              <w:pStyle w:val="TableParagraph"/>
              <w:spacing w:before="0"/>
              <w:ind w:left="1342" w:right="1325"/>
              <w:rPr>
                <w:rFonts w:ascii="Calibri"/>
                <w:sz w:val="14"/>
              </w:rPr>
            </w:pPr>
            <w:r>
              <w:rPr>
                <w:rFonts w:ascii="Calibri"/>
                <w:color w:val="FFFFFF"/>
                <w:w w:val="105"/>
                <w:sz w:val="14"/>
              </w:rPr>
              <w:t>Institution</w:t>
            </w:r>
          </w:p>
        </w:tc>
        <w:tc>
          <w:tcPr>
            <w:tcW w:w="1684" w:type="dxa"/>
            <w:tcBorders>
              <w:top w:val="nil"/>
              <w:bottom w:val="nil"/>
            </w:tcBorders>
            <w:shd w:val="clear" w:color="auto" w:fill="000000"/>
          </w:tcPr>
          <w:p>
            <w:pPr>
              <w:pStyle w:val="TableParagraph"/>
              <w:spacing w:before="4"/>
              <w:ind w:left="0"/>
              <w:jc w:val="left"/>
              <w:rPr>
                <w:rFonts w:ascii="Calibri"/>
                <w:b/>
                <w:sz w:val="18"/>
              </w:rPr>
            </w:pPr>
          </w:p>
          <w:p>
            <w:pPr>
              <w:pStyle w:val="TableParagraph"/>
              <w:spacing w:before="0"/>
              <w:ind w:right="41"/>
              <w:rPr>
                <w:rFonts w:ascii="Calibri"/>
                <w:sz w:val="14"/>
              </w:rPr>
            </w:pPr>
            <w:r>
              <w:rPr>
                <w:rFonts w:ascii="Calibri"/>
                <w:color w:val="FFFFFF"/>
                <w:w w:val="105"/>
                <w:sz w:val="14"/>
              </w:rPr>
              <w:t>Total assets (GBP billions)</w:t>
            </w:r>
          </w:p>
        </w:tc>
        <w:tc>
          <w:tcPr>
            <w:tcW w:w="1684" w:type="dxa"/>
            <w:tcBorders>
              <w:top w:val="nil"/>
              <w:bottom w:val="nil"/>
            </w:tcBorders>
            <w:shd w:val="clear" w:color="auto" w:fill="000000"/>
          </w:tcPr>
          <w:p>
            <w:pPr>
              <w:pStyle w:val="TableParagraph"/>
              <w:spacing w:line="312" w:lineRule="auto" w:before="114"/>
              <w:ind w:left="353" w:hanging="292"/>
              <w:jc w:val="left"/>
              <w:rPr>
                <w:rFonts w:ascii="Calibri"/>
                <w:sz w:val="14"/>
              </w:rPr>
            </w:pPr>
            <w:r>
              <w:rPr>
                <w:rFonts w:ascii="Calibri"/>
                <w:color w:val="FFFFFF"/>
                <w:w w:val="105"/>
                <w:sz w:val="14"/>
              </w:rPr>
              <w:t>Assets as a percentage of GDP (percent)</w:t>
            </w:r>
            <w:r>
              <w:rPr>
                <w:rFonts w:ascii="Calibri"/>
                <w:color w:val="FFFFFF"/>
                <w:w w:val="105"/>
                <w:sz w:val="14"/>
                <w:vertAlign w:val="superscript"/>
              </w:rPr>
              <w:t>(7)</w:t>
            </w:r>
          </w:p>
        </w:tc>
        <w:tc>
          <w:tcPr>
            <w:tcW w:w="1684" w:type="dxa"/>
            <w:tcBorders>
              <w:top w:val="nil"/>
              <w:bottom w:val="nil"/>
              <w:right w:val="nil"/>
            </w:tcBorders>
            <w:shd w:val="clear" w:color="auto" w:fill="000000"/>
          </w:tcPr>
          <w:p>
            <w:pPr>
              <w:pStyle w:val="TableParagraph"/>
              <w:spacing w:line="264" w:lineRule="auto" w:before="25"/>
              <w:ind w:left="62" w:right="61"/>
              <w:rPr>
                <w:rFonts w:ascii="Calibri"/>
                <w:sz w:val="14"/>
              </w:rPr>
            </w:pPr>
            <w:r>
              <w:rPr>
                <w:rFonts w:ascii="Calibri"/>
                <w:color w:val="FFFFFF"/>
                <w:w w:val="105"/>
                <w:sz w:val="14"/>
              </w:rPr>
              <w:t>Assets as a percentage of total banking sector</w:t>
            </w:r>
          </w:p>
          <w:p>
            <w:pPr>
              <w:pStyle w:val="TableParagraph"/>
              <w:spacing w:line="157" w:lineRule="exact" w:before="34"/>
              <w:ind w:left="59" w:right="61"/>
              <w:rPr>
                <w:rFonts w:ascii="Calibri"/>
                <w:sz w:val="14"/>
              </w:rPr>
            </w:pPr>
            <w:r>
              <w:rPr>
                <w:rFonts w:ascii="Calibri"/>
                <w:color w:val="FFFFFF"/>
                <w:w w:val="105"/>
                <w:sz w:val="14"/>
              </w:rPr>
              <w:t>assets (percent)</w:t>
            </w:r>
            <w:r>
              <w:rPr>
                <w:rFonts w:ascii="Calibri"/>
                <w:color w:val="FFFFFF"/>
                <w:w w:val="105"/>
                <w:sz w:val="14"/>
                <w:vertAlign w:val="superscript"/>
              </w:rPr>
              <w:t>(8)</w:t>
            </w:r>
          </w:p>
        </w:tc>
      </w:tr>
      <w:tr>
        <w:trPr>
          <w:trHeight w:val="220" w:hRule="atLeast"/>
        </w:trPr>
        <w:tc>
          <w:tcPr>
            <w:tcW w:w="3335" w:type="dxa"/>
            <w:tcBorders>
              <w:top w:val="nil"/>
              <w:left w:val="single" w:sz="6" w:space="0" w:color="000000"/>
              <w:bottom w:val="nil"/>
              <w:right w:val="single" w:sz="6" w:space="0" w:color="000000"/>
            </w:tcBorders>
          </w:tcPr>
          <w:p>
            <w:pPr>
              <w:pStyle w:val="TableParagraph"/>
              <w:spacing w:before="5"/>
              <w:ind w:left="26"/>
              <w:jc w:val="left"/>
              <w:rPr>
                <w:sz w:val="14"/>
              </w:rPr>
            </w:pPr>
            <w:r>
              <w:rPr>
                <w:w w:val="105"/>
                <w:sz w:val="14"/>
              </w:rPr>
              <w:t>Barclays Bank Ltd plus affiliated banks</w:t>
            </w:r>
            <w:r>
              <w:rPr>
                <w:w w:val="105"/>
                <w:sz w:val="14"/>
                <w:vertAlign w:val="superscript"/>
              </w:rPr>
              <w:t>(1)</w:t>
            </w:r>
          </w:p>
        </w:tc>
        <w:tc>
          <w:tcPr>
            <w:tcW w:w="1684" w:type="dxa"/>
            <w:tcBorders>
              <w:top w:val="nil"/>
              <w:left w:val="single" w:sz="6" w:space="0" w:color="000000"/>
              <w:bottom w:val="nil"/>
              <w:right w:val="single" w:sz="6" w:space="0" w:color="000000"/>
            </w:tcBorders>
          </w:tcPr>
          <w:p>
            <w:pPr>
              <w:pStyle w:val="TableParagraph"/>
              <w:spacing w:line="187" w:lineRule="exact" w:before="14"/>
              <w:ind w:right="21"/>
              <w:rPr>
                <w:rFonts w:ascii="Calibri"/>
                <w:sz w:val="16"/>
              </w:rPr>
            </w:pPr>
            <w:r>
              <w:rPr>
                <w:rFonts w:ascii="Calibri"/>
                <w:w w:val="105"/>
                <w:sz w:val="16"/>
              </w:rPr>
              <w:t>2.5</w:t>
            </w:r>
          </w:p>
        </w:tc>
        <w:tc>
          <w:tcPr>
            <w:tcW w:w="1684" w:type="dxa"/>
            <w:tcBorders>
              <w:top w:val="nil"/>
              <w:left w:val="single" w:sz="6" w:space="0" w:color="000000"/>
              <w:bottom w:val="nil"/>
              <w:right w:val="single" w:sz="6" w:space="0" w:color="000000"/>
            </w:tcBorders>
          </w:tcPr>
          <w:p>
            <w:pPr>
              <w:pStyle w:val="TableParagraph"/>
              <w:spacing w:line="187" w:lineRule="exact" w:before="14"/>
              <w:ind w:right="20"/>
              <w:rPr>
                <w:rFonts w:ascii="Calibri"/>
                <w:sz w:val="16"/>
              </w:rPr>
            </w:pPr>
            <w:r>
              <w:rPr>
                <w:rFonts w:ascii="Calibri"/>
                <w:w w:val="105"/>
                <w:sz w:val="16"/>
              </w:rPr>
              <w:t>10</w:t>
            </w:r>
          </w:p>
        </w:tc>
        <w:tc>
          <w:tcPr>
            <w:tcW w:w="1684" w:type="dxa"/>
            <w:tcBorders>
              <w:top w:val="nil"/>
              <w:left w:val="single" w:sz="6" w:space="0" w:color="000000"/>
              <w:bottom w:val="nil"/>
              <w:right w:val="single" w:sz="6" w:space="0" w:color="000000"/>
            </w:tcBorders>
          </w:tcPr>
          <w:p>
            <w:pPr>
              <w:pStyle w:val="TableParagraph"/>
              <w:spacing w:line="187" w:lineRule="exact" w:before="14"/>
              <w:ind w:right="18"/>
              <w:rPr>
                <w:rFonts w:ascii="Calibri"/>
                <w:sz w:val="16"/>
              </w:rPr>
            </w:pPr>
            <w:r>
              <w:rPr>
                <w:rFonts w:ascii="Calibri"/>
                <w:w w:val="105"/>
                <w:sz w:val="16"/>
              </w:rPr>
              <w:t>17</w:t>
            </w:r>
          </w:p>
        </w:tc>
      </w:tr>
      <w:tr>
        <w:trPr>
          <w:trHeight w:val="222" w:hRule="atLeast"/>
        </w:trPr>
        <w:tc>
          <w:tcPr>
            <w:tcW w:w="3335" w:type="dxa"/>
            <w:tcBorders>
              <w:top w:val="nil"/>
              <w:left w:val="single" w:sz="6" w:space="0" w:color="000000"/>
              <w:bottom w:val="nil"/>
              <w:right w:val="single" w:sz="6" w:space="0" w:color="000000"/>
            </w:tcBorders>
          </w:tcPr>
          <w:p>
            <w:pPr>
              <w:pStyle w:val="TableParagraph"/>
              <w:spacing w:before="6"/>
              <w:ind w:left="26"/>
              <w:jc w:val="left"/>
              <w:rPr>
                <w:sz w:val="14"/>
              </w:rPr>
            </w:pPr>
            <w:r>
              <w:rPr>
                <w:w w:val="105"/>
                <w:sz w:val="14"/>
              </w:rPr>
              <w:t>Midland Bank Ltd plus affiliated banks</w:t>
            </w:r>
            <w:r>
              <w:rPr>
                <w:w w:val="105"/>
                <w:sz w:val="14"/>
                <w:vertAlign w:val="superscript"/>
              </w:rPr>
              <w:t>(2)</w:t>
            </w:r>
          </w:p>
        </w:tc>
        <w:tc>
          <w:tcPr>
            <w:tcW w:w="1684" w:type="dxa"/>
            <w:tcBorders>
              <w:top w:val="nil"/>
              <w:left w:val="single" w:sz="6" w:space="0" w:color="000000"/>
              <w:bottom w:val="nil"/>
              <w:right w:val="single" w:sz="6" w:space="0" w:color="000000"/>
            </w:tcBorders>
          </w:tcPr>
          <w:p>
            <w:pPr>
              <w:pStyle w:val="TableParagraph"/>
              <w:spacing w:line="187" w:lineRule="exact" w:before="15"/>
              <w:ind w:right="22"/>
              <w:rPr>
                <w:rFonts w:ascii="Calibri"/>
                <w:sz w:val="16"/>
              </w:rPr>
            </w:pPr>
            <w:r>
              <w:rPr>
                <w:rFonts w:ascii="Calibri"/>
                <w:w w:val="105"/>
                <w:sz w:val="16"/>
              </w:rPr>
              <w:t>2.0</w:t>
            </w:r>
          </w:p>
        </w:tc>
        <w:tc>
          <w:tcPr>
            <w:tcW w:w="1684" w:type="dxa"/>
            <w:tcBorders>
              <w:top w:val="nil"/>
              <w:left w:val="single" w:sz="6" w:space="0" w:color="000000"/>
              <w:bottom w:val="nil"/>
              <w:right w:val="single" w:sz="6" w:space="0" w:color="000000"/>
            </w:tcBorders>
          </w:tcPr>
          <w:p>
            <w:pPr>
              <w:pStyle w:val="TableParagraph"/>
              <w:spacing w:line="187" w:lineRule="exact" w:before="15"/>
              <w:ind w:left="23"/>
              <w:rPr>
                <w:rFonts w:ascii="Calibri"/>
                <w:sz w:val="16"/>
              </w:rPr>
            </w:pPr>
            <w:r>
              <w:rPr>
                <w:rFonts w:ascii="Calibri"/>
                <w:w w:val="105"/>
                <w:sz w:val="16"/>
              </w:rPr>
              <w:t>8</w:t>
            </w:r>
          </w:p>
        </w:tc>
        <w:tc>
          <w:tcPr>
            <w:tcW w:w="1684" w:type="dxa"/>
            <w:tcBorders>
              <w:top w:val="nil"/>
              <w:left w:val="single" w:sz="6" w:space="0" w:color="000000"/>
              <w:bottom w:val="nil"/>
              <w:right w:val="single" w:sz="6" w:space="0" w:color="000000"/>
            </w:tcBorders>
          </w:tcPr>
          <w:p>
            <w:pPr>
              <w:pStyle w:val="TableParagraph"/>
              <w:spacing w:line="187" w:lineRule="exact" w:before="15"/>
              <w:ind w:right="18"/>
              <w:rPr>
                <w:rFonts w:ascii="Calibri"/>
                <w:sz w:val="16"/>
              </w:rPr>
            </w:pPr>
            <w:r>
              <w:rPr>
                <w:rFonts w:ascii="Calibri"/>
                <w:w w:val="105"/>
                <w:sz w:val="16"/>
              </w:rPr>
              <w:t>13</w:t>
            </w:r>
          </w:p>
        </w:tc>
      </w:tr>
      <w:tr>
        <w:trPr>
          <w:trHeight w:val="222" w:hRule="atLeast"/>
        </w:trPr>
        <w:tc>
          <w:tcPr>
            <w:tcW w:w="3335" w:type="dxa"/>
            <w:tcBorders>
              <w:top w:val="nil"/>
              <w:left w:val="single" w:sz="6" w:space="0" w:color="000000"/>
              <w:bottom w:val="nil"/>
              <w:right w:val="single" w:sz="6" w:space="0" w:color="000000"/>
            </w:tcBorders>
          </w:tcPr>
          <w:p>
            <w:pPr>
              <w:pStyle w:val="TableParagraph"/>
              <w:spacing w:before="6"/>
              <w:ind w:left="26"/>
              <w:jc w:val="left"/>
              <w:rPr>
                <w:sz w:val="14"/>
              </w:rPr>
            </w:pPr>
            <w:r>
              <w:rPr>
                <w:w w:val="105"/>
                <w:sz w:val="14"/>
              </w:rPr>
              <w:t>Lloyds Bank Ltd plus affiliated banks</w:t>
            </w:r>
            <w:r>
              <w:rPr>
                <w:w w:val="105"/>
                <w:sz w:val="14"/>
                <w:vertAlign w:val="superscript"/>
              </w:rPr>
              <w:t>(3)</w:t>
            </w:r>
          </w:p>
        </w:tc>
        <w:tc>
          <w:tcPr>
            <w:tcW w:w="1684" w:type="dxa"/>
            <w:tcBorders>
              <w:top w:val="nil"/>
              <w:left w:val="single" w:sz="6" w:space="0" w:color="000000"/>
              <w:bottom w:val="nil"/>
              <w:right w:val="single" w:sz="6" w:space="0" w:color="000000"/>
            </w:tcBorders>
          </w:tcPr>
          <w:p>
            <w:pPr>
              <w:pStyle w:val="TableParagraph"/>
              <w:spacing w:line="187" w:lineRule="exact" w:before="15"/>
              <w:ind w:right="21"/>
              <w:rPr>
                <w:rFonts w:ascii="Calibri"/>
                <w:sz w:val="16"/>
              </w:rPr>
            </w:pPr>
            <w:r>
              <w:rPr>
                <w:rFonts w:ascii="Calibri"/>
                <w:w w:val="105"/>
                <w:sz w:val="16"/>
              </w:rPr>
              <w:t>1.8</w:t>
            </w:r>
          </w:p>
        </w:tc>
        <w:tc>
          <w:tcPr>
            <w:tcW w:w="1684" w:type="dxa"/>
            <w:tcBorders>
              <w:top w:val="nil"/>
              <w:left w:val="single" w:sz="6" w:space="0" w:color="000000"/>
              <w:bottom w:val="nil"/>
              <w:right w:val="single" w:sz="6" w:space="0" w:color="000000"/>
            </w:tcBorders>
          </w:tcPr>
          <w:p>
            <w:pPr>
              <w:pStyle w:val="TableParagraph"/>
              <w:spacing w:line="187" w:lineRule="exact" w:before="15"/>
              <w:ind w:left="23"/>
              <w:rPr>
                <w:rFonts w:ascii="Calibri"/>
                <w:sz w:val="16"/>
              </w:rPr>
            </w:pPr>
            <w:r>
              <w:rPr>
                <w:rFonts w:ascii="Calibri"/>
                <w:w w:val="105"/>
                <w:sz w:val="16"/>
              </w:rPr>
              <w:t>7</w:t>
            </w:r>
          </w:p>
        </w:tc>
        <w:tc>
          <w:tcPr>
            <w:tcW w:w="1684" w:type="dxa"/>
            <w:tcBorders>
              <w:top w:val="nil"/>
              <w:left w:val="single" w:sz="6" w:space="0" w:color="000000"/>
              <w:bottom w:val="nil"/>
              <w:right w:val="single" w:sz="6" w:space="0" w:color="000000"/>
            </w:tcBorders>
          </w:tcPr>
          <w:p>
            <w:pPr>
              <w:pStyle w:val="TableParagraph"/>
              <w:spacing w:line="187" w:lineRule="exact" w:before="15"/>
              <w:ind w:right="25"/>
              <w:rPr>
                <w:rFonts w:ascii="Calibri"/>
                <w:sz w:val="16"/>
              </w:rPr>
            </w:pPr>
            <w:r>
              <w:rPr>
                <w:rFonts w:ascii="Calibri"/>
                <w:w w:val="105"/>
                <w:sz w:val="16"/>
              </w:rPr>
              <w:t>12</w:t>
            </w:r>
          </w:p>
        </w:tc>
      </w:tr>
      <w:tr>
        <w:trPr>
          <w:trHeight w:val="222" w:hRule="atLeast"/>
        </w:trPr>
        <w:tc>
          <w:tcPr>
            <w:tcW w:w="3335" w:type="dxa"/>
            <w:tcBorders>
              <w:top w:val="nil"/>
              <w:left w:val="single" w:sz="6" w:space="0" w:color="000000"/>
              <w:bottom w:val="nil"/>
              <w:right w:val="single" w:sz="6" w:space="0" w:color="000000"/>
            </w:tcBorders>
          </w:tcPr>
          <w:p>
            <w:pPr>
              <w:pStyle w:val="TableParagraph"/>
              <w:spacing w:before="7"/>
              <w:ind w:left="26"/>
              <w:jc w:val="left"/>
              <w:rPr>
                <w:sz w:val="14"/>
              </w:rPr>
            </w:pPr>
            <w:r>
              <w:rPr>
                <w:w w:val="105"/>
                <w:sz w:val="14"/>
              </w:rPr>
              <w:t>Westminster Bank Ltd plus affiliated banks</w:t>
            </w:r>
            <w:r>
              <w:rPr>
                <w:w w:val="105"/>
                <w:sz w:val="14"/>
                <w:vertAlign w:val="superscript"/>
              </w:rPr>
              <w:t>(4)</w:t>
            </w:r>
          </w:p>
        </w:tc>
        <w:tc>
          <w:tcPr>
            <w:tcW w:w="1684" w:type="dxa"/>
            <w:tcBorders>
              <w:top w:val="nil"/>
              <w:left w:val="single" w:sz="6" w:space="0" w:color="000000"/>
              <w:bottom w:val="nil"/>
              <w:right w:val="single" w:sz="6" w:space="0" w:color="000000"/>
            </w:tcBorders>
          </w:tcPr>
          <w:p>
            <w:pPr>
              <w:pStyle w:val="TableParagraph"/>
              <w:spacing w:line="187" w:lineRule="exact" w:before="16"/>
              <w:ind w:right="21"/>
              <w:rPr>
                <w:rFonts w:ascii="Calibri"/>
                <w:sz w:val="16"/>
              </w:rPr>
            </w:pPr>
            <w:r>
              <w:rPr>
                <w:rFonts w:ascii="Calibri"/>
                <w:w w:val="105"/>
                <w:sz w:val="16"/>
              </w:rPr>
              <w:t>1.3</w:t>
            </w:r>
          </w:p>
        </w:tc>
        <w:tc>
          <w:tcPr>
            <w:tcW w:w="1684" w:type="dxa"/>
            <w:tcBorders>
              <w:top w:val="nil"/>
              <w:left w:val="single" w:sz="6" w:space="0" w:color="000000"/>
              <w:bottom w:val="nil"/>
              <w:right w:val="single" w:sz="6" w:space="0" w:color="000000"/>
            </w:tcBorders>
          </w:tcPr>
          <w:p>
            <w:pPr>
              <w:pStyle w:val="TableParagraph"/>
              <w:spacing w:line="187" w:lineRule="exact" w:before="16"/>
              <w:ind w:left="23"/>
              <w:rPr>
                <w:rFonts w:ascii="Calibri"/>
                <w:sz w:val="16"/>
              </w:rPr>
            </w:pPr>
            <w:r>
              <w:rPr>
                <w:rFonts w:ascii="Calibri"/>
                <w:w w:val="105"/>
                <w:sz w:val="16"/>
              </w:rPr>
              <w:t>5</w:t>
            </w:r>
          </w:p>
        </w:tc>
        <w:tc>
          <w:tcPr>
            <w:tcW w:w="1684" w:type="dxa"/>
            <w:tcBorders>
              <w:top w:val="nil"/>
              <w:left w:val="single" w:sz="6" w:space="0" w:color="000000"/>
              <w:bottom w:val="nil"/>
              <w:right w:val="single" w:sz="6" w:space="0" w:color="000000"/>
            </w:tcBorders>
          </w:tcPr>
          <w:p>
            <w:pPr>
              <w:pStyle w:val="TableParagraph"/>
              <w:spacing w:line="187" w:lineRule="exact" w:before="16"/>
              <w:ind w:left="25"/>
              <w:rPr>
                <w:rFonts w:ascii="Calibri"/>
                <w:sz w:val="16"/>
              </w:rPr>
            </w:pPr>
            <w:r>
              <w:rPr>
                <w:rFonts w:ascii="Calibri"/>
                <w:w w:val="105"/>
                <w:sz w:val="16"/>
              </w:rPr>
              <w:t>8</w:t>
            </w:r>
          </w:p>
        </w:tc>
      </w:tr>
      <w:tr>
        <w:trPr>
          <w:trHeight w:val="221" w:hRule="atLeast"/>
        </w:trPr>
        <w:tc>
          <w:tcPr>
            <w:tcW w:w="3335" w:type="dxa"/>
            <w:tcBorders>
              <w:top w:val="nil"/>
              <w:left w:val="single" w:sz="6" w:space="0" w:color="000000"/>
              <w:bottom w:val="nil"/>
              <w:right w:val="single" w:sz="6" w:space="0" w:color="000000"/>
            </w:tcBorders>
          </w:tcPr>
          <w:p>
            <w:pPr>
              <w:pStyle w:val="TableParagraph"/>
              <w:spacing w:before="6"/>
              <w:ind w:left="26"/>
              <w:jc w:val="left"/>
              <w:rPr>
                <w:sz w:val="14"/>
              </w:rPr>
            </w:pPr>
            <w:r>
              <w:rPr>
                <w:w w:val="105"/>
                <w:sz w:val="14"/>
              </w:rPr>
              <w:t>National Provincial Bank Ltd plus affiliated banks</w:t>
            </w:r>
            <w:r>
              <w:rPr>
                <w:w w:val="105"/>
                <w:sz w:val="14"/>
                <w:vertAlign w:val="superscript"/>
              </w:rPr>
              <w:t>(5)</w:t>
            </w:r>
          </w:p>
        </w:tc>
        <w:tc>
          <w:tcPr>
            <w:tcW w:w="1684" w:type="dxa"/>
            <w:tcBorders>
              <w:top w:val="nil"/>
              <w:left w:val="single" w:sz="6" w:space="0" w:color="000000"/>
              <w:bottom w:val="nil"/>
              <w:right w:val="single" w:sz="6" w:space="0" w:color="000000"/>
            </w:tcBorders>
          </w:tcPr>
          <w:p>
            <w:pPr>
              <w:pStyle w:val="TableParagraph"/>
              <w:spacing w:line="187" w:lineRule="exact" w:before="15"/>
              <w:ind w:right="21"/>
              <w:rPr>
                <w:rFonts w:ascii="Calibri"/>
                <w:sz w:val="16"/>
              </w:rPr>
            </w:pPr>
            <w:r>
              <w:rPr>
                <w:rFonts w:ascii="Calibri"/>
                <w:w w:val="105"/>
                <w:sz w:val="16"/>
              </w:rPr>
              <w:t>1.1</w:t>
            </w:r>
          </w:p>
        </w:tc>
        <w:tc>
          <w:tcPr>
            <w:tcW w:w="1684" w:type="dxa"/>
            <w:tcBorders>
              <w:top w:val="nil"/>
              <w:left w:val="single" w:sz="6" w:space="0" w:color="000000"/>
              <w:bottom w:val="nil"/>
              <w:right w:val="single" w:sz="6" w:space="0" w:color="000000"/>
            </w:tcBorders>
          </w:tcPr>
          <w:p>
            <w:pPr>
              <w:pStyle w:val="TableParagraph"/>
              <w:spacing w:line="187" w:lineRule="exact" w:before="15"/>
              <w:ind w:left="23"/>
              <w:rPr>
                <w:rFonts w:ascii="Calibri"/>
                <w:sz w:val="16"/>
              </w:rPr>
            </w:pPr>
            <w:r>
              <w:rPr>
                <w:rFonts w:ascii="Calibri"/>
                <w:w w:val="105"/>
                <w:sz w:val="16"/>
              </w:rPr>
              <w:t>4</w:t>
            </w:r>
          </w:p>
        </w:tc>
        <w:tc>
          <w:tcPr>
            <w:tcW w:w="1684" w:type="dxa"/>
            <w:tcBorders>
              <w:top w:val="nil"/>
              <w:left w:val="single" w:sz="6" w:space="0" w:color="000000"/>
              <w:bottom w:val="nil"/>
              <w:right w:val="single" w:sz="6" w:space="0" w:color="000000"/>
            </w:tcBorders>
          </w:tcPr>
          <w:p>
            <w:pPr>
              <w:pStyle w:val="TableParagraph"/>
              <w:spacing w:line="187" w:lineRule="exact" w:before="15"/>
              <w:ind w:left="25"/>
              <w:rPr>
                <w:rFonts w:ascii="Calibri"/>
                <w:sz w:val="16"/>
              </w:rPr>
            </w:pPr>
            <w:r>
              <w:rPr>
                <w:rFonts w:ascii="Calibri"/>
                <w:w w:val="105"/>
                <w:sz w:val="16"/>
              </w:rPr>
              <w:t>7</w:t>
            </w:r>
          </w:p>
        </w:tc>
      </w:tr>
      <w:tr>
        <w:trPr>
          <w:trHeight w:val="228" w:hRule="atLeast"/>
        </w:trPr>
        <w:tc>
          <w:tcPr>
            <w:tcW w:w="3335" w:type="dxa"/>
            <w:tcBorders>
              <w:top w:val="nil"/>
              <w:left w:val="single" w:sz="6" w:space="0" w:color="000000"/>
              <w:bottom w:val="nil"/>
              <w:right w:val="single" w:sz="6" w:space="0" w:color="000000"/>
            </w:tcBorders>
          </w:tcPr>
          <w:p>
            <w:pPr>
              <w:pStyle w:val="TableParagraph"/>
              <w:spacing w:before="6"/>
              <w:ind w:left="26"/>
              <w:jc w:val="left"/>
              <w:rPr>
                <w:sz w:val="14"/>
              </w:rPr>
            </w:pPr>
            <w:r>
              <w:rPr>
                <w:w w:val="105"/>
                <w:sz w:val="14"/>
              </w:rPr>
              <w:t>Royal Bank of Scotland Ltd plus affiliated banks</w:t>
            </w:r>
            <w:r>
              <w:rPr>
                <w:w w:val="105"/>
                <w:sz w:val="14"/>
                <w:vertAlign w:val="superscript"/>
              </w:rPr>
              <w:t>(6)</w:t>
            </w:r>
          </w:p>
        </w:tc>
        <w:tc>
          <w:tcPr>
            <w:tcW w:w="1684" w:type="dxa"/>
            <w:tcBorders>
              <w:top w:val="nil"/>
              <w:left w:val="single" w:sz="6" w:space="0" w:color="000000"/>
              <w:bottom w:val="nil"/>
              <w:right w:val="single" w:sz="6" w:space="0" w:color="000000"/>
            </w:tcBorders>
          </w:tcPr>
          <w:p>
            <w:pPr>
              <w:pStyle w:val="TableParagraph"/>
              <w:spacing w:line="193" w:lineRule="exact" w:before="15"/>
              <w:ind w:right="22"/>
              <w:rPr>
                <w:rFonts w:ascii="Calibri"/>
                <w:sz w:val="16"/>
              </w:rPr>
            </w:pPr>
            <w:r>
              <w:rPr>
                <w:rFonts w:ascii="Calibri"/>
                <w:w w:val="105"/>
                <w:sz w:val="16"/>
              </w:rPr>
              <w:t>0.4</w:t>
            </w:r>
          </w:p>
        </w:tc>
        <w:tc>
          <w:tcPr>
            <w:tcW w:w="1684" w:type="dxa"/>
            <w:tcBorders>
              <w:top w:val="nil"/>
              <w:left w:val="single" w:sz="6" w:space="0" w:color="000000"/>
              <w:bottom w:val="nil"/>
              <w:right w:val="single" w:sz="6" w:space="0" w:color="000000"/>
            </w:tcBorders>
          </w:tcPr>
          <w:p>
            <w:pPr>
              <w:pStyle w:val="TableParagraph"/>
              <w:spacing w:line="193" w:lineRule="exact" w:before="15"/>
              <w:ind w:left="23"/>
              <w:rPr>
                <w:rFonts w:ascii="Calibri"/>
                <w:sz w:val="16"/>
              </w:rPr>
            </w:pPr>
            <w:r>
              <w:rPr>
                <w:rFonts w:ascii="Calibri"/>
                <w:w w:val="105"/>
                <w:sz w:val="16"/>
              </w:rPr>
              <w:t>2</w:t>
            </w:r>
          </w:p>
        </w:tc>
        <w:tc>
          <w:tcPr>
            <w:tcW w:w="1684" w:type="dxa"/>
            <w:tcBorders>
              <w:top w:val="nil"/>
              <w:left w:val="single" w:sz="6" w:space="0" w:color="000000"/>
              <w:bottom w:val="nil"/>
              <w:right w:val="single" w:sz="6" w:space="0" w:color="000000"/>
            </w:tcBorders>
          </w:tcPr>
          <w:p>
            <w:pPr>
              <w:pStyle w:val="TableParagraph"/>
              <w:spacing w:line="193" w:lineRule="exact" w:before="15"/>
              <w:ind w:left="25"/>
              <w:rPr>
                <w:rFonts w:ascii="Calibri"/>
                <w:sz w:val="16"/>
              </w:rPr>
            </w:pPr>
            <w:r>
              <w:rPr>
                <w:rFonts w:ascii="Calibri"/>
                <w:w w:val="105"/>
                <w:sz w:val="16"/>
              </w:rPr>
              <w:t>3</w:t>
            </w:r>
          </w:p>
        </w:tc>
      </w:tr>
      <w:tr>
        <w:trPr>
          <w:trHeight w:val="221" w:hRule="atLeast"/>
        </w:trPr>
        <w:tc>
          <w:tcPr>
            <w:tcW w:w="3335" w:type="dxa"/>
            <w:tcBorders>
              <w:top w:val="nil"/>
              <w:left w:val="single" w:sz="6" w:space="0" w:color="000000"/>
              <w:bottom w:val="nil"/>
              <w:right w:val="single" w:sz="6" w:space="0" w:color="000000"/>
            </w:tcBorders>
          </w:tcPr>
          <w:p>
            <w:pPr>
              <w:pStyle w:val="TableParagraph"/>
              <w:spacing w:before="12"/>
              <w:ind w:left="26"/>
              <w:jc w:val="left"/>
              <w:rPr>
                <w:sz w:val="14"/>
              </w:rPr>
            </w:pPr>
            <w:r>
              <w:rPr>
                <w:w w:val="105"/>
                <w:sz w:val="14"/>
              </w:rPr>
              <w:t>Martins Bank Ltd</w:t>
            </w:r>
          </w:p>
        </w:tc>
        <w:tc>
          <w:tcPr>
            <w:tcW w:w="1684" w:type="dxa"/>
            <w:tcBorders>
              <w:top w:val="nil"/>
              <w:left w:val="single" w:sz="6" w:space="0" w:color="000000"/>
              <w:bottom w:val="nil"/>
              <w:right w:val="single" w:sz="6" w:space="0" w:color="000000"/>
            </w:tcBorders>
          </w:tcPr>
          <w:p>
            <w:pPr>
              <w:pStyle w:val="TableParagraph"/>
              <w:spacing w:line="193" w:lineRule="exact" w:before="9"/>
              <w:ind w:right="21"/>
              <w:rPr>
                <w:rFonts w:ascii="Calibri"/>
                <w:sz w:val="16"/>
              </w:rPr>
            </w:pPr>
            <w:r>
              <w:rPr>
                <w:rFonts w:ascii="Calibri"/>
                <w:w w:val="105"/>
                <w:sz w:val="16"/>
              </w:rPr>
              <w:t>0.4</w:t>
            </w:r>
          </w:p>
        </w:tc>
        <w:tc>
          <w:tcPr>
            <w:tcW w:w="1684" w:type="dxa"/>
            <w:tcBorders>
              <w:top w:val="nil"/>
              <w:left w:val="single" w:sz="6" w:space="0" w:color="000000"/>
              <w:bottom w:val="nil"/>
              <w:right w:val="single" w:sz="6" w:space="0" w:color="000000"/>
            </w:tcBorders>
          </w:tcPr>
          <w:p>
            <w:pPr>
              <w:pStyle w:val="TableParagraph"/>
              <w:spacing w:line="193" w:lineRule="exact" w:before="9"/>
              <w:ind w:left="23"/>
              <w:rPr>
                <w:rFonts w:ascii="Calibri"/>
                <w:sz w:val="16"/>
              </w:rPr>
            </w:pPr>
            <w:r>
              <w:rPr>
                <w:rFonts w:ascii="Calibri"/>
                <w:w w:val="105"/>
                <w:sz w:val="16"/>
              </w:rPr>
              <w:t>1</w:t>
            </w:r>
          </w:p>
        </w:tc>
        <w:tc>
          <w:tcPr>
            <w:tcW w:w="1684" w:type="dxa"/>
            <w:tcBorders>
              <w:top w:val="nil"/>
              <w:left w:val="single" w:sz="6" w:space="0" w:color="000000"/>
              <w:bottom w:val="nil"/>
              <w:right w:val="single" w:sz="6" w:space="0" w:color="000000"/>
            </w:tcBorders>
          </w:tcPr>
          <w:p>
            <w:pPr>
              <w:pStyle w:val="TableParagraph"/>
              <w:spacing w:line="193" w:lineRule="exact" w:before="9"/>
              <w:ind w:left="25"/>
              <w:rPr>
                <w:rFonts w:ascii="Calibri"/>
                <w:sz w:val="16"/>
              </w:rPr>
            </w:pPr>
            <w:r>
              <w:rPr>
                <w:rFonts w:ascii="Calibri"/>
                <w:w w:val="105"/>
                <w:sz w:val="16"/>
              </w:rPr>
              <w:t>3</w:t>
            </w:r>
          </w:p>
        </w:tc>
      </w:tr>
      <w:tr>
        <w:trPr>
          <w:trHeight w:val="222" w:hRule="atLeast"/>
        </w:trPr>
        <w:tc>
          <w:tcPr>
            <w:tcW w:w="3335" w:type="dxa"/>
            <w:tcBorders>
              <w:top w:val="nil"/>
              <w:left w:val="single" w:sz="6" w:space="0" w:color="000000"/>
              <w:bottom w:val="nil"/>
              <w:right w:val="single" w:sz="6" w:space="0" w:color="000000"/>
            </w:tcBorders>
          </w:tcPr>
          <w:p>
            <w:pPr>
              <w:pStyle w:val="TableParagraph"/>
              <w:spacing w:before="12"/>
              <w:ind w:left="26"/>
              <w:jc w:val="left"/>
              <w:rPr>
                <w:sz w:val="14"/>
              </w:rPr>
            </w:pPr>
            <w:r>
              <w:rPr>
                <w:w w:val="105"/>
                <w:sz w:val="14"/>
              </w:rPr>
              <w:t>Standard Bank of South Africa Ltd</w:t>
            </w:r>
          </w:p>
        </w:tc>
        <w:tc>
          <w:tcPr>
            <w:tcW w:w="1684" w:type="dxa"/>
            <w:tcBorders>
              <w:top w:val="nil"/>
              <w:left w:val="single" w:sz="6" w:space="0" w:color="000000"/>
              <w:bottom w:val="nil"/>
              <w:right w:val="single" w:sz="6" w:space="0" w:color="000000"/>
            </w:tcBorders>
          </w:tcPr>
          <w:p>
            <w:pPr>
              <w:pStyle w:val="TableParagraph"/>
              <w:spacing w:line="192" w:lineRule="exact" w:before="10"/>
              <w:ind w:right="21"/>
              <w:rPr>
                <w:rFonts w:ascii="Calibri"/>
                <w:sz w:val="16"/>
              </w:rPr>
            </w:pPr>
            <w:r>
              <w:rPr>
                <w:rFonts w:ascii="Calibri"/>
                <w:w w:val="105"/>
                <w:sz w:val="16"/>
              </w:rPr>
              <w:t>0.4</w:t>
            </w:r>
          </w:p>
        </w:tc>
        <w:tc>
          <w:tcPr>
            <w:tcW w:w="1684" w:type="dxa"/>
            <w:tcBorders>
              <w:top w:val="nil"/>
              <w:left w:val="single" w:sz="6" w:space="0" w:color="000000"/>
              <w:bottom w:val="nil"/>
              <w:right w:val="single" w:sz="6" w:space="0" w:color="000000"/>
            </w:tcBorders>
          </w:tcPr>
          <w:p>
            <w:pPr>
              <w:pStyle w:val="TableParagraph"/>
              <w:spacing w:line="192" w:lineRule="exact" w:before="10"/>
              <w:ind w:left="23"/>
              <w:rPr>
                <w:rFonts w:ascii="Calibri"/>
                <w:sz w:val="16"/>
              </w:rPr>
            </w:pPr>
            <w:r>
              <w:rPr>
                <w:rFonts w:ascii="Calibri"/>
                <w:w w:val="105"/>
                <w:sz w:val="16"/>
              </w:rPr>
              <w:t>1</w:t>
            </w:r>
          </w:p>
        </w:tc>
        <w:tc>
          <w:tcPr>
            <w:tcW w:w="1684" w:type="dxa"/>
            <w:tcBorders>
              <w:top w:val="nil"/>
              <w:left w:val="single" w:sz="6" w:space="0" w:color="000000"/>
              <w:bottom w:val="nil"/>
              <w:right w:val="single" w:sz="6" w:space="0" w:color="000000"/>
            </w:tcBorders>
          </w:tcPr>
          <w:p>
            <w:pPr>
              <w:pStyle w:val="TableParagraph"/>
              <w:spacing w:line="192" w:lineRule="exact" w:before="10"/>
              <w:ind w:left="25"/>
              <w:rPr>
                <w:rFonts w:ascii="Calibri"/>
                <w:sz w:val="16"/>
              </w:rPr>
            </w:pPr>
            <w:r>
              <w:rPr>
                <w:rFonts w:ascii="Calibri"/>
                <w:w w:val="105"/>
                <w:sz w:val="16"/>
              </w:rPr>
              <w:t>2</w:t>
            </w:r>
          </w:p>
        </w:tc>
      </w:tr>
      <w:tr>
        <w:trPr>
          <w:trHeight w:val="221" w:hRule="atLeast"/>
        </w:trPr>
        <w:tc>
          <w:tcPr>
            <w:tcW w:w="3335" w:type="dxa"/>
            <w:tcBorders>
              <w:top w:val="nil"/>
              <w:left w:val="single" w:sz="6" w:space="0" w:color="000000"/>
              <w:bottom w:val="nil"/>
              <w:right w:val="single" w:sz="6" w:space="0" w:color="000000"/>
            </w:tcBorders>
          </w:tcPr>
          <w:p>
            <w:pPr>
              <w:pStyle w:val="TableParagraph"/>
              <w:spacing w:before="11"/>
              <w:ind w:left="26"/>
              <w:jc w:val="left"/>
              <w:rPr>
                <w:sz w:val="14"/>
              </w:rPr>
            </w:pPr>
            <w:r>
              <w:rPr>
                <w:w w:val="105"/>
                <w:sz w:val="14"/>
              </w:rPr>
              <w:t>Chartered Bank Ltd</w:t>
            </w:r>
          </w:p>
        </w:tc>
        <w:tc>
          <w:tcPr>
            <w:tcW w:w="1684" w:type="dxa"/>
            <w:tcBorders>
              <w:top w:val="nil"/>
              <w:left w:val="single" w:sz="6" w:space="0" w:color="000000"/>
              <w:bottom w:val="nil"/>
              <w:right w:val="single" w:sz="6" w:space="0" w:color="000000"/>
            </w:tcBorders>
          </w:tcPr>
          <w:p>
            <w:pPr>
              <w:pStyle w:val="TableParagraph"/>
              <w:spacing w:line="192" w:lineRule="exact" w:before="10"/>
              <w:ind w:right="21"/>
              <w:rPr>
                <w:rFonts w:ascii="Calibri"/>
                <w:sz w:val="16"/>
              </w:rPr>
            </w:pPr>
            <w:r>
              <w:rPr>
                <w:rFonts w:ascii="Calibri"/>
                <w:w w:val="105"/>
                <w:sz w:val="16"/>
              </w:rPr>
              <w:t>0.3</w:t>
            </w:r>
          </w:p>
        </w:tc>
        <w:tc>
          <w:tcPr>
            <w:tcW w:w="1684" w:type="dxa"/>
            <w:tcBorders>
              <w:top w:val="nil"/>
              <w:left w:val="single" w:sz="6" w:space="0" w:color="000000"/>
              <w:bottom w:val="nil"/>
              <w:right w:val="single" w:sz="6" w:space="0" w:color="000000"/>
            </w:tcBorders>
          </w:tcPr>
          <w:p>
            <w:pPr>
              <w:pStyle w:val="TableParagraph"/>
              <w:spacing w:line="192" w:lineRule="exact" w:before="10"/>
              <w:ind w:left="23"/>
              <w:rPr>
                <w:rFonts w:ascii="Calibri"/>
                <w:sz w:val="16"/>
              </w:rPr>
            </w:pPr>
            <w:r>
              <w:rPr>
                <w:rFonts w:ascii="Calibri"/>
                <w:w w:val="105"/>
                <w:sz w:val="16"/>
              </w:rPr>
              <w:t>1</w:t>
            </w:r>
          </w:p>
        </w:tc>
        <w:tc>
          <w:tcPr>
            <w:tcW w:w="1684" w:type="dxa"/>
            <w:tcBorders>
              <w:top w:val="nil"/>
              <w:left w:val="single" w:sz="6" w:space="0" w:color="000000"/>
              <w:bottom w:val="nil"/>
              <w:right w:val="single" w:sz="6" w:space="0" w:color="000000"/>
            </w:tcBorders>
          </w:tcPr>
          <w:p>
            <w:pPr>
              <w:pStyle w:val="TableParagraph"/>
              <w:spacing w:line="192" w:lineRule="exact" w:before="10"/>
              <w:ind w:left="25"/>
              <w:rPr>
                <w:rFonts w:ascii="Calibri"/>
                <w:sz w:val="16"/>
              </w:rPr>
            </w:pPr>
            <w:r>
              <w:rPr>
                <w:rFonts w:ascii="Calibri"/>
                <w:w w:val="105"/>
                <w:sz w:val="16"/>
              </w:rPr>
              <w:t>2</w:t>
            </w:r>
          </w:p>
        </w:tc>
      </w:tr>
      <w:tr>
        <w:trPr>
          <w:trHeight w:val="204" w:hRule="atLeast"/>
        </w:trPr>
        <w:tc>
          <w:tcPr>
            <w:tcW w:w="3335" w:type="dxa"/>
            <w:tcBorders>
              <w:top w:val="nil"/>
              <w:left w:val="single" w:sz="6" w:space="0" w:color="000000"/>
              <w:bottom w:val="single" w:sz="6" w:space="0" w:color="000000"/>
              <w:right w:val="single" w:sz="6" w:space="0" w:color="000000"/>
            </w:tcBorders>
          </w:tcPr>
          <w:p>
            <w:pPr>
              <w:pStyle w:val="TableParagraph"/>
              <w:spacing w:before="11"/>
              <w:ind w:left="26"/>
              <w:jc w:val="left"/>
              <w:rPr>
                <w:sz w:val="14"/>
              </w:rPr>
            </w:pPr>
            <w:r>
              <w:rPr>
                <w:w w:val="105"/>
                <w:sz w:val="14"/>
              </w:rPr>
              <w:t>Union Discount Company of London</w:t>
            </w:r>
          </w:p>
        </w:tc>
        <w:tc>
          <w:tcPr>
            <w:tcW w:w="1684" w:type="dxa"/>
            <w:tcBorders>
              <w:top w:val="nil"/>
              <w:left w:val="single" w:sz="6" w:space="0" w:color="000000"/>
              <w:bottom w:val="single" w:sz="6" w:space="0" w:color="000000"/>
              <w:right w:val="single" w:sz="6" w:space="0" w:color="000000"/>
            </w:tcBorders>
          </w:tcPr>
          <w:p>
            <w:pPr>
              <w:pStyle w:val="TableParagraph"/>
              <w:spacing w:line="174" w:lineRule="exact" w:before="10"/>
              <w:ind w:right="21"/>
              <w:rPr>
                <w:rFonts w:ascii="Calibri"/>
                <w:sz w:val="16"/>
              </w:rPr>
            </w:pPr>
            <w:r>
              <w:rPr>
                <w:rFonts w:ascii="Calibri"/>
                <w:w w:val="105"/>
                <w:sz w:val="16"/>
              </w:rPr>
              <w:t>0.3</w:t>
            </w:r>
          </w:p>
        </w:tc>
        <w:tc>
          <w:tcPr>
            <w:tcW w:w="1684" w:type="dxa"/>
            <w:tcBorders>
              <w:top w:val="nil"/>
              <w:left w:val="single" w:sz="6" w:space="0" w:color="000000"/>
              <w:bottom w:val="single" w:sz="6" w:space="0" w:color="000000"/>
              <w:right w:val="single" w:sz="6" w:space="0" w:color="000000"/>
            </w:tcBorders>
          </w:tcPr>
          <w:p>
            <w:pPr>
              <w:pStyle w:val="TableParagraph"/>
              <w:spacing w:line="174" w:lineRule="exact" w:before="10"/>
              <w:ind w:left="23"/>
              <w:rPr>
                <w:rFonts w:ascii="Calibri"/>
                <w:sz w:val="16"/>
              </w:rPr>
            </w:pPr>
            <w:r>
              <w:rPr>
                <w:rFonts w:ascii="Calibri"/>
                <w:w w:val="105"/>
                <w:sz w:val="16"/>
              </w:rPr>
              <w:t>1</w:t>
            </w:r>
          </w:p>
        </w:tc>
        <w:tc>
          <w:tcPr>
            <w:tcW w:w="1684" w:type="dxa"/>
            <w:tcBorders>
              <w:top w:val="nil"/>
              <w:left w:val="single" w:sz="6" w:space="0" w:color="000000"/>
              <w:bottom w:val="single" w:sz="6" w:space="0" w:color="000000"/>
              <w:right w:val="single" w:sz="6" w:space="0" w:color="000000"/>
            </w:tcBorders>
          </w:tcPr>
          <w:p>
            <w:pPr>
              <w:pStyle w:val="TableParagraph"/>
              <w:spacing w:line="174" w:lineRule="exact" w:before="10"/>
              <w:ind w:left="25"/>
              <w:rPr>
                <w:rFonts w:ascii="Calibri"/>
                <w:sz w:val="16"/>
              </w:rPr>
            </w:pPr>
            <w:r>
              <w:rPr>
                <w:rFonts w:ascii="Calibri"/>
                <w:w w:val="105"/>
                <w:sz w:val="16"/>
              </w:rPr>
              <w:t>2</w:t>
            </w:r>
          </w:p>
        </w:tc>
      </w:tr>
      <w:tr>
        <w:trPr>
          <w:trHeight w:val="207" w:hRule="atLeast"/>
        </w:trPr>
        <w:tc>
          <w:tcPr>
            <w:tcW w:w="3335" w:type="dxa"/>
            <w:tcBorders>
              <w:top w:val="single" w:sz="6" w:space="0" w:color="000000"/>
              <w:left w:val="single" w:sz="6" w:space="0" w:color="000000"/>
              <w:bottom w:val="single" w:sz="6" w:space="0" w:color="000000"/>
              <w:right w:val="single" w:sz="6" w:space="0" w:color="000000"/>
            </w:tcBorders>
          </w:tcPr>
          <w:p>
            <w:pPr>
              <w:pStyle w:val="TableParagraph"/>
              <w:spacing w:line="174" w:lineRule="exact" w:before="12"/>
              <w:ind w:left="127"/>
              <w:jc w:val="left"/>
              <w:rPr>
                <w:rFonts w:ascii="Calibri"/>
                <w:i/>
                <w:sz w:val="16"/>
              </w:rPr>
            </w:pPr>
            <w:r>
              <w:rPr>
                <w:rFonts w:ascii="Calibri"/>
                <w:i/>
                <w:w w:val="105"/>
                <w:sz w:val="16"/>
              </w:rPr>
              <w:t>Total</w:t>
            </w: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174" w:lineRule="exact" w:before="12"/>
              <w:ind w:right="33"/>
              <w:rPr>
                <w:rFonts w:ascii="Calibri"/>
                <w:b/>
                <w:sz w:val="16"/>
              </w:rPr>
            </w:pPr>
            <w:r>
              <w:rPr>
                <w:rFonts w:ascii="Calibri"/>
                <w:b/>
                <w:w w:val="105"/>
                <w:sz w:val="16"/>
              </w:rPr>
              <w:t>10.5</w:t>
            </w: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174" w:lineRule="exact" w:before="12"/>
              <w:ind w:right="32"/>
              <w:rPr>
                <w:rFonts w:ascii="Calibri"/>
                <w:b/>
                <w:sz w:val="16"/>
              </w:rPr>
            </w:pPr>
            <w:r>
              <w:rPr>
                <w:rFonts w:ascii="Calibri"/>
                <w:b/>
                <w:w w:val="105"/>
                <w:sz w:val="16"/>
              </w:rPr>
              <w:t>40.0</w:t>
            </w: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174" w:lineRule="exact" w:before="12"/>
              <w:ind w:right="30"/>
              <w:rPr>
                <w:rFonts w:ascii="Calibri"/>
                <w:b/>
                <w:sz w:val="16"/>
              </w:rPr>
            </w:pPr>
            <w:r>
              <w:rPr>
                <w:rFonts w:ascii="Calibri"/>
                <w:b/>
                <w:w w:val="105"/>
                <w:sz w:val="16"/>
              </w:rPr>
              <w:t>69.0</w:t>
            </w:r>
          </w:p>
        </w:tc>
      </w:tr>
    </w:tbl>
    <w:p>
      <w:pPr>
        <w:pStyle w:val="BodyText"/>
        <w:spacing w:before="12"/>
        <w:rPr>
          <w:rFonts w:ascii="Calibri"/>
          <w:b/>
          <w:sz w:val="18"/>
        </w:rPr>
      </w:pPr>
    </w:p>
    <w:p>
      <w:pPr>
        <w:spacing w:before="0"/>
        <w:ind w:left="174" w:right="0" w:firstLine="0"/>
        <w:jc w:val="left"/>
        <w:rPr>
          <w:rFonts w:ascii="Calibri"/>
          <w:b/>
          <w:sz w:val="11"/>
        </w:rPr>
      </w:pPr>
      <w:r>
        <w:rPr>
          <w:rFonts w:ascii="Calibri"/>
          <w:b/>
          <w:w w:val="105"/>
          <w:position w:val="-8"/>
          <w:sz w:val="16"/>
        </w:rPr>
        <w:t>2010</w:t>
      </w:r>
      <w:r>
        <w:rPr>
          <w:rFonts w:ascii="Calibri"/>
          <w:b/>
          <w:w w:val="105"/>
          <w:sz w:val="11"/>
        </w:rPr>
        <w:t>(9)(10)</w:t>
      </w:r>
    </w:p>
    <w:tbl>
      <w:tblPr>
        <w:tblW w:w="0" w:type="auto"/>
        <w:jc w:val="left"/>
        <w:tblInd w:w="155"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CellMar>
          <w:top w:w="0" w:type="dxa"/>
          <w:left w:w="0" w:type="dxa"/>
          <w:bottom w:w="0" w:type="dxa"/>
          <w:right w:w="0" w:type="dxa"/>
        </w:tblCellMar>
        <w:tblLook w:val="01E0"/>
      </w:tblPr>
      <w:tblGrid>
        <w:gridCol w:w="3335"/>
        <w:gridCol w:w="1684"/>
        <w:gridCol w:w="1684"/>
        <w:gridCol w:w="1684"/>
      </w:tblGrid>
      <w:tr>
        <w:trPr>
          <w:trHeight w:val="611" w:hRule="atLeast"/>
        </w:trPr>
        <w:tc>
          <w:tcPr>
            <w:tcW w:w="3335" w:type="dxa"/>
            <w:tcBorders>
              <w:top w:val="nil"/>
              <w:left w:val="nil"/>
              <w:bottom w:val="nil"/>
            </w:tcBorders>
            <w:shd w:val="clear" w:color="auto" w:fill="000000"/>
          </w:tcPr>
          <w:p>
            <w:pPr>
              <w:pStyle w:val="TableParagraph"/>
              <w:spacing w:before="1"/>
              <w:ind w:left="0"/>
              <w:jc w:val="left"/>
              <w:rPr>
                <w:rFonts w:ascii="Calibri"/>
                <w:b/>
                <w:sz w:val="18"/>
              </w:rPr>
            </w:pPr>
          </w:p>
          <w:p>
            <w:pPr>
              <w:pStyle w:val="TableParagraph"/>
              <w:spacing w:before="0"/>
              <w:ind w:left="1342" w:right="1325"/>
              <w:rPr>
                <w:rFonts w:ascii="Calibri"/>
                <w:sz w:val="14"/>
              </w:rPr>
            </w:pPr>
            <w:r>
              <w:rPr>
                <w:rFonts w:ascii="Calibri"/>
                <w:color w:val="FFFFFF"/>
                <w:w w:val="105"/>
                <w:sz w:val="14"/>
              </w:rPr>
              <w:t>Institution</w:t>
            </w:r>
          </w:p>
        </w:tc>
        <w:tc>
          <w:tcPr>
            <w:tcW w:w="1684" w:type="dxa"/>
            <w:tcBorders>
              <w:top w:val="nil"/>
              <w:bottom w:val="nil"/>
            </w:tcBorders>
            <w:shd w:val="clear" w:color="auto" w:fill="000000"/>
          </w:tcPr>
          <w:p>
            <w:pPr>
              <w:pStyle w:val="TableParagraph"/>
              <w:spacing w:before="1"/>
              <w:ind w:left="0"/>
              <w:jc w:val="left"/>
              <w:rPr>
                <w:rFonts w:ascii="Calibri"/>
                <w:b/>
                <w:sz w:val="18"/>
              </w:rPr>
            </w:pPr>
          </w:p>
          <w:p>
            <w:pPr>
              <w:pStyle w:val="TableParagraph"/>
              <w:spacing w:before="0"/>
              <w:ind w:right="41"/>
              <w:rPr>
                <w:rFonts w:ascii="Calibri"/>
                <w:sz w:val="14"/>
              </w:rPr>
            </w:pPr>
            <w:r>
              <w:rPr>
                <w:rFonts w:ascii="Calibri"/>
                <w:color w:val="FFFFFF"/>
                <w:w w:val="105"/>
                <w:sz w:val="14"/>
              </w:rPr>
              <w:t>Total assets (GBP billions)</w:t>
            </w:r>
          </w:p>
        </w:tc>
        <w:tc>
          <w:tcPr>
            <w:tcW w:w="1684" w:type="dxa"/>
            <w:tcBorders>
              <w:top w:val="nil"/>
              <w:bottom w:val="nil"/>
            </w:tcBorders>
            <w:shd w:val="clear" w:color="auto" w:fill="000000"/>
          </w:tcPr>
          <w:p>
            <w:pPr>
              <w:pStyle w:val="TableParagraph"/>
              <w:spacing w:line="312" w:lineRule="auto" w:before="110"/>
              <w:ind w:left="332" w:hanging="270"/>
              <w:jc w:val="left"/>
              <w:rPr>
                <w:rFonts w:ascii="Calibri"/>
                <w:sz w:val="14"/>
              </w:rPr>
            </w:pPr>
            <w:r>
              <w:rPr>
                <w:rFonts w:ascii="Calibri"/>
                <w:color w:val="FFFFFF"/>
                <w:w w:val="105"/>
                <w:sz w:val="14"/>
              </w:rPr>
              <w:t>Assets as a percentage of GDP (percent)</w:t>
            </w:r>
            <w:r>
              <w:rPr>
                <w:rFonts w:ascii="Calibri"/>
                <w:color w:val="FFFFFF"/>
                <w:w w:val="105"/>
                <w:sz w:val="14"/>
                <w:vertAlign w:val="superscript"/>
              </w:rPr>
              <w:t>(14)</w:t>
            </w:r>
          </w:p>
        </w:tc>
        <w:tc>
          <w:tcPr>
            <w:tcW w:w="1684" w:type="dxa"/>
            <w:tcBorders>
              <w:top w:val="nil"/>
              <w:bottom w:val="nil"/>
              <w:right w:val="nil"/>
            </w:tcBorders>
            <w:shd w:val="clear" w:color="auto" w:fill="000000"/>
          </w:tcPr>
          <w:p>
            <w:pPr>
              <w:pStyle w:val="TableParagraph"/>
              <w:spacing w:line="264" w:lineRule="auto" w:before="22"/>
              <w:ind w:left="62" w:right="61"/>
              <w:rPr>
                <w:rFonts w:ascii="Calibri"/>
                <w:sz w:val="14"/>
              </w:rPr>
            </w:pPr>
            <w:r>
              <w:rPr>
                <w:rFonts w:ascii="Calibri"/>
                <w:color w:val="FFFFFF"/>
                <w:w w:val="105"/>
                <w:sz w:val="14"/>
              </w:rPr>
              <w:t>Assets as a percentage of total banking sector</w:t>
            </w:r>
          </w:p>
          <w:p>
            <w:pPr>
              <w:pStyle w:val="TableParagraph"/>
              <w:spacing w:line="159" w:lineRule="exact" w:before="34"/>
              <w:ind w:left="62" w:right="56"/>
              <w:rPr>
                <w:rFonts w:ascii="Calibri"/>
                <w:sz w:val="14"/>
              </w:rPr>
            </w:pPr>
            <w:r>
              <w:rPr>
                <w:rFonts w:ascii="Calibri"/>
                <w:color w:val="FFFFFF"/>
                <w:sz w:val="14"/>
              </w:rPr>
              <w:t>assets (percent)</w:t>
            </w:r>
            <w:r>
              <w:rPr>
                <w:rFonts w:ascii="Calibri"/>
                <w:color w:val="FFFFFF"/>
                <w:sz w:val="14"/>
                <w:vertAlign w:val="superscript"/>
              </w:rPr>
              <w:t>(15)</w:t>
            </w:r>
          </w:p>
        </w:tc>
      </w:tr>
      <w:tr>
        <w:trPr>
          <w:trHeight w:val="221" w:hRule="atLeast"/>
        </w:trPr>
        <w:tc>
          <w:tcPr>
            <w:tcW w:w="3335" w:type="dxa"/>
            <w:tcBorders>
              <w:top w:val="nil"/>
              <w:left w:val="single" w:sz="6" w:space="0" w:color="000000"/>
              <w:bottom w:val="nil"/>
              <w:right w:val="single" w:sz="6" w:space="0" w:color="000000"/>
            </w:tcBorders>
          </w:tcPr>
          <w:p>
            <w:pPr>
              <w:pStyle w:val="TableParagraph"/>
              <w:spacing w:before="13"/>
              <w:ind w:left="26"/>
              <w:jc w:val="left"/>
              <w:rPr>
                <w:sz w:val="14"/>
              </w:rPr>
            </w:pPr>
            <w:r>
              <w:rPr>
                <w:w w:val="105"/>
                <w:sz w:val="14"/>
              </w:rPr>
              <w:t>Royal Bank of Scotland Group</w:t>
            </w:r>
          </w:p>
        </w:tc>
        <w:tc>
          <w:tcPr>
            <w:tcW w:w="1684" w:type="dxa"/>
            <w:tcBorders>
              <w:top w:val="nil"/>
              <w:left w:val="single" w:sz="6" w:space="0" w:color="000000"/>
              <w:bottom w:val="nil"/>
              <w:right w:val="single" w:sz="6" w:space="0" w:color="000000"/>
            </w:tcBorders>
          </w:tcPr>
          <w:p>
            <w:pPr>
              <w:pStyle w:val="TableParagraph"/>
              <w:spacing w:line="190" w:lineRule="exact" w:before="12"/>
              <w:ind w:right="23"/>
              <w:rPr>
                <w:rFonts w:ascii="Calibri"/>
                <w:sz w:val="16"/>
              </w:rPr>
            </w:pPr>
            <w:r>
              <w:rPr>
                <w:rFonts w:ascii="Calibri"/>
                <w:w w:val="105"/>
                <w:sz w:val="16"/>
              </w:rPr>
              <w:t>1,696</w:t>
            </w:r>
          </w:p>
        </w:tc>
        <w:tc>
          <w:tcPr>
            <w:tcW w:w="1684" w:type="dxa"/>
            <w:tcBorders>
              <w:top w:val="nil"/>
              <w:left w:val="single" w:sz="6" w:space="0" w:color="000000"/>
              <w:bottom w:val="nil"/>
              <w:right w:val="single" w:sz="6" w:space="0" w:color="000000"/>
            </w:tcBorders>
          </w:tcPr>
          <w:p>
            <w:pPr>
              <w:pStyle w:val="TableParagraph"/>
              <w:spacing w:line="190" w:lineRule="exact" w:before="12"/>
              <w:ind w:right="32"/>
              <w:rPr>
                <w:rFonts w:ascii="Calibri"/>
                <w:sz w:val="16"/>
              </w:rPr>
            </w:pPr>
            <w:r>
              <w:rPr>
                <w:rFonts w:ascii="Calibri"/>
                <w:w w:val="105"/>
                <w:sz w:val="16"/>
              </w:rPr>
              <w:t>122</w:t>
            </w:r>
          </w:p>
        </w:tc>
        <w:tc>
          <w:tcPr>
            <w:tcW w:w="1684" w:type="dxa"/>
            <w:tcBorders>
              <w:top w:val="nil"/>
              <w:left w:val="single" w:sz="6" w:space="0" w:color="000000"/>
              <w:bottom w:val="nil"/>
              <w:right w:val="single" w:sz="6" w:space="0" w:color="000000"/>
            </w:tcBorders>
          </w:tcPr>
          <w:p>
            <w:pPr>
              <w:pStyle w:val="TableParagraph"/>
              <w:spacing w:line="190" w:lineRule="exact" w:before="12"/>
              <w:ind w:right="18"/>
              <w:rPr>
                <w:rFonts w:ascii="Calibri"/>
                <w:sz w:val="16"/>
              </w:rPr>
            </w:pPr>
            <w:r>
              <w:rPr>
                <w:rFonts w:ascii="Calibri"/>
                <w:w w:val="105"/>
                <w:sz w:val="16"/>
              </w:rPr>
              <w:t>26</w:t>
            </w:r>
          </w:p>
        </w:tc>
      </w:tr>
      <w:tr>
        <w:trPr>
          <w:trHeight w:val="222" w:hRule="atLeast"/>
        </w:trPr>
        <w:tc>
          <w:tcPr>
            <w:tcW w:w="3335" w:type="dxa"/>
            <w:tcBorders>
              <w:top w:val="nil"/>
              <w:left w:val="single" w:sz="6" w:space="0" w:color="000000"/>
              <w:bottom w:val="nil"/>
              <w:right w:val="single" w:sz="6" w:space="0" w:color="000000"/>
            </w:tcBorders>
          </w:tcPr>
          <w:p>
            <w:pPr>
              <w:pStyle w:val="TableParagraph"/>
              <w:spacing w:before="3"/>
              <w:ind w:left="26"/>
              <w:jc w:val="left"/>
              <w:rPr>
                <w:sz w:val="14"/>
              </w:rPr>
            </w:pPr>
            <w:r>
              <w:rPr>
                <w:sz w:val="14"/>
              </w:rPr>
              <w:t>Barclays Group</w:t>
            </w:r>
            <w:r>
              <w:rPr>
                <w:sz w:val="14"/>
                <w:vertAlign w:val="superscript"/>
              </w:rPr>
              <w:t>(11)</w:t>
            </w:r>
          </w:p>
        </w:tc>
        <w:tc>
          <w:tcPr>
            <w:tcW w:w="1684" w:type="dxa"/>
            <w:tcBorders>
              <w:top w:val="nil"/>
              <w:left w:val="single" w:sz="6" w:space="0" w:color="000000"/>
              <w:bottom w:val="nil"/>
              <w:right w:val="single" w:sz="6" w:space="0" w:color="000000"/>
            </w:tcBorders>
          </w:tcPr>
          <w:p>
            <w:pPr>
              <w:pStyle w:val="TableParagraph"/>
              <w:spacing w:line="190" w:lineRule="exact" w:before="12"/>
              <w:ind w:right="23"/>
              <w:rPr>
                <w:rFonts w:ascii="Calibri"/>
                <w:sz w:val="16"/>
              </w:rPr>
            </w:pPr>
            <w:r>
              <w:rPr>
                <w:rFonts w:ascii="Calibri"/>
                <w:w w:val="105"/>
                <w:sz w:val="16"/>
              </w:rPr>
              <w:t>1,526</w:t>
            </w:r>
          </w:p>
        </w:tc>
        <w:tc>
          <w:tcPr>
            <w:tcW w:w="1684" w:type="dxa"/>
            <w:tcBorders>
              <w:top w:val="nil"/>
              <w:left w:val="single" w:sz="6" w:space="0" w:color="000000"/>
              <w:bottom w:val="nil"/>
              <w:right w:val="single" w:sz="6" w:space="0" w:color="000000"/>
            </w:tcBorders>
          </w:tcPr>
          <w:p>
            <w:pPr>
              <w:pStyle w:val="TableParagraph"/>
              <w:spacing w:line="190" w:lineRule="exact" w:before="12"/>
              <w:ind w:right="32"/>
              <w:rPr>
                <w:rFonts w:ascii="Calibri"/>
                <w:sz w:val="16"/>
              </w:rPr>
            </w:pPr>
            <w:r>
              <w:rPr>
                <w:rFonts w:ascii="Calibri"/>
                <w:w w:val="105"/>
                <w:sz w:val="16"/>
              </w:rPr>
              <w:t>110</w:t>
            </w:r>
          </w:p>
        </w:tc>
        <w:tc>
          <w:tcPr>
            <w:tcW w:w="1684" w:type="dxa"/>
            <w:tcBorders>
              <w:top w:val="nil"/>
              <w:left w:val="single" w:sz="6" w:space="0" w:color="000000"/>
              <w:bottom w:val="nil"/>
              <w:right w:val="single" w:sz="6" w:space="0" w:color="000000"/>
            </w:tcBorders>
          </w:tcPr>
          <w:p>
            <w:pPr>
              <w:pStyle w:val="TableParagraph"/>
              <w:spacing w:line="190" w:lineRule="exact" w:before="12"/>
              <w:ind w:right="18"/>
              <w:rPr>
                <w:rFonts w:ascii="Calibri"/>
                <w:sz w:val="16"/>
              </w:rPr>
            </w:pPr>
            <w:r>
              <w:rPr>
                <w:rFonts w:ascii="Calibri"/>
                <w:w w:val="105"/>
                <w:sz w:val="16"/>
              </w:rPr>
              <w:t>23</w:t>
            </w:r>
          </w:p>
        </w:tc>
      </w:tr>
      <w:tr>
        <w:trPr>
          <w:trHeight w:val="227" w:hRule="atLeast"/>
        </w:trPr>
        <w:tc>
          <w:tcPr>
            <w:tcW w:w="3335" w:type="dxa"/>
            <w:tcBorders>
              <w:top w:val="nil"/>
              <w:left w:val="single" w:sz="6" w:space="0" w:color="000000"/>
              <w:bottom w:val="nil"/>
              <w:right w:val="single" w:sz="6" w:space="0" w:color="000000"/>
            </w:tcBorders>
          </w:tcPr>
          <w:p>
            <w:pPr>
              <w:pStyle w:val="TableParagraph"/>
              <w:spacing w:before="3"/>
              <w:ind w:left="26"/>
              <w:jc w:val="left"/>
              <w:rPr>
                <w:sz w:val="14"/>
              </w:rPr>
            </w:pPr>
            <w:r>
              <w:rPr>
                <w:sz w:val="14"/>
              </w:rPr>
              <w:t>HSBC Holdings Group</w:t>
            </w:r>
            <w:r>
              <w:rPr>
                <w:sz w:val="14"/>
                <w:vertAlign w:val="superscript"/>
              </w:rPr>
              <w:t>(12)</w:t>
            </w:r>
          </w:p>
        </w:tc>
        <w:tc>
          <w:tcPr>
            <w:tcW w:w="1684" w:type="dxa"/>
            <w:tcBorders>
              <w:top w:val="nil"/>
              <w:left w:val="single" w:sz="6" w:space="0" w:color="000000"/>
              <w:bottom w:val="nil"/>
              <w:right w:val="single" w:sz="6" w:space="0" w:color="000000"/>
            </w:tcBorders>
          </w:tcPr>
          <w:p>
            <w:pPr>
              <w:pStyle w:val="TableParagraph"/>
              <w:spacing w:before="12"/>
              <w:ind w:right="23"/>
              <w:rPr>
                <w:rFonts w:ascii="Calibri"/>
                <w:sz w:val="16"/>
              </w:rPr>
            </w:pPr>
            <w:r>
              <w:rPr>
                <w:rFonts w:ascii="Calibri"/>
                <w:w w:val="105"/>
                <w:sz w:val="16"/>
              </w:rPr>
              <w:t>1,463</w:t>
            </w:r>
          </w:p>
        </w:tc>
        <w:tc>
          <w:tcPr>
            <w:tcW w:w="1684" w:type="dxa"/>
            <w:tcBorders>
              <w:top w:val="nil"/>
              <w:left w:val="single" w:sz="6" w:space="0" w:color="000000"/>
              <w:bottom w:val="nil"/>
              <w:right w:val="single" w:sz="6" w:space="0" w:color="000000"/>
            </w:tcBorders>
          </w:tcPr>
          <w:p>
            <w:pPr>
              <w:pStyle w:val="TableParagraph"/>
              <w:spacing w:before="12"/>
              <w:ind w:right="32"/>
              <w:rPr>
                <w:rFonts w:ascii="Calibri"/>
                <w:sz w:val="16"/>
              </w:rPr>
            </w:pPr>
            <w:r>
              <w:rPr>
                <w:rFonts w:ascii="Calibri"/>
                <w:w w:val="105"/>
                <w:sz w:val="16"/>
              </w:rPr>
              <w:t>105</w:t>
            </w:r>
          </w:p>
        </w:tc>
        <w:tc>
          <w:tcPr>
            <w:tcW w:w="1684" w:type="dxa"/>
            <w:tcBorders>
              <w:top w:val="nil"/>
              <w:left w:val="single" w:sz="6" w:space="0" w:color="000000"/>
              <w:bottom w:val="nil"/>
              <w:right w:val="single" w:sz="6" w:space="0" w:color="000000"/>
            </w:tcBorders>
          </w:tcPr>
          <w:p>
            <w:pPr>
              <w:pStyle w:val="TableParagraph"/>
              <w:spacing w:before="12"/>
              <w:ind w:right="18"/>
              <w:rPr>
                <w:rFonts w:ascii="Calibri"/>
                <w:sz w:val="16"/>
              </w:rPr>
            </w:pPr>
            <w:r>
              <w:rPr>
                <w:rFonts w:ascii="Calibri"/>
                <w:w w:val="105"/>
                <w:sz w:val="16"/>
              </w:rPr>
              <w:t>22</w:t>
            </w:r>
          </w:p>
        </w:tc>
      </w:tr>
      <w:tr>
        <w:trPr>
          <w:trHeight w:val="216" w:hRule="atLeast"/>
        </w:trPr>
        <w:tc>
          <w:tcPr>
            <w:tcW w:w="3335" w:type="dxa"/>
            <w:tcBorders>
              <w:top w:val="nil"/>
              <w:left w:val="single" w:sz="6" w:space="0" w:color="000000"/>
              <w:bottom w:val="nil"/>
              <w:right w:val="single" w:sz="6" w:space="0" w:color="000000"/>
            </w:tcBorders>
          </w:tcPr>
          <w:p>
            <w:pPr>
              <w:pStyle w:val="TableParagraph"/>
              <w:spacing w:before="9"/>
              <w:ind w:left="26"/>
              <w:jc w:val="left"/>
              <w:rPr>
                <w:sz w:val="14"/>
              </w:rPr>
            </w:pPr>
            <w:r>
              <w:rPr>
                <w:w w:val="105"/>
                <w:sz w:val="14"/>
              </w:rPr>
              <w:t>Lloyds Banking Group</w:t>
            </w:r>
          </w:p>
        </w:tc>
        <w:tc>
          <w:tcPr>
            <w:tcW w:w="1684" w:type="dxa"/>
            <w:tcBorders>
              <w:top w:val="nil"/>
              <w:left w:val="single" w:sz="6" w:space="0" w:color="000000"/>
              <w:bottom w:val="nil"/>
              <w:right w:val="single" w:sz="6" w:space="0" w:color="000000"/>
            </w:tcBorders>
          </w:tcPr>
          <w:p>
            <w:pPr>
              <w:pStyle w:val="TableParagraph"/>
              <w:spacing w:line="191" w:lineRule="exact" w:before="6"/>
              <w:ind w:right="23"/>
              <w:rPr>
                <w:rFonts w:ascii="Calibri"/>
                <w:sz w:val="16"/>
              </w:rPr>
            </w:pPr>
            <w:r>
              <w:rPr>
                <w:rFonts w:ascii="Calibri"/>
                <w:w w:val="105"/>
                <w:sz w:val="16"/>
              </w:rPr>
              <w:t>1,027</w:t>
            </w:r>
          </w:p>
        </w:tc>
        <w:tc>
          <w:tcPr>
            <w:tcW w:w="1684" w:type="dxa"/>
            <w:tcBorders>
              <w:top w:val="nil"/>
              <w:left w:val="single" w:sz="6" w:space="0" w:color="000000"/>
              <w:bottom w:val="nil"/>
              <w:right w:val="single" w:sz="6" w:space="0" w:color="000000"/>
            </w:tcBorders>
          </w:tcPr>
          <w:p>
            <w:pPr>
              <w:pStyle w:val="TableParagraph"/>
              <w:spacing w:line="191" w:lineRule="exact" w:before="6"/>
              <w:ind w:right="20"/>
              <w:rPr>
                <w:rFonts w:ascii="Calibri"/>
                <w:sz w:val="16"/>
              </w:rPr>
            </w:pPr>
            <w:r>
              <w:rPr>
                <w:rFonts w:ascii="Calibri"/>
                <w:w w:val="105"/>
                <w:sz w:val="16"/>
              </w:rPr>
              <w:t>74</w:t>
            </w:r>
          </w:p>
        </w:tc>
        <w:tc>
          <w:tcPr>
            <w:tcW w:w="1684" w:type="dxa"/>
            <w:tcBorders>
              <w:top w:val="nil"/>
              <w:left w:val="single" w:sz="6" w:space="0" w:color="000000"/>
              <w:bottom w:val="nil"/>
              <w:right w:val="single" w:sz="6" w:space="0" w:color="000000"/>
            </w:tcBorders>
          </w:tcPr>
          <w:p>
            <w:pPr>
              <w:pStyle w:val="TableParagraph"/>
              <w:spacing w:line="191" w:lineRule="exact" w:before="6"/>
              <w:ind w:right="18"/>
              <w:rPr>
                <w:rFonts w:ascii="Calibri"/>
                <w:sz w:val="16"/>
              </w:rPr>
            </w:pPr>
            <w:r>
              <w:rPr>
                <w:rFonts w:ascii="Calibri"/>
                <w:w w:val="105"/>
                <w:sz w:val="16"/>
              </w:rPr>
              <w:t>16</w:t>
            </w:r>
          </w:p>
        </w:tc>
      </w:tr>
      <w:tr>
        <w:trPr>
          <w:trHeight w:val="227" w:hRule="atLeast"/>
        </w:trPr>
        <w:tc>
          <w:tcPr>
            <w:tcW w:w="3335" w:type="dxa"/>
            <w:tcBorders>
              <w:top w:val="nil"/>
              <w:left w:val="single" w:sz="6" w:space="0" w:color="000000"/>
              <w:bottom w:val="nil"/>
              <w:right w:val="single" w:sz="6" w:space="0" w:color="000000"/>
            </w:tcBorders>
          </w:tcPr>
          <w:p>
            <w:pPr>
              <w:pStyle w:val="TableParagraph"/>
              <w:spacing w:before="3"/>
              <w:ind w:left="26"/>
              <w:jc w:val="left"/>
              <w:rPr>
                <w:sz w:val="14"/>
              </w:rPr>
            </w:pPr>
            <w:r>
              <w:rPr>
                <w:w w:val="105"/>
                <w:sz w:val="14"/>
              </w:rPr>
              <w:t>Standard Chartered Group</w:t>
            </w:r>
            <w:r>
              <w:rPr>
                <w:w w:val="105"/>
                <w:sz w:val="14"/>
                <w:vertAlign w:val="superscript"/>
              </w:rPr>
              <w:t>(12)</w:t>
            </w:r>
          </w:p>
        </w:tc>
        <w:tc>
          <w:tcPr>
            <w:tcW w:w="1684" w:type="dxa"/>
            <w:tcBorders>
              <w:top w:val="nil"/>
              <w:left w:val="single" w:sz="6" w:space="0" w:color="000000"/>
              <w:bottom w:val="nil"/>
              <w:right w:val="single" w:sz="6" w:space="0" w:color="000000"/>
            </w:tcBorders>
          </w:tcPr>
          <w:p>
            <w:pPr>
              <w:pStyle w:val="TableParagraph"/>
              <w:spacing w:before="12"/>
              <w:ind w:right="33"/>
              <w:rPr>
                <w:rFonts w:ascii="Calibri"/>
                <w:sz w:val="16"/>
              </w:rPr>
            </w:pPr>
            <w:r>
              <w:rPr>
                <w:rFonts w:ascii="Calibri"/>
                <w:w w:val="105"/>
                <w:sz w:val="16"/>
              </w:rPr>
              <w:t>270</w:t>
            </w:r>
          </w:p>
        </w:tc>
        <w:tc>
          <w:tcPr>
            <w:tcW w:w="1684" w:type="dxa"/>
            <w:tcBorders>
              <w:top w:val="nil"/>
              <w:left w:val="single" w:sz="6" w:space="0" w:color="000000"/>
              <w:bottom w:val="nil"/>
              <w:right w:val="single" w:sz="6" w:space="0" w:color="000000"/>
            </w:tcBorders>
          </w:tcPr>
          <w:p>
            <w:pPr>
              <w:pStyle w:val="TableParagraph"/>
              <w:spacing w:before="12"/>
              <w:ind w:right="20"/>
              <w:rPr>
                <w:rFonts w:ascii="Calibri"/>
                <w:sz w:val="16"/>
              </w:rPr>
            </w:pPr>
            <w:r>
              <w:rPr>
                <w:rFonts w:ascii="Calibri"/>
                <w:w w:val="105"/>
                <w:sz w:val="16"/>
              </w:rPr>
              <w:t>19</w:t>
            </w:r>
          </w:p>
        </w:tc>
        <w:tc>
          <w:tcPr>
            <w:tcW w:w="1684" w:type="dxa"/>
            <w:tcBorders>
              <w:top w:val="nil"/>
              <w:left w:val="single" w:sz="6" w:space="0" w:color="000000"/>
              <w:bottom w:val="nil"/>
              <w:right w:val="single" w:sz="6" w:space="0" w:color="000000"/>
            </w:tcBorders>
          </w:tcPr>
          <w:p>
            <w:pPr>
              <w:pStyle w:val="TableParagraph"/>
              <w:spacing w:before="12"/>
              <w:ind w:left="25"/>
              <w:rPr>
                <w:rFonts w:ascii="Calibri"/>
                <w:sz w:val="16"/>
              </w:rPr>
            </w:pPr>
            <w:r>
              <w:rPr>
                <w:rFonts w:ascii="Calibri"/>
                <w:w w:val="105"/>
                <w:sz w:val="16"/>
              </w:rPr>
              <w:t>4</w:t>
            </w:r>
          </w:p>
        </w:tc>
      </w:tr>
      <w:tr>
        <w:trPr>
          <w:trHeight w:val="222" w:hRule="atLeast"/>
        </w:trPr>
        <w:tc>
          <w:tcPr>
            <w:tcW w:w="3335" w:type="dxa"/>
            <w:tcBorders>
              <w:top w:val="nil"/>
              <w:left w:val="single" w:sz="6" w:space="0" w:color="000000"/>
              <w:bottom w:val="nil"/>
              <w:right w:val="single" w:sz="6" w:space="0" w:color="000000"/>
            </w:tcBorders>
          </w:tcPr>
          <w:p>
            <w:pPr>
              <w:pStyle w:val="TableParagraph"/>
              <w:spacing w:before="8"/>
              <w:ind w:left="26"/>
              <w:jc w:val="left"/>
              <w:rPr>
                <w:sz w:val="14"/>
              </w:rPr>
            </w:pPr>
            <w:r>
              <w:rPr>
                <w:w w:val="105"/>
                <w:sz w:val="14"/>
              </w:rPr>
              <w:t>Nationwide Building Society</w:t>
            </w:r>
          </w:p>
        </w:tc>
        <w:tc>
          <w:tcPr>
            <w:tcW w:w="1684" w:type="dxa"/>
            <w:tcBorders>
              <w:top w:val="nil"/>
              <w:left w:val="single" w:sz="6" w:space="0" w:color="000000"/>
              <w:bottom w:val="nil"/>
              <w:right w:val="single" w:sz="6" w:space="0" w:color="000000"/>
            </w:tcBorders>
          </w:tcPr>
          <w:p>
            <w:pPr>
              <w:pStyle w:val="TableParagraph"/>
              <w:spacing w:before="6"/>
              <w:ind w:right="33"/>
              <w:rPr>
                <w:rFonts w:ascii="Calibri"/>
                <w:sz w:val="16"/>
              </w:rPr>
            </w:pPr>
            <w:r>
              <w:rPr>
                <w:rFonts w:ascii="Calibri"/>
                <w:w w:val="105"/>
                <w:sz w:val="16"/>
              </w:rPr>
              <w:t>191</w:t>
            </w:r>
          </w:p>
        </w:tc>
        <w:tc>
          <w:tcPr>
            <w:tcW w:w="1684" w:type="dxa"/>
            <w:tcBorders>
              <w:top w:val="nil"/>
              <w:left w:val="single" w:sz="6" w:space="0" w:color="000000"/>
              <w:bottom w:val="nil"/>
              <w:right w:val="single" w:sz="6" w:space="0" w:color="000000"/>
            </w:tcBorders>
          </w:tcPr>
          <w:p>
            <w:pPr>
              <w:pStyle w:val="TableParagraph"/>
              <w:spacing w:before="6"/>
              <w:ind w:right="20"/>
              <w:rPr>
                <w:rFonts w:ascii="Calibri"/>
                <w:sz w:val="16"/>
              </w:rPr>
            </w:pPr>
            <w:r>
              <w:rPr>
                <w:rFonts w:ascii="Calibri"/>
                <w:w w:val="105"/>
                <w:sz w:val="16"/>
              </w:rPr>
              <w:t>14</w:t>
            </w:r>
          </w:p>
        </w:tc>
        <w:tc>
          <w:tcPr>
            <w:tcW w:w="1684" w:type="dxa"/>
            <w:tcBorders>
              <w:top w:val="nil"/>
              <w:left w:val="single" w:sz="6" w:space="0" w:color="000000"/>
              <w:bottom w:val="nil"/>
              <w:right w:val="single" w:sz="6" w:space="0" w:color="000000"/>
            </w:tcBorders>
          </w:tcPr>
          <w:p>
            <w:pPr>
              <w:pStyle w:val="TableParagraph"/>
              <w:spacing w:before="6"/>
              <w:ind w:left="25"/>
              <w:rPr>
                <w:rFonts w:ascii="Calibri"/>
                <w:sz w:val="16"/>
              </w:rPr>
            </w:pPr>
            <w:r>
              <w:rPr>
                <w:rFonts w:ascii="Calibri"/>
                <w:w w:val="105"/>
                <w:sz w:val="16"/>
              </w:rPr>
              <w:t>3</w:t>
            </w:r>
          </w:p>
        </w:tc>
      </w:tr>
      <w:tr>
        <w:trPr>
          <w:trHeight w:val="216" w:hRule="atLeast"/>
        </w:trPr>
        <w:tc>
          <w:tcPr>
            <w:tcW w:w="3335" w:type="dxa"/>
            <w:tcBorders>
              <w:top w:val="nil"/>
              <w:left w:val="single" w:sz="6" w:space="0" w:color="000000"/>
              <w:bottom w:val="nil"/>
              <w:right w:val="single" w:sz="6" w:space="0" w:color="000000"/>
            </w:tcBorders>
          </w:tcPr>
          <w:p>
            <w:pPr>
              <w:pStyle w:val="TableParagraph"/>
              <w:spacing w:before="8"/>
              <w:ind w:left="26"/>
              <w:jc w:val="left"/>
              <w:rPr>
                <w:sz w:val="14"/>
              </w:rPr>
            </w:pPr>
            <w:r>
              <w:rPr>
                <w:w w:val="105"/>
                <w:sz w:val="14"/>
              </w:rPr>
              <w:t>Northern Rock PLC</w:t>
            </w:r>
          </w:p>
        </w:tc>
        <w:tc>
          <w:tcPr>
            <w:tcW w:w="1684" w:type="dxa"/>
            <w:tcBorders>
              <w:top w:val="nil"/>
              <w:left w:val="single" w:sz="6" w:space="0" w:color="000000"/>
              <w:bottom w:val="nil"/>
              <w:right w:val="single" w:sz="6" w:space="0" w:color="000000"/>
            </w:tcBorders>
          </w:tcPr>
          <w:p>
            <w:pPr>
              <w:pStyle w:val="TableParagraph"/>
              <w:spacing w:line="190" w:lineRule="exact" w:before="6"/>
              <w:ind w:right="29"/>
              <w:rPr>
                <w:rFonts w:ascii="Calibri"/>
                <w:sz w:val="16"/>
              </w:rPr>
            </w:pPr>
            <w:r>
              <w:rPr>
                <w:rFonts w:ascii="Calibri"/>
                <w:w w:val="105"/>
                <w:sz w:val="16"/>
              </w:rPr>
              <w:t>87</w:t>
            </w:r>
          </w:p>
        </w:tc>
        <w:tc>
          <w:tcPr>
            <w:tcW w:w="1684" w:type="dxa"/>
            <w:tcBorders>
              <w:top w:val="nil"/>
              <w:left w:val="single" w:sz="6" w:space="0" w:color="000000"/>
              <w:bottom w:val="nil"/>
              <w:right w:val="single" w:sz="6" w:space="0" w:color="000000"/>
            </w:tcBorders>
          </w:tcPr>
          <w:p>
            <w:pPr>
              <w:pStyle w:val="TableParagraph"/>
              <w:spacing w:line="190" w:lineRule="exact" w:before="6"/>
              <w:ind w:left="23"/>
              <w:rPr>
                <w:rFonts w:ascii="Calibri"/>
                <w:sz w:val="16"/>
              </w:rPr>
            </w:pPr>
            <w:r>
              <w:rPr>
                <w:rFonts w:ascii="Calibri"/>
                <w:w w:val="105"/>
                <w:sz w:val="16"/>
              </w:rPr>
              <w:t>6</w:t>
            </w:r>
          </w:p>
        </w:tc>
        <w:tc>
          <w:tcPr>
            <w:tcW w:w="1684" w:type="dxa"/>
            <w:tcBorders>
              <w:top w:val="nil"/>
              <w:left w:val="single" w:sz="6" w:space="0" w:color="000000"/>
              <w:bottom w:val="nil"/>
              <w:right w:val="single" w:sz="6" w:space="0" w:color="000000"/>
            </w:tcBorders>
          </w:tcPr>
          <w:p>
            <w:pPr>
              <w:pStyle w:val="TableParagraph"/>
              <w:spacing w:line="190" w:lineRule="exact" w:before="6"/>
              <w:ind w:left="25"/>
              <w:rPr>
                <w:rFonts w:ascii="Calibri"/>
                <w:sz w:val="16"/>
              </w:rPr>
            </w:pPr>
            <w:r>
              <w:rPr>
                <w:rFonts w:ascii="Calibri"/>
                <w:w w:val="105"/>
                <w:sz w:val="16"/>
              </w:rPr>
              <w:t>1</w:t>
            </w:r>
          </w:p>
        </w:tc>
      </w:tr>
      <w:tr>
        <w:trPr>
          <w:trHeight w:val="228" w:hRule="atLeast"/>
        </w:trPr>
        <w:tc>
          <w:tcPr>
            <w:tcW w:w="3335" w:type="dxa"/>
            <w:tcBorders>
              <w:top w:val="nil"/>
              <w:left w:val="single" w:sz="6" w:space="0" w:color="000000"/>
              <w:bottom w:val="nil"/>
              <w:right w:val="single" w:sz="6" w:space="0" w:color="000000"/>
            </w:tcBorders>
          </w:tcPr>
          <w:p>
            <w:pPr>
              <w:pStyle w:val="TableParagraph"/>
              <w:spacing w:before="3"/>
              <w:ind w:left="26"/>
              <w:jc w:val="left"/>
              <w:rPr>
                <w:sz w:val="14"/>
              </w:rPr>
            </w:pPr>
            <w:r>
              <w:rPr>
                <w:w w:val="105"/>
                <w:sz w:val="14"/>
              </w:rPr>
              <w:t>Bradford and Bingley PLC</w:t>
            </w:r>
            <w:r>
              <w:rPr>
                <w:w w:val="105"/>
                <w:sz w:val="14"/>
                <w:vertAlign w:val="superscript"/>
              </w:rPr>
              <w:t>(13)</w:t>
            </w:r>
          </w:p>
        </w:tc>
        <w:tc>
          <w:tcPr>
            <w:tcW w:w="1684" w:type="dxa"/>
            <w:tcBorders>
              <w:top w:val="nil"/>
              <w:left w:val="single" w:sz="6" w:space="0" w:color="000000"/>
              <w:bottom w:val="nil"/>
              <w:right w:val="single" w:sz="6" w:space="0" w:color="000000"/>
            </w:tcBorders>
          </w:tcPr>
          <w:p>
            <w:pPr>
              <w:pStyle w:val="TableParagraph"/>
              <w:spacing w:before="12"/>
              <w:ind w:right="29"/>
              <w:rPr>
                <w:rFonts w:ascii="Calibri"/>
                <w:sz w:val="16"/>
              </w:rPr>
            </w:pPr>
            <w:r>
              <w:rPr>
                <w:rFonts w:ascii="Calibri"/>
                <w:w w:val="105"/>
                <w:sz w:val="16"/>
              </w:rPr>
              <w:t>49</w:t>
            </w:r>
          </w:p>
        </w:tc>
        <w:tc>
          <w:tcPr>
            <w:tcW w:w="1684" w:type="dxa"/>
            <w:tcBorders>
              <w:top w:val="nil"/>
              <w:left w:val="single" w:sz="6" w:space="0" w:color="000000"/>
              <w:bottom w:val="nil"/>
              <w:right w:val="single" w:sz="6" w:space="0" w:color="000000"/>
            </w:tcBorders>
          </w:tcPr>
          <w:p>
            <w:pPr>
              <w:pStyle w:val="TableParagraph"/>
              <w:spacing w:before="12"/>
              <w:ind w:left="23"/>
              <w:rPr>
                <w:rFonts w:ascii="Calibri"/>
                <w:sz w:val="16"/>
              </w:rPr>
            </w:pPr>
            <w:r>
              <w:rPr>
                <w:rFonts w:ascii="Calibri"/>
                <w:w w:val="105"/>
                <w:sz w:val="16"/>
              </w:rPr>
              <w:t>4</w:t>
            </w:r>
          </w:p>
        </w:tc>
        <w:tc>
          <w:tcPr>
            <w:tcW w:w="1684" w:type="dxa"/>
            <w:tcBorders>
              <w:top w:val="nil"/>
              <w:left w:val="single" w:sz="6" w:space="0" w:color="000000"/>
              <w:bottom w:val="nil"/>
              <w:right w:val="single" w:sz="6" w:space="0" w:color="000000"/>
            </w:tcBorders>
          </w:tcPr>
          <w:p>
            <w:pPr>
              <w:pStyle w:val="TableParagraph"/>
              <w:spacing w:before="12"/>
              <w:ind w:left="25"/>
              <w:rPr>
                <w:rFonts w:ascii="Calibri"/>
                <w:sz w:val="16"/>
              </w:rPr>
            </w:pPr>
            <w:r>
              <w:rPr>
                <w:rFonts w:ascii="Calibri"/>
                <w:w w:val="105"/>
                <w:sz w:val="16"/>
              </w:rPr>
              <w:t>1</w:t>
            </w:r>
          </w:p>
        </w:tc>
      </w:tr>
      <w:tr>
        <w:trPr>
          <w:trHeight w:val="222" w:hRule="atLeast"/>
        </w:trPr>
        <w:tc>
          <w:tcPr>
            <w:tcW w:w="3335" w:type="dxa"/>
            <w:tcBorders>
              <w:top w:val="nil"/>
              <w:left w:val="single" w:sz="6" w:space="0" w:color="000000"/>
              <w:bottom w:val="nil"/>
              <w:right w:val="single" w:sz="6" w:space="0" w:color="000000"/>
            </w:tcBorders>
          </w:tcPr>
          <w:p>
            <w:pPr>
              <w:pStyle w:val="TableParagraph"/>
              <w:spacing w:before="9"/>
              <w:ind w:left="26"/>
              <w:jc w:val="left"/>
              <w:rPr>
                <w:sz w:val="14"/>
              </w:rPr>
            </w:pPr>
            <w:r>
              <w:rPr>
                <w:w w:val="105"/>
                <w:sz w:val="14"/>
              </w:rPr>
              <w:t>The Co-Operative Bank</w:t>
            </w:r>
          </w:p>
        </w:tc>
        <w:tc>
          <w:tcPr>
            <w:tcW w:w="1684" w:type="dxa"/>
            <w:tcBorders>
              <w:top w:val="nil"/>
              <w:left w:val="single" w:sz="6" w:space="0" w:color="000000"/>
              <w:bottom w:val="nil"/>
              <w:right w:val="single" w:sz="6" w:space="0" w:color="000000"/>
            </w:tcBorders>
          </w:tcPr>
          <w:p>
            <w:pPr>
              <w:pStyle w:val="TableParagraph"/>
              <w:spacing w:before="7"/>
              <w:ind w:right="29"/>
              <w:rPr>
                <w:rFonts w:ascii="Calibri"/>
                <w:sz w:val="16"/>
              </w:rPr>
            </w:pPr>
            <w:r>
              <w:rPr>
                <w:rFonts w:ascii="Calibri"/>
                <w:w w:val="105"/>
                <w:sz w:val="16"/>
              </w:rPr>
              <w:t>46</w:t>
            </w:r>
          </w:p>
        </w:tc>
        <w:tc>
          <w:tcPr>
            <w:tcW w:w="1684" w:type="dxa"/>
            <w:tcBorders>
              <w:top w:val="nil"/>
              <w:left w:val="single" w:sz="6" w:space="0" w:color="000000"/>
              <w:bottom w:val="nil"/>
              <w:right w:val="single" w:sz="6" w:space="0" w:color="000000"/>
            </w:tcBorders>
          </w:tcPr>
          <w:p>
            <w:pPr>
              <w:pStyle w:val="TableParagraph"/>
              <w:spacing w:before="7"/>
              <w:ind w:left="23"/>
              <w:rPr>
                <w:rFonts w:ascii="Calibri"/>
                <w:sz w:val="16"/>
              </w:rPr>
            </w:pPr>
            <w:r>
              <w:rPr>
                <w:rFonts w:ascii="Calibri"/>
                <w:w w:val="105"/>
                <w:sz w:val="16"/>
              </w:rPr>
              <w:t>3</w:t>
            </w:r>
          </w:p>
        </w:tc>
        <w:tc>
          <w:tcPr>
            <w:tcW w:w="1684" w:type="dxa"/>
            <w:tcBorders>
              <w:top w:val="nil"/>
              <w:left w:val="single" w:sz="6" w:space="0" w:color="000000"/>
              <w:bottom w:val="nil"/>
              <w:right w:val="single" w:sz="6" w:space="0" w:color="000000"/>
            </w:tcBorders>
          </w:tcPr>
          <w:p>
            <w:pPr>
              <w:pStyle w:val="TableParagraph"/>
              <w:spacing w:before="7"/>
              <w:ind w:left="25"/>
              <w:rPr>
                <w:rFonts w:ascii="Calibri"/>
                <w:sz w:val="16"/>
              </w:rPr>
            </w:pPr>
            <w:r>
              <w:rPr>
                <w:rFonts w:ascii="Calibri"/>
                <w:w w:val="105"/>
                <w:sz w:val="16"/>
              </w:rPr>
              <w:t>1</w:t>
            </w:r>
          </w:p>
        </w:tc>
      </w:tr>
      <w:tr>
        <w:trPr>
          <w:trHeight w:val="204" w:hRule="atLeast"/>
        </w:trPr>
        <w:tc>
          <w:tcPr>
            <w:tcW w:w="3335" w:type="dxa"/>
            <w:tcBorders>
              <w:top w:val="nil"/>
              <w:left w:val="single" w:sz="6" w:space="0" w:color="000000"/>
              <w:bottom w:val="single" w:sz="6" w:space="0" w:color="000000"/>
              <w:right w:val="single" w:sz="6" w:space="0" w:color="000000"/>
            </w:tcBorders>
          </w:tcPr>
          <w:p>
            <w:pPr>
              <w:pStyle w:val="TableParagraph"/>
              <w:spacing w:before="8"/>
              <w:ind w:left="26"/>
              <w:jc w:val="left"/>
              <w:rPr>
                <w:sz w:val="14"/>
              </w:rPr>
            </w:pPr>
            <w:r>
              <w:rPr>
                <w:w w:val="105"/>
                <w:sz w:val="14"/>
              </w:rPr>
              <w:t>Yorkshire Building Society</w:t>
            </w:r>
          </w:p>
        </w:tc>
        <w:tc>
          <w:tcPr>
            <w:tcW w:w="1684" w:type="dxa"/>
            <w:tcBorders>
              <w:top w:val="nil"/>
              <w:left w:val="single" w:sz="6" w:space="0" w:color="000000"/>
              <w:bottom w:val="single" w:sz="6" w:space="0" w:color="000000"/>
              <w:right w:val="single" w:sz="6" w:space="0" w:color="000000"/>
            </w:tcBorders>
          </w:tcPr>
          <w:p>
            <w:pPr>
              <w:pStyle w:val="TableParagraph"/>
              <w:spacing w:line="178" w:lineRule="exact" w:before="6"/>
              <w:ind w:right="29"/>
              <w:rPr>
                <w:rFonts w:ascii="Calibri"/>
                <w:sz w:val="16"/>
              </w:rPr>
            </w:pPr>
            <w:r>
              <w:rPr>
                <w:rFonts w:ascii="Calibri"/>
                <w:w w:val="105"/>
                <w:sz w:val="16"/>
              </w:rPr>
              <w:t>23</w:t>
            </w:r>
          </w:p>
        </w:tc>
        <w:tc>
          <w:tcPr>
            <w:tcW w:w="1684" w:type="dxa"/>
            <w:tcBorders>
              <w:top w:val="nil"/>
              <w:left w:val="single" w:sz="6" w:space="0" w:color="000000"/>
              <w:bottom w:val="single" w:sz="6" w:space="0" w:color="000000"/>
              <w:right w:val="single" w:sz="6" w:space="0" w:color="000000"/>
            </w:tcBorders>
          </w:tcPr>
          <w:p>
            <w:pPr>
              <w:pStyle w:val="TableParagraph"/>
              <w:spacing w:line="178" w:lineRule="exact" w:before="6"/>
              <w:ind w:left="23"/>
              <w:rPr>
                <w:rFonts w:ascii="Calibri"/>
                <w:sz w:val="16"/>
              </w:rPr>
            </w:pPr>
            <w:r>
              <w:rPr>
                <w:rFonts w:ascii="Calibri"/>
                <w:w w:val="105"/>
                <w:sz w:val="16"/>
              </w:rPr>
              <w:t>2</w:t>
            </w:r>
          </w:p>
        </w:tc>
        <w:tc>
          <w:tcPr>
            <w:tcW w:w="1684" w:type="dxa"/>
            <w:tcBorders>
              <w:top w:val="nil"/>
              <w:left w:val="single" w:sz="6" w:space="0" w:color="000000"/>
              <w:bottom w:val="single" w:sz="6" w:space="0" w:color="000000"/>
              <w:right w:val="single" w:sz="6" w:space="0" w:color="000000"/>
            </w:tcBorders>
          </w:tcPr>
          <w:p>
            <w:pPr>
              <w:pStyle w:val="TableParagraph"/>
              <w:spacing w:line="178" w:lineRule="exact" w:before="6"/>
              <w:ind w:left="25"/>
              <w:rPr>
                <w:rFonts w:ascii="Calibri"/>
                <w:sz w:val="16"/>
              </w:rPr>
            </w:pPr>
            <w:r>
              <w:rPr>
                <w:rFonts w:ascii="Calibri"/>
                <w:w w:val="105"/>
                <w:sz w:val="16"/>
              </w:rPr>
              <w:t>0</w:t>
            </w:r>
          </w:p>
        </w:tc>
      </w:tr>
      <w:tr>
        <w:trPr>
          <w:trHeight w:val="207" w:hRule="atLeast"/>
        </w:trPr>
        <w:tc>
          <w:tcPr>
            <w:tcW w:w="3335" w:type="dxa"/>
            <w:tcBorders>
              <w:top w:val="single" w:sz="6" w:space="0" w:color="000000"/>
              <w:left w:val="single" w:sz="6" w:space="0" w:color="000000"/>
              <w:bottom w:val="single" w:sz="6" w:space="0" w:color="000000"/>
              <w:right w:val="single" w:sz="6" w:space="0" w:color="000000"/>
            </w:tcBorders>
          </w:tcPr>
          <w:p>
            <w:pPr>
              <w:pStyle w:val="TableParagraph"/>
              <w:spacing w:line="178" w:lineRule="exact" w:before="9"/>
              <w:ind w:left="127"/>
              <w:jc w:val="left"/>
              <w:rPr>
                <w:rFonts w:ascii="Calibri"/>
                <w:i/>
                <w:sz w:val="16"/>
              </w:rPr>
            </w:pPr>
            <w:r>
              <w:rPr>
                <w:rFonts w:ascii="Calibri"/>
                <w:i/>
                <w:w w:val="105"/>
                <w:sz w:val="16"/>
              </w:rPr>
              <w:t>Total</w:t>
            </w: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178" w:lineRule="exact" w:before="9"/>
              <w:ind w:right="23"/>
              <w:rPr>
                <w:rFonts w:ascii="Calibri"/>
                <w:b/>
                <w:sz w:val="16"/>
              </w:rPr>
            </w:pPr>
            <w:r>
              <w:rPr>
                <w:rFonts w:ascii="Calibri"/>
                <w:b/>
                <w:w w:val="105"/>
                <w:sz w:val="16"/>
              </w:rPr>
              <w:t>6,378</w:t>
            </w: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178" w:lineRule="exact" w:before="9"/>
              <w:ind w:right="21"/>
              <w:rPr>
                <w:rFonts w:ascii="Calibri"/>
                <w:b/>
                <w:sz w:val="16"/>
              </w:rPr>
            </w:pPr>
            <w:r>
              <w:rPr>
                <w:rFonts w:ascii="Calibri"/>
                <w:b/>
                <w:w w:val="105"/>
                <w:sz w:val="16"/>
              </w:rPr>
              <w:t>459.0</w:t>
            </w: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178" w:lineRule="exact" w:before="9"/>
              <w:ind w:right="30"/>
              <w:rPr>
                <w:rFonts w:ascii="Calibri"/>
                <w:b/>
                <w:sz w:val="16"/>
              </w:rPr>
            </w:pPr>
            <w:r>
              <w:rPr>
                <w:rFonts w:ascii="Calibri"/>
                <w:b/>
                <w:w w:val="105"/>
                <w:sz w:val="16"/>
              </w:rPr>
              <w:t>97.3</w:t>
            </w:r>
          </w:p>
        </w:tc>
      </w:tr>
    </w:tbl>
    <w:p>
      <w:pPr>
        <w:pStyle w:val="BodyText"/>
        <w:spacing w:before="9"/>
        <w:rPr>
          <w:rFonts w:ascii="Calibri"/>
          <w:b/>
          <w:sz w:val="18"/>
        </w:rPr>
      </w:pPr>
    </w:p>
    <w:p>
      <w:pPr>
        <w:spacing w:before="0"/>
        <w:ind w:left="110" w:right="0" w:firstLine="0"/>
        <w:jc w:val="left"/>
        <w:rPr>
          <w:sz w:val="15"/>
        </w:rPr>
      </w:pPr>
      <w:r>
        <w:rPr>
          <w:w w:val="105"/>
          <w:sz w:val="15"/>
        </w:rPr>
        <w:t>Sources: 'The Bankers' Almanac and Year Book 1961-62', and Bank of England calculations.</w:t>
      </w:r>
    </w:p>
    <w:p>
      <w:pPr>
        <w:pStyle w:val="ListParagraph"/>
        <w:numPr>
          <w:ilvl w:val="0"/>
          <w:numId w:val="3"/>
        </w:numPr>
        <w:tabs>
          <w:tab w:pos="331" w:val="left" w:leader="none"/>
        </w:tabs>
        <w:spacing w:line="240" w:lineRule="auto" w:before="8" w:after="0"/>
        <w:ind w:left="330" w:right="0" w:hanging="221"/>
        <w:jc w:val="left"/>
        <w:rPr>
          <w:sz w:val="15"/>
        </w:rPr>
      </w:pPr>
      <w:r>
        <w:rPr>
          <w:w w:val="105"/>
          <w:sz w:val="15"/>
        </w:rPr>
        <w:t>Includes</w:t>
      </w:r>
      <w:r>
        <w:rPr>
          <w:spacing w:val="-2"/>
          <w:w w:val="105"/>
          <w:sz w:val="15"/>
        </w:rPr>
        <w:t> </w:t>
      </w:r>
      <w:r>
        <w:rPr>
          <w:w w:val="105"/>
          <w:sz w:val="15"/>
        </w:rPr>
        <w:t>Barclays</w:t>
      </w:r>
      <w:r>
        <w:rPr>
          <w:spacing w:val="-4"/>
          <w:w w:val="105"/>
          <w:sz w:val="15"/>
        </w:rPr>
        <w:t> </w:t>
      </w:r>
      <w:r>
        <w:rPr>
          <w:w w:val="105"/>
          <w:sz w:val="15"/>
        </w:rPr>
        <w:t>Bank</w:t>
      </w:r>
      <w:r>
        <w:rPr>
          <w:spacing w:val="-3"/>
          <w:w w:val="105"/>
          <w:sz w:val="15"/>
        </w:rPr>
        <w:t> </w:t>
      </w:r>
      <w:r>
        <w:rPr>
          <w:w w:val="105"/>
          <w:sz w:val="15"/>
        </w:rPr>
        <w:t>(Dominion,</w:t>
      </w:r>
      <w:r>
        <w:rPr>
          <w:spacing w:val="-4"/>
          <w:w w:val="105"/>
          <w:sz w:val="15"/>
        </w:rPr>
        <w:t> </w:t>
      </w:r>
      <w:r>
        <w:rPr>
          <w:w w:val="105"/>
          <w:sz w:val="15"/>
        </w:rPr>
        <w:t>Colonial</w:t>
      </w:r>
      <w:r>
        <w:rPr>
          <w:spacing w:val="-3"/>
          <w:w w:val="105"/>
          <w:sz w:val="15"/>
        </w:rPr>
        <w:t> </w:t>
      </w:r>
      <w:r>
        <w:rPr>
          <w:w w:val="105"/>
          <w:sz w:val="15"/>
        </w:rPr>
        <w:t>and</w:t>
      </w:r>
      <w:r>
        <w:rPr>
          <w:spacing w:val="-2"/>
          <w:w w:val="105"/>
          <w:sz w:val="15"/>
        </w:rPr>
        <w:t> </w:t>
      </w:r>
      <w:r>
        <w:rPr>
          <w:w w:val="105"/>
          <w:sz w:val="15"/>
        </w:rPr>
        <w:t>Overseas)</w:t>
      </w:r>
      <w:r>
        <w:rPr>
          <w:spacing w:val="-2"/>
          <w:w w:val="105"/>
          <w:sz w:val="15"/>
        </w:rPr>
        <w:t> </w:t>
      </w:r>
      <w:r>
        <w:rPr>
          <w:w w:val="105"/>
          <w:sz w:val="15"/>
        </w:rPr>
        <w:t>and</w:t>
      </w:r>
      <w:r>
        <w:rPr>
          <w:spacing w:val="-3"/>
          <w:w w:val="105"/>
          <w:sz w:val="15"/>
        </w:rPr>
        <w:t> </w:t>
      </w:r>
      <w:r>
        <w:rPr>
          <w:w w:val="105"/>
          <w:sz w:val="15"/>
        </w:rPr>
        <w:t>British</w:t>
      </w:r>
      <w:r>
        <w:rPr>
          <w:spacing w:val="-3"/>
          <w:w w:val="105"/>
          <w:sz w:val="15"/>
        </w:rPr>
        <w:t> </w:t>
      </w:r>
      <w:r>
        <w:rPr>
          <w:w w:val="105"/>
          <w:sz w:val="15"/>
        </w:rPr>
        <w:t>Linen</w:t>
      </w:r>
      <w:r>
        <w:rPr>
          <w:spacing w:val="-2"/>
          <w:w w:val="105"/>
          <w:sz w:val="15"/>
        </w:rPr>
        <w:t> </w:t>
      </w:r>
      <w:r>
        <w:rPr>
          <w:w w:val="105"/>
          <w:sz w:val="15"/>
        </w:rPr>
        <w:t>Bank</w:t>
      </w:r>
      <w:r>
        <w:rPr>
          <w:spacing w:val="-3"/>
          <w:w w:val="105"/>
          <w:sz w:val="15"/>
        </w:rPr>
        <w:t> </w:t>
      </w:r>
      <w:r>
        <w:rPr>
          <w:w w:val="105"/>
          <w:sz w:val="15"/>
        </w:rPr>
        <w:t>in</w:t>
      </w:r>
      <w:r>
        <w:rPr>
          <w:spacing w:val="-2"/>
          <w:w w:val="105"/>
          <w:sz w:val="15"/>
        </w:rPr>
        <w:t> </w:t>
      </w:r>
      <w:r>
        <w:rPr>
          <w:w w:val="105"/>
          <w:sz w:val="15"/>
        </w:rPr>
        <w:t>addition</w:t>
      </w:r>
      <w:r>
        <w:rPr>
          <w:spacing w:val="-2"/>
          <w:w w:val="105"/>
          <w:sz w:val="15"/>
        </w:rPr>
        <w:t> </w:t>
      </w:r>
      <w:r>
        <w:rPr>
          <w:w w:val="105"/>
          <w:sz w:val="15"/>
        </w:rPr>
        <w:t>to</w:t>
      </w:r>
      <w:r>
        <w:rPr>
          <w:spacing w:val="-3"/>
          <w:w w:val="105"/>
          <w:sz w:val="15"/>
        </w:rPr>
        <w:t> </w:t>
      </w:r>
      <w:r>
        <w:rPr>
          <w:w w:val="105"/>
          <w:sz w:val="15"/>
        </w:rPr>
        <w:t>Barclays</w:t>
      </w:r>
      <w:r>
        <w:rPr>
          <w:spacing w:val="-2"/>
          <w:w w:val="105"/>
          <w:sz w:val="15"/>
        </w:rPr>
        <w:t> </w:t>
      </w:r>
      <w:r>
        <w:rPr>
          <w:w w:val="105"/>
          <w:sz w:val="15"/>
        </w:rPr>
        <w:t>Bank</w:t>
      </w:r>
      <w:r>
        <w:rPr>
          <w:spacing w:val="-3"/>
          <w:w w:val="105"/>
          <w:sz w:val="15"/>
        </w:rPr>
        <w:t> </w:t>
      </w:r>
      <w:r>
        <w:rPr>
          <w:w w:val="105"/>
          <w:sz w:val="15"/>
        </w:rPr>
        <w:t>Ltd.</w:t>
      </w:r>
    </w:p>
    <w:p>
      <w:pPr>
        <w:pStyle w:val="ListParagraph"/>
        <w:numPr>
          <w:ilvl w:val="0"/>
          <w:numId w:val="3"/>
        </w:numPr>
        <w:tabs>
          <w:tab w:pos="331" w:val="left" w:leader="none"/>
        </w:tabs>
        <w:spacing w:line="249" w:lineRule="auto" w:before="5" w:after="0"/>
        <w:ind w:left="110" w:right="642" w:firstLine="0"/>
        <w:jc w:val="left"/>
        <w:rPr>
          <w:sz w:val="15"/>
        </w:rPr>
      </w:pPr>
      <w:r>
        <w:rPr>
          <w:w w:val="105"/>
          <w:sz w:val="15"/>
        </w:rPr>
        <w:t>Includes</w:t>
      </w:r>
      <w:r>
        <w:rPr>
          <w:spacing w:val="-6"/>
          <w:w w:val="105"/>
          <w:sz w:val="15"/>
        </w:rPr>
        <w:t> </w:t>
      </w:r>
      <w:r>
        <w:rPr>
          <w:w w:val="105"/>
          <w:sz w:val="15"/>
        </w:rPr>
        <w:t>Belfast</w:t>
      </w:r>
      <w:r>
        <w:rPr>
          <w:spacing w:val="-8"/>
          <w:w w:val="105"/>
          <w:sz w:val="15"/>
        </w:rPr>
        <w:t> </w:t>
      </w:r>
      <w:r>
        <w:rPr>
          <w:w w:val="105"/>
          <w:sz w:val="15"/>
        </w:rPr>
        <w:t>Banking</w:t>
      </w:r>
      <w:r>
        <w:rPr>
          <w:spacing w:val="-6"/>
          <w:w w:val="105"/>
          <w:sz w:val="15"/>
        </w:rPr>
        <w:t> </w:t>
      </w:r>
      <w:r>
        <w:rPr>
          <w:w w:val="105"/>
          <w:sz w:val="15"/>
        </w:rPr>
        <w:t>Company</w:t>
      </w:r>
      <w:r>
        <w:rPr>
          <w:spacing w:val="-7"/>
          <w:w w:val="105"/>
          <w:sz w:val="15"/>
        </w:rPr>
        <w:t> </w:t>
      </w:r>
      <w:r>
        <w:rPr>
          <w:w w:val="105"/>
          <w:sz w:val="15"/>
        </w:rPr>
        <w:t>Ltd,</w:t>
      </w:r>
      <w:r>
        <w:rPr>
          <w:spacing w:val="-5"/>
          <w:w w:val="105"/>
          <w:sz w:val="15"/>
        </w:rPr>
        <w:t> </w:t>
      </w:r>
      <w:r>
        <w:rPr>
          <w:w w:val="105"/>
          <w:sz w:val="15"/>
        </w:rPr>
        <w:t>Clydesdale</w:t>
      </w:r>
      <w:r>
        <w:rPr>
          <w:spacing w:val="-6"/>
          <w:w w:val="105"/>
          <w:sz w:val="15"/>
        </w:rPr>
        <w:t> </w:t>
      </w:r>
      <w:r>
        <w:rPr>
          <w:w w:val="105"/>
          <w:sz w:val="15"/>
        </w:rPr>
        <w:t>&amp;</w:t>
      </w:r>
      <w:r>
        <w:rPr>
          <w:spacing w:val="-6"/>
          <w:w w:val="105"/>
          <w:sz w:val="15"/>
        </w:rPr>
        <w:t> </w:t>
      </w:r>
      <w:r>
        <w:rPr>
          <w:w w:val="105"/>
          <w:sz w:val="15"/>
        </w:rPr>
        <w:t>North</w:t>
      </w:r>
      <w:r>
        <w:rPr>
          <w:spacing w:val="-7"/>
          <w:w w:val="105"/>
          <w:sz w:val="15"/>
        </w:rPr>
        <w:t> </w:t>
      </w:r>
      <w:r>
        <w:rPr>
          <w:w w:val="105"/>
          <w:sz w:val="15"/>
        </w:rPr>
        <w:t>of</w:t>
      </w:r>
      <w:r>
        <w:rPr>
          <w:spacing w:val="-8"/>
          <w:w w:val="105"/>
          <w:sz w:val="15"/>
        </w:rPr>
        <w:t> </w:t>
      </w:r>
      <w:r>
        <w:rPr>
          <w:w w:val="105"/>
          <w:sz w:val="15"/>
        </w:rPr>
        <w:t>Scotland</w:t>
      </w:r>
      <w:r>
        <w:rPr>
          <w:spacing w:val="-6"/>
          <w:w w:val="105"/>
          <w:sz w:val="15"/>
        </w:rPr>
        <w:t> </w:t>
      </w:r>
      <w:r>
        <w:rPr>
          <w:w w:val="105"/>
          <w:sz w:val="15"/>
        </w:rPr>
        <w:t>Bank</w:t>
      </w:r>
      <w:r>
        <w:rPr>
          <w:spacing w:val="-6"/>
          <w:w w:val="105"/>
          <w:sz w:val="15"/>
        </w:rPr>
        <w:t> </w:t>
      </w:r>
      <w:r>
        <w:rPr>
          <w:w w:val="105"/>
          <w:sz w:val="15"/>
        </w:rPr>
        <w:t>Ltd</w:t>
      </w:r>
      <w:r>
        <w:rPr>
          <w:spacing w:val="-6"/>
          <w:w w:val="105"/>
          <w:sz w:val="15"/>
        </w:rPr>
        <w:t> </w:t>
      </w:r>
      <w:r>
        <w:rPr>
          <w:w w:val="105"/>
          <w:sz w:val="15"/>
        </w:rPr>
        <w:t>and</w:t>
      </w:r>
      <w:r>
        <w:rPr>
          <w:spacing w:val="-6"/>
          <w:w w:val="105"/>
          <w:sz w:val="15"/>
        </w:rPr>
        <w:t> </w:t>
      </w:r>
      <w:r>
        <w:rPr>
          <w:w w:val="105"/>
          <w:sz w:val="15"/>
        </w:rPr>
        <w:t>Forward</w:t>
      </w:r>
      <w:r>
        <w:rPr>
          <w:spacing w:val="-7"/>
          <w:w w:val="105"/>
          <w:sz w:val="15"/>
        </w:rPr>
        <w:t> </w:t>
      </w:r>
      <w:r>
        <w:rPr>
          <w:w w:val="105"/>
          <w:sz w:val="15"/>
        </w:rPr>
        <w:t>Trust</w:t>
      </w:r>
      <w:r>
        <w:rPr>
          <w:spacing w:val="-6"/>
          <w:w w:val="105"/>
          <w:sz w:val="15"/>
        </w:rPr>
        <w:t> </w:t>
      </w:r>
      <w:r>
        <w:rPr>
          <w:w w:val="105"/>
          <w:sz w:val="15"/>
        </w:rPr>
        <w:t>Ltd</w:t>
      </w:r>
      <w:r>
        <w:rPr>
          <w:spacing w:val="-6"/>
          <w:w w:val="105"/>
          <w:sz w:val="15"/>
        </w:rPr>
        <w:t> </w:t>
      </w:r>
      <w:r>
        <w:rPr>
          <w:w w:val="105"/>
          <w:sz w:val="15"/>
        </w:rPr>
        <w:t>in</w:t>
      </w:r>
      <w:r>
        <w:rPr>
          <w:spacing w:val="-5"/>
          <w:w w:val="105"/>
          <w:sz w:val="15"/>
        </w:rPr>
        <w:t> </w:t>
      </w:r>
      <w:r>
        <w:rPr>
          <w:w w:val="105"/>
          <w:sz w:val="15"/>
        </w:rPr>
        <w:t>addition</w:t>
      </w:r>
      <w:r>
        <w:rPr>
          <w:spacing w:val="-7"/>
          <w:w w:val="105"/>
          <w:sz w:val="15"/>
        </w:rPr>
        <w:t> </w:t>
      </w:r>
      <w:r>
        <w:rPr>
          <w:w w:val="105"/>
          <w:sz w:val="15"/>
        </w:rPr>
        <w:t>to</w:t>
      </w:r>
      <w:r>
        <w:rPr>
          <w:spacing w:val="-7"/>
          <w:w w:val="105"/>
          <w:sz w:val="15"/>
        </w:rPr>
        <w:t> </w:t>
      </w:r>
      <w:r>
        <w:rPr>
          <w:w w:val="105"/>
          <w:sz w:val="15"/>
        </w:rPr>
        <w:t>Midland Bank</w:t>
      </w:r>
      <w:r>
        <w:rPr>
          <w:spacing w:val="-1"/>
          <w:w w:val="105"/>
          <w:sz w:val="15"/>
        </w:rPr>
        <w:t> </w:t>
      </w:r>
      <w:r>
        <w:rPr>
          <w:w w:val="105"/>
          <w:sz w:val="15"/>
        </w:rPr>
        <w:t>Ltd.</w:t>
      </w:r>
    </w:p>
    <w:p>
      <w:pPr>
        <w:pStyle w:val="ListParagraph"/>
        <w:numPr>
          <w:ilvl w:val="0"/>
          <w:numId w:val="3"/>
        </w:numPr>
        <w:tabs>
          <w:tab w:pos="331" w:val="left" w:leader="none"/>
        </w:tabs>
        <w:spacing w:line="240" w:lineRule="auto" w:before="0" w:after="0"/>
        <w:ind w:left="330" w:right="0" w:hanging="221"/>
        <w:jc w:val="left"/>
        <w:rPr>
          <w:sz w:val="15"/>
        </w:rPr>
      </w:pPr>
      <w:r>
        <w:rPr>
          <w:w w:val="105"/>
          <w:sz w:val="15"/>
        </w:rPr>
        <w:t>Includes Olds Discount Company Ltd in addition to Lloyds Bank</w:t>
      </w:r>
      <w:r>
        <w:rPr>
          <w:spacing w:val="-12"/>
          <w:w w:val="105"/>
          <w:sz w:val="15"/>
        </w:rPr>
        <w:t> </w:t>
      </w:r>
      <w:r>
        <w:rPr>
          <w:w w:val="105"/>
          <w:sz w:val="15"/>
        </w:rPr>
        <w:t>Ltd.</w:t>
      </w:r>
    </w:p>
    <w:p>
      <w:pPr>
        <w:pStyle w:val="ListParagraph"/>
        <w:numPr>
          <w:ilvl w:val="0"/>
          <w:numId w:val="3"/>
        </w:numPr>
        <w:tabs>
          <w:tab w:pos="331" w:val="left" w:leader="none"/>
        </w:tabs>
        <w:spacing w:line="240" w:lineRule="auto" w:before="6" w:after="0"/>
        <w:ind w:left="330" w:right="0" w:hanging="221"/>
        <w:jc w:val="left"/>
        <w:rPr>
          <w:sz w:val="15"/>
        </w:rPr>
      </w:pPr>
      <w:r>
        <w:rPr>
          <w:w w:val="105"/>
          <w:sz w:val="15"/>
        </w:rPr>
        <w:t>Includes Ulster Bank in addition to Westminster Bank</w:t>
      </w:r>
      <w:r>
        <w:rPr>
          <w:spacing w:val="-10"/>
          <w:w w:val="105"/>
          <w:sz w:val="15"/>
        </w:rPr>
        <w:t> </w:t>
      </w:r>
      <w:r>
        <w:rPr>
          <w:w w:val="105"/>
          <w:sz w:val="15"/>
        </w:rPr>
        <w:t>Ltd.</w:t>
      </w:r>
    </w:p>
    <w:p>
      <w:pPr>
        <w:pStyle w:val="ListParagraph"/>
        <w:numPr>
          <w:ilvl w:val="0"/>
          <w:numId w:val="3"/>
        </w:numPr>
        <w:tabs>
          <w:tab w:pos="331" w:val="left" w:leader="none"/>
        </w:tabs>
        <w:spacing w:line="249" w:lineRule="auto" w:before="7" w:after="0"/>
        <w:ind w:left="110" w:right="799" w:firstLine="0"/>
        <w:jc w:val="left"/>
        <w:rPr>
          <w:sz w:val="15"/>
        </w:rPr>
      </w:pPr>
      <w:r>
        <w:rPr>
          <w:w w:val="105"/>
          <w:sz w:val="15"/>
        </w:rPr>
        <w:t>Includes</w:t>
      </w:r>
      <w:r>
        <w:rPr>
          <w:spacing w:val="-6"/>
          <w:w w:val="105"/>
          <w:sz w:val="15"/>
        </w:rPr>
        <w:t> </w:t>
      </w:r>
      <w:r>
        <w:rPr>
          <w:w w:val="105"/>
          <w:sz w:val="15"/>
        </w:rPr>
        <w:t>Coutts</w:t>
      </w:r>
      <w:r>
        <w:rPr>
          <w:spacing w:val="-6"/>
          <w:w w:val="105"/>
          <w:sz w:val="15"/>
        </w:rPr>
        <w:t> </w:t>
      </w:r>
      <w:r>
        <w:rPr>
          <w:w w:val="105"/>
          <w:sz w:val="15"/>
        </w:rPr>
        <w:t>&amp;</w:t>
      </w:r>
      <w:r>
        <w:rPr>
          <w:spacing w:val="-6"/>
          <w:w w:val="105"/>
          <w:sz w:val="15"/>
        </w:rPr>
        <w:t> </w:t>
      </w:r>
      <w:r>
        <w:rPr>
          <w:w w:val="105"/>
          <w:sz w:val="15"/>
        </w:rPr>
        <w:t>Co,</w:t>
      </w:r>
      <w:r>
        <w:rPr>
          <w:spacing w:val="-6"/>
          <w:w w:val="105"/>
          <w:sz w:val="15"/>
        </w:rPr>
        <w:t> </w:t>
      </w:r>
      <w:r>
        <w:rPr>
          <w:w w:val="105"/>
          <w:sz w:val="15"/>
        </w:rPr>
        <w:t>Isle</w:t>
      </w:r>
      <w:r>
        <w:rPr>
          <w:spacing w:val="-5"/>
          <w:w w:val="105"/>
          <w:sz w:val="15"/>
        </w:rPr>
        <w:t> </w:t>
      </w:r>
      <w:r>
        <w:rPr>
          <w:w w:val="105"/>
          <w:sz w:val="15"/>
        </w:rPr>
        <w:t>of</w:t>
      </w:r>
      <w:r>
        <w:rPr>
          <w:spacing w:val="-7"/>
          <w:w w:val="105"/>
          <w:sz w:val="15"/>
        </w:rPr>
        <w:t> </w:t>
      </w:r>
      <w:r>
        <w:rPr>
          <w:w w:val="105"/>
          <w:sz w:val="15"/>
        </w:rPr>
        <w:t>Man</w:t>
      </w:r>
      <w:r>
        <w:rPr>
          <w:spacing w:val="-7"/>
          <w:w w:val="105"/>
          <w:sz w:val="15"/>
        </w:rPr>
        <w:t> </w:t>
      </w:r>
      <w:r>
        <w:rPr>
          <w:w w:val="105"/>
          <w:sz w:val="15"/>
        </w:rPr>
        <w:t>Bank</w:t>
      </w:r>
      <w:r>
        <w:rPr>
          <w:spacing w:val="-5"/>
          <w:w w:val="105"/>
          <w:sz w:val="15"/>
        </w:rPr>
        <w:t> </w:t>
      </w:r>
      <w:r>
        <w:rPr>
          <w:w w:val="105"/>
          <w:sz w:val="15"/>
        </w:rPr>
        <w:t>Ltd,</w:t>
      </w:r>
      <w:r>
        <w:rPr>
          <w:spacing w:val="-5"/>
          <w:w w:val="105"/>
          <w:sz w:val="15"/>
        </w:rPr>
        <w:t> </w:t>
      </w:r>
      <w:r>
        <w:rPr>
          <w:w w:val="105"/>
          <w:sz w:val="15"/>
        </w:rPr>
        <w:t>North</w:t>
      </w:r>
      <w:r>
        <w:rPr>
          <w:spacing w:val="-5"/>
          <w:w w:val="105"/>
          <w:sz w:val="15"/>
        </w:rPr>
        <w:t> </w:t>
      </w:r>
      <w:r>
        <w:rPr>
          <w:w w:val="105"/>
          <w:sz w:val="15"/>
        </w:rPr>
        <w:t>Central</w:t>
      </w:r>
      <w:r>
        <w:rPr>
          <w:spacing w:val="-4"/>
          <w:w w:val="105"/>
          <w:sz w:val="15"/>
        </w:rPr>
        <w:t> </w:t>
      </w:r>
      <w:r>
        <w:rPr>
          <w:w w:val="105"/>
          <w:sz w:val="15"/>
        </w:rPr>
        <w:t>Wagon</w:t>
      </w:r>
      <w:r>
        <w:rPr>
          <w:spacing w:val="-7"/>
          <w:w w:val="105"/>
          <w:sz w:val="15"/>
        </w:rPr>
        <w:t> </w:t>
      </w:r>
      <w:r>
        <w:rPr>
          <w:w w:val="105"/>
          <w:sz w:val="15"/>
        </w:rPr>
        <w:t>&amp;</w:t>
      </w:r>
      <w:r>
        <w:rPr>
          <w:spacing w:val="-6"/>
          <w:w w:val="105"/>
          <w:sz w:val="15"/>
        </w:rPr>
        <w:t> </w:t>
      </w:r>
      <w:r>
        <w:rPr>
          <w:w w:val="105"/>
          <w:sz w:val="15"/>
        </w:rPr>
        <w:t>Finance</w:t>
      </w:r>
      <w:r>
        <w:rPr>
          <w:spacing w:val="-6"/>
          <w:w w:val="105"/>
          <w:sz w:val="15"/>
        </w:rPr>
        <w:t> </w:t>
      </w:r>
      <w:r>
        <w:rPr>
          <w:w w:val="105"/>
          <w:sz w:val="15"/>
        </w:rPr>
        <w:t>Company</w:t>
      </w:r>
      <w:r>
        <w:rPr>
          <w:spacing w:val="-6"/>
          <w:w w:val="105"/>
          <w:sz w:val="15"/>
        </w:rPr>
        <w:t> </w:t>
      </w:r>
      <w:r>
        <w:rPr>
          <w:w w:val="105"/>
          <w:sz w:val="15"/>
        </w:rPr>
        <w:t>Ltd</w:t>
      </w:r>
      <w:r>
        <w:rPr>
          <w:spacing w:val="-6"/>
          <w:w w:val="105"/>
          <w:sz w:val="15"/>
        </w:rPr>
        <w:t> </w:t>
      </w:r>
      <w:r>
        <w:rPr>
          <w:w w:val="105"/>
          <w:sz w:val="15"/>
        </w:rPr>
        <w:t>in</w:t>
      </w:r>
      <w:r>
        <w:rPr>
          <w:spacing w:val="-5"/>
          <w:w w:val="105"/>
          <w:sz w:val="15"/>
        </w:rPr>
        <w:t> </w:t>
      </w:r>
      <w:r>
        <w:rPr>
          <w:w w:val="105"/>
          <w:sz w:val="15"/>
        </w:rPr>
        <w:t>addition</w:t>
      </w:r>
      <w:r>
        <w:rPr>
          <w:spacing w:val="-5"/>
          <w:w w:val="105"/>
          <w:sz w:val="15"/>
        </w:rPr>
        <w:t> </w:t>
      </w:r>
      <w:r>
        <w:rPr>
          <w:w w:val="105"/>
          <w:sz w:val="15"/>
        </w:rPr>
        <w:t>to</w:t>
      </w:r>
      <w:r>
        <w:rPr>
          <w:spacing w:val="-6"/>
          <w:w w:val="105"/>
          <w:sz w:val="15"/>
        </w:rPr>
        <w:t> </w:t>
      </w:r>
      <w:r>
        <w:rPr>
          <w:w w:val="105"/>
          <w:sz w:val="15"/>
        </w:rPr>
        <w:t>National</w:t>
      </w:r>
      <w:r>
        <w:rPr>
          <w:spacing w:val="-6"/>
          <w:w w:val="105"/>
          <w:sz w:val="15"/>
        </w:rPr>
        <w:t> </w:t>
      </w:r>
      <w:r>
        <w:rPr>
          <w:w w:val="105"/>
          <w:sz w:val="15"/>
        </w:rPr>
        <w:t>Provincial Bank</w:t>
      </w:r>
      <w:r>
        <w:rPr>
          <w:spacing w:val="-1"/>
          <w:w w:val="105"/>
          <w:sz w:val="15"/>
        </w:rPr>
        <w:t> </w:t>
      </w:r>
      <w:r>
        <w:rPr>
          <w:w w:val="105"/>
          <w:sz w:val="15"/>
        </w:rPr>
        <w:t>Ltd.</w:t>
      </w:r>
    </w:p>
    <w:p>
      <w:pPr>
        <w:pStyle w:val="ListParagraph"/>
        <w:numPr>
          <w:ilvl w:val="0"/>
          <w:numId w:val="3"/>
        </w:numPr>
        <w:tabs>
          <w:tab w:pos="331" w:val="left" w:leader="none"/>
        </w:tabs>
        <w:spacing w:line="171" w:lineRule="exact" w:before="0" w:after="0"/>
        <w:ind w:left="330" w:right="0" w:hanging="221"/>
        <w:jc w:val="left"/>
        <w:rPr>
          <w:sz w:val="15"/>
        </w:rPr>
      </w:pPr>
      <w:r>
        <w:rPr>
          <w:w w:val="105"/>
          <w:sz w:val="15"/>
        </w:rPr>
        <w:t>Includes</w:t>
      </w:r>
      <w:r>
        <w:rPr>
          <w:spacing w:val="-2"/>
          <w:w w:val="105"/>
          <w:sz w:val="15"/>
        </w:rPr>
        <w:t> </w:t>
      </w:r>
      <w:r>
        <w:rPr>
          <w:w w:val="105"/>
          <w:sz w:val="15"/>
        </w:rPr>
        <w:t>Glynn,</w:t>
      </w:r>
      <w:r>
        <w:rPr>
          <w:spacing w:val="-3"/>
          <w:w w:val="105"/>
          <w:sz w:val="15"/>
        </w:rPr>
        <w:t> </w:t>
      </w:r>
      <w:r>
        <w:rPr>
          <w:w w:val="105"/>
          <w:sz w:val="15"/>
        </w:rPr>
        <w:t>Mills</w:t>
      </w:r>
      <w:r>
        <w:rPr>
          <w:spacing w:val="-3"/>
          <w:w w:val="105"/>
          <w:sz w:val="15"/>
        </w:rPr>
        <w:t> </w:t>
      </w:r>
      <w:r>
        <w:rPr>
          <w:w w:val="105"/>
          <w:sz w:val="15"/>
        </w:rPr>
        <w:t>&amp;</w:t>
      </w:r>
      <w:r>
        <w:rPr>
          <w:spacing w:val="-1"/>
          <w:w w:val="105"/>
          <w:sz w:val="15"/>
        </w:rPr>
        <w:t> </w:t>
      </w:r>
      <w:r>
        <w:rPr>
          <w:w w:val="105"/>
          <w:sz w:val="15"/>
        </w:rPr>
        <w:t>Co,</w:t>
      </w:r>
      <w:r>
        <w:rPr>
          <w:spacing w:val="-1"/>
          <w:w w:val="105"/>
          <w:sz w:val="15"/>
        </w:rPr>
        <w:t> </w:t>
      </w:r>
      <w:r>
        <w:rPr>
          <w:w w:val="105"/>
          <w:sz w:val="15"/>
        </w:rPr>
        <w:t>Williams</w:t>
      </w:r>
      <w:r>
        <w:rPr>
          <w:spacing w:val="-3"/>
          <w:w w:val="105"/>
          <w:sz w:val="15"/>
        </w:rPr>
        <w:t> </w:t>
      </w:r>
      <w:r>
        <w:rPr>
          <w:w w:val="105"/>
          <w:sz w:val="15"/>
        </w:rPr>
        <w:t>Deacon’s</w:t>
      </w:r>
      <w:r>
        <w:rPr>
          <w:spacing w:val="-1"/>
          <w:w w:val="105"/>
          <w:sz w:val="15"/>
        </w:rPr>
        <w:t> </w:t>
      </w:r>
      <w:r>
        <w:rPr>
          <w:w w:val="105"/>
          <w:sz w:val="15"/>
        </w:rPr>
        <w:t>Bank</w:t>
      </w:r>
      <w:r>
        <w:rPr>
          <w:spacing w:val="-2"/>
          <w:w w:val="105"/>
          <w:sz w:val="15"/>
        </w:rPr>
        <w:t> </w:t>
      </w:r>
      <w:r>
        <w:rPr>
          <w:w w:val="105"/>
          <w:sz w:val="15"/>
        </w:rPr>
        <w:t>Ltd</w:t>
      </w:r>
      <w:r>
        <w:rPr>
          <w:spacing w:val="-2"/>
          <w:w w:val="105"/>
          <w:sz w:val="15"/>
        </w:rPr>
        <w:t> </w:t>
      </w:r>
      <w:r>
        <w:rPr>
          <w:w w:val="105"/>
          <w:sz w:val="15"/>
        </w:rPr>
        <w:t>in</w:t>
      </w:r>
      <w:r>
        <w:rPr>
          <w:spacing w:val="-2"/>
          <w:w w:val="105"/>
          <w:sz w:val="15"/>
        </w:rPr>
        <w:t> </w:t>
      </w:r>
      <w:r>
        <w:rPr>
          <w:w w:val="105"/>
          <w:sz w:val="15"/>
        </w:rPr>
        <w:t>addition</w:t>
      </w:r>
      <w:r>
        <w:rPr>
          <w:spacing w:val="-2"/>
          <w:w w:val="105"/>
          <w:sz w:val="15"/>
        </w:rPr>
        <w:t> </w:t>
      </w:r>
      <w:r>
        <w:rPr>
          <w:w w:val="105"/>
          <w:sz w:val="15"/>
        </w:rPr>
        <w:t>to</w:t>
      </w:r>
      <w:r>
        <w:rPr>
          <w:spacing w:val="-2"/>
          <w:w w:val="105"/>
          <w:sz w:val="15"/>
        </w:rPr>
        <w:t> </w:t>
      </w:r>
      <w:r>
        <w:rPr>
          <w:w w:val="105"/>
          <w:sz w:val="15"/>
        </w:rPr>
        <w:t>Royal Bank</w:t>
      </w:r>
      <w:r>
        <w:rPr>
          <w:spacing w:val="-2"/>
          <w:w w:val="105"/>
          <w:sz w:val="15"/>
        </w:rPr>
        <w:t> </w:t>
      </w:r>
      <w:r>
        <w:rPr>
          <w:w w:val="105"/>
          <w:sz w:val="15"/>
        </w:rPr>
        <w:t>of</w:t>
      </w:r>
      <w:r>
        <w:rPr>
          <w:spacing w:val="-4"/>
          <w:w w:val="105"/>
          <w:sz w:val="15"/>
        </w:rPr>
        <w:t> </w:t>
      </w:r>
      <w:r>
        <w:rPr>
          <w:w w:val="105"/>
          <w:sz w:val="15"/>
        </w:rPr>
        <w:t>Scotland</w:t>
      </w:r>
      <w:r>
        <w:rPr>
          <w:spacing w:val="-2"/>
          <w:w w:val="105"/>
          <w:sz w:val="15"/>
        </w:rPr>
        <w:t> </w:t>
      </w:r>
      <w:r>
        <w:rPr>
          <w:w w:val="105"/>
          <w:sz w:val="15"/>
        </w:rPr>
        <w:t>Ltd.</w:t>
      </w:r>
    </w:p>
    <w:p>
      <w:pPr>
        <w:pStyle w:val="ListParagraph"/>
        <w:numPr>
          <w:ilvl w:val="0"/>
          <w:numId w:val="3"/>
        </w:numPr>
        <w:tabs>
          <w:tab w:pos="331" w:val="left" w:leader="none"/>
        </w:tabs>
        <w:spacing w:line="240" w:lineRule="auto" w:before="6" w:after="0"/>
        <w:ind w:left="330" w:right="0" w:hanging="221"/>
        <w:jc w:val="left"/>
        <w:rPr>
          <w:sz w:val="15"/>
        </w:rPr>
      </w:pPr>
      <w:r>
        <w:rPr>
          <w:w w:val="105"/>
          <w:sz w:val="15"/>
        </w:rPr>
        <w:t>Nominal GDP at market prices (£26bn). Source:</w:t>
      </w:r>
      <w:r>
        <w:rPr>
          <w:spacing w:val="-8"/>
          <w:w w:val="105"/>
          <w:sz w:val="15"/>
        </w:rPr>
        <w:t> </w:t>
      </w:r>
      <w:r>
        <w:rPr>
          <w:w w:val="105"/>
          <w:sz w:val="15"/>
        </w:rPr>
        <w:t>ONS.</w:t>
      </w:r>
    </w:p>
    <w:p>
      <w:pPr>
        <w:pStyle w:val="ListParagraph"/>
        <w:numPr>
          <w:ilvl w:val="0"/>
          <w:numId w:val="3"/>
        </w:numPr>
        <w:tabs>
          <w:tab w:pos="331" w:val="left" w:leader="none"/>
        </w:tabs>
        <w:spacing w:line="247" w:lineRule="auto" w:before="7" w:after="0"/>
        <w:ind w:left="110" w:right="544" w:firstLine="0"/>
        <w:jc w:val="left"/>
        <w:rPr>
          <w:sz w:val="15"/>
        </w:rPr>
      </w:pPr>
      <w:r>
        <w:rPr>
          <w:w w:val="105"/>
          <w:sz w:val="15"/>
        </w:rPr>
        <w:t>Total</w:t>
      </w:r>
      <w:r>
        <w:rPr>
          <w:spacing w:val="-8"/>
          <w:w w:val="105"/>
          <w:sz w:val="15"/>
        </w:rPr>
        <w:t> </w:t>
      </w:r>
      <w:r>
        <w:rPr>
          <w:w w:val="105"/>
          <w:sz w:val="15"/>
        </w:rPr>
        <w:t>is</w:t>
      </w:r>
      <w:r>
        <w:rPr>
          <w:spacing w:val="-7"/>
          <w:w w:val="105"/>
          <w:sz w:val="15"/>
        </w:rPr>
        <w:t> </w:t>
      </w:r>
      <w:r>
        <w:rPr>
          <w:w w:val="105"/>
          <w:sz w:val="15"/>
        </w:rPr>
        <w:t>calculated</w:t>
      </w:r>
      <w:r>
        <w:rPr>
          <w:spacing w:val="-7"/>
          <w:w w:val="105"/>
          <w:sz w:val="15"/>
        </w:rPr>
        <w:t> </w:t>
      </w:r>
      <w:r>
        <w:rPr>
          <w:w w:val="105"/>
          <w:sz w:val="15"/>
        </w:rPr>
        <w:t>for</w:t>
      </w:r>
      <w:r>
        <w:rPr>
          <w:spacing w:val="-8"/>
          <w:w w:val="105"/>
          <w:sz w:val="15"/>
        </w:rPr>
        <w:t> </w:t>
      </w:r>
      <w:r>
        <w:rPr>
          <w:w w:val="105"/>
          <w:sz w:val="15"/>
        </w:rPr>
        <w:t>all</w:t>
      </w:r>
      <w:r>
        <w:rPr>
          <w:spacing w:val="-7"/>
          <w:w w:val="105"/>
          <w:sz w:val="15"/>
        </w:rPr>
        <w:t> </w:t>
      </w:r>
      <w:r>
        <w:rPr>
          <w:w w:val="105"/>
          <w:sz w:val="15"/>
        </w:rPr>
        <w:t>UK</w:t>
      </w:r>
      <w:r>
        <w:rPr>
          <w:spacing w:val="-7"/>
          <w:w w:val="105"/>
          <w:sz w:val="15"/>
        </w:rPr>
        <w:t> </w:t>
      </w:r>
      <w:r>
        <w:rPr>
          <w:w w:val="105"/>
          <w:sz w:val="15"/>
        </w:rPr>
        <w:t>headquartered</w:t>
      </w:r>
      <w:r>
        <w:rPr>
          <w:spacing w:val="-8"/>
          <w:w w:val="105"/>
          <w:sz w:val="15"/>
        </w:rPr>
        <w:t> </w:t>
      </w:r>
      <w:r>
        <w:rPr>
          <w:w w:val="105"/>
          <w:sz w:val="15"/>
        </w:rPr>
        <w:t>banks</w:t>
      </w:r>
      <w:r>
        <w:rPr>
          <w:spacing w:val="-9"/>
          <w:w w:val="105"/>
          <w:sz w:val="15"/>
        </w:rPr>
        <w:t> </w:t>
      </w:r>
      <w:r>
        <w:rPr>
          <w:w w:val="105"/>
          <w:sz w:val="15"/>
        </w:rPr>
        <w:t>reporting</w:t>
      </w:r>
      <w:r>
        <w:rPr>
          <w:spacing w:val="-8"/>
          <w:w w:val="105"/>
          <w:sz w:val="15"/>
        </w:rPr>
        <w:t> </w:t>
      </w:r>
      <w:r>
        <w:rPr>
          <w:w w:val="105"/>
          <w:sz w:val="15"/>
        </w:rPr>
        <w:t>total</w:t>
      </w:r>
      <w:r>
        <w:rPr>
          <w:spacing w:val="-7"/>
          <w:w w:val="105"/>
          <w:sz w:val="15"/>
        </w:rPr>
        <w:t> </w:t>
      </w:r>
      <w:r>
        <w:rPr>
          <w:w w:val="105"/>
          <w:sz w:val="15"/>
        </w:rPr>
        <w:t>assets</w:t>
      </w:r>
      <w:r>
        <w:rPr>
          <w:spacing w:val="-10"/>
          <w:w w:val="105"/>
          <w:sz w:val="15"/>
        </w:rPr>
        <w:t> </w:t>
      </w:r>
      <w:r>
        <w:rPr>
          <w:w w:val="105"/>
          <w:sz w:val="15"/>
        </w:rPr>
        <w:t>in</w:t>
      </w:r>
      <w:r>
        <w:rPr>
          <w:spacing w:val="-6"/>
          <w:w w:val="105"/>
          <w:sz w:val="15"/>
        </w:rPr>
        <w:t> </w:t>
      </w:r>
      <w:r>
        <w:rPr>
          <w:w w:val="105"/>
          <w:sz w:val="15"/>
        </w:rPr>
        <w:t>sterling</w:t>
      </w:r>
      <w:r>
        <w:rPr>
          <w:spacing w:val="-7"/>
          <w:w w:val="105"/>
          <w:sz w:val="15"/>
        </w:rPr>
        <w:t> </w:t>
      </w:r>
      <w:r>
        <w:rPr>
          <w:w w:val="105"/>
          <w:sz w:val="15"/>
        </w:rPr>
        <w:t>in</w:t>
      </w:r>
      <w:r>
        <w:rPr>
          <w:spacing w:val="-8"/>
          <w:w w:val="105"/>
          <w:sz w:val="15"/>
        </w:rPr>
        <w:t> </w:t>
      </w:r>
      <w:r>
        <w:rPr>
          <w:w w:val="105"/>
          <w:sz w:val="15"/>
        </w:rPr>
        <w:t>1961-62</w:t>
      </w:r>
      <w:r>
        <w:rPr>
          <w:spacing w:val="-8"/>
          <w:w w:val="105"/>
          <w:sz w:val="15"/>
        </w:rPr>
        <w:t> </w:t>
      </w:r>
      <w:r>
        <w:rPr>
          <w:w w:val="105"/>
          <w:sz w:val="15"/>
        </w:rPr>
        <w:t>Bankers’</w:t>
      </w:r>
      <w:r>
        <w:rPr>
          <w:spacing w:val="-7"/>
          <w:w w:val="105"/>
          <w:sz w:val="15"/>
        </w:rPr>
        <w:t> </w:t>
      </w:r>
      <w:r>
        <w:rPr>
          <w:w w:val="105"/>
          <w:sz w:val="15"/>
        </w:rPr>
        <w:t>Almanac</w:t>
      </w:r>
      <w:r>
        <w:rPr>
          <w:spacing w:val="-8"/>
          <w:w w:val="105"/>
          <w:sz w:val="15"/>
        </w:rPr>
        <w:t> </w:t>
      </w:r>
      <w:r>
        <w:rPr>
          <w:w w:val="105"/>
          <w:sz w:val="15"/>
        </w:rPr>
        <w:t>(excluding</w:t>
      </w:r>
      <w:r>
        <w:rPr>
          <w:spacing w:val="-8"/>
          <w:w w:val="105"/>
          <w:sz w:val="15"/>
        </w:rPr>
        <w:t> </w:t>
      </w:r>
      <w:r>
        <w:rPr>
          <w:w w:val="105"/>
          <w:sz w:val="15"/>
        </w:rPr>
        <w:t>BoE). The total number (after accounting for affiliates) is 71; the total size is £15.15bn. Total does not account for private banks / partnerships which did not report total assets in Bankers’</w:t>
      </w:r>
      <w:r>
        <w:rPr>
          <w:spacing w:val="-13"/>
          <w:w w:val="105"/>
          <w:sz w:val="15"/>
        </w:rPr>
        <w:t> </w:t>
      </w:r>
      <w:r>
        <w:rPr>
          <w:w w:val="105"/>
          <w:sz w:val="15"/>
        </w:rPr>
        <w:t>almanac.</w:t>
      </w:r>
    </w:p>
    <w:p>
      <w:pPr>
        <w:pStyle w:val="ListParagraph"/>
        <w:numPr>
          <w:ilvl w:val="0"/>
          <w:numId w:val="3"/>
        </w:numPr>
        <w:tabs>
          <w:tab w:pos="331" w:val="left" w:leader="none"/>
        </w:tabs>
        <w:spacing w:line="249" w:lineRule="auto" w:before="4" w:after="0"/>
        <w:ind w:left="110" w:right="644" w:hanging="1"/>
        <w:jc w:val="left"/>
        <w:rPr>
          <w:sz w:val="15"/>
        </w:rPr>
      </w:pPr>
      <w:r>
        <w:rPr>
          <w:w w:val="105"/>
          <w:sz w:val="15"/>
        </w:rPr>
        <w:t>Year</w:t>
      </w:r>
      <w:r>
        <w:rPr>
          <w:spacing w:val="-7"/>
          <w:w w:val="105"/>
          <w:sz w:val="15"/>
        </w:rPr>
        <w:t> </w:t>
      </w:r>
      <w:r>
        <w:rPr>
          <w:w w:val="105"/>
          <w:sz w:val="15"/>
        </w:rPr>
        <w:t>end</w:t>
      </w:r>
      <w:r>
        <w:rPr>
          <w:spacing w:val="-5"/>
          <w:w w:val="105"/>
          <w:sz w:val="15"/>
        </w:rPr>
        <w:t> </w:t>
      </w:r>
      <w:r>
        <w:rPr>
          <w:w w:val="105"/>
          <w:sz w:val="15"/>
        </w:rPr>
        <w:t>2009</w:t>
      </w:r>
      <w:r>
        <w:rPr>
          <w:spacing w:val="-6"/>
          <w:w w:val="105"/>
          <w:sz w:val="15"/>
        </w:rPr>
        <w:t> </w:t>
      </w:r>
      <w:r>
        <w:rPr>
          <w:w w:val="105"/>
          <w:sz w:val="15"/>
        </w:rPr>
        <w:t>data</w:t>
      </w:r>
      <w:r>
        <w:rPr>
          <w:spacing w:val="-5"/>
          <w:w w:val="105"/>
          <w:sz w:val="15"/>
        </w:rPr>
        <w:t> </w:t>
      </w:r>
      <w:r>
        <w:rPr>
          <w:w w:val="105"/>
          <w:sz w:val="15"/>
        </w:rPr>
        <w:t>is</w:t>
      </w:r>
      <w:r>
        <w:rPr>
          <w:spacing w:val="-5"/>
          <w:w w:val="105"/>
          <w:sz w:val="15"/>
        </w:rPr>
        <w:t> </w:t>
      </w:r>
      <w:r>
        <w:rPr>
          <w:w w:val="105"/>
          <w:sz w:val="15"/>
        </w:rPr>
        <w:t>used.</w:t>
      </w:r>
      <w:r>
        <w:rPr>
          <w:spacing w:val="-6"/>
          <w:w w:val="105"/>
          <w:sz w:val="15"/>
        </w:rPr>
        <w:t> </w:t>
      </w:r>
      <w:r>
        <w:rPr>
          <w:w w:val="105"/>
          <w:sz w:val="15"/>
        </w:rPr>
        <w:t>UK</w:t>
      </w:r>
      <w:r>
        <w:rPr>
          <w:spacing w:val="-5"/>
          <w:w w:val="105"/>
          <w:sz w:val="15"/>
        </w:rPr>
        <w:t> </w:t>
      </w:r>
      <w:r>
        <w:rPr>
          <w:w w:val="105"/>
          <w:sz w:val="15"/>
        </w:rPr>
        <w:t>banks</w:t>
      </w:r>
      <w:r>
        <w:rPr>
          <w:spacing w:val="-7"/>
          <w:w w:val="105"/>
          <w:sz w:val="15"/>
        </w:rPr>
        <w:t> </w:t>
      </w:r>
      <w:r>
        <w:rPr>
          <w:w w:val="105"/>
          <w:sz w:val="15"/>
        </w:rPr>
        <w:t>are</w:t>
      </w:r>
      <w:r>
        <w:rPr>
          <w:spacing w:val="-6"/>
          <w:w w:val="105"/>
          <w:sz w:val="15"/>
        </w:rPr>
        <w:t> </w:t>
      </w:r>
      <w:r>
        <w:rPr>
          <w:w w:val="105"/>
          <w:sz w:val="15"/>
        </w:rPr>
        <w:t>considered</w:t>
      </w:r>
      <w:r>
        <w:rPr>
          <w:spacing w:val="-5"/>
          <w:w w:val="105"/>
          <w:sz w:val="15"/>
        </w:rPr>
        <w:t> </w:t>
      </w:r>
      <w:r>
        <w:rPr>
          <w:w w:val="105"/>
          <w:sz w:val="15"/>
        </w:rPr>
        <w:t>to</w:t>
      </w:r>
      <w:r>
        <w:rPr>
          <w:spacing w:val="-5"/>
          <w:w w:val="105"/>
          <w:sz w:val="15"/>
        </w:rPr>
        <w:t> </w:t>
      </w:r>
      <w:r>
        <w:rPr>
          <w:w w:val="105"/>
          <w:sz w:val="15"/>
        </w:rPr>
        <w:t>be</w:t>
      </w:r>
      <w:r>
        <w:rPr>
          <w:spacing w:val="-7"/>
          <w:w w:val="105"/>
          <w:sz w:val="15"/>
        </w:rPr>
        <w:t> </w:t>
      </w:r>
      <w:r>
        <w:rPr>
          <w:w w:val="105"/>
          <w:sz w:val="15"/>
        </w:rPr>
        <w:t>banks</w:t>
      </w:r>
      <w:r>
        <w:rPr>
          <w:spacing w:val="-5"/>
          <w:w w:val="105"/>
          <w:sz w:val="15"/>
        </w:rPr>
        <w:t> </w:t>
      </w:r>
      <w:r>
        <w:rPr>
          <w:w w:val="105"/>
          <w:sz w:val="15"/>
        </w:rPr>
        <w:t>where</w:t>
      </w:r>
      <w:r>
        <w:rPr>
          <w:spacing w:val="-5"/>
          <w:w w:val="105"/>
          <w:sz w:val="15"/>
        </w:rPr>
        <w:t> </w:t>
      </w:r>
      <w:r>
        <w:rPr>
          <w:w w:val="105"/>
          <w:sz w:val="15"/>
        </w:rPr>
        <w:t>the</w:t>
      </w:r>
      <w:r>
        <w:rPr>
          <w:spacing w:val="-6"/>
          <w:w w:val="105"/>
          <w:sz w:val="15"/>
        </w:rPr>
        <w:t> </w:t>
      </w:r>
      <w:r>
        <w:rPr>
          <w:w w:val="105"/>
          <w:sz w:val="15"/>
        </w:rPr>
        <w:t>ultimate</w:t>
      </w:r>
      <w:r>
        <w:rPr>
          <w:spacing w:val="-5"/>
          <w:w w:val="105"/>
          <w:sz w:val="15"/>
        </w:rPr>
        <w:t> </w:t>
      </w:r>
      <w:r>
        <w:rPr>
          <w:w w:val="105"/>
          <w:sz w:val="15"/>
        </w:rPr>
        <w:t>parent</w:t>
      </w:r>
      <w:r>
        <w:rPr>
          <w:spacing w:val="-6"/>
          <w:w w:val="105"/>
          <w:sz w:val="15"/>
        </w:rPr>
        <w:t> </w:t>
      </w:r>
      <w:r>
        <w:rPr>
          <w:w w:val="105"/>
          <w:sz w:val="15"/>
        </w:rPr>
        <w:t>company</w:t>
      </w:r>
      <w:r>
        <w:rPr>
          <w:spacing w:val="-6"/>
          <w:w w:val="105"/>
          <w:sz w:val="15"/>
        </w:rPr>
        <w:t> </w:t>
      </w:r>
      <w:r>
        <w:rPr>
          <w:w w:val="105"/>
          <w:sz w:val="15"/>
        </w:rPr>
        <w:t>is</w:t>
      </w:r>
      <w:r>
        <w:rPr>
          <w:spacing w:val="-6"/>
          <w:w w:val="105"/>
          <w:sz w:val="15"/>
        </w:rPr>
        <w:t> </w:t>
      </w:r>
      <w:r>
        <w:rPr>
          <w:w w:val="105"/>
          <w:sz w:val="15"/>
        </w:rPr>
        <w:t>headquartered</w:t>
      </w:r>
      <w:r>
        <w:rPr>
          <w:spacing w:val="-6"/>
          <w:w w:val="105"/>
          <w:sz w:val="15"/>
        </w:rPr>
        <w:t> </w:t>
      </w:r>
      <w:r>
        <w:rPr>
          <w:w w:val="105"/>
          <w:sz w:val="15"/>
        </w:rPr>
        <w:t>in</w:t>
      </w:r>
      <w:r>
        <w:rPr>
          <w:spacing w:val="-5"/>
          <w:w w:val="105"/>
          <w:sz w:val="15"/>
        </w:rPr>
        <w:t> </w:t>
      </w:r>
      <w:r>
        <w:rPr>
          <w:w w:val="105"/>
          <w:sz w:val="15"/>
        </w:rPr>
        <w:t>the</w:t>
      </w:r>
      <w:r>
        <w:rPr>
          <w:spacing w:val="-4"/>
          <w:w w:val="105"/>
          <w:sz w:val="15"/>
        </w:rPr>
        <w:t> </w:t>
      </w:r>
      <w:r>
        <w:rPr>
          <w:w w:val="105"/>
          <w:sz w:val="15"/>
        </w:rPr>
        <w:t>UK, irrespective of where its main activities are. This approach results in Santander UK not appearing on the list (Santander UK’s total assets were £288bn at year end</w:t>
      </w:r>
      <w:r>
        <w:rPr>
          <w:spacing w:val="-8"/>
          <w:w w:val="105"/>
          <w:sz w:val="15"/>
        </w:rPr>
        <w:t> </w:t>
      </w:r>
      <w:r>
        <w:rPr>
          <w:w w:val="105"/>
          <w:sz w:val="15"/>
        </w:rPr>
        <w:t>2009).</w:t>
      </w:r>
    </w:p>
    <w:p>
      <w:pPr>
        <w:pStyle w:val="ListParagraph"/>
        <w:numPr>
          <w:ilvl w:val="0"/>
          <w:numId w:val="3"/>
        </w:numPr>
        <w:tabs>
          <w:tab w:pos="409" w:val="left" w:leader="none"/>
        </w:tabs>
        <w:spacing w:line="171" w:lineRule="exact" w:before="0" w:after="0"/>
        <w:ind w:left="408" w:right="0" w:hanging="299"/>
        <w:jc w:val="left"/>
        <w:rPr>
          <w:sz w:val="15"/>
        </w:rPr>
      </w:pPr>
      <w:r>
        <w:rPr>
          <w:w w:val="105"/>
          <w:sz w:val="15"/>
        </w:rPr>
        <w:t>Group / consolidated statements are used for all</w:t>
      </w:r>
      <w:r>
        <w:rPr>
          <w:spacing w:val="-9"/>
          <w:w w:val="105"/>
          <w:sz w:val="15"/>
        </w:rPr>
        <w:t> </w:t>
      </w:r>
      <w:r>
        <w:rPr>
          <w:w w:val="105"/>
          <w:sz w:val="15"/>
        </w:rPr>
        <w:t>institutions.</w:t>
      </w:r>
    </w:p>
    <w:p>
      <w:pPr>
        <w:pStyle w:val="ListParagraph"/>
        <w:numPr>
          <w:ilvl w:val="0"/>
          <w:numId w:val="3"/>
        </w:numPr>
        <w:tabs>
          <w:tab w:pos="410" w:val="left" w:leader="none"/>
        </w:tabs>
        <w:spacing w:line="240" w:lineRule="auto" w:before="6" w:after="0"/>
        <w:ind w:left="409" w:right="0" w:hanging="300"/>
        <w:jc w:val="left"/>
        <w:rPr>
          <w:sz w:val="15"/>
        </w:rPr>
      </w:pPr>
      <w:r>
        <w:rPr>
          <w:w w:val="105"/>
          <w:sz w:val="15"/>
        </w:rPr>
        <w:t>This figure includes total assets of Standard Life Bank, which was acquired in January</w:t>
      </w:r>
      <w:r>
        <w:rPr>
          <w:spacing w:val="-27"/>
          <w:w w:val="105"/>
          <w:sz w:val="15"/>
        </w:rPr>
        <w:t> </w:t>
      </w:r>
      <w:r>
        <w:rPr>
          <w:w w:val="105"/>
          <w:sz w:val="15"/>
        </w:rPr>
        <w:t>2010.</w:t>
      </w:r>
    </w:p>
    <w:p>
      <w:pPr>
        <w:pStyle w:val="ListParagraph"/>
        <w:numPr>
          <w:ilvl w:val="0"/>
          <w:numId w:val="3"/>
        </w:numPr>
        <w:tabs>
          <w:tab w:pos="410" w:val="left" w:leader="none"/>
        </w:tabs>
        <w:spacing w:line="240" w:lineRule="auto" w:before="7" w:after="0"/>
        <w:ind w:left="409" w:right="0" w:hanging="300"/>
        <w:jc w:val="left"/>
        <w:rPr>
          <w:sz w:val="15"/>
        </w:rPr>
      </w:pPr>
      <w:r>
        <w:rPr>
          <w:w w:val="105"/>
          <w:sz w:val="15"/>
        </w:rPr>
        <w:t>Originally reported figures converted at period end exchange</w:t>
      </w:r>
      <w:r>
        <w:rPr>
          <w:spacing w:val="-12"/>
          <w:w w:val="105"/>
          <w:sz w:val="15"/>
        </w:rPr>
        <w:t> </w:t>
      </w:r>
      <w:r>
        <w:rPr>
          <w:w w:val="105"/>
          <w:sz w:val="15"/>
        </w:rPr>
        <w:t>rates.</w:t>
      </w:r>
    </w:p>
    <w:p>
      <w:pPr>
        <w:pStyle w:val="ListParagraph"/>
        <w:numPr>
          <w:ilvl w:val="0"/>
          <w:numId w:val="3"/>
        </w:numPr>
        <w:tabs>
          <w:tab w:pos="448" w:val="left" w:leader="none"/>
        </w:tabs>
        <w:spacing w:line="240" w:lineRule="auto" w:before="7" w:after="0"/>
        <w:ind w:left="447" w:right="0" w:hanging="338"/>
        <w:jc w:val="left"/>
        <w:rPr>
          <w:sz w:val="15"/>
        </w:rPr>
      </w:pPr>
      <w:r>
        <w:rPr>
          <w:w w:val="105"/>
          <w:sz w:val="15"/>
        </w:rPr>
        <w:t>Does not include the parts of Bradford and Bingley transferred to Santander</w:t>
      </w:r>
      <w:r>
        <w:rPr>
          <w:spacing w:val="-23"/>
          <w:w w:val="105"/>
          <w:sz w:val="15"/>
        </w:rPr>
        <w:t> </w:t>
      </w:r>
      <w:r>
        <w:rPr>
          <w:w w:val="105"/>
          <w:sz w:val="15"/>
        </w:rPr>
        <w:t>UK.</w:t>
      </w:r>
    </w:p>
    <w:p>
      <w:pPr>
        <w:pStyle w:val="ListParagraph"/>
        <w:numPr>
          <w:ilvl w:val="0"/>
          <w:numId w:val="3"/>
        </w:numPr>
        <w:tabs>
          <w:tab w:pos="448" w:val="left" w:leader="none"/>
        </w:tabs>
        <w:spacing w:line="240" w:lineRule="auto" w:before="5" w:after="0"/>
        <w:ind w:left="447" w:right="0" w:hanging="338"/>
        <w:jc w:val="left"/>
        <w:rPr>
          <w:sz w:val="15"/>
        </w:rPr>
      </w:pPr>
      <w:r>
        <w:rPr>
          <w:w w:val="105"/>
          <w:sz w:val="15"/>
        </w:rPr>
        <w:t>Nominal GDP at market prices (£1,393bn). Source:</w:t>
      </w:r>
      <w:r>
        <w:rPr>
          <w:spacing w:val="-6"/>
          <w:w w:val="105"/>
          <w:sz w:val="15"/>
        </w:rPr>
        <w:t> </w:t>
      </w:r>
      <w:r>
        <w:rPr>
          <w:w w:val="105"/>
          <w:sz w:val="15"/>
        </w:rPr>
        <w:t>ONS.</w:t>
      </w:r>
    </w:p>
    <w:p>
      <w:pPr>
        <w:pStyle w:val="ListParagraph"/>
        <w:numPr>
          <w:ilvl w:val="0"/>
          <w:numId w:val="3"/>
        </w:numPr>
        <w:tabs>
          <w:tab w:pos="488" w:val="left" w:leader="none"/>
        </w:tabs>
        <w:spacing w:line="249" w:lineRule="auto" w:before="6" w:after="0"/>
        <w:ind w:left="110" w:right="614" w:firstLine="0"/>
        <w:jc w:val="left"/>
        <w:rPr>
          <w:sz w:val="15"/>
        </w:rPr>
      </w:pPr>
      <w:r>
        <w:rPr>
          <w:w w:val="105"/>
          <w:sz w:val="15"/>
        </w:rPr>
        <w:t>The total assets figure includes 26 banks headquartered in the UK plus 50 building societies. The 26 banks are chosen by eliminating</w:t>
      </w:r>
      <w:r>
        <w:rPr>
          <w:spacing w:val="-6"/>
          <w:w w:val="105"/>
          <w:sz w:val="15"/>
        </w:rPr>
        <w:t> </w:t>
      </w:r>
      <w:r>
        <w:rPr>
          <w:w w:val="105"/>
          <w:sz w:val="15"/>
        </w:rPr>
        <w:t>foreign</w:t>
      </w:r>
      <w:r>
        <w:rPr>
          <w:spacing w:val="-6"/>
          <w:w w:val="105"/>
          <w:sz w:val="15"/>
        </w:rPr>
        <w:t> </w:t>
      </w:r>
      <w:r>
        <w:rPr>
          <w:w w:val="105"/>
          <w:sz w:val="15"/>
        </w:rPr>
        <w:t>owned</w:t>
      </w:r>
      <w:r>
        <w:rPr>
          <w:spacing w:val="-7"/>
          <w:w w:val="105"/>
          <w:sz w:val="15"/>
        </w:rPr>
        <w:t> </w:t>
      </w:r>
      <w:r>
        <w:rPr>
          <w:w w:val="105"/>
          <w:sz w:val="15"/>
        </w:rPr>
        <w:t>banks</w:t>
      </w:r>
      <w:r>
        <w:rPr>
          <w:spacing w:val="-7"/>
          <w:w w:val="105"/>
          <w:sz w:val="15"/>
        </w:rPr>
        <w:t> </w:t>
      </w:r>
      <w:r>
        <w:rPr>
          <w:w w:val="105"/>
          <w:sz w:val="15"/>
        </w:rPr>
        <w:t>from</w:t>
      </w:r>
      <w:r>
        <w:rPr>
          <w:spacing w:val="-8"/>
          <w:w w:val="105"/>
          <w:sz w:val="15"/>
        </w:rPr>
        <w:t> </w:t>
      </w:r>
      <w:r>
        <w:rPr>
          <w:w w:val="105"/>
          <w:sz w:val="15"/>
        </w:rPr>
        <w:t>2008</w:t>
      </w:r>
      <w:r>
        <w:rPr>
          <w:spacing w:val="-6"/>
          <w:w w:val="105"/>
          <w:sz w:val="15"/>
        </w:rPr>
        <w:t> </w:t>
      </w:r>
      <w:r>
        <w:rPr>
          <w:w w:val="105"/>
          <w:sz w:val="15"/>
        </w:rPr>
        <w:t>Banker’s</w:t>
      </w:r>
      <w:r>
        <w:rPr>
          <w:spacing w:val="-6"/>
          <w:w w:val="105"/>
          <w:sz w:val="15"/>
        </w:rPr>
        <w:t> </w:t>
      </w:r>
      <w:r>
        <w:rPr>
          <w:w w:val="105"/>
          <w:sz w:val="15"/>
        </w:rPr>
        <w:t>Almanac</w:t>
      </w:r>
      <w:r>
        <w:rPr>
          <w:spacing w:val="-6"/>
          <w:w w:val="105"/>
          <w:sz w:val="15"/>
        </w:rPr>
        <w:t> </w:t>
      </w:r>
      <w:r>
        <w:rPr>
          <w:w w:val="105"/>
          <w:sz w:val="15"/>
        </w:rPr>
        <w:t>list.</w:t>
      </w:r>
      <w:r>
        <w:rPr>
          <w:spacing w:val="-6"/>
          <w:w w:val="105"/>
          <w:sz w:val="15"/>
        </w:rPr>
        <w:t> </w:t>
      </w:r>
      <w:r>
        <w:rPr>
          <w:w w:val="105"/>
          <w:sz w:val="15"/>
        </w:rPr>
        <w:t>The</w:t>
      </w:r>
      <w:r>
        <w:rPr>
          <w:spacing w:val="-7"/>
          <w:w w:val="105"/>
          <w:sz w:val="15"/>
        </w:rPr>
        <w:t> </w:t>
      </w:r>
      <w:r>
        <w:rPr>
          <w:w w:val="105"/>
          <w:sz w:val="15"/>
        </w:rPr>
        <w:t>total</w:t>
      </w:r>
      <w:r>
        <w:rPr>
          <w:spacing w:val="-6"/>
          <w:w w:val="105"/>
          <w:sz w:val="15"/>
        </w:rPr>
        <w:t> </w:t>
      </w:r>
      <w:r>
        <w:rPr>
          <w:w w:val="105"/>
          <w:sz w:val="15"/>
        </w:rPr>
        <w:t>asset</w:t>
      </w:r>
      <w:r>
        <w:rPr>
          <w:spacing w:val="-6"/>
          <w:w w:val="105"/>
          <w:sz w:val="15"/>
        </w:rPr>
        <w:t> </w:t>
      </w:r>
      <w:r>
        <w:rPr>
          <w:w w:val="105"/>
          <w:sz w:val="15"/>
        </w:rPr>
        <w:t>number</w:t>
      </w:r>
      <w:r>
        <w:rPr>
          <w:spacing w:val="-8"/>
          <w:w w:val="105"/>
          <w:sz w:val="15"/>
        </w:rPr>
        <w:t> </w:t>
      </w:r>
      <w:r>
        <w:rPr>
          <w:w w:val="105"/>
          <w:sz w:val="15"/>
        </w:rPr>
        <w:t>is</w:t>
      </w:r>
      <w:r>
        <w:rPr>
          <w:spacing w:val="-8"/>
          <w:w w:val="105"/>
          <w:sz w:val="15"/>
        </w:rPr>
        <w:t> </w:t>
      </w:r>
      <w:r>
        <w:rPr>
          <w:w w:val="105"/>
          <w:sz w:val="15"/>
        </w:rPr>
        <w:t>£6,520bn.</w:t>
      </w:r>
      <w:r>
        <w:rPr>
          <w:spacing w:val="-7"/>
          <w:w w:val="105"/>
          <w:sz w:val="15"/>
        </w:rPr>
        <w:t> </w:t>
      </w:r>
      <w:r>
        <w:rPr>
          <w:w w:val="105"/>
          <w:sz w:val="15"/>
        </w:rPr>
        <w:t>Assets</w:t>
      </w:r>
      <w:r>
        <w:rPr>
          <w:spacing w:val="-7"/>
          <w:w w:val="105"/>
          <w:sz w:val="15"/>
        </w:rPr>
        <w:t> </w:t>
      </w:r>
      <w:r>
        <w:rPr>
          <w:w w:val="105"/>
          <w:sz w:val="15"/>
        </w:rPr>
        <w:t>of</w:t>
      </w:r>
      <w:r>
        <w:rPr>
          <w:spacing w:val="-7"/>
          <w:w w:val="105"/>
          <w:sz w:val="15"/>
        </w:rPr>
        <w:t> </w:t>
      </w:r>
      <w:r>
        <w:rPr>
          <w:w w:val="105"/>
          <w:sz w:val="15"/>
        </w:rPr>
        <w:t>all</w:t>
      </w:r>
      <w:r>
        <w:rPr>
          <w:spacing w:val="-5"/>
          <w:w w:val="105"/>
          <w:sz w:val="15"/>
        </w:rPr>
        <w:t> </w:t>
      </w:r>
      <w:r>
        <w:rPr>
          <w:w w:val="105"/>
          <w:sz w:val="15"/>
        </w:rPr>
        <w:t>foreign</w:t>
      </w:r>
      <w:r>
        <w:rPr>
          <w:spacing w:val="-7"/>
          <w:w w:val="105"/>
          <w:sz w:val="15"/>
        </w:rPr>
        <w:t> </w:t>
      </w:r>
      <w:r>
        <w:rPr>
          <w:w w:val="105"/>
          <w:sz w:val="15"/>
        </w:rPr>
        <w:t>owned subsidiaries’</w:t>
      </w:r>
      <w:r>
        <w:rPr>
          <w:spacing w:val="-7"/>
          <w:w w:val="105"/>
          <w:sz w:val="15"/>
        </w:rPr>
        <w:t> </w:t>
      </w:r>
      <w:r>
        <w:rPr>
          <w:w w:val="105"/>
          <w:sz w:val="15"/>
        </w:rPr>
        <w:t>assets</w:t>
      </w:r>
      <w:r>
        <w:rPr>
          <w:spacing w:val="-6"/>
          <w:w w:val="105"/>
          <w:sz w:val="15"/>
        </w:rPr>
        <w:t> </w:t>
      </w:r>
      <w:r>
        <w:rPr>
          <w:w w:val="105"/>
          <w:sz w:val="15"/>
        </w:rPr>
        <w:t>are</w:t>
      </w:r>
      <w:r>
        <w:rPr>
          <w:spacing w:val="-4"/>
          <w:w w:val="105"/>
          <w:sz w:val="15"/>
        </w:rPr>
        <w:t> </w:t>
      </w:r>
      <w:r>
        <w:rPr>
          <w:w w:val="105"/>
          <w:sz w:val="15"/>
        </w:rPr>
        <w:t>not</w:t>
      </w:r>
      <w:r>
        <w:rPr>
          <w:spacing w:val="-7"/>
          <w:w w:val="105"/>
          <w:sz w:val="15"/>
        </w:rPr>
        <w:t> </w:t>
      </w:r>
      <w:r>
        <w:rPr>
          <w:w w:val="105"/>
          <w:sz w:val="15"/>
        </w:rPr>
        <w:t>included</w:t>
      </w:r>
      <w:r>
        <w:rPr>
          <w:spacing w:val="-6"/>
          <w:w w:val="105"/>
          <w:sz w:val="15"/>
        </w:rPr>
        <w:t> </w:t>
      </w:r>
      <w:r>
        <w:rPr>
          <w:w w:val="105"/>
          <w:sz w:val="15"/>
        </w:rPr>
        <w:t>in</w:t>
      </w:r>
      <w:r>
        <w:rPr>
          <w:spacing w:val="-5"/>
          <w:w w:val="105"/>
          <w:sz w:val="15"/>
        </w:rPr>
        <w:t> </w:t>
      </w:r>
      <w:r>
        <w:rPr>
          <w:w w:val="105"/>
          <w:sz w:val="15"/>
        </w:rPr>
        <w:t>the</w:t>
      </w:r>
      <w:r>
        <w:rPr>
          <w:spacing w:val="-6"/>
          <w:w w:val="105"/>
          <w:sz w:val="15"/>
        </w:rPr>
        <w:t> </w:t>
      </w:r>
      <w:r>
        <w:rPr>
          <w:w w:val="105"/>
          <w:sz w:val="15"/>
        </w:rPr>
        <w:t>total</w:t>
      </w:r>
      <w:r>
        <w:rPr>
          <w:spacing w:val="-7"/>
          <w:w w:val="105"/>
          <w:sz w:val="15"/>
        </w:rPr>
        <w:t> </w:t>
      </w:r>
      <w:r>
        <w:rPr>
          <w:w w:val="105"/>
          <w:sz w:val="15"/>
        </w:rPr>
        <w:t>asset</w:t>
      </w:r>
      <w:r>
        <w:rPr>
          <w:spacing w:val="-5"/>
          <w:w w:val="105"/>
          <w:sz w:val="15"/>
        </w:rPr>
        <w:t> </w:t>
      </w:r>
      <w:r>
        <w:rPr>
          <w:w w:val="105"/>
          <w:sz w:val="15"/>
        </w:rPr>
        <w:t>figure,</w:t>
      </w:r>
      <w:r>
        <w:rPr>
          <w:spacing w:val="-6"/>
          <w:w w:val="105"/>
          <w:sz w:val="15"/>
        </w:rPr>
        <w:t> </w:t>
      </w:r>
      <w:r>
        <w:rPr>
          <w:w w:val="105"/>
          <w:sz w:val="15"/>
        </w:rPr>
        <w:t>and</w:t>
      </w:r>
      <w:r>
        <w:rPr>
          <w:spacing w:val="-7"/>
          <w:w w:val="105"/>
          <w:sz w:val="15"/>
        </w:rPr>
        <w:t> </w:t>
      </w:r>
      <w:r>
        <w:rPr>
          <w:w w:val="105"/>
          <w:sz w:val="15"/>
        </w:rPr>
        <w:t>hence</w:t>
      </w:r>
      <w:r>
        <w:rPr>
          <w:spacing w:val="-6"/>
          <w:w w:val="105"/>
          <w:sz w:val="15"/>
        </w:rPr>
        <w:t> </w:t>
      </w:r>
      <w:r>
        <w:rPr>
          <w:w w:val="105"/>
          <w:sz w:val="15"/>
        </w:rPr>
        <w:t>the</w:t>
      </w:r>
      <w:r>
        <w:rPr>
          <w:spacing w:val="-5"/>
          <w:w w:val="105"/>
          <w:sz w:val="15"/>
        </w:rPr>
        <w:t> </w:t>
      </w:r>
      <w:r>
        <w:rPr>
          <w:w w:val="105"/>
          <w:sz w:val="15"/>
        </w:rPr>
        <w:t>total</w:t>
      </w:r>
      <w:r>
        <w:rPr>
          <w:spacing w:val="-6"/>
          <w:w w:val="105"/>
          <w:sz w:val="15"/>
        </w:rPr>
        <w:t> </w:t>
      </w:r>
      <w:r>
        <w:rPr>
          <w:w w:val="105"/>
          <w:sz w:val="15"/>
        </w:rPr>
        <w:t>size</w:t>
      </w:r>
      <w:r>
        <w:rPr>
          <w:spacing w:val="-7"/>
          <w:w w:val="105"/>
          <w:sz w:val="15"/>
        </w:rPr>
        <w:t> </w:t>
      </w:r>
      <w:r>
        <w:rPr>
          <w:w w:val="105"/>
          <w:sz w:val="15"/>
        </w:rPr>
        <w:t>of</w:t>
      </w:r>
      <w:r>
        <w:rPr>
          <w:spacing w:val="-7"/>
          <w:w w:val="105"/>
          <w:sz w:val="15"/>
        </w:rPr>
        <w:t> </w:t>
      </w:r>
      <w:r>
        <w:rPr>
          <w:w w:val="105"/>
          <w:sz w:val="15"/>
        </w:rPr>
        <w:t>the</w:t>
      </w:r>
      <w:r>
        <w:rPr>
          <w:spacing w:val="-5"/>
          <w:w w:val="105"/>
          <w:sz w:val="15"/>
        </w:rPr>
        <w:t> </w:t>
      </w:r>
      <w:r>
        <w:rPr>
          <w:w w:val="105"/>
          <w:sz w:val="15"/>
        </w:rPr>
        <w:t>banking</w:t>
      </w:r>
      <w:r>
        <w:rPr>
          <w:spacing w:val="-5"/>
          <w:w w:val="105"/>
          <w:sz w:val="15"/>
        </w:rPr>
        <w:t> </w:t>
      </w:r>
      <w:r>
        <w:rPr>
          <w:w w:val="105"/>
          <w:sz w:val="15"/>
        </w:rPr>
        <w:t>system</w:t>
      </w:r>
      <w:r>
        <w:rPr>
          <w:spacing w:val="-9"/>
          <w:w w:val="105"/>
          <w:sz w:val="15"/>
        </w:rPr>
        <w:t> </w:t>
      </w:r>
      <w:r>
        <w:rPr>
          <w:w w:val="105"/>
          <w:sz w:val="15"/>
        </w:rPr>
        <w:t>here</w:t>
      </w:r>
      <w:r>
        <w:rPr>
          <w:spacing w:val="-4"/>
          <w:w w:val="105"/>
          <w:sz w:val="15"/>
        </w:rPr>
        <w:t> </w:t>
      </w:r>
      <w:r>
        <w:rPr>
          <w:w w:val="105"/>
          <w:sz w:val="15"/>
        </w:rPr>
        <w:t>is</w:t>
      </w:r>
      <w:r>
        <w:rPr>
          <w:spacing w:val="-7"/>
          <w:w w:val="105"/>
          <w:sz w:val="15"/>
        </w:rPr>
        <w:t> </w:t>
      </w:r>
      <w:r>
        <w:rPr>
          <w:w w:val="105"/>
          <w:sz w:val="15"/>
        </w:rPr>
        <w:t>slightly</w:t>
      </w:r>
      <w:r>
        <w:rPr>
          <w:spacing w:val="-5"/>
          <w:w w:val="105"/>
          <w:sz w:val="15"/>
        </w:rPr>
        <w:t> </w:t>
      </w:r>
      <w:r>
        <w:rPr>
          <w:w w:val="105"/>
          <w:sz w:val="15"/>
        </w:rPr>
        <w:t>different</w:t>
      </w:r>
      <w:r>
        <w:rPr>
          <w:spacing w:val="-5"/>
          <w:w w:val="105"/>
          <w:sz w:val="15"/>
        </w:rPr>
        <w:t> </w:t>
      </w:r>
      <w:r>
        <w:rPr>
          <w:w w:val="105"/>
          <w:sz w:val="15"/>
        </w:rPr>
        <w:t>to the</w:t>
      </w:r>
      <w:r>
        <w:rPr>
          <w:spacing w:val="-4"/>
          <w:w w:val="105"/>
          <w:sz w:val="15"/>
        </w:rPr>
        <w:t> </w:t>
      </w:r>
      <w:r>
        <w:rPr>
          <w:w w:val="105"/>
          <w:sz w:val="15"/>
        </w:rPr>
        <w:t>size</w:t>
      </w:r>
      <w:r>
        <w:rPr>
          <w:spacing w:val="-1"/>
          <w:w w:val="105"/>
          <w:sz w:val="15"/>
        </w:rPr>
        <w:t> </w:t>
      </w:r>
      <w:r>
        <w:rPr>
          <w:w w:val="105"/>
          <w:sz w:val="15"/>
        </w:rPr>
        <w:t>of</w:t>
      </w:r>
      <w:r>
        <w:rPr>
          <w:spacing w:val="-4"/>
          <w:w w:val="105"/>
          <w:sz w:val="15"/>
        </w:rPr>
        <w:t> </w:t>
      </w:r>
      <w:r>
        <w:rPr>
          <w:w w:val="105"/>
          <w:sz w:val="15"/>
        </w:rPr>
        <w:t>the</w:t>
      </w:r>
      <w:r>
        <w:rPr>
          <w:spacing w:val="-3"/>
          <w:w w:val="105"/>
          <w:sz w:val="15"/>
        </w:rPr>
        <w:t> </w:t>
      </w:r>
      <w:r>
        <w:rPr>
          <w:w w:val="105"/>
          <w:sz w:val="15"/>
        </w:rPr>
        <w:t>banking</w:t>
      </w:r>
      <w:r>
        <w:rPr>
          <w:spacing w:val="-1"/>
          <w:w w:val="105"/>
          <w:sz w:val="15"/>
        </w:rPr>
        <w:t> </w:t>
      </w:r>
      <w:r>
        <w:rPr>
          <w:w w:val="105"/>
          <w:sz w:val="15"/>
        </w:rPr>
        <w:t>system</w:t>
      </w:r>
      <w:r>
        <w:rPr>
          <w:spacing w:val="-4"/>
          <w:w w:val="105"/>
          <w:sz w:val="15"/>
        </w:rPr>
        <w:t> </w:t>
      </w:r>
      <w:r>
        <w:rPr>
          <w:w w:val="105"/>
          <w:sz w:val="15"/>
        </w:rPr>
        <w:t>referred</w:t>
      </w:r>
      <w:r>
        <w:rPr>
          <w:spacing w:val="-2"/>
          <w:w w:val="105"/>
          <w:sz w:val="15"/>
        </w:rPr>
        <w:t> </w:t>
      </w:r>
      <w:r>
        <w:rPr>
          <w:w w:val="105"/>
          <w:sz w:val="15"/>
        </w:rPr>
        <w:t>to</w:t>
      </w:r>
      <w:r>
        <w:rPr>
          <w:spacing w:val="-2"/>
          <w:w w:val="105"/>
          <w:sz w:val="15"/>
        </w:rPr>
        <w:t> </w:t>
      </w:r>
      <w:r>
        <w:rPr>
          <w:w w:val="105"/>
          <w:sz w:val="15"/>
        </w:rPr>
        <w:t>in</w:t>
      </w:r>
      <w:r>
        <w:rPr>
          <w:spacing w:val="-1"/>
          <w:w w:val="105"/>
          <w:sz w:val="15"/>
        </w:rPr>
        <w:t> </w:t>
      </w:r>
      <w:r>
        <w:rPr>
          <w:w w:val="105"/>
          <w:sz w:val="15"/>
        </w:rPr>
        <w:t>the</w:t>
      </w:r>
      <w:r>
        <w:rPr>
          <w:spacing w:val="-1"/>
          <w:w w:val="105"/>
          <w:sz w:val="15"/>
        </w:rPr>
        <w:t> </w:t>
      </w:r>
      <w:r>
        <w:rPr>
          <w:w w:val="105"/>
          <w:sz w:val="15"/>
        </w:rPr>
        <w:t>first</w:t>
      </w:r>
      <w:r>
        <w:rPr>
          <w:spacing w:val="-2"/>
          <w:w w:val="105"/>
          <w:sz w:val="15"/>
        </w:rPr>
        <w:t> </w:t>
      </w:r>
      <w:r>
        <w:rPr>
          <w:w w:val="105"/>
          <w:sz w:val="15"/>
        </w:rPr>
        <w:t>paragraph</w:t>
      </w:r>
      <w:r>
        <w:rPr>
          <w:spacing w:val="-1"/>
          <w:w w:val="105"/>
          <w:sz w:val="15"/>
        </w:rPr>
        <w:t> </w:t>
      </w:r>
      <w:r>
        <w:rPr>
          <w:w w:val="105"/>
          <w:sz w:val="15"/>
        </w:rPr>
        <w:t>of</w:t>
      </w:r>
      <w:r>
        <w:rPr>
          <w:spacing w:val="-2"/>
          <w:w w:val="105"/>
          <w:sz w:val="15"/>
        </w:rPr>
        <w:t> </w:t>
      </w:r>
      <w:r>
        <w:rPr>
          <w:w w:val="105"/>
          <w:sz w:val="15"/>
        </w:rPr>
        <w:t>“The</w:t>
      </w:r>
      <w:r>
        <w:rPr>
          <w:spacing w:val="-1"/>
          <w:w w:val="105"/>
          <w:sz w:val="15"/>
        </w:rPr>
        <w:t> </w:t>
      </w:r>
      <w:r>
        <w:rPr>
          <w:w w:val="105"/>
          <w:sz w:val="15"/>
        </w:rPr>
        <w:t>practice</w:t>
      </w:r>
      <w:r>
        <w:rPr>
          <w:spacing w:val="-3"/>
          <w:w w:val="105"/>
          <w:sz w:val="15"/>
        </w:rPr>
        <w:t> </w:t>
      </w:r>
      <w:r>
        <w:rPr>
          <w:w w:val="105"/>
          <w:sz w:val="15"/>
        </w:rPr>
        <w:t>of</w:t>
      </w:r>
      <w:r>
        <w:rPr>
          <w:spacing w:val="-3"/>
          <w:w w:val="105"/>
          <w:sz w:val="15"/>
        </w:rPr>
        <w:t> </w:t>
      </w:r>
      <w:r>
        <w:rPr>
          <w:w w:val="105"/>
          <w:sz w:val="15"/>
        </w:rPr>
        <w:t>banking”</w:t>
      </w:r>
      <w:r>
        <w:rPr>
          <w:spacing w:val="-3"/>
          <w:w w:val="105"/>
          <w:sz w:val="15"/>
        </w:rPr>
        <w:t> </w:t>
      </w:r>
      <w:r>
        <w:rPr>
          <w:w w:val="105"/>
          <w:sz w:val="15"/>
        </w:rPr>
        <w:t>section.</w:t>
      </w:r>
    </w:p>
    <w:p>
      <w:pPr>
        <w:spacing w:after="0" w:line="249" w:lineRule="auto"/>
        <w:jc w:val="left"/>
        <w:rPr>
          <w:sz w:val="15"/>
        </w:rPr>
        <w:sectPr>
          <w:pgSz w:w="11900" w:h="16840"/>
          <w:pgMar w:header="1447" w:footer="0" w:top="1660" w:bottom="280" w:left="1640" w:right="1220"/>
        </w:sectPr>
      </w:pPr>
    </w:p>
    <w:p>
      <w:pPr>
        <w:pStyle w:val="BodyText"/>
        <w:spacing w:before="3"/>
        <w:rPr>
          <w:sz w:val="28"/>
        </w:rPr>
      </w:pPr>
    </w:p>
    <w:p>
      <w:pPr>
        <w:pStyle w:val="Heading1"/>
        <w:spacing w:before="131"/>
        <w:ind w:left="110" w:firstLine="0"/>
      </w:pPr>
      <w:r>
        <w:rPr/>
        <w:t>Table 2: Top 10 US-headquartered commercial banks, 1960 and 2010</w:t>
      </w:r>
      <w:r>
        <w:rPr>
          <w:vertAlign w:val="superscript"/>
        </w:rPr>
        <w:t>(a)</w:t>
      </w:r>
    </w:p>
    <w:p>
      <w:pPr>
        <w:pStyle w:val="BodyText"/>
        <w:spacing w:before="10"/>
        <w:rPr>
          <w:b/>
          <w:sz w:val="16"/>
        </w:rPr>
      </w:pPr>
    </w:p>
    <w:p>
      <w:pPr>
        <w:spacing w:before="74"/>
        <w:ind w:left="174" w:right="0" w:firstLine="0"/>
        <w:jc w:val="left"/>
        <w:rPr>
          <w:rFonts w:ascii="Calibri"/>
          <w:b/>
          <w:sz w:val="16"/>
        </w:rPr>
      </w:pPr>
      <w:r>
        <w:rPr>
          <w:rFonts w:ascii="Calibri"/>
          <w:b/>
          <w:spacing w:val="-8"/>
          <w:w w:val="105"/>
          <w:sz w:val="16"/>
        </w:rPr>
        <w:t>1960</w:t>
      </w:r>
    </w:p>
    <w:tbl>
      <w:tblPr>
        <w:tblW w:w="0" w:type="auto"/>
        <w:jc w:val="left"/>
        <w:tblInd w:w="155"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CellMar>
          <w:top w:w="0" w:type="dxa"/>
          <w:left w:w="0" w:type="dxa"/>
          <w:bottom w:w="0" w:type="dxa"/>
          <w:right w:w="0" w:type="dxa"/>
        </w:tblCellMar>
        <w:tblLook w:val="01E0"/>
      </w:tblPr>
      <w:tblGrid>
        <w:gridCol w:w="3335"/>
        <w:gridCol w:w="1684"/>
        <w:gridCol w:w="1684"/>
        <w:gridCol w:w="1684"/>
      </w:tblGrid>
      <w:tr>
        <w:trPr>
          <w:trHeight w:val="616" w:hRule="atLeast"/>
        </w:trPr>
        <w:tc>
          <w:tcPr>
            <w:tcW w:w="3335" w:type="dxa"/>
            <w:tcBorders>
              <w:top w:val="nil"/>
              <w:left w:val="nil"/>
              <w:bottom w:val="nil"/>
            </w:tcBorders>
            <w:shd w:val="clear" w:color="auto" w:fill="000000"/>
          </w:tcPr>
          <w:p>
            <w:pPr>
              <w:pStyle w:val="TableParagraph"/>
              <w:spacing w:before="7"/>
              <w:ind w:left="0"/>
              <w:jc w:val="left"/>
              <w:rPr>
                <w:rFonts w:ascii="Calibri"/>
                <w:b/>
                <w:sz w:val="18"/>
              </w:rPr>
            </w:pPr>
          </w:p>
          <w:p>
            <w:pPr>
              <w:pStyle w:val="TableParagraph"/>
              <w:spacing w:before="0"/>
              <w:ind w:left="1342" w:right="1325"/>
              <w:rPr>
                <w:rFonts w:ascii="Calibri"/>
                <w:sz w:val="14"/>
              </w:rPr>
            </w:pPr>
            <w:r>
              <w:rPr>
                <w:rFonts w:ascii="Calibri"/>
                <w:color w:val="FFFFFF"/>
                <w:w w:val="105"/>
                <w:sz w:val="14"/>
              </w:rPr>
              <w:t>Institution</w:t>
            </w:r>
          </w:p>
        </w:tc>
        <w:tc>
          <w:tcPr>
            <w:tcW w:w="1684" w:type="dxa"/>
            <w:tcBorders>
              <w:top w:val="nil"/>
              <w:bottom w:val="nil"/>
            </w:tcBorders>
            <w:shd w:val="clear" w:color="auto" w:fill="000000"/>
          </w:tcPr>
          <w:p>
            <w:pPr>
              <w:pStyle w:val="TableParagraph"/>
              <w:spacing w:before="7"/>
              <w:ind w:left="0"/>
              <w:jc w:val="left"/>
              <w:rPr>
                <w:rFonts w:ascii="Calibri"/>
                <w:b/>
                <w:sz w:val="18"/>
              </w:rPr>
            </w:pPr>
          </w:p>
          <w:p>
            <w:pPr>
              <w:pStyle w:val="TableParagraph"/>
              <w:spacing w:before="0"/>
              <w:ind w:right="41"/>
              <w:rPr>
                <w:rFonts w:ascii="Calibri"/>
                <w:sz w:val="14"/>
              </w:rPr>
            </w:pPr>
            <w:r>
              <w:rPr>
                <w:rFonts w:ascii="Calibri"/>
                <w:color w:val="FFFFFF"/>
                <w:w w:val="105"/>
                <w:sz w:val="14"/>
              </w:rPr>
              <w:t>Total assets (USD billions)</w:t>
            </w:r>
          </w:p>
        </w:tc>
        <w:tc>
          <w:tcPr>
            <w:tcW w:w="1684" w:type="dxa"/>
            <w:tcBorders>
              <w:top w:val="nil"/>
              <w:bottom w:val="nil"/>
            </w:tcBorders>
            <w:shd w:val="clear" w:color="auto" w:fill="000000"/>
          </w:tcPr>
          <w:p>
            <w:pPr>
              <w:pStyle w:val="TableParagraph"/>
              <w:spacing w:before="3"/>
              <w:ind w:left="0"/>
              <w:jc w:val="left"/>
              <w:rPr>
                <w:rFonts w:ascii="Calibri"/>
                <w:b/>
                <w:sz w:val="11"/>
              </w:rPr>
            </w:pPr>
          </w:p>
          <w:p>
            <w:pPr>
              <w:pStyle w:val="TableParagraph"/>
              <w:spacing w:line="266" w:lineRule="auto" w:before="0"/>
              <w:ind w:left="420" w:hanging="359"/>
              <w:jc w:val="left"/>
              <w:rPr>
                <w:rFonts w:ascii="Calibri"/>
                <w:sz w:val="14"/>
              </w:rPr>
            </w:pPr>
            <w:r>
              <w:rPr>
                <w:rFonts w:ascii="Calibri"/>
                <w:color w:val="FFFFFF"/>
                <w:w w:val="105"/>
                <w:sz w:val="14"/>
              </w:rPr>
              <w:t>Assets as a percentage of GDP (percent)</w:t>
            </w:r>
          </w:p>
        </w:tc>
        <w:tc>
          <w:tcPr>
            <w:tcW w:w="1684" w:type="dxa"/>
            <w:tcBorders>
              <w:top w:val="nil"/>
              <w:bottom w:val="nil"/>
              <w:right w:val="nil"/>
            </w:tcBorders>
            <w:shd w:val="clear" w:color="auto" w:fill="000000"/>
          </w:tcPr>
          <w:p>
            <w:pPr>
              <w:pStyle w:val="TableParagraph"/>
              <w:spacing w:line="268" w:lineRule="auto" w:before="25"/>
              <w:ind w:left="62" w:right="61"/>
              <w:rPr>
                <w:rFonts w:ascii="Calibri"/>
                <w:sz w:val="14"/>
              </w:rPr>
            </w:pPr>
            <w:r>
              <w:rPr>
                <w:rFonts w:ascii="Calibri"/>
                <w:color w:val="FFFFFF"/>
                <w:w w:val="105"/>
                <w:sz w:val="14"/>
              </w:rPr>
              <w:t>Assets </w:t>
            </w:r>
            <w:r>
              <w:rPr>
                <w:rFonts w:ascii="Calibri"/>
                <w:color w:val="FFFFFF"/>
                <w:spacing w:val="4"/>
                <w:w w:val="105"/>
                <w:sz w:val="14"/>
              </w:rPr>
              <w:t>as </w:t>
            </w:r>
            <w:r>
              <w:rPr>
                <w:rFonts w:ascii="Calibri"/>
                <w:color w:val="FFFFFF"/>
                <w:w w:val="105"/>
                <w:sz w:val="14"/>
              </w:rPr>
              <w:t>a percentage of total </w:t>
            </w:r>
            <w:r>
              <w:rPr>
                <w:rFonts w:ascii="Calibri"/>
                <w:color w:val="FFFFFF"/>
                <w:spacing w:val="3"/>
                <w:w w:val="105"/>
                <w:sz w:val="14"/>
              </w:rPr>
              <w:t>banking</w:t>
            </w:r>
            <w:r>
              <w:rPr>
                <w:rFonts w:ascii="Calibri"/>
                <w:color w:val="FFFFFF"/>
                <w:spacing w:val="-24"/>
                <w:w w:val="105"/>
                <w:sz w:val="14"/>
              </w:rPr>
              <w:t> </w:t>
            </w:r>
            <w:r>
              <w:rPr>
                <w:rFonts w:ascii="Calibri"/>
                <w:color w:val="FFFFFF"/>
                <w:w w:val="105"/>
                <w:sz w:val="14"/>
              </w:rPr>
              <w:t>sector</w:t>
            </w:r>
          </w:p>
          <w:p>
            <w:pPr>
              <w:pStyle w:val="TableParagraph"/>
              <w:spacing w:line="158" w:lineRule="exact" w:before="31"/>
              <w:ind w:left="60" w:right="61"/>
              <w:rPr>
                <w:rFonts w:ascii="Calibri"/>
                <w:sz w:val="14"/>
              </w:rPr>
            </w:pPr>
            <w:r>
              <w:rPr>
                <w:rFonts w:ascii="Calibri"/>
                <w:color w:val="FFFFFF"/>
                <w:spacing w:val="3"/>
                <w:sz w:val="14"/>
              </w:rPr>
              <w:t>assets</w:t>
            </w:r>
            <w:r>
              <w:rPr>
                <w:rFonts w:ascii="Calibri"/>
                <w:color w:val="FFFFFF"/>
                <w:spacing w:val="3"/>
                <w:sz w:val="14"/>
                <w:vertAlign w:val="superscript"/>
              </w:rPr>
              <w:t>(b)(c)</w:t>
            </w:r>
            <w:r>
              <w:rPr>
                <w:rFonts w:ascii="Calibri"/>
                <w:color w:val="FFFFFF"/>
                <w:spacing w:val="29"/>
                <w:sz w:val="14"/>
                <w:vertAlign w:val="baseline"/>
              </w:rPr>
              <w:t> </w:t>
            </w:r>
            <w:r>
              <w:rPr>
                <w:rFonts w:ascii="Calibri"/>
                <w:color w:val="FFFFFF"/>
                <w:sz w:val="14"/>
                <w:vertAlign w:val="baseline"/>
              </w:rPr>
              <w:t>(percent)</w:t>
            </w:r>
          </w:p>
        </w:tc>
      </w:tr>
      <w:tr>
        <w:trPr>
          <w:trHeight w:val="228" w:hRule="atLeast"/>
        </w:trPr>
        <w:tc>
          <w:tcPr>
            <w:tcW w:w="3335" w:type="dxa"/>
            <w:tcBorders>
              <w:top w:val="nil"/>
              <w:left w:val="single" w:sz="6" w:space="0" w:color="000000"/>
              <w:bottom w:val="nil"/>
              <w:right w:val="single" w:sz="6" w:space="0" w:color="000000"/>
            </w:tcBorders>
          </w:tcPr>
          <w:p>
            <w:pPr>
              <w:pStyle w:val="TableParagraph"/>
              <w:spacing w:before="18"/>
              <w:ind w:left="26"/>
              <w:jc w:val="left"/>
              <w:rPr>
                <w:sz w:val="14"/>
              </w:rPr>
            </w:pPr>
            <w:r>
              <w:rPr>
                <w:w w:val="105"/>
                <w:sz w:val="14"/>
              </w:rPr>
              <w:t>Bank of America</w:t>
            </w:r>
          </w:p>
        </w:tc>
        <w:tc>
          <w:tcPr>
            <w:tcW w:w="1684" w:type="dxa"/>
            <w:tcBorders>
              <w:top w:val="nil"/>
              <w:left w:val="single" w:sz="6" w:space="0" w:color="000000"/>
              <w:bottom w:val="nil"/>
              <w:right w:val="single" w:sz="6" w:space="0" w:color="000000"/>
            </w:tcBorders>
          </w:tcPr>
          <w:p>
            <w:pPr>
              <w:pStyle w:val="TableParagraph"/>
              <w:spacing w:line="193" w:lineRule="exact" w:before="15"/>
              <w:ind w:right="33"/>
              <w:rPr>
                <w:rFonts w:ascii="Calibri"/>
                <w:sz w:val="16"/>
              </w:rPr>
            </w:pPr>
            <w:r>
              <w:rPr>
                <w:rFonts w:ascii="Calibri"/>
                <w:w w:val="105"/>
                <w:sz w:val="16"/>
              </w:rPr>
              <w:t>11.2</w:t>
            </w:r>
          </w:p>
        </w:tc>
        <w:tc>
          <w:tcPr>
            <w:tcW w:w="1684" w:type="dxa"/>
            <w:tcBorders>
              <w:top w:val="nil"/>
              <w:left w:val="single" w:sz="6" w:space="0" w:color="000000"/>
              <w:bottom w:val="nil"/>
              <w:right w:val="single" w:sz="6" w:space="0" w:color="000000"/>
            </w:tcBorders>
          </w:tcPr>
          <w:p>
            <w:pPr>
              <w:pStyle w:val="TableParagraph"/>
              <w:spacing w:line="193" w:lineRule="exact" w:before="15"/>
              <w:ind w:right="20"/>
              <w:rPr>
                <w:rFonts w:ascii="Calibri"/>
                <w:sz w:val="16"/>
              </w:rPr>
            </w:pPr>
            <w:r>
              <w:rPr>
                <w:rFonts w:ascii="Calibri"/>
                <w:w w:val="105"/>
                <w:sz w:val="16"/>
              </w:rPr>
              <w:t>2.1</w:t>
            </w:r>
          </w:p>
        </w:tc>
        <w:tc>
          <w:tcPr>
            <w:tcW w:w="1684" w:type="dxa"/>
            <w:tcBorders>
              <w:top w:val="nil"/>
              <w:left w:val="single" w:sz="6" w:space="0" w:color="000000"/>
              <w:bottom w:val="nil"/>
              <w:right w:val="single" w:sz="6" w:space="0" w:color="000000"/>
            </w:tcBorders>
          </w:tcPr>
          <w:p>
            <w:pPr>
              <w:pStyle w:val="TableParagraph"/>
              <w:spacing w:line="193" w:lineRule="exact" w:before="15"/>
              <w:ind w:right="18"/>
              <w:rPr>
                <w:rFonts w:ascii="Calibri"/>
                <w:sz w:val="16"/>
              </w:rPr>
            </w:pPr>
            <w:r>
              <w:rPr>
                <w:rFonts w:ascii="Calibri"/>
                <w:w w:val="105"/>
                <w:sz w:val="16"/>
              </w:rPr>
              <w:t>4.4</w:t>
            </w:r>
          </w:p>
        </w:tc>
      </w:tr>
      <w:tr>
        <w:trPr>
          <w:trHeight w:val="224" w:hRule="atLeast"/>
        </w:trPr>
        <w:tc>
          <w:tcPr>
            <w:tcW w:w="3335" w:type="dxa"/>
            <w:tcBorders>
              <w:top w:val="nil"/>
              <w:left w:val="single" w:sz="6" w:space="0" w:color="000000"/>
              <w:bottom w:val="nil"/>
              <w:right w:val="single" w:sz="6" w:space="0" w:color="000000"/>
            </w:tcBorders>
          </w:tcPr>
          <w:p>
            <w:pPr>
              <w:pStyle w:val="TableParagraph"/>
              <w:spacing w:before="14"/>
              <w:ind w:left="26"/>
              <w:jc w:val="left"/>
              <w:rPr>
                <w:sz w:val="14"/>
              </w:rPr>
            </w:pPr>
            <w:r>
              <w:rPr>
                <w:w w:val="105"/>
                <w:sz w:val="14"/>
              </w:rPr>
              <w:t>Chase Manhattan Bank</w:t>
            </w:r>
          </w:p>
        </w:tc>
        <w:tc>
          <w:tcPr>
            <w:tcW w:w="1684" w:type="dxa"/>
            <w:tcBorders>
              <w:top w:val="nil"/>
              <w:left w:val="single" w:sz="6" w:space="0" w:color="000000"/>
              <w:bottom w:val="nil"/>
              <w:right w:val="single" w:sz="6" w:space="0" w:color="000000"/>
            </w:tcBorders>
          </w:tcPr>
          <w:p>
            <w:pPr>
              <w:pStyle w:val="TableParagraph"/>
              <w:spacing w:line="193" w:lineRule="exact" w:before="11"/>
              <w:ind w:right="21"/>
              <w:rPr>
                <w:rFonts w:ascii="Calibri"/>
                <w:sz w:val="16"/>
              </w:rPr>
            </w:pPr>
            <w:r>
              <w:rPr>
                <w:rFonts w:ascii="Calibri"/>
                <w:w w:val="105"/>
                <w:sz w:val="16"/>
              </w:rPr>
              <w:t>8.4</w:t>
            </w:r>
          </w:p>
        </w:tc>
        <w:tc>
          <w:tcPr>
            <w:tcW w:w="1684" w:type="dxa"/>
            <w:tcBorders>
              <w:top w:val="nil"/>
              <w:left w:val="single" w:sz="6" w:space="0" w:color="000000"/>
              <w:bottom w:val="nil"/>
              <w:right w:val="single" w:sz="6" w:space="0" w:color="000000"/>
            </w:tcBorders>
          </w:tcPr>
          <w:p>
            <w:pPr>
              <w:pStyle w:val="TableParagraph"/>
              <w:spacing w:line="193" w:lineRule="exact" w:before="11"/>
              <w:ind w:right="20"/>
              <w:rPr>
                <w:rFonts w:ascii="Calibri"/>
                <w:sz w:val="16"/>
              </w:rPr>
            </w:pPr>
            <w:r>
              <w:rPr>
                <w:rFonts w:ascii="Calibri"/>
                <w:w w:val="105"/>
                <w:sz w:val="16"/>
              </w:rPr>
              <w:t>1.6</w:t>
            </w:r>
          </w:p>
        </w:tc>
        <w:tc>
          <w:tcPr>
            <w:tcW w:w="1684" w:type="dxa"/>
            <w:tcBorders>
              <w:top w:val="nil"/>
              <w:left w:val="single" w:sz="6" w:space="0" w:color="000000"/>
              <w:bottom w:val="nil"/>
              <w:right w:val="single" w:sz="6" w:space="0" w:color="000000"/>
            </w:tcBorders>
          </w:tcPr>
          <w:p>
            <w:pPr>
              <w:pStyle w:val="TableParagraph"/>
              <w:spacing w:line="193" w:lineRule="exact" w:before="11"/>
              <w:ind w:right="18"/>
              <w:rPr>
                <w:rFonts w:ascii="Calibri"/>
                <w:sz w:val="16"/>
              </w:rPr>
            </w:pPr>
            <w:r>
              <w:rPr>
                <w:rFonts w:ascii="Calibri"/>
                <w:w w:val="105"/>
                <w:sz w:val="16"/>
              </w:rPr>
              <w:t>3.3</w:t>
            </w:r>
          </w:p>
        </w:tc>
      </w:tr>
      <w:tr>
        <w:trPr>
          <w:trHeight w:val="217" w:hRule="atLeast"/>
        </w:trPr>
        <w:tc>
          <w:tcPr>
            <w:tcW w:w="3335" w:type="dxa"/>
            <w:tcBorders>
              <w:top w:val="nil"/>
              <w:left w:val="single" w:sz="6" w:space="0" w:color="000000"/>
              <w:bottom w:val="nil"/>
              <w:right w:val="single" w:sz="6" w:space="0" w:color="000000"/>
            </w:tcBorders>
          </w:tcPr>
          <w:p>
            <w:pPr>
              <w:pStyle w:val="TableParagraph"/>
              <w:spacing w:before="14"/>
              <w:ind w:left="26"/>
              <w:jc w:val="left"/>
              <w:rPr>
                <w:sz w:val="14"/>
              </w:rPr>
            </w:pPr>
            <w:r>
              <w:rPr>
                <w:w w:val="105"/>
                <w:sz w:val="14"/>
              </w:rPr>
              <w:t>First National City Bank of New York</w:t>
            </w:r>
          </w:p>
        </w:tc>
        <w:tc>
          <w:tcPr>
            <w:tcW w:w="1684" w:type="dxa"/>
            <w:tcBorders>
              <w:top w:val="nil"/>
              <w:left w:val="single" w:sz="6" w:space="0" w:color="000000"/>
              <w:bottom w:val="nil"/>
              <w:right w:val="single" w:sz="6" w:space="0" w:color="000000"/>
            </w:tcBorders>
          </w:tcPr>
          <w:p>
            <w:pPr>
              <w:pStyle w:val="TableParagraph"/>
              <w:spacing w:line="188" w:lineRule="exact" w:before="10"/>
              <w:ind w:right="21"/>
              <w:rPr>
                <w:rFonts w:ascii="Calibri"/>
                <w:sz w:val="16"/>
              </w:rPr>
            </w:pPr>
            <w:r>
              <w:rPr>
                <w:rFonts w:ascii="Calibri"/>
                <w:w w:val="105"/>
                <w:sz w:val="16"/>
              </w:rPr>
              <w:t>8.2</w:t>
            </w:r>
          </w:p>
        </w:tc>
        <w:tc>
          <w:tcPr>
            <w:tcW w:w="1684" w:type="dxa"/>
            <w:tcBorders>
              <w:top w:val="nil"/>
              <w:left w:val="single" w:sz="6" w:space="0" w:color="000000"/>
              <w:bottom w:val="nil"/>
              <w:right w:val="single" w:sz="6" w:space="0" w:color="000000"/>
            </w:tcBorders>
          </w:tcPr>
          <w:p>
            <w:pPr>
              <w:pStyle w:val="TableParagraph"/>
              <w:spacing w:line="188" w:lineRule="exact" w:before="10"/>
              <w:ind w:right="20"/>
              <w:rPr>
                <w:rFonts w:ascii="Calibri"/>
                <w:sz w:val="16"/>
              </w:rPr>
            </w:pPr>
            <w:r>
              <w:rPr>
                <w:rFonts w:ascii="Calibri"/>
                <w:w w:val="105"/>
                <w:sz w:val="16"/>
              </w:rPr>
              <w:t>1.6</w:t>
            </w:r>
          </w:p>
        </w:tc>
        <w:tc>
          <w:tcPr>
            <w:tcW w:w="1684" w:type="dxa"/>
            <w:tcBorders>
              <w:top w:val="nil"/>
              <w:left w:val="single" w:sz="6" w:space="0" w:color="000000"/>
              <w:bottom w:val="nil"/>
              <w:right w:val="single" w:sz="6" w:space="0" w:color="000000"/>
            </w:tcBorders>
          </w:tcPr>
          <w:p>
            <w:pPr>
              <w:pStyle w:val="TableParagraph"/>
              <w:spacing w:line="188" w:lineRule="exact" w:before="10"/>
              <w:ind w:right="18"/>
              <w:rPr>
                <w:rFonts w:ascii="Calibri"/>
                <w:sz w:val="16"/>
              </w:rPr>
            </w:pPr>
            <w:r>
              <w:rPr>
                <w:rFonts w:ascii="Calibri"/>
                <w:w w:val="105"/>
                <w:sz w:val="16"/>
              </w:rPr>
              <w:t>3.2</w:t>
            </w:r>
          </w:p>
        </w:tc>
      </w:tr>
      <w:tr>
        <w:trPr>
          <w:trHeight w:val="229" w:hRule="atLeast"/>
        </w:trPr>
        <w:tc>
          <w:tcPr>
            <w:tcW w:w="3335" w:type="dxa"/>
            <w:tcBorders>
              <w:top w:val="nil"/>
              <w:left w:val="single" w:sz="6" w:space="0" w:color="000000"/>
              <w:bottom w:val="nil"/>
              <w:right w:val="single" w:sz="6" w:space="0" w:color="000000"/>
            </w:tcBorders>
          </w:tcPr>
          <w:p>
            <w:pPr>
              <w:pStyle w:val="TableParagraph"/>
              <w:spacing w:before="9"/>
              <w:ind w:left="26"/>
              <w:jc w:val="left"/>
              <w:rPr>
                <w:sz w:val="14"/>
              </w:rPr>
            </w:pPr>
            <w:r>
              <w:rPr>
                <w:w w:val="105"/>
                <w:sz w:val="14"/>
              </w:rPr>
              <w:t>Manufacturer's Hanover Trust Company</w:t>
            </w:r>
            <w:r>
              <w:rPr>
                <w:w w:val="105"/>
                <w:sz w:val="14"/>
                <w:vertAlign w:val="superscript"/>
              </w:rPr>
              <w:t>(e)</w:t>
            </w:r>
          </w:p>
        </w:tc>
        <w:tc>
          <w:tcPr>
            <w:tcW w:w="1684" w:type="dxa"/>
            <w:tcBorders>
              <w:top w:val="nil"/>
              <w:left w:val="single" w:sz="6" w:space="0" w:color="000000"/>
              <w:bottom w:val="nil"/>
              <w:right w:val="single" w:sz="6" w:space="0" w:color="000000"/>
            </w:tcBorders>
          </w:tcPr>
          <w:p>
            <w:pPr>
              <w:pStyle w:val="TableParagraph"/>
              <w:spacing w:line="193" w:lineRule="exact" w:before="17"/>
              <w:ind w:right="21"/>
              <w:rPr>
                <w:rFonts w:ascii="Calibri"/>
                <w:sz w:val="16"/>
              </w:rPr>
            </w:pPr>
            <w:r>
              <w:rPr>
                <w:rFonts w:ascii="Calibri"/>
                <w:w w:val="105"/>
                <w:sz w:val="16"/>
              </w:rPr>
              <w:t>5.9</w:t>
            </w:r>
          </w:p>
        </w:tc>
        <w:tc>
          <w:tcPr>
            <w:tcW w:w="1684" w:type="dxa"/>
            <w:tcBorders>
              <w:top w:val="nil"/>
              <w:left w:val="single" w:sz="6" w:space="0" w:color="000000"/>
              <w:bottom w:val="nil"/>
              <w:right w:val="single" w:sz="6" w:space="0" w:color="000000"/>
            </w:tcBorders>
          </w:tcPr>
          <w:p>
            <w:pPr>
              <w:pStyle w:val="TableParagraph"/>
              <w:spacing w:line="193" w:lineRule="exact" w:before="17"/>
              <w:ind w:right="20"/>
              <w:rPr>
                <w:rFonts w:ascii="Calibri"/>
                <w:sz w:val="16"/>
              </w:rPr>
            </w:pPr>
            <w:r>
              <w:rPr>
                <w:rFonts w:ascii="Calibri"/>
                <w:w w:val="105"/>
                <w:sz w:val="16"/>
              </w:rPr>
              <w:t>1.1</w:t>
            </w:r>
          </w:p>
        </w:tc>
        <w:tc>
          <w:tcPr>
            <w:tcW w:w="1684" w:type="dxa"/>
            <w:tcBorders>
              <w:top w:val="nil"/>
              <w:left w:val="single" w:sz="6" w:space="0" w:color="000000"/>
              <w:bottom w:val="nil"/>
              <w:right w:val="single" w:sz="6" w:space="0" w:color="000000"/>
            </w:tcBorders>
          </w:tcPr>
          <w:p>
            <w:pPr>
              <w:pStyle w:val="TableParagraph"/>
              <w:spacing w:line="193" w:lineRule="exact" w:before="17"/>
              <w:ind w:right="18"/>
              <w:rPr>
                <w:rFonts w:ascii="Calibri"/>
                <w:sz w:val="16"/>
              </w:rPr>
            </w:pPr>
            <w:r>
              <w:rPr>
                <w:rFonts w:ascii="Calibri"/>
                <w:w w:val="105"/>
                <w:sz w:val="16"/>
              </w:rPr>
              <w:t>2.3</w:t>
            </w:r>
          </w:p>
        </w:tc>
      </w:tr>
      <w:tr>
        <w:trPr>
          <w:trHeight w:val="223" w:hRule="atLeast"/>
        </w:trPr>
        <w:tc>
          <w:tcPr>
            <w:tcW w:w="3335" w:type="dxa"/>
            <w:tcBorders>
              <w:top w:val="nil"/>
              <w:left w:val="single" w:sz="6" w:space="0" w:color="000000"/>
              <w:bottom w:val="nil"/>
              <w:right w:val="single" w:sz="6" w:space="0" w:color="000000"/>
            </w:tcBorders>
          </w:tcPr>
          <w:p>
            <w:pPr>
              <w:pStyle w:val="TableParagraph"/>
              <w:spacing w:before="14"/>
              <w:ind w:left="26"/>
              <w:jc w:val="left"/>
              <w:rPr>
                <w:sz w:val="14"/>
              </w:rPr>
            </w:pPr>
            <w:r>
              <w:rPr>
                <w:w w:val="105"/>
                <w:sz w:val="14"/>
              </w:rPr>
              <w:t>Morgan Guaranty Trust Company</w:t>
            </w:r>
          </w:p>
        </w:tc>
        <w:tc>
          <w:tcPr>
            <w:tcW w:w="1684" w:type="dxa"/>
            <w:tcBorders>
              <w:top w:val="nil"/>
              <w:left w:val="single" w:sz="6" w:space="0" w:color="000000"/>
              <w:bottom w:val="nil"/>
              <w:right w:val="single" w:sz="6" w:space="0" w:color="000000"/>
            </w:tcBorders>
          </w:tcPr>
          <w:p>
            <w:pPr>
              <w:pStyle w:val="TableParagraph"/>
              <w:spacing w:line="193" w:lineRule="exact" w:before="10"/>
              <w:ind w:right="21"/>
              <w:rPr>
                <w:rFonts w:ascii="Calibri"/>
                <w:sz w:val="16"/>
              </w:rPr>
            </w:pPr>
            <w:r>
              <w:rPr>
                <w:rFonts w:ascii="Calibri"/>
                <w:w w:val="105"/>
                <w:sz w:val="16"/>
              </w:rPr>
              <w:t>4.1</w:t>
            </w:r>
          </w:p>
        </w:tc>
        <w:tc>
          <w:tcPr>
            <w:tcW w:w="1684" w:type="dxa"/>
            <w:tcBorders>
              <w:top w:val="nil"/>
              <w:left w:val="single" w:sz="6" w:space="0" w:color="000000"/>
              <w:bottom w:val="nil"/>
              <w:right w:val="single" w:sz="6" w:space="0" w:color="000000"/>
            </w:tcBorders>
          </w:tcPr>
          <w:p>
            <w:pPr>
              <w:pStyle w:val="TableParagraph"/>
              <w:spacing w:line="193" w:lineRule="exact" w:before="10"/>
              <w:ind w:right="20"/>
              <w:rPr>
                <w:rFonts w:ascii="Calibri"/>
                <w:sz w:val="16"/>
              </w:rPr>
            </w:pPr>
            <w:r>
              <w:rPr>
                <w:rFonts w:ascii="Calibri"/>
                <w:w w:val="105"/>
                <w:sz w:val="16"/>
              </w:rPr>
              <w:t>0.8</w:t>
            </w:r>
          </w:p>
        </w:tc>
        <w:tc>
          <w:tcPr>
            <w:tcW w:w="1684" w:type="dxa"/>
            <w:tcBorders>
              <w:top w:val="nil"/>
              <w:left w:val="single" w:sz="6" w:space="0" w:color="000000"/>
              <w:bottom w:val="nil"/>
              <w:right w:val="single" w:sz="6" w:space="0" w:color="000000"/>
            </w:tcBorders>
          </w:tcPr>
          <w:p>
            <w:pPr>
              <w:pStyle w:val="TableParagraph"/>
              <w:spacing w:line="193" w:lineRule="exact" w:before="10"/>
              <w:ind w:right="18"/>
              <w:rPr>
                <w:rFonts w:ascii="Calibri"/>
                <w:sz w:val="16"/>
              </w:rPr>
            </w:pPr>
            <w:r>
              <w:rPr>
                <w:rFonts w:ascii="Calibri"/>
                <w:w w:val="105"/>
                <w:sz w:val="16"/>
              </w:rPr>
              <w:t>1.6</w:t>
            </w:r>
          </w:p>
        </w:tc>
      </w:tr>
      <w:tr>
        <w:trPr>
          <w:trHeight w:val="224" w:hRule="atLeast"/>
        </w:trPr>
        <w:tc>
          <w:tcPr>
            <w:tcW w:w="3335" w:type="dxa"/>
            <w:tcBorders>
              <w:top w:val="nil"/>
              <w:left w:val="single" w:sz="6" w:space="0" w:color="000000"/>
              <w:bottom w:val="nil"/>
              <w:right w:val="single" w:sz="6" w:space="0" w:color="000000"/>
            </w:tcBorders>
          </w:tcPr>
          <w:p>
            <w:pPr>
              <w:pStyle w:val="TableParagraph"/>
              <w:spacing w:before="14"/>
              <w:ind w:left="26"/>
              <w:jc w:val="left"/>
              <w:rPr>
                <w:sz w:val="14"/>
              </w:rPr>
            </w:pPr>
            <w:r>
              <w:rPr>
                <w:w w:val="105"/>
                <w:sz w:val="14"/>
              </w:rPr>
              <w:t>Chemical Bank New York Trust Company</w:t>
            </w:r>
          </w:p>
        </w:tc>
        <w:tc>
          <w:tcPr>
            <w:tcW w:w="1684" w:type="dxa"/>
            <w:tcBorders>
              <w:top w:val="nil"/>
              <w:left w:val="single" w:sz="6" w:space="0" w:color="000000"/>
              <w:bottom w:val="nil"/>
              <w:right w:val="single" w:sz="6" w:space="0" w:color="000000"/>
            </w:tcBorders>
          </w:tcPr>
          <w:p>
            <w:pPr>
              <w:pStyle w:val="TableParagraph"/>
              <w:spacing w:line="193" w:lineRule="exact" w:before="11"/>
              <w:ind w:right="21"/>
              <w:rPr>
                <w:rFonts w:ascii="Calibri"/>
                <w:sz w:val="16"/>
              </w:rPr>
            </w:pPr>
            <w:r>
              <w:rPr>
                <w:rFonts w:ascii="Calibri"/>
                <w:w w:val="105"/>
                <w:sz w:val="16"/>
              </w:rPr>
              <w:t>4.1</w:t>
            </w:r>
          </w:p>
        </w:tc>
        <w:tc>
          <w:tcPr>
            <w:tcW w:w="1684" w:type="dxa"/>
            <w:tcBorders>
              <w:top w:val="nil"/>
              <w:left w:val="single" w:sz="6" w:space="0" w:color="000000"/>
              <w:bottom w:val="nil"/>
              <w:right w:val="single" w:sz="6" w:space="0" w:color="000000"/>
            </w:tcBorders>
          </w:tcPr>
          <w:p>
            <w:pPr>
              <w:pStyle w:val="TableParagraph"/>
              <w:spacing w:line="193" w:lineRule="exact" w:before="11"/>
              <w:ind w:right="20"/>
              <w:rPr>
                <w:rFonts w:ascii="Calibri"/>
                <w:sz w:val="16"/>
              </w:rPr>
            </w:pPr>
            <w:r>
              <w:rPr>
                <w:rFonts w:ascii="Calibri"/>
                <w:w w:val="105"/>
                <w:sz w:val="16"/>
              </w:rPr>
              <w:t>0.8</w:t>
            </w:r>
          </w:p>
        </w:tc>
        <w:tc>
          <w:tcPr>
            <w:tcW w:w="1684" w:type="dxa"/>
            <w:tcBorders>
              <w:top w:val="nil"/>
              <w:left w:val="single" w:sz="6" w:space="0" w:color="000000"/>
              <w:bottom w:val="nil"/>
              <w:right w:val="single" w:sz="6" w:space="0" w:color="000000"/>
            </w:tcBorders>
          </w:tcPr>
          <w:p>
            <w:pPr>
              <w:pStyle w:val="TableParagraph"/>
              <w:spacing w:line="193" w:lineRule="exact" w:before="11"/>
              <w:ind w:right="18"/>
              <w:rPr>
                <w:rFonts w:ascii="Calibri"/>
                <w:sz w:val="16"/>
              </w:rPr>
            </w:pPr>
            <w:r>
              <w:rPr>
                <w:rFonts w:ascii="Calibri"/>
                <w:w w:val="105"/>
                <w:sz w:val="16"/>
              </w:rPr>
              <w:t>1.6</w:t>
            </w:r>
          </w:p>
        </w:tc>
      </w:tr>
      <w:tr>
        <w:trPr>
          <w:trHeight w:val="223" w:hRule="atLeast"/>
        </w:trPr>
        <w:tc>
          <w:tcPr>
            <w:tcW w:w="3335" w:type="dxa"/>
            <w:tcBorders>
              <w:top w:val="nil"/>
              <w:left w:val="single" w:sz="6" w:space="0" w:color="000000"/>
              <w:bottom w:val="nil"/>
              <w:right w:val="single" w:sz="6" w:space="0" w:color="000000"/>
            </w:tcBorders>
          </w:tcPr>
          <w:p>
            <w:pPr>
              <w:pStyle w:val="TableParagraph"/>
              <w:spacing w:before="14"/>
              <w:ind w:left="26"/>
              <w:jc w:val="left"/>
              <w:rPr>
                <w:sz w:val="14"/>
              </w:rPr>
            </w:pPr>
            <w:r>
              <w:rPr>
                <w:w w:val="105"/>
                <w:sz w:val="14"/>
              </w:rPr>
              <w:t>Security First National Bank</w:t>
            </w:r>
          </w:p>
        </w:tc>
        <w:tc>
          <w:tcPr>
            <w:tcW w:w="1684" w:type="dxa"/>
            <w:tcBorders>
              <w:top w:val="nil"/>
              <w:left w:val="single" w:sz="6" w:space="0" w:color="000000"/>
              <w:bottom w:val="nil"/>
              <w:right w:val="single" w:sz="6" w:space="0" w:color="000000"/>
            </w:tcBorders>
          </w:tcPr>
          <w:p>
            <w:pPr>
              <w:pStyle w:val="TableParagraph"/>
              <w:spacing w:line="193" w:lineRule="exact" w:before="10"/>
              <w:ind w:right="21"/>
              <w:rPr>
                <w:rFonts w:ascii="Calibri"/>
                <w:sz w:val="16"/>
              </w:rPr>
            </w:pPr>
            <w:r>
              <w:rPr>
                <w:rFonts w:ascii="Calibri"/>
                <w:w w:val="105"/>
                <w:sz w:val="16"/>
              </w:rPr>
              <w:t>3.4</w:t>
            </w:r>
          </w:p>
        </w:tc>
        <w:tc>
          <w:tcPr>
            <w:tcW w:w="1684" w:type="dxa"/>
            <w:tcBorders>
              <w:top w:val="nil"/>
              <w:left w:val="single" w:sz="6" w:space="0" w:color="000000"/>
              <w:bottom w:val="nil"/>
              <w:right w:val="single" w:sz="6" w:space="0" w:color="000000"/>
            </w:tcBorders>
          </w:tcPr>
          <w:p>
            <w:pPr>
              <w:pStyle w:val="TableParagraph"/>
              <w:spacing w:line="193" w:lineRule="exact" w:before="10"/>
              <w:ind w:right="20"/>
              <w:rPr>
                <w:rFonts w:ascii="Calibri"/>
                <w:sz w:val="16"/>
              </w:rPr>
            </w:pPr>
            <w:r>
              <w:rPr>
                <w:rFonts w:ascii="Calibri"/>
                <w:w w:val="105"/>
                <w:sz w:val="16"/>
              </w:rPr>
              <w:t>0.7</w:t>
            </w:r>
          </w:p>
        </w:tc>
        <w:tc>
          <w:tcPr>
            <w:tcW w:w="1684" w:type="dxa"/>
            <w:tcBorders>
              <w:top w:val="nil"/>
              <w:left w:val="single" w:sz="6" w:space="0" w:color="000000"/>
              <w:bottom w:val="nil"/>
              <w:right w:val="single" w:sz="6" w:space="0" w:color="000000"/>
            </w:tcBorders>
          </w:tcPr>
          <w:p>
            <w:pPr>
              <w:pStyle w:val="TableParagraph"/>
              <w:spacing w:line="193" w:lineRule="exact" w:before="10"/>
              <w:ind w:right="18"/>
              <w:rPr>
                <w:rFonts w:ascii="Calibri"/>
                <w:sz w:val="16"/>
              </w:rPr>
            </w:pPr>
            <w:r>
              <w:rPr>
                <w:rFonts w:ascii="Calibri"/>
                <w:w w:val="105"/>
                <w:sz w:val="16"/>
              </w:rPr>
              <w:t>1.3</w:t>
            </w:r>
          </w:p>
        </w:tc>
      </w:tr>
      <w:tr>
        <w:trPr>
          <w:trHeight w:val="224" w:hRule="atLeast"/>
        </w:trPr>
        <w:tc>
          <w:tcPr>
            <w:tcW w:w="3335" w:type="dxa"/>
            <w:tcBorders>
              <w:top w:val="nil"/>
              <w:left w:val="single" w:sz="6" w:space="0" w:color="000000"/>
              <w:bottom w:val="nil"/>
              <w:right w:val="single" w:sz="6" w:space="0" w:color="000000"/>
            </w:tcBorders>
          </w:tcPr>
          <w:p>
            <w:pPr>
              <w:pStyle w:val="TableParagraph"/>
              <w:spacing w:before="14"/>
              <w:ind w:left="26"/>
              <w:jc w:val="left"/>
              <w:rPr>
                <w:sz w:val="14"/>
              </w:rPr>
            </w:pPr>
            <w:r>
              <w:rPr>
                <w:w w:val="105"/>
                <w:sz w:val="14"/>
              </w:rPr>
              <w:t>Bankers Trust Company</w:t>
            </w:r>
          </w:p>
        </w:tc>
        <w:tc>
          <w:tcPr>
            <w:tcW w:w="1684" w:type="dxa"/>
            <w:tcBorders>
              <w:top w:val="nil"/>
              <w:left w:val="single" w:sz="6" w:space="0" w:color="000000"/>
              <w:bottom w:val="nil"/>
              <w:right w:val="single" w:sz="6" w:space="0" w:color="000000"/>
            </w:tcBorders>
          </w:tcPr>
          <w:p>
            <w:pPr>
              <w:pStyle w:val="TableParagraph"/>
              <w:spacing w:line="193" w:lineRule="exact" w:before="11"/>
              <w:ind w:right="21"/>
              <w:rPr>
                <w:rFonts w:ascii="Calibri"/>
                <w:sz w:val="16"/>
              </w:rPr>
            </w:pPr>
            <w:r>
              <w:rPr>
                <w:rFonts w:ascii="Calibri"/>
                <w:w w:val="105"/>
                <w:sz w:val="16"/>
              </w:rPr>
              <w:t>3.1</w:t>
            </w:r>
          </w:p>
        </w:tc>
        <w:tc>
          <w:tcPr>
            <w:tcW w:w="1684" w:type="dxa"/>
            <w:tcBorders>
              <w:top w:val="nil"/>
              <w:left w:val="single" w:sz="6" w:space="0" w:color="000000"/>
              <w:bottom w:val="nil"/>
              <w:right w:val="single" w:sz="6" w:space="0" w:color="000000"/>
            </w:tcBorders>
          </w:tcPr>
          <w:p>
            <w:pPr>
              <w:pStyle w:val="TableParagraph"/>
              <w:spacing w:line="193" w:lineRule="exact" w:before="11"/>
              <w:ind w:right="20"/>
              <w:rPr>
                <w:rFonts w:ascii="Calibri"/>
                <w:sz w:val="16"/>
              </w:rPr>
            </w:pPr>
            <w:r>
              <w:rPr>
                <w:rFonts w:ascii="Calibri"/>
                <w:w w:val="105"/>
                <w:sz w:val="16"/>
              </w:rPr>
              <w:t>0.6</w:t>
            </w:r>
          </w:p>
        </w:tc>
        <w:tc>
          <w:tcPr>
            <w:tcW w:w="1684" w:type="dxa"/>
            <w:tcBorders>
              <w:top w:val="nil"/>
              <w:left w:val="single" w:sz="6" w:space="0" w:color="000000"/>
              <w:bottom w:val="nil"/>
              <w:right w:val="single" w:sz="6" w:space="0" w:color="000000"/>
            </w:tcBorders>
          </w:tcPr>
          <w:p>
            <w:pPr>
              <w:pStyle w:val="TableParagraph"/>
              <w:spacing w:line="193" w:lineRule="exact" w:before="11"/>
              <w:ind w:right="18"/>
              <w:rPr>
                <w:rFonts w:ascii="Calibri"/>
                <w:sz w:val="16"/>
              </w:rPr>
            </w:pPr>
            <w:r>
              <w:rPr>
                <w:rFonts w:ascii="Calibri"/>
                <w:w w:val="105"/>
                <w:sz w:val="16"/>
              </w:rPr>
              <w:t>1.2</w:t>
            </w:r>
          </w:p>
        </w:tc>
      </w:tr>
      <w:tr>
        <w:trPr>
          <w:trHeight w:val="224" w:hRule="atLeast"/>
        </w:trPr>
        <w:tc>
          <w:tcPr>
            <w:tcW w:w="3335" w:type="dxa"/>
            <w:tcBorders>
              <w:top w:val="nil"/>
              <w:left w:val="single" w:sz="6" w:space="0" w:color="000000"/>
              <w:bottom w:val="nil"/>
              <w:right w:val="single" w:sz="6" w:space="0" w:color="000000"/>
            </w:tcBorders>
          </w:tcPr>
          <w:p>
            <w:pPr>
              <w:pStyle w:val="TableParagraph"/>
              <w:spacing w:before="14"/>
              <w:ind w:left="26"/>
              <w:jc w:val="left"/>
              <w:rPr>
                <w:sz w:val="14"/>
              </w:rPr>
            </w:pPr>
            <w:r>
              <w:rPr>
                <w:w w:val="105"/>
                <w:sz w:val="14"/>
              </w:rPr>
              <w:t>First National Bank of Chicago</w:t>
            </w:r>
          </w:p>
        </w:tc>
        <w:tc>
          <w:tcPr>
            <w:tcW w:w="1684" w:type="dxa"/>
            <w:tcBorders>
              <w:top w:val="nil"/>
              <w:left w:val="single" w:sz="6" w:space="0" w:color="000000"/>
              <w:bottom w:val="nil"/>
              <w:right w:val="single" w:sz="6" w:space="0" w:color="000000"/>
            </w:tcBorders>
          </w:tcPr>
          <w:p>
            <w:pPr>
              <w:pStyle w:val="TableParagraph"/>
              <w:spacing w:line="193" w:lineRule="exact" w:before="11"/>
              <w:ind w:right="21"/>
              <w:rPr>
                <w:rFonts w:ascii="Calibri"/>
                <w:sz w:val="16"/>
              </w:rPr>
            </w:pPr>
            <w:r>
              <w:rPr>
                <w:rFonts w:ascii="Calibri"/>
                <w:w w:val="105"/>
                <w:sz w:val="16"/>
              </w:rPr>
              <w:t>3.0</w:t>
            </w:r>
          </w:p>
        </w:tc>
        <w:tc>
          <w:tcPr>
            <w:tcW w:w="1684" w:type="dxa"/>
            <w:tcBorders>
              <w:top w:val="nil"/>
              <w:left w:val="single" w:sz="6" w:space="0" w:color="000000"/>
              <w:bottom w:val="nil"/>
              <w:right w:val="single" w:sz="6" w:space="0" w:color="000000"/>
            </w:tcBorders>
          </w:tcPr>
          <w:p>
            <w:pPr>
              <w:pStyle w:val="TableParagraph"/>
              <w:spacing w:line="193" w:lineRule="exact" w:before="11"/>
              <w:ind w:right="20"/>
              <w:rPr>
                <w:rFonts w:ascii="Calibri"/>
                <w:sz w:val="16"/>
              </w:rPr>
            </w:pPr>
            <w:r>
              <w:rPr>
                <w:rFonts w:ascii="Calibri"/>
                <w:w w:val="105"/>
                <w:sz w:val="16"/>
              </w:rPr>
              <w:t>0.6</w:t>
            </w:r>
          </w:p>
        </w:tc>
        <w:tc>
          <w:tcPr>
            <w:tcW w:w="1684" w:type="dxa"/>
            <w:tcBorders>
              <w:top w:val="nil"/>
              <w:left w:val="single" w:sz="6" w:space="0" w:color="000000"/>
              <w:bottom w:val="nil"/>
              <w:right w:val="single" w:sz="6" w:space="0" w:color="000000"/>
            </w:tcBorders>
          </w:tcPr>
          <w:p>
            <w:pPr>
              <w:pStyle w:val="TableParagraph"/>
              <w:spacing w:line="193" w:lineRule="exact" w:before="11"/>
              <w:ind w:right="18"/>
              <w:rPr>
                <w:rFonts w:ascii="Calibri"/>
                <w:sz w:val="16"/>
              </w:rPr>
            </w:pPr>
            <w:r>
              <w:rPr>
                <w:rFonts w:ascii="Calibri"/>
                <w:w w:val="105"/>
                <w:sz w:val="16"/>
              </w:rPr>
              <w:t>1.2</w:t>
            </w:r>
          </w:p>
        </w:tc>
      </w:tr>
      <w:tr>
        <w:trPr>
          <w:trHeight w:val="204" w:hRule="atLeast"/>
        </w:trPr>
        <w:tc>
          <w:tcPr>
            <w:tcW w:w="3335" w:type="dxa"/>
            <w:tcBorders>
              <w:top w:val="nil"/>
              <w:left w:val="single" w:sz="6" w:space="0" w:color="000000"/>
              <w:bottom w:val="single" w:sz="6" w:space="0" w:color="000000"/>
              <w:right w:val="single" w:sz="6" w:space="0" w:color="000000"/>
            </w:tcBorders>
          </w:tcPr>
          <w:p>
            <w:pPr>
              <w:pStyle w:val="TableParagraph"/>
              <w:spacing w:before="14"/>
              <w:ind w:left="26"/>
              <w:jc w:val="left"/>
              <w:rPr>
                <w:sz w:val="14"/>
              </w:rPr>
            </w:pPr>
            <w:r>
              <w:rPr>
                <w:w w:val="105"/>
                <w:sz w:val="14"/>
              </w:rPr>
              <w:t>Bank of California</w:t>
            </w:r>
          </w:p>
        </w:tc>
        <w:tc>
          <w:tcPr>
            <w:tcW w:w="1684" w:type="dxa"/>
            <w:tcBorders>
              <w:top w:val="nil"/>
              <w:left w:val="single" w:sz="6" w:space="0" w:color="000000"/>
              <w:bottom w:val="single" w:sz="6" w:space="0" w:color="000000"/>
              <w:right w:val="single" w:sz="6" w:space="0" w:color="000000"/>
            </w:tcBorders>
          </w:tcPr>
          <w:p>
            <w:pPr>
              <w:pStyle w:val="TableParagraph"/>
              <w:spacing w:line="174" w:lineRule="exact" w:before="10"/>
              <w:ind w:right="21"/>
              <w:rPr>
                <w:rFonts w:ascii="Calibri"/>
                <w:sz w:val="16"/>
              </w:rPr>
            </w:pPr>
            <w:r>
              <w:rPr>
                <w:rFonts w:ascii="Calibri"/>
                <w:w w:val="105"/>
                <w:sz w:val="16"/>
              </w:rPr>
              <w:t>0.7</w:t>
            </w:r>
          </w:p>
        </w:tc>
        <w:tc>
          <w:tcPr>
            <w:tcW w:w="1684" w:type="dxa"/>
            <w:tcBorders>
              <w:top w:val="nil"/>
              <w:left w:val="single" w:sz="6" w:space="0" w:color="000000"/>
              <w:bottom w:val="single" w:sz="6" w:space="0" w:color="000000"/>
              <w:right w:val="single" w:sz="6" w:space="0" w:color="000000"/>
            </w:tcBorders>
          </w:tcPr>
          <w:p>
            <w:pPr>
              <w:pStyle w:val="TableParagraph"/>
              <w:spacing w:line="174" w:lineRule="exact" w:before="10"/>
              <w:ind w:right="20"/>
              <w:rPr>
                <w:rFonts w:ascii="Calibri"/>
                <w:sz w:val="16"/>
              </w:rPr>
            </w:pPr>
            <w:r>
              <w:rPr>
                <w:rFonts w:ascii="Calibri"/>
                <w:w w:val="105"/>
                <w:sz w:val="16"/>
              </w:rPr>
              <w:t>0.1</w:t>
            </w:r>
          </w:p>
        </w:tc>
        <w:tc>
          <w:tcPr>
            <w:tcW w:w="1684" w:type="dxa"/>
            <w:tcBorders>
              <w:top w:val="nil"/>
              <w:left w:val="single" w:sz="6" w:space="0" w:color="000000"/>
              <w:bottom w:val="single" w:sz="6" w:space="0" w:color="000000"/>
              <w:right w:val="single" w:sz="6" w:space="0" w:color="000000"/>
            </w:tcBorders>
          </w:tcPr>
          <w:p>
            <w:pPr>
              <w:pStyle w:val="TableParagraph"/>
              <w:spacing w:line="174" w:lineRule="exact" w:before="10"/>
              <w:ind w:right="18"/>
              <w:rPr>
                <w:rFonts w:ascii="Calibri"/>
                <w:sz w:val="16"/>
              </w:rPr>
            </w:pPr>
            <w:r>
              <w:rPr>
                <w:rFonts w:ascii="Calibri"/>
                <w:w w:val="105"/>
                <w:sz w:val="16"/>
              </w:rPr>
              <w:t>0.3</w:t>
            </w:r>
          </w:p>
        </w:tc>
      </w:tr>
      <w:tr>
        <w:trPr>
          <w:trHeight w:val="208" w:hRule="atLeast"/>
        </w:trPr>
        <w:tc>
          <w:tcPr>
            <w:tcW w:w="3335" w:type="dxa"/>
            <w:tcBorders>
              <w:top w:val="single" w:sz="6" w:space="0" w:color="000000"/>
              <w:left w:val="single" w:sz="6" w:space="0" w:color="000000"/>
              <w:bottom w:val="single" w:sz="6" w:space="0" w:color="000000"/>
              <w:right w:val="single" w:sz="6" w:space="0" w:color="000000"/>
            </w:tcBorders>
          </w:tcPr>
          <w:p>
            <w:pPr>
              <w:pStyle w:val="TableParagraph"/>
              <w:spacing w:line="174" w:lineRule="exact" w:before="15"/>
              <w:ind w:left="127"/>
              <w:jc w:val="left"/>
              <w:rPr>
                <w:rFonts w:ascii="Calibri"/>
                <w:i/>
                <w:sz w:val="16"/>
              </w:rPr>
            </w:pPr>
            <w:r>
              <w:rPr>
                <w:rFonts w:ascii="Calibri"/>
                <w:i/>
                <w:w w:val="105"/>
                <w:sz w:val="16"/>
              </w:rPr>
              <w:t>Total</w:t>
            </w: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174" w:lineRule="exact" w:before="15"/>
              <w:ind w:right="33"/>
              <w:rPr>
                <w:rFonts w:ascii="Calibri"/>
                <w:b/>
                <w:sz w:val="16"/>
              </w:rPr>
            </w:pPr>
            <w:r>
              <w:rPr>
                <w:rFonts w:ascii="Calibri"/>
                <w:b/>
                <w:w w:val="105"/>
                <w:sz w:val="16"/>
              </w:rPr>
              <w:t>52.1</w:t>
            </w: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174" w:lineRule="exact" w:before="15"/>
              <w:ind w:right="20"/>
              <w:rPr>
                <w:rFonts w:ascii="Calibri"/>
                <w:b/>
                <w:sz w:val="16"/>
              </w:rPr>
            </w:pPr>
            <w:r>
              <w:rPr>
                <w:rFonts w:ascii="Calibri"/>
                <w:b/>
                <w:w w:val="105"/>
                <w:sz w:val="16"/>
              </w:rPr>
              <w:t>9.9</w:t>
            </w: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174" w:lineRule="exact" w:before="15"/>
              <w:ind w:right="30"/>
              <w:rPr>
                <w:rFonts w:ascii="Calibri"/>
                <w:b/>
                <w:sz w:val="16"/>
              </w:rPr>
            </w:pPr>
            <w:r>
              <w:rPr>
                <w:rFonts w:ascii="Calibri"/>
                <w:b/>
                <w:w w:val="105"/>
                <w:sz w:val="16"/>
              </w:rPr>
              <w:t>20.3</w:t>
            </w:r>
          </w:p>
        </w:tc>
      </w:tr>
    </w:tbl>
    <w:p>
      <w:pPr>
        <w:pStyle w:val="BodyText"/>
        <w:rPr>
          <w:rFonts w:ascii="Calibri"/>
          <w:b/>
          <w:sz w:val="16"/>
        </w:rPr>
      </w:pPr>
    </w:p>
    <w:p>
      <w:pPr>
        <w:spacing w:before="0"/>
        <w:ind w:left="174" w:right="0" w:firstLine="0"/>
        <w:jc w:val="left"/>
        <w:rPr>
          <w:rFonts w:ascii="Calibri"/>
          <w:b/>
          <w:sz w:val="16"/>
        </w:rPr>
      </w:pPr>
      <w:r>
        <w:rPr>
          <w:rFonts w:ascii="Calibri"/>
          <w:b/>
          <w:spacing w:val="-6"/>
          <w:w w:val="105"/>
          <w:sz w:val="16"/>
        </w:rPr>
        <w:t>2010</w:t>
      </w:r>
    </w:p>
    <w:tbl>
      <w:tblPr>
        <w:tblW w:w="0" w:type="auto"/>
        <w:jc w:val="left"/>
        <w:tblInd w:w="155"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CellMar>
          <w:top w:w="0" w:type="dxa"/>
          <w:left w:w="0" w:type="dxa"/>
          <w:bottom w:w="0" w:type="dxa"/>
          <w:right w:w="0" w:type="dxa"/>
        </w:tblCellMar>
        <w:tblLook w:val="01E0"/>
      </w:tblPr>
      <w:tblGrid>
        <w:gridCol w:w="3335"/>
        <w:gridCol w:w="1684"/>
        <w:gridCol w:w="1684"/>
        <w:gridCol w:w="1684"/>
      </w:tblGrid>
      <w:tr>
        <w:trPr>
          <w:trHeight w:val="616" w:hRule="atLeast"/>
        </w:trPr>
        <w:tc>
          <w:tcPr>
            <w:tcW w:w="3335" w:type="dxa"/>
            <w:tcBorders>
              <w:top w:val="nil"/>
              <w:left w:val="nil"/>
              <w:bottom w:val="nil"/>
            </w:tcBorders>
            <w:shd w:val="clear" w:color="auto" w:fill="000000"/>
          </w:tcPr>
          <w:p>
            <w:pPr>
              <w:pStyle w:val="TableParagraph"/>
              <w:spacing w:before="9"/>
              <w:ind w:left="0"/>
              <w:jc w:val="left"/>
              <w:rPr>
                <w:rFonts w:ascii="Calibri"/>
                <w:b/>
                <w:sz w:val="18"/>
              </w:rPr>
            </w:pPr>
          </w:p>
          <w:p>
            <w:pPr>
              <w:pStyle w:val="TableParagraph"/>
              <w:spacing w:before="0"/>
              <w:ind w:left="1342" w:right="1325"/>
              <w:rPr>
                <w:rFonts w:ascii="Calibri"/>
                <w:sz w:val="14"/>
              </w:rPr>
            </w:pPr>
            <w:r>
              <w:rPr>
                <w:rFonts w:ascii="Calibri"/>
                <w:color w:val="FFFFFF"/>
                <w:w w:val="105"/>
                <w:sz w:val="14"/>
              </w:rPr>
              <w:t>Institution</w:t>
            </w:r>
          </w:p>
        </w:tc>
        <w:tc>
          <w:tcPr>
            <w:tcW w:w="1684" w:type="dxa"/>
            <w:tcBorders>
              <w:top w:val="nil"/>
              <w:bottom w:val="nil"/>
            </w:tcBorders>
            <w:shd w:val="clear" w:color="auto" w:fill="000000"/>
          </w:tcPr>
          <w:p>
            <w:pPr>
              <w:pStyle w:val="TableParagraph"/>
              <w:spacing w:before="9"/>
              <w:ind w:left="0"/>
              <w:jc w:val="left"/>
              <w:rPr>
                <w:rFonts w:ascii="Calibri"/>
                <w:b/>
                <w:sz w:val="18"/>
              </w:rPr>
            </w:pPr>
          </w:p>
          <w:p>
            <w:pPr>
              <w:pStyle w:val="TableParagraph"/>
              <w:spacing w:before="0"/>
              <w:ind w:right="41"/>
              <w:rPr>
                <w:rFonts w:ascii="Calibri"/>
                <w:sz w:val="14"/>
              </w:rPr>
            </w:pPr>
            <w:r>
              <w:rPr>
                <w:rFonts w:ascii="Calibri"/>
                <w:color w:val="FFFFFF"/>
                <w:w w:val="105"/>
                <w:sz w:val="14"/>
              </w:rPr>
              <w:t>Total assets (USD billions)</w:t>
            </w:r>
          </w:p>
        </w:tc>
        <w:tc>
          <w:tcPr>
            <w:tcW w:w="1684" w:type="dxa"/>
            <w:tcBorders>
              <w:top w:val="nil"/>
              <w:bottom w:val="nil"/>
            </w:tcBorders>
            <w:shd w:val="clear" w:color="auto" w:fill="000000"/>
          </w:tcPr>
          <w:p>
            <w:pPr>
              <w:pStyle w:val="TableParagraph"/>
              <w:spacing w:line="261" w:lineRule="auto" w:before="117"/>
              <w:ind w:left="646" w:hanging="585"/>
              <w:jc w:val="left"/>
              <w:rPr>
                <w:rFonts w:ascii="Calibri"/>
                <w:sz w:val="10"/>
              </w:rPr>
            </w:pPr>
            <w:r>
              <w:rPr>
                <w:rFonts w:ascii="Calibri"/>
                <w:color w:val="FFFFFF"/>
                <w:w w:val="105"/>
                <w:sz w:val="14"/>
              </w:rPr>
              <w:t>Assets as a percentage of </w:t>
            </w:r>
            <w:r>
              <w:rPr>
                <w:rFonts w:ascii="Calibri"/>
                <w:color w:val="FFFFFF"/>
                <w:w w:val="105"/>
                <w:position w:val="-7"/>
                <w:sz w:val="14"/>
              </w:rPr>
              <w:t>GDP</w:t>
            </w:r>
            <w:r>
              <w:rPr>
                <w:rFonts w:ascii="Calibri"/>
                <w:color w:val="FFFFFF"/>
                <w:w w:val="105"/>
                <w:sz w:val="10"/>
              </w:rPr>
              <w:t>(d)</w:t>
            </w:r>
          </w:p>
        </w:tc>
        <w:tc>
          <w:tcPr>
            <w:tcW w:w="1684" w:type="dxa"/>
            <w:tcBorders>
              <w:top w:val="nil"/>
              <w:bottom w:val="nil"/>
              <w:right w:val="nil"/>
            </w:tcBorders>
            <w:shd w:val="clear" w:color="auto" w:fill="000000"/>
          </w:tcPr>
          <w:p>
            <w:pPr>
              <w:pStyle w:val="TableParagraph"/>
              <w:spacing w:line="268" w:lineRule="auto" w:before="27"/>
              <w:ind w:left="62" w:right="61"/>
              <w:rPr>
                <w:rFonts w:ascii="Calibri"/>
                <w:sz w:val="14"/>
              </w:rPr>
            </w:pPr>
            <w:r>
              <w:rPr>
                <w:rFonts w:ascii="Calibri"/>
                <w:color w:val="FFFFFF"/>
                <w:w w:val="105"/>
                <w:sz w:val="14"/>
              </w:rPr>
              <w:t>Assets </w:t>
            </w:r>
            <w:r>
              <w:rPr>
                <w:rFonts w:ascii="Calibri"/>
                <w:color w:val="FFFFFF"/>
                <w:spacing w:val="4"/>
                <w:w w:val="105"/>
                <w:sz w:val="14"/>
              </w:rPr>
              <w:t>as </w:t>
            </w:r>
            <w:r>
              <w:rPr>
                <w:rFonts w:ascii="Calibri"/>
                <w:color w:val="FFFFFF"/>
                <w:w w:val="105"/>
                <w:sz w:val="14"/>
              </w:rPr>
              <w:t>a percentage of total </w:t>
            </w:r>
            <w:r>
              <w:rPr>
                <w:rFonts w:ascii="Calibri"/>
                <w:color w:val="FFFFFF"/>
                <w:spacing w:val="3"/>
                <w:w w:val="105"/>
                <w:sz w:val="14"/>
              </w:rPr>
              <w:t>banking</w:t>
            </w:r>
            <w:r>
              <w:rPr>
                <w:rFonts w:ascii="Calibri"/>
                <w:color w:val="FFFFFF"/>
                <w:spacing w:val="-24"/>
                <w:w w:val="105"/>
                <w:sz w:val="14"/>
              </w:rPr>
              <w:t> </w:t>
            </w:r>
            <w:r>
              <w:rPr>
                <w:rFonts w:ascii="Calibri"/>
                <w:color w:val="FFFFFF"/>
                <w:w w:val="105"/>
                <w:sz w:val="14"/>
              </w:rPr>
              <w:t>sector</w:t>
            </w:r>
          </w:p>
          <w:p>
            <w:pPr>
              <w:pStyle w:val="TableParagraph"/>
              <w:spacing w:line="155" w:lineRule="exact" w:before="31"/>
              <w:ind w:left="60" w:right="61"/>
              <w:rPr>
                <w:rFonts w:ascii="Calibri"/>
                <w:sz w:val="14"/>
              </w:rPr>
            </w:pPr>
            <w:r>
              <w:rPr>
                <w:rFonts w:ascii="Calibri"/>
                <w:color w:val="FFFFFF"/>
                <w:spacing w:val="3"/>
                <w:sz w:val="14"/>
              </w:rPr>
              <w:t>assets</w:t>
            </w:r>
            <w:r>
              <w:rPr>
                <w:rFonts w:ascii="Calibri"/>
                <w:color w:val="FFFFFF"/>
                <w:spacing w:val="3"/>
                <w:sz w:val="14"/>
                <w:vertAlign w:val="superscript"/>
              </w:rPr>
              <w:t>(b)(c)</w:t>
            </w:r>
            <w:r>
              <w:rPr>
                <w:rFonts w:ascii="Calibri"/>
                <w:color w:val="FFFFFF"/>
                <w:spacing w:val="29"/>
                <w:sz w:val="14"/>
                <w:vertAlign w:val="baseline"/>
              </w:rPr>
              <w:t> </w:t>
            </w:r>
            <w:r>
              <w:rPr>
                <w:rFonts w:ascii="Calibri"/>
                <w:color w:val="FFFFFF"/>
                <w:sz w:val="14"/>
                <w:vertAlign w:val="baseline"/>
              </w:rPr>
              <w:t>(percent)</w:t>
            </w:r>
          </w:p>
        </w:tc>
      </w:tr>
      <w:tr>
        <w:trPr>
          <w:trHeight w:val="206" w:hRule="atLeast"/>
        </w:trPr>
        <w:tc>
          <w:tcPr>
            <w:tcW w:w="3335" w:type="dxa"/>
            <w:tcBorders>
              <w:top w:val="nil"/>
              <w:left w:val="single" w:sz="6" w:space="0" w:color="000000"/>
              <w:bottom w:val="nil"/>
              <w:right w:val="single" w:sz="6" w:space="0" w:color="000000"/>
            </w:tcBorders>
          </w:tcPr>
          <w:p>
            <w:pPr>
              <w:pStyle w:val="TableParagraph"/>
              <w:spacing w:before="21"/>
              <w:ind w:left="26"/>
              <w:jc w:val="left"/>
              <w:rPr>
                <w:sz w:val="14"/>
              </w:rPr>
            </w:pPr>
            <w:r>
              <w:rPr>
                <w:w w:val="105"/>
                <w:sz w:val="14"/>
              </w:rPr>
              <w:t>Bank of America</w:t>
            </w:r>
          </w:p>
        </w:tc>
        <w:tc>
          <w:tcPr>
            <w:tcW w:w="1684" w:type="dxa"/>
            <w:tcBorders>
              <w:top w:val="nil"/>
              <w:left w:val="single" w:sz="6" w:space="0" w:color="000000"/>
              <w:bottom w:val="nil"/>
              <w:right w:val="single" w:sz="6" w:space="0" w:color="000000"/>
            </w:tcBorders>
          </w:tcPr>
          <w:p>
            <w:pPr>
              <w:pStyle w:val="TableParagraph"/>
              <w:spacing w:line="168" w:lineRule="exact" w:before="18"/>
              <w:ind w:right="33"/>
              <w:rPr>
                <w:rFonts w:ascii="Calibri"/>
                <w:sz w:val="16"/>
              </w:rPr>
            </w:pPr>
            <w:r>
              <w:rPr>
                <w:rFonts w:ascii="Calibri"/>
                <w:w w:val="105"/>
                <w:sz w:val="16"/>
              </w:rPr>
              <w:t>2,363.9</w:t>
            </w:r>
          </w:p>
        </w:tc>
        <w:tc>
          <w:tcPr>
            <w:tcW w:w="1684" w:type="dxa"/>
            <w:tcBorders>
              <w:top w:val="nil"/>
              <w:left w:val="single" w:sz="6" w:space="0" w:color="000000"/>
              <w:bottom w:val="nil"/>
              <w:right w:val="single" w:sz="6" w:space="0" w:color="000000"/>
            </w:tcBorders>
          </w:tcPr>
          <w:p>
            <w:pPr>
              <w:pStyle w:val="TableParagraph"/>
              <w:spacing w:line="168" w:lineRule="exact" w:before="18"/>
              <w:ind w:right="31"/>
              <w:rPr>
                <w:rFonts w:ascii="Calibri"/>
                <w:sz w:val="16"/>
              </w:rPr>
            </w:pPr>
            <w:r>
              <w:rPr>
                <w:rFonts w:ascii="Calibri"/>
                <w:w w:val="105"/>
                <w:sz w:val="16"/>
              </w:rPr>
              <w:t>16.7</w:t>
            </w:r>
          </w:p>
        </w:tc>
        <w:tc>
          <w:tcPr>
            <w:tcW w:w="1684" w:type="dxa"/>
            <w:tcBorders>
              <w:top w:val="nil"/>
              <w:left w:val="single" w:sz="6" w:space="0" w:color="000000"/>
              <w:bottom w:val="nil"/>
              <w:right w:val="single" w:sz="6" w:space="0" w:color="000000"/>
            </w:tcBorders>
          </w:tcPr>
          <w:p>
            <w:pPr>
              <w:pStyle w:val="TableParagraph"/>
              <w:spacing w:line="168" w:lineRule="exact" w:before="18"/>
              <w:ind w:right="30"/>
              <w:rPr>
                <w:rFonts w:ascii="Calibri"/>
                <w:sz w:val="16"/>
              </w:rPr>
            </w:pPr>
            <w:r>
              <w:rPr>
                <w:rFonts w:ascii="Calibri"/>
                <w:w w:val="105"/>
                <w:sz w:val="16"/>
              </w:rPr>
              <w:t>19.7</w:t>
            </w:r>
          </w:p>
        </w:tc>
      </w:tr>
      <w:tr>
        <w:trPr>
          <w:trHeight w:val="178" w:hRule="atLeast"/>
        </w:trPr>
        <w:tc>
          <w:tcPr>
            <w:tcW w:w="3335" w:type="dxa"/>
            <w:tcBorders>
              <w:top w:val="nil"/>
              <w:left w:val="single" w:sz="6" w:space="0" w:color="000000"/>
              <w:bottom w:val="nil"/>
              <w:right w:val="single" w:sz="6" w:space="0" w:color="000000"/>
            </w:tcBorders>
          </w:tcPr>
          <w:p>
            <w:pPr>
              <w:pStyle w:val="TableParagraph"/>
              <w:spacing w:line="156" w:lineRule="exact" w:before="0"/>
              <w:ind w:left="26"/>
              <w:jc w:val="left"/>
              <w:rPr>
                <w:sz w:val="14"/>
              </w:rPr>
            </w:pPr>
            <w:r>
              <w:rPr>
                <w:w w:val="105"/>
                <w:sz w:val="14"/>
              </w:rPr>
              <w:t>JP Morgan</w:t>
            </w:r>
          </w:p>
        </w:tc>
        <w:tc>
          <w:tcPr>
            <w:tcW w:w="1684" w:type="dxa"/>
            <w:tcBorders>
              <w:top w:val="nil"/>
              <w:left w:val="single" w:sz="6" w:space="0" w:color="000000"/>
              <w:bottom w:val="nil"/>
              <w:right w:val="single" w:sz="6" w:space="0" w:color="000000"/>
            </w:tcBorders>
          </w:tcPr>
          <w:p>
            <w:pPr>
              <w:pStyle w:val="TableParagraph"/>
              <w:spacing w:line="159" w:lineRule="exact" w:before="0"/>
              <w:ind w:right="34"/>
              <w:rPr>
                <w:rFonts w:ascii="Calibri"/>
                <w:sz w:val="16"/>
              </w:rPr>
            </w:pPr>
            <w:r>
              <w:rPr>
                <w:rFonts w:ascii="Calibri"/>
                <w:w w:val="105"/>
                <w:sz w:val="16"/>
              </w:rPr>
              <w:t>2,014.0</w:t>
            </w:r>
          </w:p>
        </w:tc>
        <w:tc>
          <w:tcPr>
            <w:tcW w:w="1684" w:type="dxa"/>
            <w:tcBorders>
              <w:top w:val="nil"/>
              <w:left w:val="single" w:sz="6" w:space="0" w:color="000000"/>
              <w:bottom w:val="nil"/>
              <w:right w:val="single" w:sz="6" w:space="0" w:color="000000"/>
            </w:tcBorders>
          </w:tcPr>
          <w:p>
            <w:pPr>
              <w:pStyle w:val="TableParagraph"/>
              <w:spacing w:line="159" w:lineRule="exact" w:before="0"/>
              <w:ind w:right="32"/>
              <w:rPr>
                <w:rFonts w:ascii="Calibri"/>
                <w:sz w:val="16"/>
              </w:rPr>
            </w:pPr>
            <w:r>
              <w:rPr>
                <w:rFonts w:ascii="Calibri"/>
                <w:w w:val="105"/>
                <w:sz w:val="16"/>
              </w:rPr>
              <w:t>14.3</w:t>
            </w:r>
          </w:p>
        </w:tc>
        <w:tc>
          <w:tcPr>
            <w:tcW w:w="1684" w:type="dxa"/>
            <w:tcBorders>
              <w:top w:val="nil"/>
              <w:left w:val="single" w:sz="6" w:space="0" w:color="000000"/>
              <w:bottom w:val="nil"/>
              <w:right w:val="single" w:sz="6" w:space="0" w:color="000000"/>
            </w:tcBorders>
          </w:tcPr>
          <w:p>
            <w:pPr>
              <w:pStyle w:val="TableParagraph"/>
              <w:spacing w:line="159" w:lineRule="exact" w:before="0"/>
              <w:ind w:right="30"/>
              <w:rPr>
                <w:rFonts w:ascii="Calibri"/>
                <w:sz w:val="16"/>
              </w:rPr>
            </w:pPr>
            <w:r>
              <w:rPr>
                <w:rFonts w:ascii="Calibri"/>
                <w:w w:val="105"/>
                <w:sz w:val="16"/>
              </w:rPr>
              <w:t>16.8</w:t>
            </w:r>
          </w:p>
        </w:tc>
      </w:tr>
      <w:tr>
        <w:trPr>
          <w:trHeight w:val="178" w:hRule="atLeast"/>
        </w:trPr>
        <w:tc>
          <w:tcPr>
            <w:tcW w:w="3335" w:type="dxa"/>
            <w:tcBorders>
              <w:top w:val="nil"/>
              <w:left w:val="single" w:sz="6" w:space="0" w:color="000000"/>
              <w:bottom w:val="nil"/>
              <w:right w:val="single" w:sz="6" w:space="0" w:color="000000"/>
            </w:tcBorders>
          </w:tcPr>
          <w:p>
            <w:pPr>
              <w:pStyle w:val="TableParagraph"/>
              <w:spacing w:line="156" w:lineRule="exact" w:before="0"/>
              <w:ind w:left="26"/>
              <w:jc w:val="left"/>
              <w:rPr>
                <w:sz w:val="14"/>
              </w:rPr>
            </w:pPr>
            <w:r>
              <w:rPr>
                <w:w w:val="105"/>
                <w:sz w:val="14"/>
              </w:rPr>
              <w:t>Citigroup</w:t>
            </w:r>
          </w:p>
        </w:tc>
        <w:tc>
          <w:tcPr>
            <w:tcW w:w="1684" w:type="dxa"/>
            <w:tcBorders>
              <w:top w:val="nil"/>
              <w:left w:val="single" w:sz="6" w:space="0" w:color="000000"/>
              <w:bottom w:val="nil"/>
              <w:right w:val="single" w:sz="6" w:space="0" w:color="000000"/>
            </w:tcBorders>
          </w:tcPr>
          <w:p>
            <w:pPr>
              <w:pStyle w:val="TableParagraph"/>
              <w:spacing w:line="159" w:lineRule="exact" w:before="0"/>
              <w:ind w:right="33"/>
              <w:rPr>
                <w:rFonts w:ascii="Calibri"/>
                <w:sz w:val="16"/>
              </w:rPr>
            </w:pPr>
            <w:r>
              <w:rPr>
                <w:rFonts w:ascii="Calibri"/>
                <w:w w:val="105"/>
                <w:sz w:val="16"/>
              </w:rPr>
              <w:t>1,937.7</w:t>
            </w:r>
          </w:p>
        </w:tc>
        <w:tc>
          <w:tcPr>
            <w:tcW w:w="1684" w:type="dxa"/>
            <w:tcBorders>
              <w:top w:val="nil"/>
              <w:left w:val="single" w:sz="6" w:space="0" w:color="000000"/>
              <w:bottom w:val="nil"/>
              <w:right w:val="single" w:sz="6" w:space="0" w:color="000000"/>
            </w:tcBorders>
          </w:tcPr>
          <w:p>
            <w:pPr>
              <w:pStyle w:val="TableParagraph"/>
              <w:spacing w:line="159" w:lineRule="exact" w:before="0"/>
              <w:ind w:right="31"/>
              <w:rPr>
                <w:rFonts w:ascii="Calibri"/>
                <w:sz w:val="16"/>
              </w:rPr>
            </w:pPr>
            <w:r>
              <w:rPr>
                <w:rFonts w:ascii="Calibri"/>
                <w:w w:val="105"/>
                <w:sz w:val="16"/>
              </w:rPr>
              <w:t>13.7</w:t>
            </w:r>
          </w:p>
        </w:tc>
        <w:tc>
          <w:tcPr>
            <w:tcW w:w="1684" w:type="dxa"/>
            <w:tcBorders>
              <w:top w:val="nil"/>
              <w:left w:val="single" w:sz="6" w:space="0" w:color="000000"/>
              <w:bottom w:val="nil"/>
              <w:right w:val="single" w:sz="6" w:space="0" w:color="000000"/>
            </w:tcBorders>
          </w:tcPr>
          <w:p>
            <w:pPr>
              <w:pStyle w:val="TableParagraph"/>
              <w:spacing w:line="159" w:lineRule="exact" w:before="0"/>
              <w:ind w:right="30"/>
              <w:rPr>
                <w:rFonts w:ascii="Calibri"/>
                <w:sz w:val="16"/>
              </w:rPr>
            </w:pPr>
            <w:r>
              <w:rPr>
                <w:rFonts w:ascii="Calibri"/>
                <w:w w:val="105"/>
                <w:sz w:val="16"/>
              </w:rPr>
              <w:t>16.2</w:t>
            </w:r>
          </w:p>
        </w:tc>
      </w:tr>
      <w:tr>
        <w:trPr>
          <w:trHeight w:val="202" w:hRule="atLeast"/>
        </w:trPr>
        <w:tc>
          <w:tcPr>
            <w:tcW w:w="3335" w:type="dxa"/>
            <w:tcBorders>
              <w:top w:val="nil"/>
              <w:left w:val="single" w:sz="6" w:space="0" w:color="000000"/>
              <w:bottom w:val="nil"/>
              <w:right w:val="single" w:sz="6" w:space="0" w:color="000000"/>
            </w:tcBorders>
          </w:tcPr>
          <w:p>
            <w:pPr>
              <w:pStyle w:val="TableParagraph"/>
              <w:spacing w:line="156" w:lineRule="exact" w:before="0"/>
              <w:ind w:left="26"/>
              <w:jc w:val="left"/>
              <w:rPr>
                <w:sz w:val="14"/>
              </w:rPr>
            </w:pPr>
            <w:r>
              <w:rPr>
                <w:w w:val="105"/>
                <w:sz w:val="14"/>
              </w:rPr>
              <w:t>Wells Fargo</w:t>
            </w:r>
          </w:p>
        </w:tc>
        <w:tc>
          <w:tcPr>
            <w:tcW w:w="1684" w:type="dxa"/>
            <w:tcBorders>
              <w:top w:val="nil"/>
              <w:left w:val="single" w:sz="6" w:space="0" w:color="000000"/>
              <w:bottom w:val="nil"/>
              <w:right w:val="single" w:sz="6" w:space="0" w:color="000000"/>
            </w:tcBorders>
          </w:tcPr>
          <w:p>
            <w:pPr>
              <w:pStyle w:val="TableParagraph"/>
              <w:spacing w:line="182" w:lineRule="exact" w:before="0"/>
              <w:ind w:right="33"/>
              <w:rPr>
                <w:rFonts w:ascii="Calibri"/>
                <w:sz w:val="16"/>
              </w:rPr>
            </w:pPr>
            <w:r>
              <w:rPr>
                <w:rFonts w:ascii="Calibri"/>
                <w:w w:val="105"/>
                <w:sz w:val="16"/>
              </w:rPr>
              <w:t>1,225.9</w:t>
            </w:r>
          </w:p>
        </w:tc>
        <w:tc>
          <w:tcPr>
            <w:tcW w:w="1684" w:type="dxa"/>
            <w:tcBorders>
              <w:top w:val="nil"/>
              <w:left w:val="single" w:sz="6" w:space="0" w:color="000000"/>
              <w:bottom w:val="nil"/>
              <w:right w:val="single" w:sz="6" w:space="0" w:color="000000"/>
            </w:tcBorders>
          </w:tcPr>
          <w:p>
            <w:pPr>
              <w:pStyle w:val="TableParagraph"/>
              <w:spacing w:line="182" w:lineRule="exact" w:before="0"/>
              <w:ind w:right="20"/>
              <w:rPr>
                <w:rFonts w:ascii="Calibri"/>
                <w:sz w:val="16"/>
              </w:rPr>
            </w:pPr>
            <w:r>
              <w:rPr>
                <w:rFonts w:ascii="Calibri"/>
                <w:w w:val="105"/>
                <w:sz w:val="16"/>
              </w:rPr>
              <w:t>8.7</w:t>
            </w:r>
          </w:p>
        </w:tc>
        <w:tc>
          <w:tcPr>
            <w:tcW w:w="1684" w:type="dxa"/>
            <w:tcBorders>
              <w:top w:val="nil"/>
              <w:left w:val="single" w:sz="6" w:space="0" w:color="000000"/>
              <w:bottom w:val="nil"/>
              <w:right w:val="single" w:sz="6" w:space="0" w:color="000000"/>
            </w:tcBorders>
          </w:tcPr>
          <w:p>
            <w:pPr>
              <w:pStyle w:val="TableParagraph"/>
              <w:spacing w:line="182" w:lineRule="exact" w:before="0"/>
              <w:ind w:right="30"/>
              <w:rPr>
                <w:rFonts w:ascii="Calibri"/>
                <w:sz w:val="16"/>
              </w:rPr>
            </w:pPr>
            <w:r>
              <w:rPr>
                <w:rFonts w:ascii="Calibri"/>
                <w:w w:val="105"/>
                <w:sz w:val="16"/>
              </w:rPr>
              <w:t>10.2</w:t>
            </w:r>
          </w:p>
        </w:tc>
      </w:tr>
      <w:tr>
        <w:trPr>
          <w:trHeight w:val="223" w:hRule="atLeast"/>
        </w:trPr>
        <w:tc>
          <w:tcPr>
            <w:tcW w:w="3335" w:type="dxa"/>
            <w:tcBorders>
              <w:top w:val="nil"/>
              <w:left w:val="single" w:sz="6" w:space="0" w:color="000000"/>
              <w:bottom w:val="nil"/>
              <w:right w:val="single" w:sz="6" w:space="0" w:color="000000"/>
            </w:tcBorders>
          </w:tcPr>
          <w:p>
            <w:pPr>
              <w:pStyle w:val="TableParagraph"/>
              <w:spacing w:before="16"/>
              <w:ind w:left="26"/>
              <w:jc w:val="left"/>
              <w:rPr>
                <w:sz w:val="14"/>
              </w:rPr>
            </w:pPr>
            <w:r>
              <w:rPr>
                <w:w w:val="105"/>
                <w:sz w:val="14"/>
              </w:rPr>
              <w:t>US Bancorp</w:t>
            </w:r>
          </w:p>
        </w:tc>
        <w:tc>
          <w:tcPr>
            <w:tcW w:w="1684" w:type="dxa"/>
            <w:tcBorders>
              <w:top w:val="nil"/>
              <w:left w:val="single" w:sz="6" w:space="0" w:color="000000"/>
              <w:bottom w:val="nil"/>
              <w:right w:val="single" w:sz="6" w:space="0" w:color="000000"/>
            </w:tcBorders>
          </w:tcPr>
          <w:p>
            <w:pPr>
              <w:pStyle w:val="TableParagraph"/>
              <w:spacing w:line="191" w:lineRule="exact" w:before="12"/>
              <w:ind w:right="23"/>
              <w:rPr>
                <w:rFonts w:ascii="Calibri"/>
                <w:sz w:val="16"/>
              </w:rPr>
            </w:pPr>
            <w:r>
              <w:rPr>
                <w:rFonts w:ascii="Calibri"/>
                <w:w w:val="105"/>
                <w:sz w:val="16"/>
              </w:rPr>
              <w:t>283.2</w:t>
            </w:r>
          </w:p>
        </w:tc>
        <w:tc>
          <w:tcPr>
            <w:tcW w:w="1684" w:type="dxa"/>
            <w:tcBorders>
              <w:top w:val="nil"/>
              <w:left w:val="single" w:sz="6" w:space="0" w:color="000000"/>
              <w:bottom w:val="nil"/>
              <w:right w:val="single" w:sz="6" w:space="0" w:color="000000"/>
            </w:tcBorders>
          </w:tcPr>
          <w:p>
            <w:pPr>
              <w:pStyle w:val="TableParagraph"/>
              <w:spacing w:line="191" w:lineRule="exact" w:before="12"/>
              <w:ind w:right="20"/>
              <w:rPr>
                <w:rFonts w:ascii="Calibri"/>
                <w:sz w:val="16"/>
              </w:rPr>
            </w:pPr>
            <w:r>
              <w:rPr>
                <w:rFonts w:ascii="Calibri"/>
                <w:w w:val="105"/>
                <w:sz w:val="16"/>
              </w:rPr>
              <w:t>2.0</w:t>
            </w:r>
          </w:p>
        </w:tc>
        <w:tc>
          <w:tcPr>
            <w:tcW w:w="1684" w:type="dxa"/>
            <w:tcBorders>
              <w:top w:val="nil"/>
              <w:left w:val="single" w:sz="6" w:space="0" w:color="000000"/>
              <w:bottom w:val="nil"/>
              <w:right w:val="single" w:sz="6" w:space="0" w:color="000000"/>
            </w:tcBorders>
          </w:tcPr>
          <w:p>
            <w:pPr>
              <w:pStyle w:val="TableParagraph"/>
              <w:spacing w:line="191" w:lineRule="exact" w:before="12"/>
              <w:ind w:right="18"/>
              <w:rPr>
                <w:rFonts w:ascii="Calibri"/>
                <w:sz w:val="16"/>
              </w:rPr>
            </w:pPr>
            <w:r>
              <w:rPr>
                <w:rFonts w:ascii="Calibri"/>
                <w:w w:val="105"/>
                <w:sz w:val="16"/>
              </w:rPr>
              <w:t>2.4</w:t>
            </w:r>
          </w:p>
        </w:tc>
      </w:tr>
      <w:tr>
        <w:trPr>
          <w:trHeight w:val="224" w:hRule="atLeast"/>
        </w:trPr>
        <w:tc>
          <w:tcPr>
            <w:tcW w:w="3335" w:type="dxa"/>
            <w:tcBorders>
              <w:top w:val="nil"/>
              <w:left w:val="single" w:sz="6" w:space="0" w:color="000000"/>
              <w:bottom w:val="nil"/>
              <w:right w:val="single" w:sz="6" w:space="0" w:color="000000"/>
            </w:tcBorders>
          </w:tcPr>
          <w:p>
            <w:pPr>
              <w:pStyle w:val="TableParagraph"/>
              <w:spacing w:before="16"/>
              <w:ind w:left="26"/>
              <w:jc w:val="left"/>
              <w:rPr>
                <w:sz w:val="14"/>
              </w:rPr>
            </w:pPr>
            <w:r>
              <w:rPr>
                <w:w w:val="105"/>
                <w:sz w:val="14"/>
              </w:rPr>
              <w:t>PNC Financial Services.</w:t>
            </w:r>
          </w:p>
        </w:tc>
        <w:tc>
          <w:tcPr>
            <w:tcW w:w="1684" w:type="dxa"/>
            <w:tcBorders>
              <w:top w:val="nil"/>
              <w:left w:val="single" w:sz="6" w:space="0" w:color="000000"/>
              <w:bottom w:val="nil"/>
              <w:right w:val="single" w:sz="6" w:space="0" w:color="000000"/>
            </w:tcBorders>
          </w:tcPr>
          <w:p>
            <w:pPr>
              <w:pStyle w:val="TableParagraph"/>
              <w:spacing w:line="191" w:lineRule="exact" w:before="13"/>
              <w:ind w:right="23"/>
              <w:rPr>
                <w:rFonts w:ascii="Calibri"/>
                <w:sz w:val="16"/>
              </w:rPr>
            </w:pPr>
            <w:r>
              <w:rPr>
                <w:rFonts w:ascii="Calibri"/>
                <w:w w:val="105"/>
                <w:sz w:val="16"/>
              </w:rPr>
              <w:t>261.8</w:t>
            </w:r>
          </w:p>
        </w:tc>
        <w:tc>
          <w:tcPr>
            <w:tcW w:w="1684" w:type="dxa"/>
            <w:tcBorders>
              <w:top w:val="nil"/>
              <w:left w:val="single" w:sz="6" w:space="0" w:color="000000"/>
              <w:bottom w:val="nil"/>
              <w:right w:val="single" w:sz="6" w:space="0" w:color="000000"/>
            </w:tcBorders>
          </w:tcPr>
          <w:p>
            <w:pPr>
              <w:pStyle w:val="TableParagraph"/>
              <w:spacing w:line="191" w:lineRule="exact" w:before="13"/>
              <w:ind w:right="20"/>
              <w:rPr>
                <w:rFonts w:ascii="Calibri"/>
                <w:sz w:val="16"/>
              </w:rPr>
            </w:pPr>
            <w:r>
              <w:rPr>
                <w:rFonts w:ascii="Calibri"/>
                <w:w w:val="105"/>
                <w:sz w:val="16"/>
              </w:rPr>
              <w:t>1.9</w:t>
            </w:r>
          </w:p>
        </w:tc>
        <w:tc>
          <w:tcPr>
            <w:tcW w:w="1684" w:type="dxa"/>
            <w:tcBorders>
              <w:top w:val="nil"/>
              <w:left w:val="single" w:sz="6" w:space="0" w:color="000000"/>
              <w:bottom w:val="nil"/>
              <w:right w:val="single" w:sz="6" w:space="0" w:color="000000"/>
            </w:tcBorders>
          </w:tcPr>
          <w:p>
            <w:pPr>
              <w:pStyle w:val="TableParagraph"/>
              <w:spacing w:line="191" w:lineRule="exact" w:before="13"/>
              <w:ind w:right="18"/>
              <w:rPr>
                <w:rFonts w:ascii="Calibri"/>
                <w:sz w:val="16"/>
              </w:rPr>
            </w:pPr>
            <w:r>
              <w:rPr>
                <w:rFonts w:ascii="Calibri"/>
                <w:w w:val="105"/>
                <w:sz w:val="16"/>
              </w:rPr>
              <w:t>2.2</w:t>
            </w:r>
          </w:p>
        </w:tc>
      </w:tr>
      <w:tr>
        <w:trPr>
          <w:trHeight w:val="223" w:hRule="atLeast"/>
        </w:trPr>
        <w:tc>
          <w:tcPr>
            <w:tcW w:w="3335" w:type="dxa"/>
            <w:tcBorders>
              <w:top w:val="nil"/>
              <w:left w:val="single" w:sz="6" w:space="0" w:color="000000"/>
              <w:bottom w:val="nil"/>
              <w:right w:val="single" w:sz="6" w:space="0" w:color="000000"/>
            </w:tcBorders>
          </w:tcPr>
          <w:p>
            <w:pPr>
              <w:pStyle w:val="TableParagraph"/>
              <w:spacing w:before="16"/>
              <w:ind w:left="26"/>
              <w:jc w:val="left"/>
              <w:rPr>
                <w:sz w:val="14"/>
              </w:rPr>
            </w:pPr>
            <w:r>
              <w:rPr>
                <w:w w:val="105"/>
                <w:sz w:val="14"/>
              </w:rPr>
              <w:t>Bank of New York Mellon</w:t>
            </w:r>
          </w:p>
        </w:tc>
        <w:tc>
          <w:tcPr>
            <w:tcW w:w="1684" w:type="dxa"/>
            <w:tcBorders>
              <w:top w:val="nil"/>
              <w:left w:val="single" w:sz="6" w:space="0" w:color="000000"/>
              <w:bottom w:val="nil"/>
              <w:right w:val="single" w:sz="6" w:space="0" w:color="000000"/>
            </w:tcBorders>
          </w:tcPr>
          <w:p>
            <w:pPr>
              <w:pStyle w:val="TableParagraph"/>
              <w:spacing w:line="191" w:lineRule="exact" w:before="12"/>
              <w:ind w:right="23"/>
              <w:rPr>
                <w:rFonts w:ascii="Calibri"/>
                <w:sz w:val="16"/>
              </w:rPr>
            </w:pPr>
            <w:r>
              <w:rPr>
                <w:rFonts w:ascii="Calibri"/>
                <w:w w:val="105"/>
                <w:sz w:val="16"/>
              </w:rPr>
              <w:t>235.9</w:t>
            </w:r>
          </w:p>
        </w:tc>
        <w:tc>
          <w:tcPr>
            <w:tcW w:w="1684" w:type="dxa"/>
            <w:tcBorders>
              <w:top w:val="nil"/>
              <w:left w:val="single" w:sz="6" w:space="0" w:color="000000"/>
              <w:bottom w:val="nil"/>
              <w:right w:val="single" w:sz="6" w:space="0" w:color="000000"/>
            </w:tcBorders>
          </w:tcPr>
          <w:p>
            <w:pPr>
              <w:pStyle w:val="TableParagraph"/>
              <w:spacing w:line="191" w:lineRule="exact" w:before="12"/>
              <w:ind w:right="20"/>
              <w:rPr>
                <w:rFonts w:ascii="Calibri"/>
                <w:sz w:val="16"/>
              </w:rPr>
            </w:pPr>
            <w:r>
              <w:rPr>
                <w:rFonts w:ascii="Calibri"/>
                <w:w w:val="105"/>
                <w:sz w:val="16"/>
              </w:rPr>
              <w:t>1.7</w:t>
            </w:r>
          </w:p>
        </w:tc>
        <w:tc>
          <w:tcPr>
            <w:tcW w:w="1684" w:type="dxa"/>
            <w:tcBorders>
              <w:top w:val="nil"/>
              <w:left w:val="single" w:sz="6" w:space="0" w:color="000000"/>
              <w:bottom w:val="nil"/>
              <w:right w:val="single" w:sz="6" w:space="0" w:color="000000"/>
            </w:tcBorders>
          </w:tcPr>
          <w:p>
            <w:pPr>
              <w:pStyle w:val="TableParagraph"/>
              <w:spacing w:line="191" w:lineRule="exact" w:before="12"/>
              <w:ind w:right="18"/>
              <w:rPr>
                <w:rFonts w:ascii="Calibri"/>
                <w:sz w:val="16"/>
              </w:rPr>
            </w:pPr>
            <w:r>
              <w:rPr>
                <w:rFonts w:ascii="Calibri"/>
                <w:w w:val="105"/>
                <w:sz w:val="16"/>
              </w:rPr>
              <w:t>2.0</w:t>
            </w:r>
          </w:p>
        </w:tc>
      </w:tr>
      <w:tr>
        <w:trPr>
          <w:trHeight w:val="224" w:hRule="atLeast"/>
        </w:trPr>
        <w:tc>
          <w:tcPr>
            <w:tcW w:w="3335" w:type="dxa"/>
            <w:tcBorders>
              <w:top w:val="nil"/>
              <w:left w:val="single" w:sz="6" w:space="0" w:color="000000"/>
              <w:bottom w:val="nil"/>
              <w:right w:val="single" w:sz="6" w:space="0" w:color="000000"/>
            </w:tcBorders>
          </w:tcPr>
          <w:p>
            <w:pPr>
              <w:pStyle w:val="TableParagraph"/>
              <w:spacing w:before="16"/>
              <w:ind w:left="26"/>
              <w:jc w:val="left"/>
              <w:rPr>
                <w:sz w:val="14"/>
              </w:rPr>
            </w:pPr>
            <w:r>
              <w:rPr>
                <w:w w:val="105"/>
                <w:sz w:val="14"/>
              </w:rPr>
              <w:t>Suntrust banks</w:t>
            </w:r>
          </w:p>
        </w:tc>
        <w:tc>
          <w:tcPr>
            <w:tcW w:w="1684" w:type="dxa"/>
            <w:tcBorders>
              <w:top w:val="nil"/>
              <w:left w:val="single" w:sz="6" w:space="0" w:color="000000"/>
              <w:bottom w:val="nil"/>
              <w:right w:val="single" w:sz="6" w:space="0" w:color="000000"/>
            </w:tcBorders>
          </w:tcPr>
          <w:p>
            <w:pPr>
              <w:pStyle w:val="TableParagraph"/>
              <w:spacing w:line="191" w:lineRule="exact" w:before="13"/>
              <w:ind w:right="23"/>
              <w:rPr>
                <w:rFonts w:ascii="Calibri"/>
                <w:sz w:val="16"/>
              </w:rPr>
            </w:pPr>
            <w:r>
              <w:rPr>
                <w:rFonts w:ascii="Calibri"/>
                <w:w w:val="105"/>
                <w:sz w:val="16"/>
              </w:rPr>
              <w:t>170.7</w:t>
            </w:r>
          </w:p>
        </w:tc>
        <w:tc>
          <w:tcPr>
            <w:tcW w:w="1684" w:type="dxa"/>
            <w:tcBorders>
              <w:top w:val="nil"/>
              <w:left w:val="single" w:sz="6" w:space="0" w:color="000000"/>
              <w:bottom w:val="nil"/>
              <w:right w:val="single" w:sz="6" w:space="0" w:color="000000"/>
            </w:tcBorders>
          </w:tcPr>
          <w:p>
            <w:pPr>
              <w:pStyle w:val="TableParagraph"/>
              <w:spacing w:line="191" w:lineRule="exact" w:before="13"/>
              <w:ind w:right="20"/>
              <w:rPr>
                <w:rFonts w:ascii="Calibri"/>
                <w:sz w:val="16"/>
              </w:rPr>
            </w:pPr>
            <w:r>
              <w:rPr>
                <w:rFonts w:ascii="Calibri"/>
                <w:w w:val="105"/>
                <w:sz w:val="16"/>
              </w:rPr>
              <w:t>1.2</w:t>
            </w:r>
          </w:p>
        </w:tc>
        <w:tc>
          <w:tcPr>
            <w:tcW w:w="1684" w:type="dxa"/>
            <w:tcBorders>
              <w:top w:val="nil"/>
              <w:left w:val="single" w:sz="6" w:space="0" w:color="000000"/>
              <w:bottom w:val="nil"/>
              <w:right w:val="single" w:sz="6" w:space="0" w:color="000000"/>
            </w:tcBorders>
          </w:tcPr>
          <w:p>
            <w:pPr>
              <w:pStyle w:val="TableParagraph"/>
              <w:spacing w:line="191" w:lineRule="exact" w:before="13"/>
              <w:ind w:right="18"/>
              <w:rPr>
                <w:rFonts w:ascii="Calibri"/>
                <w:sz w:val="16"/>
              </w:rPr>
            </w:pPr>
            <w:r>
              <w:rPr>
                <w:rFonts w:ascii="Calibri"/>
                <w:w w:val="105"/>
                <w:sz w:val="16"/>
              </w:rPr>
              <w:t>1.4</w:t>
            </w:r>
          </w:p>
        </w:tc>
      </w:tr>
      <w:tr>
        <w:trPr>
          <w:trHeight w:val="224" w:hRule="atLeast"/>
        </w:trPr>
        <w:tc>
          <w:tcPr>
            <w:tcW w:w="3335" w:type="dxa"/>
            <w:tcBorders>
              <w:top w:val="nil"/>
              <w:left w:val="single" w:sz="6" w:space="0" w:color="000000"/>
              <w:bottom w:val="nil"/>
              <w:right w:val="single" w:sz="6" w:space="0" w:color="000000"/>
            </w:tcBorders>
          </w:tcPr>
          <w:p>
            <w:pPr>
              <w:pStyle w:val="TableParagraph"/>
              <w:spacing w:before="16"/>
              <w:ind w:left="26"/>
              <w:jc w:val="left"/>
              <w:rPr>
                <w:sz w:val="14"/>
              </w:rPr>
            </w:pPr>
            <w:r>
              <w:rPr>
                <w:w w:val="105"/>
                <w:sz w:val="14"/>
              </w:rPr>
              <w:t>BB&amp;T corporation</w:t>
            </w:r>
          </w:p>
        </w:tc>
        <w:tc>
          <w:tcPr>
            <w:tcW w:w="1684" w:type="dxa"/>
            <w:tcBorders>
              <w:top w:val="nil"/>
              <w:left w:val="single" w:sz="6" w:space="0" w:color="000000"/>
              <w:bottom w:val="nil"/>
              <w:right w:val="single" w:sz="6" w:space="0" w:color="000000"/>
            </w:tcBorders>
          </w:tcPr>
          <w:p>
            <w:pPr>
              <w:pStyle w:val="TableParagraph"/>
              <w:spacing w:line="191" w:lineRule="exact" w:before="13"/>
              <w:ind w:right="23"/>
              <w:rPr>
                <w:rFonts w:ascii="Calibri"/>
                <w:sz w:val="16"/>
              </w:rPr>
            </w:pPr>
            <w:r>
              <w:rPr>
                <w:rFonts w:ascii="Calibri"/>
                <w:w w:val="105"/>
                <w:sz w:val="16"/>
              </w:rPr>
              <w:t>155.1</w:t>
            </w:r>
          </w:p>
        </w:tc>
        <w:tc>
          <w:tcPr>
            <w:tcW w:w="1684" w:type="dxa"/>
            <w:tcBorders>
              <w:top w:val="nil"/>
              <w:left w:val="single" w:sz="6" w:space="0" w:color="000000"/>
              <w:bottom w:val="nil"/>
              <w:right w:val="single" w:sz="6" w:space="0" w:color="000000"/>
            </w:tcBorders>
          </w:tcPr>
          <w:p>
            <w:pPr>
              <w:pStyle w:val="TableParagraph"/>
              <w:spacing w:line="191" w:lineRule="exact" w:before="13"/>
              <w:ind w:right="20"/>
              <w:rPr>
                <w:rFonts w:ascii="Calibri"/>
                <w:sz w:val="16"/>
              </w:rPr>
            </w:pPr>
            <w:r>
              <w:rPr>
                <w:rFonts w:ascii="Calibri"/>
                <w:w w:val="105"/>
                <w:sz w:val="16"/>
              </w:rPr>
              <w:t>1.1</w:t>
            </w:r>
          </w:p>
        </w:tc>
        <w:tc>
          <w:tcPr>
            <w:tcW w:w="1684" w:type="dxa"/>
            <w:tcBorders>
              <w:top w:val="nil"/>
              <w:left w:val="single" w:sz="6" w:space="0" w:color="000000"/>
              <w:bottom w:val="nil"/>
              <w:right w:val="single" w:sz="6" w:space="0" w:color="000000"/>
            </w:tcBorders>
          </w:tcPr>
          <w:p>
            <w:pPr>
              <w:pStyle w:val="TableParagraph"/>
              <w:spacing w:line="191" w:lineRule="exact" w:before="13"/>
              <w:ind w:right="18"/>
              <w:rPr>
                <w:rFonts w:ascii="Calibri"/>
                <w:sz w:val="16"/>
              </w:rPr>
            </w:pPr>
            <w:r>
              <w:rPr>
                <w:rFonts w:ascii="Calibri"/>
                <w:w w:val="105"/>
                <w:sz w:val="16"/>
              </w:rPr>
              <w:t>1.3</w:t>
            </w:r>
          </w:p>
        </w:tc>
      </w:tr>
      <w:tr>
        <w:trPr>
          <w:trHeight w:val="204" w:hRule="atLeast"/>
        </w:trPr>
        <w:tc>
          <w:tcPr>
            <w:tcW w:w="3335" w:type="dxa"/>
            <w:tcBorders>
              <w:top w:val="nil"/>
              <w:left w:val="single" w:sz="6" w:space="0" w:color="000000"/>
              <w:bottom w:val="single" w:sz="6" w:space="0" w:color="000000"/>
              <w:right w:val="single" w:sz="6" w:space="0" w:color="000000"/>
            </w:tcBorders>
          </w:tcPr>
          <w:p>
            <w:pPr>
              <w:pStyle w:val="TableParagraph"/>
              <w:spacing w:before="16"/>
              <w:ind w:left="26"/>
              <w:jc w:val="left"/>
              <w:rPr>
                <w:sz w:val="14"/>
              </w:rPr>
            </w:pPr>
            <w:r>
              <w:rPr>
                <w:w w:val="105"/>
                <w:sz w:val="14"/>
              </w:rPr>
              <w:t>State Street</w:t>
            </w:r>
          </w:p>
        </w:tc>
        <w:tc>
          <w:tcPr>
            <w:tcW w:w="1684" w:type="dxa"/>
            <w:tcBorders>
              <w:top w:val="nil"/>
              <w:left w:val="single" w:sz="6" w:space="0" w:color="000000"/>
              <w:bottom w:val="single" w:sz="6" w:space="0" w:color="000000"/>
              <w:right w:val="single" w:sz="6" w:space="0" w:color="000000"/>
            </w:tcBorders>
          </w:tcPr>
          <w:p>
            <w:pPr>
              <w:pStyle w:val="TableParagraph"/>
              <w:spacing w:line="172" w:lineRule="exact" w:before="12"/>
              <w:ind w:right="23"/>
              <w:rPr>
                <w:rFonts w:ascii="Calibri"/>
                <w:sz w:val="16"/>
              </w:rPr>
            </w:pPr>
            <w:r>
              <w:rPr>
                <w:rFonts w:ascii="Calibri"/>
                <w:w w:val="105"/>
                <w:sz w:val="16"/>
              </w:rPr>
              <w:t>160.7</w:t>
            </w:r>
          </w:p>
        </w:tc>
        <w:tc>
          <w:tcPr>
            <w:tcW w:w="1684" w:type="dxa"/>
            <w:tcBorders>
              <w:top w:val="nil"/>
              <w:left w:val="single" w:sz="6" w:space="0" w:color="000000"/>
              <w:bottom w:val="single" w:sz="6" w:space="0" w:color="000000"/>
              <w:right w:val="single" w:sz="6" w:space="0" w:color="000000"/>
            </w:tcBorders>
          </w:tcPr>
          <w:p>
            <w:pPr>
              <w:pStyle w:val="TableParagraph"/>
              <w:spacing w:line="172" w:lineRule="exact" w:before="12"/>
              <w:ind w:right="20"/>
              <w:rPr>
                <w:rFonts w:ascii="Calibri"/>
                <w:sz w:val="16"/>
              </w:rPr>
            </w:pPr>
            <w:r>
              <w:rPr>
                <w:rFonts w:ascii="Calibri"/>
                <w:w w:val="105"/>
                <w:sz w:val="16"/>
              </w:rPr>
              <w:t>1.1</w:t>
            </w:r>
          </w:p>
        </w:tc>
        <w:tc>
          <w:tcPr>
            <w:tcW w:w="1684" w:type="dxa"/>
            <w:tcBorders>
              <w:top w:val="nil"/>
              <w:left w:val="single" w:sz="6" w:space="0" w:color="000000"/>
              <w:bottom w:val="single" w:sz="6" w:space="0" w:color="000000"/>
              <w:right w:val="single" w:sz="6" w:space="0" w:color="000000"/>
            </w:tcBorders>
          </w:tcPr>
          <w:p>
            <w:pPr>
              <w:pStyle w:val="TableParagraph"/>
              <w:spacing w:line="172" w:lineRule="exact" w:before="12"/>
              <w:ind w:right="18"/>
              <w:rPr>
                <w:rFonts w:ascii="Calibri"/>
                <w:sz w:val="16"/>
              </w:rPr>
            </w:pPr>
            <w:r>
              <w:rPr>
                <w:rFonts w:ascii="Calibri"/>
                <w:w w:val="105"/>
                <w:sz w:val="16"/>
              </w:rPr>
              <w:t>1.3</w:t>
            </w:r>
          </w:p>
        </w:tc>
      </w:tr>
      <w:tr>
        <w:trPr>
          <w:trHeight w:val="208" w:hRule="atLeast"/>
        </w:trPr>
        <w:tc>
          <w:tcPr>
            <w:tcW w:w="3335"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before="17"/>
              <w:ind w:left="127"/>
              <w:jc w:val="left"/>
              <w:rPr>
                <w:rFonts w:ascii="Calibri"/>
                <w:i/>
                <w:sz w:val="16"/>
              </w:rPr>
            </w:pPr>
            <w:r>
              <w:rPr>
                <w:rFonts w:ascii="Calibri"/>
                <w:i/>
                <w:w w:val="105"/>
                <w:sz w:val="16"/>
              </w:rPr>
              <w:t>Total</w:t>
            </w: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before="17"/>
              <w:ind w:right="23"/>
              <w:rPr>
                <w:rFonts w:ascii="Calibri"/>
                <w:b/>
                <w:sz w:val="16"/>
              </w:rPr>
            </w:pPr>
            <w:r>
              <w:rPr>
                <w:rFonts w:ascii="Calibri"/>
                <w:b/>
                <w:w w:val="105"/>
                <w:sz w:val="16"/>
              </w:rPr>
              <w:t>8,809</w:t>
            </w: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before="17"/>
              <w:ind w:right="31"/>
              <w:rPr>
                <w:rFonts w:ascii="Calibri"/>
                <w:b/>
                <w:sz w:val="16"/>
              </w:rPr>
            </w:pPr>
            <w:r>
              <w:rPr>
                <w:rFonts w:ascii="Calibri"/>
                <w:b/>
                <w:w w:val="105"/>
                <w:sz w:val="16"/>
              </w:rPr>
              <w:t>62.4</w:t>
            </w: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before="17"/>
              <w:ind w:right="30"/>
              <w:rPr>
                <w:rFonts w:ascii="Calibri"/>
                <w:b/>
                <w:sz w:val="16"/>
              </w:rPr>
            </w:pPr>
            <w:r>
              <w:rPr>
                <w:rFonts w:ascii="Calibri"/>
                <w:b/>
                <w:w w:val="105"/>
                <w:sz w:val="16"/>
              </w:rPr>
              <w:t>73.6</w:t>
            </w:r>
          </w:p>
        </w:tc>
      </w:tr>
    </w:tbl>
    <w:p>
      <w:pPr>
        <w:pStyle w:val="BodyText"/>
        <w:spacing w:before="3"/>
        <w:rPr>
          <w:rFonts w:ascii="Calibri"/>
          <w:b/>
          <w:sz w:val="19"/>
        </w:rPr>
      </w:pPr>
    </w:p>
    <w:p>
      <w:pPr>
        <w:spacing w:line="249" w:lineRule="auto" w:before="0"/>
        <w:ind w:left="110" w:right="575" w:firstLine="0"/>
        <w:jc w:val="left"/>
        <w:rPr>
          <w:sz w:val="15"/>
        </w:rPr>
      </w:pPr>
      <w:r>
        <w:rPr>
          <w:w w:val="105"/>
          <w:sz w:val="15"/>
        </w:rPr>
        <w:t>Sources:</w:t>
      </w:r>
      <w:r>
        <w:rPr>
          <w:spacing w:val="-9"/>
          <w:w w:val="105"/>
          <w:sz w:val="15"/>
        </w:rPr>
        <w:t> </w:t>
      </w:r>
      <w:r>
        <w:rPr>
          <w:w w:val="105"/>
          <w:sz w:val="15"/>
        </w:rPr>
        <w:t>'The</w:t>
      </w:r>
      <w:r>
        <w:rPr>
          <w:spacing w:val="-8"/>
          <w:w w:val="105"/>
          <w:sz w:val="15"/>
        </w:rPr>
        <w:t> </w:t>
      </w:r>
      <w:r>
        <w:rPr>
          <w:w w:val="105"/>
          <w:sz w:val="15"/>
        </w:rPr>
        <w:t>Bankers'</w:t>
      </w:r>
      <w:r>
        <w:rPr>
          <w:spacing w:val="-7"/>
          <w:w w:val="105"/>
          <w:sz w:val="15"/>
        </w:rPr>
        <w:t> </w:t>
      </w:r>
      <w:r>
        <w:rPr>
          <w:w w:val="105"/>
          <w:sz w:val="15"/>
        </w:rPr>
        <w:t>Almanac</w:t>
      </w:r>
      <w:r>
        <w:rPr>
          <w:spacing w:val="-9"/>
          <w:w w:val="105"/>
          <w:sz w:val="15"/>
        </w:rPr>
        <w:t> </w:t>
      </w:r>
      <w:r>
        <w:rPr>
          <w:w w:val="105"/>
          <w:sz w:val="15"/>
        </w:rPr>
        <w:t>and</w:t>
      </w:r>
      <w:r>
        <w:rPr>
          <w:spacing w:val="-6"/>
          <w:w w:val="105"/>
          <w:sz w:val="15"/>
        </w:rPr>
        <w:t> </w:t>
      </w:r>
      <w:r>
        <w:rPr>
          <w:w w:val="105"/>
          <w:sz w:val="15"/>
        </w:rPr>
        <w:t>Year</w:t>
      </w:r>
      <w:r>
        <w:rPr>
          <w:spacing w:val="-7"/>
          <w:w w:val="105"/>
          <w:sz w:val="15"/>
        </w:rPr>
        <w:t> </w:t>
      </w:r>
      <w:r>
        <w:rPr>
          <w:w w:val="105"/>
          <w:sz w:val="15"/>
        </w:rPr>
        <w:t>Book</w:t>
      </w:r>
      <w:r>
        <w:rPr>
          <w:spacing w:val="-8"/>
          <w:w w:val="105"/>
          <w:sz w:val="15"/>
        </w:rPr>
        <w:t> </w:t>
      </w:r>
      <w:r>
        <w:rPr>
          <w:w w:val="105"/>
          <w:sz w:val="15"/>
        </w:rPr>
        <w:t>1961-62',</w:t>
      </w:r>
      <w:r>
        <w:rPr>
          <w:spacing w:val="-8"/>
          <w:w w:val="105"/>
          <w:sz w:val="15"/>
        </w:rPr>
        <w:t> </w:t>
      </w:r>
      <w:r>
        <w:rPr>
          <w:w w:val="105"/>
          <w:sz w:val="15"/>
        </w:rPr>
        <w:t>Federal</w:t>
      </w:r>
      <w:r>
        <w:rPr>
          <w:spacing w:val="-8"/>
          <w:w w:val="105"/>
          <w:sz w:val="15"/>
        </w:rPr>
        <w:t> </w:t>
      </w:r>
      <w:r>
        <w:rPr>
          <w:w w:val="105"/>
          <w:sz w:val="15"/>
        </w:rPr>
        <w:t>Reserve</w:t>
      </w:r>
      <w:r>
        <w:rPr>
          <w:spacing w:val="-7"/>
          <w:w w:val="105"/>
          <w:sz w:val="15"/>
        </w:rPr>
        <w:t> </w:t>
      </w:r>
      <w:r>
        <w:rPr>
          <w:w w:val="105"/>
          <w:sz w:val="15"/>
        </w:rPr>
        <w:t>System</w:t>
      </w:r>
      <w:r>
        <w:rPr>
          <w:spacing w:val="-10"/>
          <w:w w:val="105"/>
          <w:sz w:val="15"/>
        </w:rPr>
        <w:t> </w:t>
      </w:r>
      <w:r>
        <w:rPr>
          <w:w w:val="105"/>
          <w:sz w:val="15"/>
        </w:rPr>
        <w:t>and</w:t>
      </w:r>
      <w:r>
        <w:rPr>
          <w:spacing w:val="-7"/>
          <w:w w:val="105"/>
          <w:sz w:val="15"/>
        </w:rPr>
        <w:t> </w:t>
      </w:r>
      <w:r>
        <w:rPr>
          <w:w w:val="105"/>
          <w:sz w:val="15"/>
        </w:rPr>
        <w:t>US</w:t>
      </w:r>
      <w:r>
        <w:rPr>
          <w:spacing w:val="-7"/>
          <w:w w:val="105"/>
          <w:sz w:val="15"/>
        </w:rPr>
        <w:t> </w:t>
      </w:r>
      <w:r>
        <w:rPr>
          <w:w w:val="105"/>
          <w:sz w:val="15"/>
        </w:rPr>
        <w:t>Bureau</w:t>
      </w:r>
      <w:r>
        <w:rPr>
          <w:spacing w:val="-7"/>
          <w:w w:val="105"/>
          <w:sz w:val="15"/>
        </w:rPr>
        <w:t> </w:t>
      </w:r>
      <w:r>
        <w:rPr>
          <w:w w:val="105"/>
          <w:sz w:val="15"/>
        </w:rPr>
        <w:t>of</w:t>
      </w:r>
      <w:r>
        <w:rPr>
          <w:spacing w:val="-8"/>
          <w:w w:val="105"/>
          <w:sz w:val="15"/>
        </w:rPr>
        <w:t> </w:t>
      </w:r>
      <w:r>
        <w:rPr>
          <w:w w:val="105"/>
          <w:sz w:val="15"/>
        </w:rPr>
        <w:t>Economic</w:t>
      </w:r>
      <w:r>
        <w:rPr>
          <w:spacing w:val="-7"/>
          <w:w w:val="105"/>
          <w:sz w:val="15"/>
        </w:rPr>
        <w:t> </w:t>
      </w:r>
      <w:r>
        <w:rPr>
          <w:w w:val="105"/>
          <w:sz w:val="15"/>
        </w:rPr>
        <w:t>Analysis</w:t>
      </w:r>
      <w:r>
        <w:rPr>
          <w:spacing w:val="-10"/>
          <w:w w:val="105"/>
          <w:sz w:val="15"/>
        </w:rPr>
        <w:t> </w:t>
      </w:r>
      <w:r>
        <w:rPr>
          <w:w w:val="105"/>
          <w:sz w:val="15"/>
        </w:rPr>
        <w:t>and</w:t>
      </w:r>
      <w:r>
        <w:rPr>
          <w:spacing w:val="-6"/>
          <w:w w:val="105"/>
          <w:sz w:val="15"/>
        </w:rPr>
        <w:t> </w:t>
      </w:r>
      <w:r>
        <w:rPr>
          <w:w w:val="105"/>
          <w:sz w:val="15"/>
        </w:rPr>
        <w:t>Janicki H P and Prescott E S</w:t>
      </w:r>
      <w:r>
        <w:rPr>
          <w:spacing w:val="-6"/>
          <w:w w:val="105"/>
          <w:sz w:val="15"/>
        </w:rPr>
        <w:t> </w:t>
      </w:r>
      <w:r>
        <w:rPr>
          <w:w w:val="105"/>
          <w:sz w:val="15"/>
        </w:rPr>
        <w:t>(2006).</w:t>
      </w:r>
    </w:p>
    <w:p>
      <w:pPr>
        <w:pStyle w:val="ListParagraph"/>
        <w:numPr>
          <w:ilvl w:val="0"/>
          <w:numId w:val="4"/>
        </w:numPr>
        <w:tabs>
          <w:tab w:pos="323" w:val="left" w:leader="none"/>
        </w:tabs>
        <w:spacing w:line="170" w:lineRule="exact" w:before="0" w:after="0"/>
        <w:ind w:left="322" w:right="0" w:hanging="213"/>
        <w:jc w:val="left"/>
        <w:rPr>
          <w:sz w:val="15"/>
        </w:rPr>
      </w:pPr>
      <w:r>
        <w:rPr>
          <w:w w:val="105"/>
          <w:sz w:val="15"/>
        </w:rPr>
        <w:t>Data as at end-Q2</w:t>
      </w:r>
      <w:r>
        <w:rPr>
          <w:spacing w:val="-4"/>
          <w:w w:val="105"/>
          <w:sz w:val="15"/>
        </w:rPr>
        <w:t> </w:t>
      </w:r>
      <w:r>
        <w:rPr>
          <w:w w:val="105"/>
          <w:sz w:val="15"/>
        </w:rPr>
        <w:t>2010.</w:t>
      </w:r>
    </w:p>
    <w:p>
      <w:pPr>
        <w:pStyle w:val="ListParagraph"/>
        <w:numPr>
          <w:ilvl w:val="0"/>
          <w:numId w:val="4"/>
        </w:numPr>
        <w:tabs>
          <w:tab w:pos="330" w:val="left" w:leader="none"/>
        </w:tabs>
        <w:spacing w:line="240" w:lineRule="auto" w:before="7" w:after="0"/>
        <w:ind w:left="329" w:right="0" w:hanging="220"/>
        <w:jc w:val="left"/>
        <w:rPr>
          <w:sz w:val="15"/>
        </w:rPr>
      </w:pPr>
      <w:r>
        <w:rPr>
          <w:w w:val="105"/>
          <w:sz w:val="15"/>
        </w:rPr>
        <w:t>Total</w:t>
      </w:r>
      <w:r>
        <w:rPr>
          <w:spacing w:val="-3"/>
          <w:w w:val="105"/>
          <w:sz w:val="15"/>
        </w:rPr>
        <w:t> </w:t>
      </w:r>
      <w:r>
        <w:rPr>
          <w:w w:val="105"/>
          <w:sz w:val="15"/>
        </w:rPr>
        <w:t>assets</w:t>
      </w:r>
      <w:r>
        <w:rPr>
          <w:spacing w:val="-4"/>
          <w:w w:val="105"/>
          <w:sz w:val="15"/>
        </w:rPr>
        <w:t> </w:t>
      </w:r>
      <w:r>
        <w:rPr>
          <w:w w:val="105"/>
          <w:sz w:val="15"/>
        </w:rPr>
        <w:t>of</w:t>
      </w:r>
      <w:r>
        <w:rPr>
          <w:spacing w:val="-3"/>
          <w:w w:val="105"/>
          <w:sz w:val="15"/>
        </w:rPr>
        <w:t> </w:t>
      </w:r>
      <w:r>
        <w:rPr>
          <w:w w:val="105"/>
          <w:sz w:val="15"/>
        </w:rPr>
        <w:t>firm</w:t>
      </w:r>
      <w:r>
        <w:rPr>
          <w:spacing w:val="-5"/>
          <w:w w:val="105"/>
          <w:sz w:val="15"/>
        </w:rPr>
        <w:t> </w:t>
      </w:r>
      <w:r>
        <w:rPr>
          <w:w w:val="105"/>
          <w:sz w:val="15"/>
        </w:rPr>
        <w:t>as</w:t>
      </w:r>
      <w:r>
        <w:rPr>
          <w:spacing w:val="-5"/>
          <w:w w:val="105"/>
          <w:sz w:val="15"/>
        </w:rPr>
        <w:t> </w:t>
      </w:r>
      <w:r>
        <w:rPr>
          <w:w w:val="105"/>
          <w:sz w:val="15"/>
        </w:rPr>
        <w:t>a</w:t>
      </w:r>
      <w:r>
        <w:rPr>
          <w:spacing w:val="-1"/>
          <w:w w:val="105"/>
          <w:sz w:val="15"/>
        </w:rPr>
        <w:t> </w:t>
      </w:r>
      <w:r>
        <w:rPr>
          <w:w w:val="105"/>
          <w:sz w:val="15"/>
        </w:rPr>
        <w:t>percentage</w:t>
      </w:r>
      <w:r>
        <w:rPr>
          <w:spacing w:val="-3"/>
          <w:w w:val="105"/>
          <w:sz w:val="15"/>
        </w:rPr>
        <w:t> </w:t>
      </w:r>
      <w:r>
        <w:rPr>
          <w:w w:val="105"/>
          <w:sz w:val="15"/>
        </w:rPr>
        <w:t>of</w:t>
      </w:r>
      <w:r>
        <w:rPr>
          <w:spacing w:val="-4"/>
          <w:w w:val="105"/>
          <w:sz w:val="15"/>
        </w:rPr>
        <w:t> </w:t>
      </w:r>
      <w:r>
        <w:rPr>
          <w:w w:val="105"/>
          <w:sz w:val="15"/>
        </w:rPr>
        <w:t>total</w:t>
      </w:r>
      <w:r>
        <w:rPr>
          <w:spacing w:val="-3"/>
          <w:w w:val="105"/>
          <w:sz w:val="15"/>
        </w:rPr>
        <w:t> </w:t>
      </w:r>
      <w:r>
        <w:rPr>
          <w:w w:val="105"/>
          <w:sz w:val="15"/>
        </w:rPr>
        <w:t>domestically-owned</w:t>
      </w:r>
      <w:r>
        <w:rPr>
          <w:spacing w:val="-2"/>
          <w:w w:val="105"/>
          <w:sz w:val="15"/>
        </w:rPr>
        <w:t> </w:t>
      </w:r>
      <w:r>
        <w:rPr>
          <w:w w:val="105"/>
          <w:sz w:val="15"/>
        </w:rPr>
        <w:t>banks'</w:t>
      </w:r>
      <w:r>
        <w:rPr>
          <w:spacing w:val="1"/>
          <w:w w:val="105"/>
          <w:sz w:val="15"/>
        </w:rPr>
        <w:t> </w:t>
      </w:r>
      <w:r>
        <w:rPr>
          <w:w w:val="105"/>
          <w:sz w:val="15"/>
        </w:rPr>
        <w:t>assets,</w:t>
      </w:r>
      <w:r>
        <w:rPr>
          <w:spacing w:val="-2"/>
          <w:w w:val="105"/>
          <w:sz w:val="15"/>
        </w:rPr>
        <w:t> </w:t>
      </w:r>
      <w:r>
        <w:rPr>
          <w:w w:val="105"/>
          <w:sz w:val="15"/>
        </w:rPr>
        <w:t>on</w:t>
      </w:r>
      <w:r>
        <w:rPr>
          <w:spacing w:val="-3"/>
          <w:w w:val="105"/>
          <w:sz w:val="15"/>
        </w:rPr>
        <w:t> </w:t>
      </w:r>
      <w:r>
        <w:rPr>
          <w:w w:val="105"/>
          <w:sz w:val="15"/>
        </w:rPr>
        <w:t>a</w:t>
      </w:r>
      <w:r>
        <w:rPr>
          <w:spacing w:val="-3"/>
          <w:w w:val="105"/>
          <w:sz w:val="15"/>
        </w:rPr>
        <w:t> </w:t>
      </w:r>
      <w:r>
        <w:rPr>
          <w:w w:val="105"/>
          <w:sz w:val="15"/>
        </w:rPr>
        <w:t>consolidated</w:t>
      </w:r>
      <w:r>
        <w:rPr>
          <w:spacing w:val="-2"/>
          <w:w w:val="105"/>
          <w:sz w:val="15"/>
        </w:rPr>
        <w:t> </w:t>
      </w:r>
      <w:r>
        <w:rPr>
          <w:w w:val="105"/>
          <w:sz w:val="15"/>
        </w:rPr>
        <w:t>basis.</w:t>
      </w:r>
    </w:p>
    <w:p>
      <w:pPr>
        <w:pStyle w:val="ListParagraph"/>
        <w:numPr>
          <w:ilvl w:val="0"/>
          <w:numId w:val="4"/>
        </w:numPr>
        <w:tabs>
          <w:tab w:pos="323" w:val="left" w:leader="none"/>
        </w:tabs>
        <w:spacing w:line="240" w:lineRule="auto" w:before="7" w:after="0"/>
        <w:ind w:left="322" w:right="0" w:hanging="213"/>
        <w:jc w:val="left"/>
        <w:rPr>
          <w:sz w:val="15"/>
        </w:rPr>
      </w:pPr>
      <w:r>
        <w:rPr>
          <w:w w:val="105"/>
          <w:sz w:val="15"/>
        </w:rPr>
        <w:t>Banking sector data based on FDIC data for insured commercial</w:t>
      </w:r>
      <w:r>
        <w:rPr>
          <w:spacing w:val="-9"/>
          <w:w w:val="105"/>
          <w:sz w:val="15"/>
        </w:rPr>
        <w:t> </w:t>
      </w:r>
      <w:r>
        <w:rPr>
          <w:w w:val="105"/>
          <w:sz w:val="15"/>
        </w:rPr>
        <w:t>banks.</w:t>
      </w:r>
    </w:p>
    <w:p>
      <w:pPr>
        <w:pStyle w:val="ListParagraph"/>
        <w:numPr>
          <w:ilvl w:val="0"/>
          <w:numId w:val="4"/>
        </w:numPr>
        <w:tabs>
          <w:tab w:pos="331" w:val="left" w:leader="none"/>
        </w:tabs>
        <w:spacing w:line="240" w:lineRule="auto" w:before="6" w:after="0"/>
        <w:ind w:left="330" w:right="0" w:hanging="221"/>
        <w:jc w:val="left"/>
        <w:rPr>
          <w:sz w:val="15"/>
        </w:rPr>
      </w:pPr>
      <w:r>
        <w:rPr>
          <w:w w:val="105"/>
          <w:sz w:val="15"/>
        </w:rPr>
        <w:t>GDP data as at</w:t>
      </w:r>
      <w:r>
        <w:rPr>
          <w:spacing w:val="-5"/>
          <w:w w:val="105"/>
          <w:sz w:val="15"/>
        </w:rPr>
        <w:t> </w:t>
      </w:r>
      <w:r>
        <w:rPr>
          <w:w w:val="105"/>
          <w:sz w:val="15"/>
        </w:rPr>
        <w:t>end-2009.</w:t>
      </w:r>
    </w:p>
    <w:p>
      <w:pPr>
        <w:pStyle w:val="ListParagraph"/>
        <w:numPr>
          <w:ilvl w:val="0"/>
          <w:numId w:val="4"/>
        </w:numPr>
        <w:tabs>
          <w:tab w:pos="323" w:val="left" w:leader="none"/>
        </w:tabs>
        <w:spacing w:line="240" w:lineRule="auto" w:before="7" w:after="0"/>
        <w:ind w:left="322" w:right="0" w:hanging="213"/>
        <w:jc w:val="left"/>
        <w:rPr>
          <w:sz w:val="15"/>
        </w:rPr>
      </w:pPr>
      <w:r>
        <w:rPr>
          <w:w w:val="105"/>
          <w:sz w:val="15"/>
        </w:rPr>
        <w:t>Data for</w:t>
      </w:r>
      <w:r>
        <w:rPr>
          <w:spacing w:val="-2"/>
          <w:w w:val="105"/>
          <w:sz w:val="15"/>
        </w:rPr>
        <w:t> </w:t>
      </w:r>
      <w:r>
        <w:rPr>
          <w:w w:val="105"/>
          <w:sz w:val="15"/>
        </w:rPr>
        <w:t>1961.</w:t>
      </w:r>
    </w:p>
    <w:p>
      <w:pPr>
        <w:spacing w:after="0" w:line="240" w:lineRule="auto"/>
        <w:jc w:val="left"/>
        <w:rPr>
          <w:sz w:val="15"/>
        </w:rPr>
        <w:sectPr>
          <w:pgSz w:w="11900" w:h="16840"/>
          <w:pgMar w:header="1447" w:footer="0" w:top="1660" w:bottom="280" w:left="1640" w:right="1220"/>
        </w:sectPr>
      </w:pPr>
    </w:p>
    <w:p>
      <w:pPr>
        <w:pStyle w:val="BodyText"/>
        <w:spacing w:before="1"/>
        <w:rPr>
          <w:sz w:val="29"/>
        </w:rPr>
      </w:pPr>
    </w:p>
    <w:p>
      <w:pPr>
        <w:spacing w:before="121"/>
        <w:ind w:left="110" w:right="0" w:firstLine="0"/>
        <w:jc w:val="left"/>
        <w:rPr>
          <w:b/>
          <w:sz w:val="21"/>
        </w:rPr>
      </w:pPr>
      <w:r>
        <w:rPr>
          <w:b/>
          <w:sz w:val="21"/>
        </w:rPr>
        <w:t>Table 3: Spreads on 5-year senior unsecured debt for large US and UK commercial banks</w:t>
      </w:r>
      <w:r>
        <w:rPr>
          <w:b/>
          <w:sz w:val="21"/>
          <w:vertAlign w:val="superscript"/>
        </w:rPr>
        <w:t>(a)(b)</w:t>
      </w:r>
    </w:p>
    <w:p>
      <w:pPr>
        <w:pStyle w:val="BodyText"/>
        <w:spacing w:before="4" w:after="1"/>
        <w:rPr>
          <w:b/>
          <w:sz w:val="20"/>
        </w:rPr>
      </w:pPr>
    </w:p>
    <w:tbl>
      <w:tblPr>
        <w:tblW w:w="0" w:type="auto"/>
        <w:jc w:val="left"/>
        <w:tblInd w:w="155"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CellMar>
          <w:top w:w="0" w:type="dxa"/>
          <w:left w:w="0" w:type="dxa"/>
          <w:bottom w:w="0" w:type="dxa"/>
          <w:right w:w="0" w:type="dxa"/>
        </w:tblCellMar>
        <w:tblLook w:val="01E0"/>
      </w:tblPr>
      <w:tblGrid>
        <w:gridCol w:w="2663"/>
        <w:gridCol w:w="732"/>
        <w:gridCol w:w="679"/>
        <w:gridCol w:w="679"/>
        <w:gridCol w:w="679"/>
        <w:gridCol w:w="987"/>
        <w:gridCol w:w="986"/>
        <w:gridCol w:w="1358"/>
      </w:tblGrid>
      <w:tr>
        <w:trPr>
          <w:trHeight w:val="381" w:hRule="atLeast"/>
        </w:trPr>
        <w:tc>
          <w:tcPr>
            <w:tcW w:w="2663" w:type="dxa"/>
            <w:vMerge w:val="restart"/>
            <w:tcBorders>
              <w:top w:val="nil"/>
              <w:left w:val="nil"/>
              <w:bottom w:val="nil"/>
            </w:tcBorders>
            <w:shd w:val="clear" w:color="auto" w:fill="000000"/>
          </w:tcPr>
          <w:p>
            <w:pPr>
              <w:pStyle w:val="TableParagraph"/>
              <w:spacing w:before="0"/>
              <w:ind w:left="0"/>
              <w:jc w:val="left"/>
              <w:rPr>
                <w:rFonts w:ascii="Times New Roman"/>
                <w:b/>
                <w:sz w:val="14"/>
              </w:rPr>
            </w:pPr>
          </w:p>
          <w:p>
            <w:pPr>
              <w:pStyle w:val="TableParagraph"/>
              <w:spacing w:before="0"/>
              <w:ind w:left="0"/>
              <w:jc w:val="left"/>
              <w:rPr>
                <w:rFonts w:ascii="Times New Roman"/>
                <w:b/>
                <w:sz w:val="12"/>
              </w:rPr>
            </w:pPr>
          </w:p>
          <w:p>
            <w:pPr>
              <w:pStyle w:val="TableParagraph"/>
              <w:spacing w:before="0"/>
              <w:ind w:left="1026" w:right="1004"/>
              <w:rPr>
                <w:sz w:val="13"/>
              </w:rPr>
            </w:pPr>
            <w:r>
              <w:rPr>
                <w:color w:val="FFFFFF"/>
                <w:w w:val="105"/>
                <w:sz w:val="13"/>
              </w:rPr>
              <w:t>Institution</w:t>
            </w:r>
          </w:p>
        </w:tc>
        <w:tc>
          <w:tcPr>
            <w:tcW w:w="732" w:type="dxa"/>
            <w:vMerge w:val="restart"/>
            <w:tcBorders>
              <w:top w:val="nil"/>
              <w:bottom w:val="nil"/>
            </w:tcBorders>
            <w:shd w:val="clear" w:color="auto" w:fill="000000"/>
          </w:tcPr>
          <w:p>
            <w:pPr>
              <w:pStyle w:val="TableParagraph"/>
              <w:spacing w:before="0"/>
              <w:ind w:left="0"/>
              <w:jc w:val="left"/>
              <w:rPr>
                <w:rFonts w:ascii="Times New Roman"/>
                <w:b/>
                <w:sz w:val="16"/>
              </w:rPr>
            </w:pPr>
          </w:p>
          <w:p>
            <w:pPr>
              <w:pStyle w:val="TableParagraph"/>
              <w:spacing w:before="0"/>
              <w:ind w:left="0"/>
              <w:jc w:val="left"/>
              <w:rPr>
                <w:rFonts w:ascii="Times New Roman"/>
                <w:b/>
                <w:sz w:val="16"/>
              </w:rPr>
            </w:pPr>
          </w:p>
          <w:p>
            <w:pPr>
              <w:pStyle w:val="TableParagraph"/>
              <w:spacing w:before="133"/>
              <w:ind w:left="25"/>
              <w:jc w:val="left"/>
              <w:rPr>
                <w:sz w:val="13"/>
              </w:rPr>
            </w:pPr>
            <w:r>
              <w:rPr>
                <w:color w:val="FFFFFF"/>
                <w:w w:val="105"/>
                <w:sz w:val="13"/>
              </w:rPr>
              <w:t>Currency</w:t>
            </w:r>
            <w:r>
              <w:rPr>
                <w:color w:val="FFFFFF"/>
                <w:w w:val="105"/>
                <w:sz w:val="13"/>
                <w:vertAlign w:val="superscript"/>
              </w:rPr>
              <w:t>(c)</w:t>
            </w:r>
          </w:p>
        </w:tc>
        <w:tc>
          <w:tcPr>
            <w:tcW w:w="2037" w:type="dxa"/>
            <w:gridSpan w:val="3"/>
            <w:tcBorders>
              <w:top w:val="nil"/>
              <w:bottom w:val="nil"/>
            </w:tcBorders>
            <w:shd w:val="clear" w:color="auto" w:fill="000000"/>
          </w:tcPr>
          <w:p>
            <w:pPr>
              <w:pStyle w:val="TableParagraph"/>
              <w:spacing w:before="118"/>
              <w:ind w:left="312"/>
              <w:jc w:val="left"/>
              <w:rPr>
                <w:sz w:val="13"/>
              </w:rPr>
            </w:pPr>
            <w:r>
              <w:rPr>
                <w:color w:val="FFFFFF"/>
                <w:w w:val="105"/>
                <w:sz w:val="13"/>
              </w:rPr>
              <w:t>Spread (basis points)</w:t>
            </w:r>
            <w:r>
              <w:rPr>
                <w:color w:val="FFFFFF"/>
                <w:w w:val="105"/>
                <w:sz w:val="13"/>
                <w:vertAlign w:val="superscript"/>
              </w:rPr>
              <w:t>(d)</w:t>
            </w:r>
          </w:p>
        </w:tc>
        <w:tc>
          <w:tcPr>
            <w:tcW w:w="1973" w:type="dxa"/>
            <w:gridSpan w:val="2"/>
            <w:tcBorders>
              <w:top w:val="nil"/>
              <w:bottom w:val="nil"/>
            </w:tcBorders>
            <w:shd w:val="clear" w:color="auto" w:fill="000000"/>
          </w:tcPr>
          <w:p>
            <w:pPr>
              <w:pStyle w:val="TableParagraph"/>
              <w:spacing w:before="12"/>
              <w:ind w:left="72" w:right="54"/>
              <w:rPr>
                <w:sz w:val="13"/>
              </w:rPr>
            </w:pPr>
            <w:r>
              <w:rPr>
                <w:color w:val="FFFFFF"/>
                <w:w w:val="105"/>
                <w:sz w:val="13"/>
              </w:rPr>
              <w:t>Change to August 2010 since</w:t>
            </w:r>
          </w:p>
          <w:p>
            <w:pPr>
              <w:pStyle w:val="TableParagraph"/>
              <w:spacing w:before="31"/>
              <w:ind w:left="72" w:right="49"/>
              <w:rPr>
                <w:sz w:val="13"/>
              </w:rPr>
            </w:pPr>
            <w:r>
              <w:rPr>
                <w:color w:val="FFFFFF"/>
                <w:w w:val="105"/>
                <w:sz w:val="13"/>
              </w:rPr>
              <w:t>(basis points):</w:t>
            </w:r>
          </w:p>
        </w:tc>
        <w:tc>
          <w:tcPr>
            <w:tcW w:w="1358" w:type="dxa"/>
            <w:vMerge w:val="restart"/>
            <w:tcBorders>
              <w:top w:val="nil"/>
              <w:bottom w:val="nil"/>
              <w:right w:val="nil"/>
            </w:tcBorders>
            <w:shd w:val="clear" w:color="auto" w:fill="000000"/>
          </w:tcPr>
          <w:p>
            <w:pPr>
              <w:pStyle w:val="TableParagraph"/>
              <w:spacing w:before="106"/>
              <w:ind w:left="22" w:right="28"/>
              <w:rPr>
                <w:i/>
                <w:sz w:val="13"/>
              </w:rPr>
            </w:pPr>
            <w:r>
              <w:rPr>
                <w:i/>
                <w:color w:val="FFFFFF"/>
                <w:w w:val="105"/>
                <w:sz w:val="13"/>
              </w:rPr>
              <w:t>Memo</w:t>
            </w:r>
          </w:p>
          <w:p>
            <w:pPr>
              <w:pStyle w:val="TableParagraph"/>
              <w:spacing w:before="0"/>
              <w:ind w:left="0"/>
              <w:jc w:val="left"/>
              <w:rPr>
                <w:rFonts w:ascii="Times New Roman"/>
                <w:b/>
                <w:sz w:val="14"/>
              </w:rPr>
            </w:pPr>
          </w:p>
          <w:p>
            <w:pPr>
              <w:pStyle w:val="TableParagraph"/>
              <w:spacing w:before="6"/>
              <w:ind w:left="0"/>
              <w:jc w:val="left"/>
              <w:rPr>
                <w:rFonts w:ascii="Times New Roman"/>
                <w:b/>
                <w:sz w:val="15"/>
              </w:rPr>
            </w:pPr>
          </w:p>
          <w:p>
            <w:pPr>
              <w:pStyle w:val="TableParagraph"/>
              <w:tabs>
                <w:tab w:pos="690" w:val="left" w:leader="none"/>
              </w:tabs>
              <w:spacing w:before="0"/>
              <w:ind w:left="22"/>
              <w:rPr>
                <w:sz w:val="13"/>
              </w:rPr>
            </w:pPr>
            <w:r>
              <w:rPr>
                <w:color w:val="FFFFFF"/>
                <w:w w:val="105"/>
                <w:sz w:val="13"/>
              </w:rPr>
              <w:t>Max</w:t>
              <w:tab/>
              <w:t>Date</w:t>
            </w:r>
          </w:p>
        </w:tc>
      </w:tr>
      <w:tr>
        <w:trPr>
          <w:trHeight w:val="393" w:hRule="atLeast"/>
        </w:trPr>
        <w:tc>
          <w:tcPr>
            <w:tcW w:w="2663" w:type="dxa"/>
            <w:vMerge/>
            <w:tcBorders>
              <w:top w:val="nil"/>
              <w:left w:val="nil"/>
              <w:bottom w:val="nil"/>
            </w:tcBorders>
            <w:shd w:val="clear" w:color="auto" w:fill="000000"/>
          </w:tcPr>
          <w:p>
            <w:pPr>
              <w:rPr>
                <w:sz w:val="2"/>
                <w:szCs w:val="2"/>
              </w:rPr>
            </w:pPr>
          </w:p>
        </w:tc>
        <w:tc>
          <w:tcPr>
            <w:tcW w:w="732" w:type="dxa"/>
            <w:vMerge/>
            <w:tcBorders>
              <w:top w:val="nil"/>
              <w:bottom w:val="nil"/>
            </w:tcBorders>
            <w:shd w:val="clear" w:color="auto" w:fill="000000"/>
          </w:tcPr>
          <w:p>
            <w:pPr>
              <w:rPr>
                <w:sz w:val="2"/>
                <w:szCs w:val="2"/>
              </w:rPr>
            </w:pPr>
          </w:p>
        </w:tc>
        <w:tc>
          <w:tcPr>
            <w:tcW w:w="679" w:type="dxa"/>
            <w:tcBorders>
              <w:top w:val="nil"/>
              <w:bottom w:val="nil"/>
            </w:tcBorders>
            <w:shd w:val="clear" w:color="auto" w:fill="000000"/>
          </w:tcPr>
          <w:p>
            <w:pPr>
              <w:pStyle w:val="TableParagraph"/>
              <w:spacing w:before="7"/>
              <w:ind w:left="0"/>
              <w:jc w:val="left"/>
              <w:rPr>
                <w:rFonts w:ascii="Times New Roman"/>
                <w:b/>
                <w:sz w:val="18"/>
              </w:rPr>
            </w:pPr>
          </w:p>
          <w:p>
            <w:pPr>
              <w:pStyle w:val="TableParagraph"/>
              <w:spacing w:before="0"/>
              <w:ind w:left="98" w:right="74"/>
              <w:rPr>
                <w:sz w:val="13"/>
              </w:rPr>
            </w:pPr>
            <w:r>
              <w:rPr>
                <w:color w:val="FFFFFF"/>
                <w:w w:val="105"/>
                <w:sz w:val="13"/>
              </w:rPr>
              <w:t>Jan-07</w:t>
            </w:r>
          </w:p>
        </w:tc>
        <w:tc>
          <w:tcPr>
            <w:tcW w:w="679" w:type="dxa"/>
            <w:tcBorders>
              <w:top w:val="nil"/>
              <w:bottom w:val="nil"/>
            </w:tcBorders>
            <w:shd w:val="clear" w:color="auto" w:fill="000000"/>
          </w:tcPr>
          <w:p>
            <w:pPr>
              <w:pStyle w:val="TableParagraph"/>
              <w:spacing w:before="7"/>
              <w:ind w:left="0"/>
              <w:jc w:val="left"/>
              <w:rPr>
                <w:rFonts w:ascii="Times New Roman"/>
                <w:b/>
                <w:sz w:val="18"/>
              </w:rPr>
            </w:pPr>
          </w:p>
          <w:p>
            <w:pPr>
              <w:pStyle w:val="TableParagraph"/>
              <w:spacing w:before="0"/>
              <w:ind w:left="98" w:right="84"/>
              <w:rPr>
                <w:sz w:val="13"/>
              </w:rPr>
            </w:pPr>
            <w:r>
              <w:rPr>
                <w:color w:val="FFFFFF"/>
                <w:w w:val="105"/>
                <w:sz w:val="13"/>
              </w:rPr>
              <w:t>Oct-08</w:t>
            </w:r>
          </w:p>
        </w:tc>
        <w:tc>
          <w:tcPr>
            <w:tcW w:w="679" w:type="dxa"/>
            <w:tcBorders>
              <w:top w:val="nil"/>
              <w:bottom w:val="nil"/>
            </w:tcBorders>
            <w:shd w:val="clear" w:color="auto" w:fill="000000"/>
          </w:tcPr>
          <w:p>
            <w:pPr>
              <w:pStyle w:val="TableParagraph"/>
              <w:spacing w:before="7"/>
              <w:ind w:left="0"/>
              <w:jc w:val="left"/>
              <w:rPr>
                <w:rFonts w:ascii="Times New Roman"/>
                <w:b/>
                <w:sz w:val="18"/>
              </w:rPr>
            </w:pPr>
          </w:p>
          <w:p>
            <w:pPr>
              <w:pStyle w:val="TableParagraph"/>
              <w:spacing w:before="0"/>
              <w:ind w:left="98" w:right="84"/>
              <w:rPr>
                <w:sz w:val="13"/>
              </w:rPr>
            </w:pPr>
            <w:r>
              <w:rPr>
                <w:color w:val="FFFFFF"/>
                <w:w w:val="105"/>
                <w:sz w:val="13"/>
              </w:rPr>
              <w:t>Aug-10</w:t>
            </w:r>
          </w:p>
        </w:tc>
        <w:tc>
          <w:tcPr>
            <w:tcW w:w="987" w:type="dxa"/>
            <w:tcBorders>
              <w:top w:val="nil"/>
              <w:bottom w:val="nil"/>
            </w:tcBorders>
            <w:shd w:val="clear" w:color="auto" w:fill="000000"/>
          </w:tcPr>
          <w:p>
            <w:pPr>
              <w:pStyle w:val="TableParagraph"/>
              <w:spacing w:before="7"/>
              <w:ind w:left="0"/>
              <w:jc w:val="left"/>
              <w:rPr>
                <w:rFonts w:ascii="Times New Roman"/>
                <w:b/>
                <w:sz w:val="18"/>
              </w:rPr>
            </w:pPr>
          </w:p>
          <w:p>
            <w:pPr>
              <w:pStyle w:val="TableParagraph"/>
              <w:spacing w:before="0"/>
              <w:ind w:left="264" w:right="249"/>
              <w:rPr>
                <w:sz w:val="13"/>
              </w:rPr>
            </w:pPr>
            <w:r>
              <w:rPr>
                <w:color w:val="FFFFFF"/>
                <w:w w:val="105"/>
                <w:sz w:val="13"/>
              </w:rPr>
              <w:t>Jan-07</w:t>
            </w:r>
          </w:p>
        </w:tc>
        <w:tc>
          <w:tcPr>
            <w:tcW w:w="986" w:type="dxa"/>
            <w:tcBorders>
              <w:top w:val="nil"/>
              <w:bottom w:val="nil"/>
            </w:tcBorders>
            <w:shd w:val="clear" w:color="auto" w:fill="000000"/>
          </w:tcPr>
          <w:p>
            <w:pPr>
              <w:pStyle w:val="TableParagraph"/>
              <w:spacing w:before="7"/>
              <w:ind w:left="0"/>
              <w:jc w:val="left"/>
              <w:rPr>
                <w:rFonts w:ascii="Times New Roman"/>
                <w:b/>
                <w:sz w:val="18"/>
              </w:rPr>
            </w:pPr>
          </w:p>
          <w:p>
            <w:pPr>
              <w:pStyle w:val="TableParagraph"/>
              <w:spacing w:before="0"/>
              <w:ind w:left="0" w:right="263"/>
              <w:jc w:val="right"/>
              <w:rPr>
                <w:sz w:val="13"/>
              </w:rPr>
            </w:pPr>
            <w:r>
              <w:rPr>
                <w:color w:val="FFFFFF"/>
                <w:w w:val="105"/>
                <w:sz w:val="13"/>
              </w:rPr>
              <w:t>Oct-08</w:t>
            </w:r>
          </w:p>
        </w:tc>
        <w:tc>
          <w:tcPr>
            <w:tcW w:w="1358" w:type="dxa"/>
            <w:vMerge/>
            <w:tcBorders>
              <w:top w:val="nil"/>
              <w:bottom w:val="nil"/>
              <w:right w:val="nil"/>
            </w:tcBorders>
            <w:shd w:val="clear" w:color="auto" w:fill="000000"/>
          </w:tcPr>
          <w:p>
            <w:pPr>
              <w:rPr>
                <w:sz w:val="2"/>
                <w:szCs w:val="2"/>
              </w:rPr>
            </w:pPr>
          </w:p>
        </w:tc>
      </w:tr>
      <w:tr>
        <w:trPr>
          <w:trHeight w:val="165" w:hRule="atLeast"/>
        </w:trPr>
        <w:tc>
          <w:tcPr>
            <w:tcW w:w="2663" w:type="dxa"/>
            <w:tcBorders>
              <w:top w:val="nil"/>
              <w:left w:val="single" w:sz="6" w:space="0" w:color="000000"/>
              <w:bottom w:val="nil"/>
              <w:right w:val="single" w:sz="6" w:space="0" w:color="000000"/>
            </w:tcBorders>
          </w:tcPr>
          <w:p>
            <w:pPr>
              <w:pStyle w:val="TableParagraph"/>
              <w:spacing w:line="145" w:lineRule="exact" w:before="0"/>
              <w:ind w:left="120"/>
              <w:jc w:val="left"/>
              <w:rPr>
                <w:i/>
                <w:sz w:val="13"/>
              </w:rPr>
            </w:pPr>
            <w:r>
              <w:rPr>
                <w:i/>
                <w:w w:val="105"/>
                <w:sz w:val="13"/>
              </w:rPr>
              <w:t>UK bank s</w:t>
            </w:r>
          </w:p>
        </w:tc>
        <w:tc>
          <w:tcPr>
            <w:tcW w:w="732" w:type="dxa"/>
            <w:tcBorders>
              <w:top w:val="nil"/>
              <w:left w:val="single" w:sz="6" w:space="0" w:color="000000"/>
              <w:bottom w:val="nil"/>
              <w:right w:val="single" w:sz="6" w:space="0" w:color="000000"/>
            </w:tcBorders>
          </w:tcPr>
          <w:p>
            <w:pPr>
              <w:pStyle w:val="TableParagraph"/>
              <w:spacing w:before="0"/>
              <w:ind w:left="0"/>
              <w:jc w:val="left"/>
              <w:rPr>
                <w:rFonts w:ascii="Times New Roman"/>
                <w:sz w:val="10"/>
              </w:rPr>
            </w:pPr>
          </w:p>
        </w:tc>
        <w:tc>
          <w:tcPr>
            <w:tcW w:w="679" w:type="dxa"/>
            <w:tcBorders>
              <w:top w:val="nil"/>
              <w:left w:val="single" w:sz="6" w:space="0" w:color="000000"/>
              <w:bottom w:val="nil"/>
              <w:right w:val="single" w:sz="6" w:space="0" w:color="000000"/>
            </w:tcBorders>
          </w:tcPr>
          <w:p>
            <w:pPr>
              <w:pStyle w:val="TableParagraph"/>
              <w:spacing w:before="0"/>
              <w:ind w:left="0"/>
              <w:jc w:val="left"/>
              <w:rPr>
                <w:rFonts w:ascii="Times New Roman"/>
                <w:sz w:val="10"/>
              </w:rPr>
            </w:pPr>
          </w:p>
        </w:tc>
        <w:tc>
          <w:tcPr>
            <w:tcW w:w="679" w:type="dxa"/>
            <w:tcBorders>
              <w:top w:val="nil"/>
              <w:left w:val="single" w:sz="6" w:space="0" w:color="000000"/>
              <w:bottom w:val="nil"/>
              <w:right w:val="single" w:sz="6" w:space="0" w:color="000000"/>
            </w:tcBorders>
          </w:tcPr>
          <w:p>
            <w:pPr>
              <w:pStyle w:val="TableParagraph"/>
              <w:spacing w:before="0"/>
              <w:ind w:left="0"/>
              <w:jc w:val="left"/>
              <w:rPr>
                <w:rFonts w:ascii="Times New Roman"/>
                <w:sz w:val="10"/>
              </w:rPr>
            </w:pPr>
          </w:p>
        </w:tc>
        <w:tc>
          <w:tcPr>
            <w:tcW w:w="679" w:type="dxa"/>
            <w:tcBorders>
              <w:top w:val="nil"/>
              <w:left w:val="single" w:sz="6" w:space="0" w:color="000000"/>
              <w:bottom w:val="nil"/>
              <w:right w:val="single" w:sz="6" w:space="0" w:color="000000"/>
            </w:tcBorders>
          </w:tcPr>
          <w:p>
            <w:pPr>
              <w:pStyle w:val="TableParagraph"/>
              <w:spacing w:before="0"/>
              <w:ind w:left="0"/>
              <w:jc w:val="left"/>
              <w:rPr>
                <w:rFonts w:ascii="Times New Roman"/>
                <w:sz w:val="10"/>
              </w:rPr>
            </w:pPr>
          </w:p>
        </w:tc>
        <w:tc>
          <w:tcPr>
            <w:tcW w:w="987" w:type="dxa"/>
            <w:tcBorders>
              <w:top w:val="nil"/>
              <w:left w:val="single" w:sz="6" w:space="0" w:color="000000"/>
              <w:bottom w:val="nil"/>
              <w:right w:val="single" w:sz="4" w:space="0" w:color="000000"/>
            </w:tcBorders>
          </w:tcPr>
          <w:p>
            <w:pPr>
              <w:pStyle w:val="TableParagraph"/>
              <w:spacing w:before="0"/>
              <w:ind w:left="0"/>
              <w:jc w:val="left"/>
              <w:rPr>
                <w:rFonts w:ascii="Times New Roman"/>
                <w:sz w:val="10"/>
              </w:rPr>
            </w:pPr>
          </w:p>
        </w:tc>
        <w:tc>
          <w:tcPr>
            <w:tcW w:w="986" w:type="dxa"/>
            <w:tcBorders>
              <w:top w:val="nil"/>
              <w:left w:val="single" w:sz="4" w:space="0" w:color="000000"/>
              <w:bottom w:val="nil"/>
              <w:right w:val="single" w:sz="6" w:space="0" w:color="000000"/>
            </w:tcBorders>
          </w:tcPr>
          <w:p>
            <w:pPr>
              <w:pStyle w:val="TableParagraph"/>
              <w:spacing w:before="0"/>
              <w:ind w:left="0"/>
              <w:jc w:val="left"/>
              <w:rPr>
                <w:rFonts w:ascii="Times New Roman"/>
                <w:sz w:val="10"/>
              </w:rPr>
            </w:pPr>
          </w:p>
        </w:tc>
        <w:tc>
          <w:tcPr>
            <w:tcW w:w="1358" w:type="dxa"/>
            <w:tcBorders>
              <w:top w:val="nil"/>
              <w:left w:val="single" w:sz="6" w:space="0" w:color="000000"/>
              <w:bottom w:val="nil"/>
              <w:right w:val="single" w:sz="6" w:space="0" w:color="000000"/>
            </w:tcBorders>
          </w:tcPr>
          <w:p>
            <w:pPr>
              <w:pStyle w:val="TableParagraph"/>
              <w:spacing w:before="0"/>
              <w:ind w:left="0"/>
              <w:jc w:val="left"/>
              <w:rPr>
                <w:rFonts w:ascii="Times New Roman"/>
                <w:sz w:val="10"/>
              </w:rPr>
            </w:pPr>
          </w:p>
        </w:tc>
      </w:tr>
      <w:tr>
        <w:trPr>
          <w:trHeight w:val="180" w:hRule="atLeast"/>
        </w:trPr>
        <w:tc>
          <w:tcPr>
            <w:tcW w:w="2663" w:type="dxa"/>
            <w:tcBorders>
              <w:top w:val="nil"/>
              <w:left w:val="single" w:sz="6" w:space="0" w:color="000000"/>
              <w:bottom w:val="nil"/>
              <w:right w:val="single" w:sz="6" w:space="0" w:color="000000"/>
            </w:tcBorders>
          </w:tcPr>
          <w:p>
            <w:pPr>
              <w:pStyle w:val="TableParagraph"/>
              <w:spacing w:line="144" w:lineRule="exact" w:before="16"/>
              <w:ind w:left="216"/>
              <w:jc w:val="left"/>
              <w:rPr>
                <w:sz w:val="13"/>
              </w:rPr>
            </w:pPr>
            <w:r>
              <w:rPr>
                <w:w w:val="105"/>
                <w:sz w:val="13"/>
              </w:rPr>
              <w:t>RBS</w:t>
            </w:r>
          </w:p>
        </w:tc>
        <w:tc>
          <w:tcPr>
            <w:tcW w:w="732" w:type="dxa"/>
            <w:tcBorders>
              <w:top w:val="nil"/>
              <w:left w:val="single" w:sz="6" w:space="0" w:color="000000"/>
              <w:bottom w:val="nil"/>
              <w:right w:val="single" w:sz="6" w:space="0" w:color="000000"/>
            </w:tcBorders>
          </w:tcPr>
          <w:p>
            <w:pPr>
              <w:pStyle w:val="TableParagraph"/>
              <w:spacing w:line="144" w:lineRule="exact" w:before="16"/>
              <w:ind w:left="217"/>
              <w:jc w:val="left"/>
              <w:rPr>
                <w:sz w:val="13"/>
              </w:rPr>
            </w:pPr>
            <w:r>
              <w:rPr>
                <w:w w:val="105"/>
                <w:sz w:val="13"/>
              </w:rPr>
              <w:t>GBP</w:t>
            </w:r>
          </w:p>
        </w:tc>
        <w:tc>
          <w:tcPr>
            <w:tcW w:w="679" w:type="dxa"/>
            <w:tcBorders>
              <w:top w:val="nil"/>
              <w:left w:val="single" w:sz="6" w:space="0" w:color="000000"/>
              <w:bottom w:val="nil"/>
              <w:right w:val="single" w:sz="6" w:space="0" w:color="000000"/>
            </w:tcBorders>
          </w:tcPr>
          <w:p>
            <w:pPr>
              <w:pStyle w:val="TableParagraph"/>
              <w:spacing w:line="144" w:lineRule="exact" w:before="16"/>
              <w:ind w:left="98" w:right="72"/>
              <w:rPr>
                <w:sz w:val="13"/>
              </w:rPr>
            </w:pPr>
            <w:r>
              <w:rPr>
                <w:w w:val="105"/>
                <w:sz w:val="13"/>
              </w:rPr>
              <w:t>51</w:t>
            </w:r>
          </w:p>
        </w:tc>
        <w:tc>
          <w:tcPr>
            <w:tcW w:w="679" w:type="dxa"/>
            <w:tcBorders>
              <w:top w:val="nil"/>
              <w:left w:val="single" w:sz="6" w:space="0" w:color="000000"/>
              <w:bottom w:val="nil"/>
              <w:right w:val="single" w:sz="6" w:space="0" w:color="000000"/>
            </w:tcBorders>
          </w:tcPr>
          <w:p>
            <w:pPr>
              <w:pStyle w:val="TableParagraph"/>
              <w:spacing w:line="144" w:lineRule="exact" w:before="16"/>
              <w:ind w:left="98" w:right="84"/>
              <w:rPr>
                <w:sz w:val="13"/>
              </w:rPr>
            </w:pPr>
            <w:r>
              <w:rPr>
                <w:w w:val="105"/>
                <w:sz w:val="13"/>
              </w:rPr>
              <w:t>343</w:t>
            </w:r>
          </w:p>
        </w:tc>
        <w:tc>
          <w:tcPr>
            <w:tcW w:w="679" w:type="dxa"/>
            <w:tcBorders>
              <w:top w:val="nil"/>
              <w:left w:val="single" w:sz="6" w:space="0" w:color="000000"/>
              <w:bottom w:val="nil"/>
              <w:right w:val="single" w:sz="6" w:space="0" w:color="000000"/>
            </w:tcBorders>
          </w:tcPr>
          <w:p>
            <w:pPr>
              <w:pStyle w:val="TableParagraph"/>
              <w:spacing w:line="144" w:lineRule="exact" w:before="16"/>
              <w:ind w:left="98" w:right="84"/>
              <w:rPr>
                <w:sz w:val="13"/>
              </w:rPr>
            </w:pPr>
            <w:r>
              <w:rPr>
                <w:w w:val="105"/>
                <w:sz w:val="13"/>
              </w:rPr>
              <w:t>228</w:t>
            </w:r>
          </w:p>
        </w:tc>
        <w:tc>
          <w:tcPr>
            <w:tcW w:w="987" w:type="dxa"/>
            <w:tcBorders>
              <w:top w:val="nil"/>
              <w:left w:val="single" w:sz="6" w:space="0" w:color="000000"/>
              <w:bottom w:val="nil"/>
              <w:right w:val="single" w:sz="4" w:space="0" w:color="000000"/>
            </w:tcBorders>
          </w:tcPr>
          <w:p>
            <w:pPr>
              <w:pStyle w:val="TableParagraph"/>
              <w:spacing w:line="144" w:lineRule="exact" w:before="16"/>
              <w:ind w:left="363" w:right="342"/>
              <w:rPr>
                <w:sz w:val="13"/>
              </w:rPr>
            </w:pPr>
            <w:r>
              <w:rPr>
                <w:w w:val="105"/>
                <w:sz w:val="13"/>
              </w:rPr>
              <w:t>177</w:t>
            </w:r>
          </w:p>
        </w:tc>
        <w:tc>
          <w:tcPr>
            <w:tcW w:w="986" w:type="dxa"/>
            <w:tcBorders>
              <w:top w:val="nil"/>
              <w:left w:val="single" w:sz="4" w:space="0" w:color="000000"/>
              <w:bottom w:val="nil"/>
              <w:right w:val="single" w:sz="6" w:space="0" w:color="000000"/>
            </w:tcBorders>
          </w:tcPr>
          <w:p>
            <w:pPr>
              <w:pStyle w:val="TableParagraph"/>
              <w:spacing w:line="144" w:lineRule="exact" w:before="16"/>
              <w:ind w:left="0" w:right="335"/>
              <w:jc w:val="right"/>
              <w:rPr>
                <w:sz w:val="13"/>
              </w:rPr>
            </w:pPr>
            <w:r>
              <w:rPr>
                <w:w w:val="105"/>
                <w:sz w:val="13"/>
              </w:rPr>
              <w:t>-115</w:t>
            </w:r>
          </w:p>
        </w:tc>
        <w:tc>
          <w:tcPr>
            <w:tcW w:w="1358" w:type="dxa"/>
            <w:tcBorders>
              <w:top w:val="nil"/>
              <w:left w:val="single" w:sz="6" w:space="0" w:color="000000"/>
              <w:bottom w:val="nil"/>
              <w:right w:val="single" w:sz="6" w:space="0" w:color="000000"/>
            </w:tcBorders>
          </w:tcPr>
          <w:p>
            <w:pPr>
              <w:pStyle w:val="TableParagraph"/>
              <w:tabs>
                <w:tab w:pos="530" w:val="left" w:leader="none"/>
              </w:tabs>
              <w:spacing w:line="144" w:lineRule="exact" w:before="16"/>
              <w:ind w:left="0" w:right="50"/>
              <w:jc w:val="right"/>
              <w:rPr>
                <w:sz w:val="13"/>
              </w:rPr>
            </w:pPr>
            <w:r>
              <w:rPr>
                <w:w w:val="105"/>
                <w:sz w:val="13"/>
              </w:rPr>
              <w:t>404</w:t>
              <w:tab/>
            </w:r>
            <w:r>
              <w:rPr>
                <w:spacing w:val="-2"/>
                <w:w w:val="105"/>
                <w:sz w:val="13"/>
              </w:rPr>
              <w:t>08/04/09</w:t>
            </w:r>
          </w:p>
        </w:tc>
      </w:tr>
      <w:tr>
        <w:trPr>
          <w:trHeight w:val="180" w:hRule="atLeast"/>
        </w:trPr>
        <w:tc>
          <w:tcPr>
            <w:tcW w:w="2663" w:type="dxa"/>
            <w:tcBorders>
              <w:top w:val="nil"/>
              <w:left w:val="single" w:sz="6" w:space="0" w:color="000000"/>
              <w:bottom w:val="nil"/>
              <w:right w:val="single" w:sz="6" w:space="0" w:color="000000"/>
            </w:tcBorders>
          </w:tcPr>
          <w:p>
            <w:pPr>
              <w:pStyle w:val="TableParagraph"/>
              <w:spacing w:line="145" w:lineRule="exact" w:before="16"/>
              <w:ind w:left="216"/>
              <w:jc w:val="left"/>
              <w:rPr>
                <w:sz w:val="13"/>
              </w:rPr>
            </w:pPr>
            <w:r>
              <w:rPr>
                <w:w w:val="105"/>
                <w:sz w:val="13"/>
              </w:rPr>
              <w:t>Barclays</w:t>
            </w:r>
          </w:p>
        </w:tc>
        <w:tc>
          <w:tcPr>
            <w:tcW w:w="732" w:type="dxa"/>
            <w:tcBorders>
              <w:top w:val="nil"/>
              <w:left w:val="single" w:sz="6" w:space="0" w:color="000000"/>
              <w:bottom w:val="nil"/>
              <w:right w:val="single" w:sz="6" w:space="0" w:color="000000"/>
            </w:tcBorders>
          </w:tcPr>
          <w:p>
            <w:pPr>
              <w:pStyle w:val="TableParagraph"/>
              <w:spacing w:line="145" w:lineRule="exact" w:before="16"/>
              <w:ind w:left="227"/>
              <w:jc w:val="left"/>
              <w:rPr>
                <w:sz w:val="13"/>
              </w:rPr>
            </w:pPr>
            <w:r>
              <w:rPr>
                <w:w w:val="105"/>
                <w:sz w:val="13"/>
              </w:rPr>
              <w:t>EUR</w:t>
            </w:r>
          </w:p>
        </w:tc>
        <w:tc>
          <w:tcPr>
            <w:tcW w:w="679" w:type="dxa"/>
            <w:tcBorders>
              <w:top w:val="nil"/>
              <w:left w:val="single" w:sz="6" w:space="0" w:color="000000"/>
              <w:bottom w:val="nil"/>
              <w:right w:val="single" w:sz="6" w:space="0" w:color="000000"/>
            </w:tcBorders>
          </w:tcPr>
          <w:p>
            <w:pPr>
              <w:pStyle w:val="TableParagraph"/>
              <w:spacing w:line="145" w:lineRule="exact" w:before="16"/>
              <w:ind w:left="28"/>
              <w:rPr>
                <w:sz w:val="13"/>
              </w:rPr>
            </w:pPr>
            <w:r>
              <w:rPr>
                <w:w w:val="106"/>
                <w:sz w:val="13"/>
              </w:rPr>
              <w:t>-</w:t>
            </w:r>
          </w:p>
        </w:tc>
        <w:tc>
          <w:tcPr>
            <w:tcW w:w="679" w:type="dxa"/>
            <w:tcBorders>
              <w:top w:val="nil"/>
              <w:left w:val="single" w:sz="6" w:space="0" w:color="000000"/>
              <w:bottom w:val="nil"/>
              <w:right w:val="single" w:sz="6" w:space="0" w:color="000000"/>
            </w:tcBorders>
          </w:tcPr>
          <w:p>
            <w:pPr>
              <w:pStyle w:val="TableParagraph"/>
              <w:spacing w:line="145" w:lineRule="exact" w:before="16"/>
              <w:ind w:left="98" w:right="82"/>
              <w:rPr>
                <w:sz w:val="13"/>
              </w:rPr>
            </w:pPr>
            <w:r>
              <w:rPr>
                <w:w w:val="105"/>
                <w:sz w:val="13"/>
              </w:rPr>
              <w:t>220</w:t>
            </w:r>
          </w:p>
        </w:tc>
        <w:tc>
          <w:tcPr>
            <w:tcW w:w="679" w:type="dxa"/>
            <w:tcBorders>
              <w:top w:val="nil"/>
              <w:left w:val="single" w:sz="6" w:space="0" w:color="000000"/>
              <w:bottom w:val="nil"/>
              <w:right w:val="single" w:sz="6" w:space="0" w:color="000000"/>
            </w:tcBorders>
          </w:tcPr>
          <w:p>
            <w:pPr>
              <w:pStyle w:val="TableParagraph"/>
              <w:spacing w:line="145" w:lineRule="exact" w:before="16"/>
              <w:ind w:left="98" w:right="82"/>
              <w:rPr>
                <w:sz w:val="13"/>
              </w:rPr>
            </w:pPr>
            <w:r>
              <w:rPr>
                <w:w w:val="105"/>
                <w:sz w:val="13"/>
              </w:rPr>
              <w:t>144</w:t>
            </w:r>
          </w:p>
        </w:tc>
        <w:tc>
          <w:tcPr>
            <w:tcW w:w="987" w:type="dxa"/>
            <w:tcBorders>
              <w:top w:val="nil"/>
              <w:left w:val="single" w:sz="6" w:space="0" w:color="000000"/>
              <w:bottom w:val="nil"/>
              <w:right w:val="single" w:sz="4" w:space="0" w:color="000000"/>
            </w:tcBorders>
          </w:tcPr>
          <w:p>
            <w:pPr>
              <w:pStyle w:val="TableParagraph"/>
              <w:spacing w:line="145" w:lineRule="exact" w:before="16"/>
              <w:ind w:left="15"/>
              <w:rPr>
                <w:sz w:val="13"/>
              </w:rPr>
            </w:pPr>
            <w:r>
              <w:rPr>
                <w:w w:val="106"/>
                <w:sz w:val="13"/>
              </w:rPr>
              <w:t>-</w:t>
            </w:r>
          </w:p>
        </w:tc>
        <w:tc>
          <w:tcPr>
            <w:tcW w:w="986" w:type="dxa"/>
            <w:tcBorders>
              <w:top w:val="nil"/>
              <w:left w:val="single" w:sz="4" w:space="0" w:color="000000"/>
              <w:bottom w:val="nil"/>
              <w:right w:val="single" w:sz="6" w:space="0" w:color="000000"/>
            </w:tcBorders>
          </w:tcPr>
          <w:p>
            <w:pPr>
              <w:pStyle w:val="TableParagraph"/>
              <w:spacing w:line="145" w:lineRule="exact" w:before="16"/>
              <w:ind w:left="376" w:right="357"/>
              <w:rPr>
                <w:sz w:val="13"/>
              </w:rPr>
            </w:pPr>
            <w:r>
              <w:rPr>
                <w:w w:val="105"/>
                <w:sz w:val="13"/>
              </w:rPr>
              <w:t>-76</w:t>
            </w:r>
          </w:p>
        </w:tc>
        <w:tc>
          <w:tcPr>
            <w:tcW w:w="1358" w:type="dxa"/>
            <w:tcBorders>
              <w:top w:val="nil"/>
              <w:left w:val="single" w:sz="6" w:space="0" w:color="000000"/>
              <w:bottom w:val="nil"/>
              <w:right w:val="single" w:sz="6" w:space="0" w:color="000000"/>
            </w:tcBorders>
          </w:tcPr>
          <w:p>
            <w:pPr>
              <w:pStyle w:val="TableParagraph"/>
              <w:tabs>
                <w:tab w:pos="530" w:val="left" w:leader="none"/>
              </w:tabs>
              <w:spacing w:line="145" w:lineRule="exact" w:before="16"/>
              <w:ind w:left="0" w:right="51"/>
              <w:jc w:val="right"/>
              <w:rPr>
                <w:sz w:val="13"/>
              </w:rPr>
            </w:pPr>
            <w:r>
              <w:rPr>
                <w:w w:val="105"/>
                <w:sz w:val="13"/>
              </w:rPr>
              <w:t>445</w:t>
              <w:tab/>
            </w:r>
            <w:r>
              <w:rPr>
                <w:spacing w:val="-2"/>
                <w:w w:val="105"/>
                <w:sz w:val="13"/>
              </w:rPr>
              <w:t>05/12/08</w:t>
            </w:r>
          </w:p>
        </w:tc>
      </w:tr>
      <w:tr>
        <w:trPr>
          <w:trHeight w:val="191" w:hRule="atLeast"/>
        </w:trPr>
        <w:tc>
          <w:tcPr>
            <w:tcW w:w="2663" w:type="dxa"/>
            <w:tcBorders>
              <w:top w:val="nil"/>
              <w:left w:val="single" w:sz="6" w:space="0" w:color="000000"/>
              <w:bottom w:val="nil"/>
              <w:right w:val="single" w:sz="6" w:space="0" w:color="000000"/>
            </w:tcBorders>
          </w:tcPr>
          <w:p>
            <w:pPr>
              <w:pStyle w:val="TableParagraph"/>
              <w:spacing w:before="16"/>
              <w:ind w:left="216"/>
              <w:jc w:val="left"/>
              <w:rPr>
                <w:sz w:val="13"/>
              </w:rPr>
            </w:pPr>
            <w:r>
              <w:rPr>
                <w:w w:val="105"/>
                <w:sz w:val="13"/>
              </w:rPr>
              <w:t>LBG</w:t>
            </w:r>
          </w:p>
        </w:tc>
        <w:tc>
          <w:tcPr>
            <w:tcW w:w="732" w:type="dxa"/>
            <w:tcBorders>
              <w:top w:val="nil"/>
              <w:left w:val="single" w:sz="6" w:space="0" w:color="000000"/>
              <w:bottom w:val="nil"/>
              <w:right w:val="single" w:sz="6" w:space="0" w:color="000000"/>
            </w:tcBorders>
          </w:tcPr>
          <w:p>
            <w:pPr>
              <w:pStyle w:val="TableParagraph"/>
              <w:spacing w:before="16"/>
              <w:ind w:left="217"/>
              <w:jc w:val="left"/>
              <w:rPr>
                <w:sz w:val="13"/>
              </w:rPr>
            </w:pPr>
            <w:r>
              <w:rPr>
                <w:w w:val="105"/>
                <w:sz w:val="13"/>
              </w:rPr>
              <w:t>GBP</w:t>
            </w:r>
          </w:p>
        </w:tc>
        <w:tc>
          <w:tcPr>
            <w:tcW w:w="679" w:type="dxa"/>
            <w:tcBorders>
              <w:top w:val="nil"/>
              <w:left w:val="single" w:sz="6" w:space="0" w:color="000000"/>
              <w:bottom w:val="nil"/>
              <w:right w:val="single" w:sz="6" w:space="0" w:color="000000"/>
            </w:tcBorders>
          </w:tcPr>
          <w:p>
            <w:pPr>
              <w:pStyle w:val="TableParagraph"/>
              <w:spacing w:before="16"/>
              <w:ind w:left="98" w:right="74"/>
              <w:rPr>
                <w:sz w:val="13"/>
              </w:rPr>
            </w:pPr>
            <w:r>
              <w:rPr>
                <w:w w:val="105"/>
                <w:sz w:val="13"/>
              </w:rPr>
              <w:t>74</w:t>
            </w:r>
          </w:p>
        </w:tc>
        <w:tc>
          <w:tcPr>
            <w:tcW w:w="679" w:type="dxa"/>
            <w:tcBorders>
              <w:top w:val="nil"/>
              <w:left w:val="single" w:sz="6" w:space="0" w:color="000000"/>
              <w:bottom w:val="nil"/>
              <w:right w:val="single" w:sz="6" w:space="0" w:color="000000"/>
            </w:tcBorders>
          </w:tcPr>
          <w:p>
            <w:pPr>
              <w:pStyle w:val="TableParagraph"/>
              <w:spacing w:before="16"/>
              <w:ind w:left="98" w:right="83"/>
              <w:rPr>
                <w:sz w:val="13"/>
              </w:rPr>
            </w:pPr>
            <w:r>
              <w:rPr>
                <w:w w:val="105"/>
                <w:sz w:val="13"/>
              </w:rPr>
              <w:t>270</w:t>
            </w:r>
          </w:p>
        </w:tc>
        <w:tc>
          <w:tcPr>
            <w:tcW w:w="679" w:type="dxa"/>
            <w:tcBorders>
              <w:top w:val="nil"/>
              <w:left w:val="single" w:sz="6" w:space="0" w:color="000000"/>
              <w:bottom w:val="nil"/>
              <w:right w:val="single" w:sz="6" w:space="0" w:color="000000"/>
            </w:tcBorders>
          </w:tcPr>
          <w:p>
            <w:pPr>
              <w:pStyle w:val="TableParagraph"/>
              <w:spacing w:before="16"/>
              <w:ind w:left="98" w:right="83"/>
              <w:rPr>
                <w:sz w:val="13"/>
              </w:rPr>
            </w:pPr>
            <w:r>
              <w:rPr>
                <w:w w:val="105"/>
                <w:sz w:val="13"/>
              </w:rPr>
              <w:t>219</w:t>
            </w:r>
          </w:p>
        </w:tc>
        <w:tc>
          <w:tcPr>
            <w:tcW w:w="987" w:type="dxa"/>
            <w:tcBorders>
              <w:top w:val="nil"/>
              <w:left w:val="single" w:sz="6" w:space="0" w:color="000000"/>
              <w:bottom w:val="nil"/>
              <w:right w:val="single" w:sz="4" w:space="0" w:color="000000"/>
            </w:tcBorders>
          </w:tcPr>
          <w:p>
            <w:pPr>
              <w:pStyle w:val="TableParagraph"/>
              <w:spacing w:before="16"/>
              <w:ind w:left="363" w:right="341"/>
              <w:rPr>
                <w:sz w:val="13"/>
              </w:rPr>
            </w:pPr>
            <w:r>
              <w:rPr>
                <w:w w:val="105"/>
                <w:sz w:val="13"/>
              </w:rPr>
              <w:t>145</w:t>
            </w:r>
          </w:p>
        </w:tc>
        <w:tc>
          <w:tcPr>
            <w:tcW w:w="986" w:type="dxa"/>
            <w:tcBorders>
              <w:top w:val="nil"/>
              <w:left w:val="single" w:sz="4" w:space="0" w:color="000000"/>
              <w:bottom w:val="nil"/>
              <w:right w:val="single" w:sz="6" w:space="0" w:color="000000"/>
            </w:tcBorders>
          </w:tcPr>
          <w:p>
            <w:pPr>
              <w:pStyle w:val="TableParagraph"/>
              <w:spacing w:before="16"/>
              <w:ind w:left="377" w:right="356"/>
              <w:rPr>
                <w:sz w:val="13"/>
              </w:rPr>
            </w:pPr>
            <w:r>
              <w:rPr>
                <w:w w:val="105"/>
                <w:sz w:val="13"/>
              </w:rPr>
              <w:t>-51</w:t>
            </w:r>
          </w:p>
        </w:tc>
        <w:tc>
          <w:tcPr>
            <w:tcW w:w="1358" w:type="dxa"/>
            <w:tcBorders>
              <w:top w:val="nil"/>
              <w:left w:val="single" w:sz="6" w:space="0" w:color="000000"/>
              <w:bottom w:val="nil"/>
              <w:right w:val="single" w:sz="6" w:space="0" w:color="000000"/>
            </w:tcBorders>
          </w:tcPr>
          <w:p>
            <w:pPr>
              <w:pStyle w:val="TableParagraph"/>
              <w:tabs>
                <w:tab w:pos="530" w:val="left" w:leader="none"/>
              </w:tabs>
              <w:spacing w:before="16"/>
              <w:ind w:left="0" w:right="50"/>
              <w:jc w:val="right"/>
              <w:rPr>
                <w:sz w:val="13"/>
              </w:rPr>
            </w:pPr>
            <w:r>
              <w:rPr>
                <w:w w:val="105"/>
                <w:sz w:val="13"/>
              </w:rPr>
              <w:t>510</w:t>
              <w:tab/>
            </w:r>
            <w:r>
              <w:rPr>
                <w:spacing w:val="-2"/>
                <w:w w:val="105"/>
                <w:sz w:val="13"/>
              </w:rPr>
              <w:t>18/03/08</w:t>
            </w:r>
          </w:p>
        </w:tc>
      </w:tr>
      <w:tr>
        <w:trPr>
          <w:trHeight w:val="190" w:hRule="atLeast"/>
        </w:trPr>
        <w:tc>
          <w:tcPr>
            <w:tcW w:w="2663" w:type="dxa"/>
            <w:tcBorders>
              <w:top w:val="nil"/>
              <w:left w:val="single" w:sz="6" w:space="0" w:color="000000"/>
              <w:bottom w:val="nil"/>
              <w:right w:val="single" w:sz="6" w:space="0" w:color="000000"/>
            </w:tcBorders>
          </w:tcPr>
          <w:p>
            <w:pPr>
              <w:pStyle w:val="TableParagraph"/>
              <w:spacing w:line="144" w:lineRule="exact" w:before="26"/>
              <w:ind w:left="216"/>
              <w:jc w:val="left"/>
              <w:rPr>
                <w:sz w:val="13"/>
              </w:rPr>
            </w:pPr>
            <w:r>
              <w:rPr>
                <w:w w:val="105"/>
                <w:sz w:val="13"/>
              </w:rPr>
              <w:t>Santander</w:t>
            </w:r>
            <w:r>
              <w:rPr>
                <w:w w:val="105"/>
                <w:sz w:val="13"/>
                <w:vertAlign w:val="superscript"/>
              </w:rPr>
              <w:t>(e)</w:t>
            </w:r>
          </w:p>
        </w:tc>
        <w:tc>
          <w:tcPr>
            <w:tcW w:w="732" w:type="dxa"/>
            <w:tcBorders>
              <w:top w:val="nil"/>
              <w:left w:val="single" w:sz="6" w:space="0" w:color="000000"/>
              <w:bottom w:val="nil"/>
              <w:right w:val="single" w:sz="6" w:space="0" w:color="000000"/>
            </w:tcBorders>
          </w:tcPr>
          <w:p>
            <w:pPr>
              <w:pStyle w:val="TableParagraph"/>
              <w:spacing w:line="144" w:lineRule="exact" w:before="26"/>
              <w:ind w:left="226"/>
              <w:jc w:val="left"/>
              <w:rPr>
                <w:sz w:val="13"/>
              </w:rPr>
            </w:pPr>
            <w:r>
              <w:rPr>
                <w:w w:val="105"/>
                <w:sz w:val="13"/>
              </w:rPr>
              <w:t>EUR</w:t>
            </w:r>
          </w:p>
        </w:tc>
        <w:tc>
          <w:tcPr>
            <w:tcW w:w="679" w:type="dxa"/>
            <w:tcBorders>
              <w:top w:val="nil"/>
              <w:left w:val="single" w:sz="6" w:space="0" w:color="000000"/>
              <w:bottom w:val="nil"/>
              <w:right w:val="single" w:sz="6" w:space="0" w:color="000000"/>
            </w:tcBorders>
          </w:tcPr>
          <w:p>
            <w:pPr>
              <w:pStyle w:val="TableParagraph"/>
              <w:spacing w:line="144" w:lineRule="exact" w:before="26"/>
              <w:ind w:left="98" w:right="71"/>
              <w:rPr>
                <w:sz w:val="13"/>
              </w:rPr>
            </w:pPr>
            <w:r>
              <w:rPr>
                <w:w w:val="105"/>
                <w:sz w:val="13"/>
              </w:rPr>
              <w:t>22</w:t>
            </w:r>
          </w:p>
        </w:tc>
        <w:tc>
          <w:tcPr>
            <w:tcW w:w="679" w:type="dxa"/>
            <w:tcBorders>
              <w:top w:val="nil"/>
              <w:left w:val="single" w:sz="6" w:space="0" w:color="000000"/>
              <w:bottom w:val="nil"/>
              <w:right w:val="single" w:sz="6" w:space="0" w:color="000000"/>
            </w:tcBorders>
          </w:tcPr>
          <w:p>
            <w:pPr>
              <w:pStyle w:val="TableParagraph"/>
              <w:spacing w:line="144" w:lineRule="exact" w:before="26"/>
              <w:ind w:left="98" w:right="83"/>
              <w:rPr>
                <w:sz w:val="13"/>
              </w:rPr>
            </w:pPr>
            <w:r>
              <w:rPr>
                <w:w w:val="105"/>
                <w:sz w:val="13"/>
              </w:rPr>
              <w:t>196</w:t>
            </w:r>
          </w:p>
        </w:tc>
        <w:tc>
          <w:tcPr>
            <w:tcW w:w="679" w:type="dxa"/>
            <w:tcBorders>
              <w:top w:val="nil"/>
              <w:left w:val="single" w:sz="6" w:space="0" w:color="000000"/>
              <w:bottom w:val="nil"/>
              <w:right w:val="single" w:sz="6" w:space="0" w:color="000000"/>
            </w:tcBorders>
          </w:tcPr>
          <w:p>
            <w:pPr>
              <w:pStyle w:val="TableParagraph"/>
              <w:spacing w:line="144" w:lineRule="exact" w:before="26"/>
              <w:ind w:left="98" w:right="83"/>
              <w:rPr>
                <w:sz w:val="13"/>
              </w:rPr>
            </w:pPr>
            <w:r>
              <w:rPr>
                <w:w w:val="105"/>
                <w:sz w:val="13"/>
              </w:rPr>
              <w:t>169</w:t>
            </w:r>
          </w:p>
        </w:tc>
        <w:tc>
          <w:tcPr>
            <w:tcW w:w="987" w:type="dxa"/>
            <w:tcBorders>
              <w:top w:val="nil"/>
              <w:left w:val="single" w:sz="6" w:space="0" w:color="000000"/>
              <w:bottom w:val="nil"/>
              <w:right w:val="single" w:sz="4" w:space="0" w:color="000000"/>
            </w:tcBorders>
          </w:tcPr>
          <w:p>
            <w:pPr>
              <w:pStyle w:val="TableParagraph"/>
              <w:spacing w:line="144" w:lineRule="exact" w:before="26"/>
              <w:ind w:left="363" w:right="341"/>
              <w:rPr>
                <w:sz w:val="13"/>
              </w:rPr>
            </w:pPr>
            <w:r>
              <w:rPr>
                <w:w w:val="105"/>
                <w:sz w:val="13"/>
              </w:rPr>
              <w:t>148</w:t>
            </w:r>
          </w:p>
        </w:tc>
        <w:tc>
          <w:tcPr>
            <w:tcW w:w="986" w:type="dxa"/>
            <w:tcBorders>
              <w:top w:val="nil"/>
              <w:left w:val="single" w:sz="4" w:space="0" w:color="000000"/>
              <w:bottom w:val="nil"/>
              <w:right w:val="single" w:sz="6" w:space="0" w:color="000000"/>
            </w:tcBorders>
          </w:tcPr>
          <w:p>
            <w:pPr>
              <w:pStyle w:val="TableParagraph"/>
              <w:spacing w:line="144" w:lineRule="exact" w:before="26"/>
              <w:ind w:left="377" w:right="357"/>
              <w:rPr>
                <w:sz w:val="13"/>
              </w:rPr>
            </w:pPr>
            <w:r>
              <w:rPr>
                <w:w w:val="105"/>
                <w:sz w:val="13"/>
              </w:rPr>
              <w:t>-27</w:t>
            </w:r>
          </w:p>
        </w:tc>
        <w:tc>
          <w:tcPr>
            <w:tcW w:w="1358" w:type="dxa"/>
            <w:tcBorders>
              <w:top w:val="nil"/>
              <w:left w:val="single" w:sz="6" w:space="0" w:color="000000"/>
              <w:bottom w:val="nil"/>
              <w:right w:val="single" w:sz="6" w:space="0" w:color="000000"/>
            </w:tcBorders>
          </w:tcPr>
          <w:p>
            <w:pPr>
              <w:pStyle w:val="TableParagraph"/>
              <w:tabs>
                <w:tab w:pos="530" w:val="left" w:leader="none"/>
              </w:tabs>
              <w:spacing w:line="144" w:lineRule="exact" w:before="26"/>
              <w:ind w:left="0" w:right="51"/>
              <w:jc w:val="right"/>
              <w:rPr>
                <w:sz w:val="13"/>
              </w:rPr>
            </w:pPr>
            <w:r>
              <w:rPr>
                <w:w w:val="105"/>
                <w:sz w:val="13"/>
              </w:rPr>
              <w:t>266</w:t>
              <w:tab/>
            </w:r>
            <w:r>
              <w:rPr>
                <w:spacing w:val="-2"/>
                <w:w w:val="105"/>
                <w:sz w:val="13"/>
              </w:rPr>
              <w:t>08/06/10</w:t>
            </w:r>
          </w:p>
        </w:tc>
      </w:tr>
      <w:tr>
        <w:trPr>
          <w:trHeight w:val="180" w:hRule="atLeast"/>
        </w:trPr>
        <w:tc>
          <w:tcPr>
            <w:tcW w:w="2663" w:type="dxa"/>
            <w:tcBorders>
              <w:top w:val="nil"/>
              <w:left w:val="single" w:sz="6" w:space="0" w:color="000000"/>
              <w:bottom w:val="nil"/>
              <w:right w:val="single" w:sz="6" w:space="0" w:color="000000"/>
            </w:tcBorders>
          </w:tcPr>
          <w:p>
            <w:pPr>
              <w:pStyle w:val="TableParagraph"/>
              <w:spacing w:line="144" w:lineRule="exact" w:before="16"/>
              <w:ind w:left="216"/>
              <w:jc w:val="left"/>
              <w:rPr>
                <w:sz w:val="13"/>
              </w:rPr>
            </w:pPr>
            <w:r>
              <w:rPr>
                <w:w w:val="105"/>
                <w:sz w:val="13"/>
              </w:rPr>
              <w:t>Nationwide</w:t>
            </w:r>
          </w:p>
        </w:tc>
        <w:tc>
          <w:tcPr>
            <w:tcW w:w="732" w:type="dxa"/>
            <w:tcBorders>
              <w:top w:val="nil"/>
              <w:left w:val="single" w:sz="6" w:space="0" w:color="000000"/>
              <w:bottom w:val="nil"/>
              <w:right w:val="single" w:sz="6" w:space="0" w:color="000000"/>
            </w:tcBorders>
          </w:tcPr>
          <w:p>
            <w:pPr>
              <w:pStyle w:val="TableParagraph"/>
              <w:spacing w:line="144" w:lineRule="exact" w:before="16"/>
              <w:ind w:left="226"/>
              <w:jc w:val="left"/>
              <w:rPr>
                <w:sz w:val="13"/>
              </w:rPr>
            </w:pPr>
            <w:r>
              <w:rPr>
                <w:w w:val="105"/>
                <w:sz w:val="13"/>
              </w:rPr>
              <w:t>USD</w:t>
            </w:r>
          </w:p>
        </w:tc>
        <w:tc>
          <w:tcPr>
            <w:tcW w:w="679" w:type="dxa"/>
            <w:tcBorders>
              <w:top w:val="nil"/>
              <w:left w:val="single" w:sz="6" w:space="0" w:color="000000"/>
              <w:bottom w:val="nil"/>
              <w:right w:val="single" w:sz="6" w:space="0" w:color="000000"/>
            </w:tcBorders>
          </w:tcPr>
          <w:p>
            <w:pPr>
              <w:pStyle w:val="TableParagraph"/>
              <w:spacing w:line="144" w:lineRule="exact" w:before="16"/>
              <w:ind w:left="98" w:right="74"/>
              <w:rPr>
                <w:sz w:val="13"/>
              </w:rPr>
            </w:pPr>
            <w:r>
              <w:rPr>
                <w:w w:val="105"/>
                <w:sz w:val="13"/>
              </w:rPr>
              <w:t>59</w:t>
            </w:r>
          </w:p>
        </w:tc>
        <w:tc>
          <w:tcPr>
            <w:tcW w:w="679" w:type="dxa"/>
            <w:tcBorders>
              <w:top w:val="nil"/>
              <w:left w:val="single" w:sz="6" w:space="0" w:color="000000"/>
              <w:bottom w:val="nil"/>
              <w:right w:val="single" w:sz="6" w:space="0" w:color="000000"/>
            </w:tcBorders>
          </w:tcPr>
          <w:p>
            <w:pPr>
              <w:pStyle w:val="TableParagraph"/>
              <w:spacing w:line="144" w:lineRule="exact" w:before="16"/>
              <w:ind w:left="98" w:right="83"/>
              <w:rPr>
                <w:sz w:val="13"/>
              </w:rPr>
            </w:pPr>
            <w:r>
              <w:rPr>
                <w:w w:val="105"/>
                <w:sz w:val="13"/>
              </w:rPr>
              <w:t>395</w:t>
            </w:r>
          </w:p>
        </w:tc>
        <w:tc>
          <w:tcPr>
            <w:tcW w:w="679" w:type="dxa"/>
            <w:tcBorders>
              <w:top w:val="nil"/>
              <w:left w:val="single" w:sz="6" w:space="0" w:color="000000"/>
              <w:bottom w:val="nil"/>
              <w:right w:val="single" w:sz="6" w:space="0" w:color="000000"/>
            </w:tcBorders>
          </w:tcPr>
          <w:p>
            <w:pPr>
              <w:pStyle w:val="TableParagraph"/>
              <w:spacing w:line="144" w:lineRule="exact" w:before="16"/>
              <w:ind w:left="98" w:right="83"/>
              <w:rPr>
                <w:sz w:val="13"/>
              </w:rPr>
            </w:pPr>
            <w:r>
              <w:rPr>
                <w:w w:val="105"/>
                <w:sz w:val="13"/>
              </w:rPr>
              <w:t>158</w:t>
            </w:r>
          </w:p>
        </w:tc>
        <w:tc>
          <w:tcPr>
            <w:tcW w:w="987" w:type="dxa"/>
            <w:tcBorders>
              <w:top w:val="nil"/>
              <w:left w:val="single" w:sz="6" w:space="0" w:color="000000"/>
              <w:bottom w:val="nil"/>
              <w:right w:val="single" w:sz="4" w:space="0" w:color="000000"/>
            </w:tcBorders>
          </w:tcPr>
          <w:p>
            <w:pPr>
              <w:pStyle w:val="TableParagraph"/>
              <w:spacing w:line="144" w:lineRule="exact" w:before="16"/>
              <w:ind w:left="354" w:right="342"/>
              <w:rPr>
                <w:sz w:val="13"/>
              </w:rPr>
            </w:pPr>
            <w:r>
              <w:rPr>
                <w:w w:val="105"/>
                <w:sz w:val="13"/>
              </w:rPr>
              <w:t>99</w:t>
            </w:r>
          </w:p>
        </w:tc>
        <w:tc>
          <w:tcPr>
            <w:tcW w:w="986" w:type="dxa"/>
            <w:tcBorders>
              <w:top w:val="nil"/>
              <w:left w:val="single" w:sz="4" w:space="0" w:color="000000"/>
              <w:bottom w:val="nil"/>
              <w:right w:val="single" w:sz="6" w:space="0" w:color="000000"/>
            </w:tcBorders>
          </w:tcPr>
          <w:p>
            <w:pPr>
              <w:pStyle w:val="TableParagraph"/>
              <w:spacing w:line="144" w:lineRule="exact" w:before="16"/>
              <w:ind w:left="0" w:right="335"/>
              <w:jc w:val="right"/>
              <w:rPr>
                <w:sz w:val="13"/>
              </w:rPr>
            </w:pPr>
            <w:r>
              <w:rPr>
                <w:w w:val="105"/>
                <w:sz w:val="13"/>
              </w:rPr>
              <w:t>-238</w:t>
            </w:r>
          </w:p>
        </w:tc>
        <w:tc>
          <w:tcPr>
            <w:tcW w:w="1358" w:type="dxa"/>
            <w:tcBorders>
              <w:top w:val="nil"/>
              <w:left w:val="single" w:sz="6" w:space="0" w:color="000000"/>
              <w:bottom w:val="nil"/>
              <w:right w:val="single" w:sz="6" w:space="0" w:color="000000"/>
            </w:tcBorders>
          </w:tcPr>
          <w:p>
            <w:pPr>
              <w:pStyle w:val="TableParagraph"/>
              <w:tabs>
                <w:tab w:pos="530" w:val="left" w:leader="none"/>
              </w:tabs>
              <w:spacing w:line="144" w:lineRule="exact" w:before="16"/>
              <w:ind w:left="0" w:right="51"/>
              <w:jc w:val="right"/>
              <w:rPr>
                <w:sz w:val="13"/>
              </w:rPr>
            </w:pPr>
            <w:r>
              <w:rPr>
                <w:w w:val="105"/>
                <w:sz w:val="13"/>
              </w:rPr>
              <w:t>519</w:t>
              <w:tab/>
            </w:r>
            <w:r>
              <w:rPr>
                <w:spacing w:val="-2"/>
                <w:w w:val="105"/>
                <w:sz w:val="13"/>
              </w:rPr>
              <w:t>22/05/09</w:t>
            </w:r>
          </w:p>
        </w:tc>
      </w:tr>
      <w:tr>
        <w:trPr>
          <w:trHeight w:val="180" w:hRule="atLeast"/>
        </w:trPr>
        <w:tc>
          <w:tcPr>
            <w:tcW w:w="2663" w:type="dxa"/>
            <w:tcBorders>
              <w:top w:val="nil"/>
              <w:left w:val="single" w:sz="6" w:space="0" w:color="000000"/>
              <w:bottom w:val="nil"/>
              <w:right w:val="single" w:sz="6" w:space="0" w:color="000000"/>
            </w:tcBorders>
          </w:tcPr>
          <w:p>
            <w:pPr>
              <w:pStyle w:val="TableParagraph"/>
              <w:spacing w:line="145" w:lineRule="exact" w:before="16"/>
              <w:ind w:left="216"/>
              <w:jc w:val="left"/>
              <w:rPr>
                <w:sz w:val="13"/>
              </w:rPr>
            </w:pPr>
            <w:r>
              <w:rPr>
                <w:w w:val="105"/>
                <w:sz w:val="13"/>
              </w:rPr>
              <w:t>Northern Rock</w:t>
            </w:r>
          </w:p>
        </w:tc>
        <w:tc>
          <w:tcPr>
            <w:tcW w:w="732" w:type="dxa"/>
            <w:tcBorders>
              <w:top w:val="nil"/>
              <w:left w:val="single" w:sz="6" w:space="0" w:color="000000"/>
              <w:bottom w:val="nil"/>
              <w:right w:val="single" w:sz="6" w:space="0" w:color="000000"/>
            </w:tcBorders>
          </w:tcPr>
          <w:p>
            <w:pPr>
              <w:pStyle w:val="TableParagraph"/>
              <w:spacing w:line="145" w:lineRule="exact" w:before="16"/>
              <w:ind w:left="217"/>
              <w:jc w:val="left"/>
              <w:rPr>
                <w:sz w:val="13"/>
              </w:rPr>
            </w:pPr>
            <w:r>
              <w:rPr>
                <w:w w:val="105"/>
                <w:sz w:val="13"/>
              </w:rPr>
              <w:t>GBP</w:t>
            </w:r>
          </w:p>
        </w:tc>
        <w:tc>
          <w:tcPr>
            <w:tcW w:w="679" w:type="dxa"/>
            <w:tcBorders>
              <w:top w:val="nil"/>
              <w:left w:val="single" w:sz="6" w:space="0" w:color="000000"/>
              <w:bottom w:val="nil"/>
              <w:right w:val="single" w:sz="6" w:space="0" w:color="000000"/>
            </w:tcBorders>
          </w:tcPr>
          <w:p>
            <w:pPr>
              <w:pStyle w:val="TableParagraph"/>
              <w:spacing w:line="145" w:lineRule="exact" w:before="16"/>
              <w:ind w:left="98" w:right="72"/>
              <w:rPr>
                <w:sz w:val="13"/>
              </w:rPr>
            </w:pPr>
            <w:r>
              <w:rPr>
                <w:w w:val="105"/>
                <w:sz w:val="13"/>
              </w:rPr>
              <w:t>45</w:t>
            </w:r>
          </w:p>
        </w:tc>
        <w:tc>
          <w:tcPr>
            <w:tcW w:w="679" w:type="dxa"/>
            <w:tcBorders>
              <w:top w:val="nil"/>
              <w:left w:val="single" w:sz="6" w:space="0" w:color="000000"/>
              <w:bottom w:val="nil"/>
              <w:right w:val="single" w:sz="6" w:space="0" w:color="000000"/>
            </w:tcBorders>
          </w:tcPr>
          <w:p>
            <w:pPr>
              <w:pStyle w:val="TableParagraph"/>
              <w:spacing w:line="145" w:lineRule="exact" w:before="16"/>
              <w:ind w:left="98" w:right="83"/>
              <w:rPr>
                <w:sz w:val="13"/>
              </w:rPr>
            </w:pPr>
            <w:r>
              <w:rPr>
                <w:w w:val="105"/>
                <w:sz w:val="13"/>
              </w:rPr>
              <w:t>420</w:t>
            </w:r>
          </w:p>
        </w:tc>
        <w:tc>
          <w:tcPr>
            <w:tcW w:w="679" w:type="dxa"/>
            <w:tcBorders>
              <w:top w:val="nil"/>
              <w:left w:val="single" w:sz="6" w:space="0" w:color="000000"/>
              <w:bottom w:val="nil"/>
              <w:right w:val="single" w:sz="6" w:space="0" w:color="000000"/>
            </w:tcBorders>
          </w:tcPr>
          <w:p>
            <w:pPr>
              <w:pStyle w:val="TableParagraph"/>
              <w:spacing w:line="145" w:lineRule="exact" w:before="16"/>
              <w:ind w:left="98" w:right="83"/>
              <w:rPr>
                <w:sz w:val="13"/>
              </w:rPr>
            </w:pPr>
            <w:r>
              <w:rPr>
                <w:w w:val="105"/>
                <w:sz w:val="13"/>
              </w:rPr>
              <w:t>316</w:t>
            </w:r>
          </w:p>
        </w:tc>
        <w:tc>
          <w:tcPr>
            <w:tcW w:w="987" w:type="dxa"/>
            <w:tcBorders>
              <w:top w:val="nil"/>
              <w:left w:val="single" w:sz="6" w:space="0" w:color="000000"/>
              <w:bottom w:val="nil"/>
              <w:right w:val="single" w:sz="4" w:space="0" w:color="000000"/>
            </w:tcBorders>
          </w:tcPr>
          <w:p>
            <w:pPr>
              <w:pStyle w:val="TableParagraph"/>
              <w:spacing w:line="145" w:lineRule="exact" w:before="16"/>
              <w:ind w:left="363" w:right="342"/>
              <w:rPr>
                <w:sz w:val="13"/>
              </w:rPr>
            </w:pPr>
            <w:r>
              <w:rPr>
                <w:w w:val="105"/>
                <w:sz w:val="13"/>
              </w:rPr>
              <w:t>271</w:t>
            </w:r>
          </w:p>
        </w:tc>
        <w:tc>
          <w:tcPr>
            <w:tcW w:w="986" w:type="dxa"/>
            <w:tcBorders>
              <w:top w:val="nil"/>
              <w:left w:val="single" w:sz="4" w:space="0" w:color="000000"/>
              <w:bottom w:val="nil"/>
              <w:right w:val="single" w:sz="6" w:space="0" w:color="000000"/>
            </w:tcBorders>
          </w:tcPr>
          <w:p>
            <w:pPr>
              <w:pStyle w:val="TableParagraph"/>
              <w:spacing w:line="145" w:lineRule="exact" w:before="16"/>
              <w:ind w:left="0" w:right="335"/>
              <w:jc w:val="right"/>
              <w:rPr>
                <w:sz w:val="13"/>
              </w:rPr>
            </w:pPr>
            <w:r>
              <w:rPr>
                <w:w w:val="105"/>
                <w:sz w:val="13"/>
              </w:rPr>
              <w:t>-104</w:t>
            </w:r>
          </w:p>
        </w:tc>
        <w:tc>
          <w:tcPr>
            <w:tcW w:w="1358" w:type="dxa"/>
            <w:tcBorders>
              <w:top w:val="nil"/>
              <w:left w:val="single" w:sz="6" w:space="0" w:color="000000"/>
              <w:bottom w:val="nil"/>
              <w:right w:val="single" w:sz="6" w:space="0" w:color="000000"/>
            </w:tcBorders>
          </w:tcPr>
          <w:p>
            <w:pPr>
              <w:pStyle w:val="TableParagraph"/>
              <w:tabs>
                <w:tab w:pos="530" w:val="left" w:leader="none"/>
              </w:tabs>
              <w:spacing w:line="145" w:lineRule="exact" w:before="16"/>
              <w:ind w:left="0" w:right="50"/>
              <w:jc w:val="right"/>
              <w:rPr>
                <w:sz w:val="13"/>
              </w:rPr>
            </w:pPr>
            <w:r>
              <w:rPr>
                <w:w w:val="105"/>
                <w:sz w:val="13"/>
              </w:rPr>
              <w:t>742</w:t>
              <w:tab/>
            </w:r>
            <w:r>
              <w:rPr>
                <w:spacing w:val="-2"/>
                <w:w w:val="105"/>
                <w:sz w:val="13"/>
              </w:rPr>
              <w:t>02/09/09</w:t>
            </w:r>
          </w:p>
        </w:tc>
      </w:tr>
      <w:tr>
        <w:trPr>
          <w:trHeight w:val="245" w:hRule="atLeast"/>
        </w:trPr>
        <w:tc>
          <w:tcPr>
            <w:tcW w:w="2663" w:type="dxa"/>
            <w:tcBorders>
              <w:top w:val="nil"/>
              <w:left w:val="single" w:sz="6" w:space="0" w:color="000000"/>
              <w:bottom w:val="single" w:sz="6" w:space="0" w:color="000000"/>
              <w:right w:val="single" w:sz="6" w:space="0" w:color="000000"/>
            </w:tcBorders>
          </w:tcPr>
          <w:p>
            <w:pPr>
              <w:pStyle w:val="TableParagraph"/>
              <w:spacing w:before="16"/>
              <w:ind w:left="216"/>
              <w:jc w:val="left"/>
              <w:rPr>
                <w:sz w:val="13"/>
              </w:rPr>
            </w:pPr>
            <w:r>
              <w:rPr>
                <w:w w:val="105"/>
                <w:sz w:val="13"/>
              </w:rPr>
              <w:t>The Co-operative bank</w:t>
            </w:r>
          </w:p>
        </w:tc>
        <w:tc>
          <w:tcPr>
            <w:tcW w:w="732" w:type="dxa"/>
            <w:tcBorders>
              <w:top w:val="nil"/>
              <w:left w:val="single" w:sz="6" w:space="0" w:color="000000"/>
              <w:bottom w:val="single" w:sz="6" w:space="0" w:color="000000"/>
              <w:right w:val="single" w:sz="6" w:space="0" w:color="000000"/>
            </w:tcBorders>
          </w:tcPr>
          <w:p>
            <w:pPr>
              <w:pStyle w:val="TableParagraph"/>
              <w:spacing w:before="16"/>
              <w:ind w:left="217"/>
              <w:jc w:val="left"/>
              <w:rPr>
                <w:sz w:val="13"/>
              </w:rPr>
            </w:pPr>
            <w:r>
              <w:rPr>
                <w:w w:val="105"/>
                <w:sz w:val="13"/>
              </w:rPr>
              <w:t>GBP</w:t>
            </w:r>
          </w:p>
        </w:tc>
        <w:tc>
          <w:tcPr>
            <w:tcW w:w="679" w:type="dxa"/>
            <w:tcBorders>
              <w:top w:val="nil"/>
              <w:left w:val="single" w:sz="6" w:space="0" w:color="000000"/>
              <w:bottom w:val="single" w:sz="6" w:space="0" w:color="000000"/>
              <w:right w:val="single" w:sz="6" w:space="0" w:color="000000"/>
            </w:tcBorders>
          </w:tcPr>
          <w:p>
            <w:pPr>
              <w:pStyle w:val="TableParagraph"/>
              <w:spacing w:before="16"/>
              <w:ind w:left="98" w:right="82"/>
              <w:rPr>
                <w:sz w:val="13"/>
              </w:rPr>
            </w:pPr>
            <w:r>
              <w:rPr>
                <w:w w:val="105"/>
                <w:sz w:val="13"/>
              </w:rPr>
              <w:t>104</w:t>
            </w:r>
          </w:p>
        </w:tc>
        <w:tc>
          <w:tcPr>
            <w:tcW w:w="679" w:type="dxa"/>
            <w:tcBorders>
              <w:top w:val="nil"/>
              <w:left w:val="single" w:sz="6" w:space="0" w:color="000000"/>
              <w:bottom w:val="single" w:sz="6" w:space="0" w:color="000000"/>
              <w:right w:val="single" w:sz="6" w:space="0" w:color="000000"/>
            </w:tcBorders>
          </w:tcPr>
          <w:p>
            <w:pPr>
              <w:pStyle w:val="TableParagraph"/>
              <w:spacing w:before="16"/>
              <w:ind w:left="98" w:right="83"/>
              <w:rPr>
                <w:sz w:val="13"/>
              </w:rPr>
            </w:pPr>
            <w:r>
              <w:rPr>
                <w:w w:val="105"/>
                <w:sz w:val="13"/>
              </w:rPr>
              <w:t>432</w:t>
            </w:r>
          </w:p>
        </w:tc>
        <w:tc>
          <w:tcPr>
            <w:tcW w:w="679" w:type="dxa"/>
            <w:tcBorders>
              <w:top w:val="nil"/>
              <w:left w:val="single" w:sz="6" w:space="0" w:color="000000"/>
              <w:bottom w:val="single" w:sz="6" w:space="0" w:color="000000"/>
              <w:right w:val="single" w:sz="6" w:space="0" w:color="000000"/>
            </w:tcBorders>
          </w:tcPr>
          <w:p>
            <w:pPr>
              <w:pStyle w:val="TableParagraph"/>
              <w:spacing w:before="16"/>
              <w:ind w:left="98" w:right="83"/>
              <w:rPr>
                <w:sz w:val="13"/>
              </w:rPr>
            </w:pPr>
            <w:r>
              <w:rPr>
                <w:w w:val="105"/>
                <w:sz w:val="13"/>
              </w:rPr>
              <w:t>260</w:t>
            </w:r>
          </w:p>
        </w:tc>
        <w:tc>
          <w:tcPr>
            <w:tcW w:w="987" w:type="dxa"/>
            <w:tcBorders>
              <w:top w:val="nil"/>
              <w:left w:val="single" w:sz="6" w:space="0" w:color="000000"/>
              <w:bottom w:val="single" w:sz="6" w:space="0" w:color="000000"/>
              <w:right w:val="single" w:sz="4" w:space="0" w:color="000000"/>
            </w:tcBorders>
          </w:tcPr>
          <w:p>
            <w:pPr>
              <w:pStyle w:val="TableParagraph"/>
              <w:spacing w:before="16"/>
              <w:ind w:left="363" w:right="341"/>
              <w:rPr>
                <w:sz w:val="13"/>
              </w:rPr>
            </w:pPr>
            <w:r>
              <w:rPr>
                <w:w w:val="105"/>
                <w:sz w:val="13"/>
              </w:rPr>
              <w:t>156</w:t>
            </w:r>
          </w:p>
        </w:tc>
        <w:tc>
          <w:tcPr>
            <w:tcW w:w="986" w:type="dxa"/>
            <w:tcBorders>
              <w:top w:val="nil"/>
              <w:left w:val="single" w:sz="4" w:space="0" w:color="000000"/>
              <w:bottom w:val="single" w:sz="6" w:space="0" w:color="000000"/>
              <w:right w:val="single" w:sz="6" w:space="0" w:color="000000"/>
            </w:tcBorders>
          </w:tcPr>
          <w:p>
            <w:pPr>
              <w:pStyle w:val="TableParagraph"/>
              <w:spacing w:before="16"/>
              <w:ind w:left="0" w:right="335"/>
              <w:jc w:val="right"/>
              <w:rPr>
                <w:sz w:val="13"/>
              </w:rPr>
            </w:pPr>
            <w:r>
              <w:rPr>
                <w:w w:val="105"/>
                <w:sz w:val="13"/>
              </w:rPr>
              <w:t>-171</w:t>
            </w:r>
          </w:p>
        </w:tc>
        <w:tc>
          <w:tcPr>
            <w:tcW w:w="1358" w:type="dxa"/>
            <w:tcBorders>
              <w:top w:val="nil"/>
              <w:left w:val="single" w:sz="6" w:space="0" w:color="000000"/>
              <w:bottom w:val="single" w:sz="6" w:space="0" w:color="000000"/>
              <w:right w:val="single" w:sz="6" w:space="0" w:color="000000"/>
            </w:tcBorders>
          </w:tcPr>
          <w:p>
            <w:pPr>
              <w:pStyle w:val="TableParagraph"/>
              <w:tabs>
                <w:tab w:pos="530" w:val="left" w:leader="none"/>
              </w:tabs>
              <w:spacing w:before="16"/>
              <w:ind w:left="0" w:right="50"/>
              <w:jc w:val="right"/>
              <w:rPr>
                <w:sz w:val="13"/>
              </w:rPr>
            </w:pPr>
            <w:r>
              <w:rPr>
                <w:w w:val="105"/>
                <w:sz w:val="13"/>
              </w:rPr>
              <w:t>614</w:t>
              <w:tab/>
            </w:r>
            <w:r>
              <w:rPr>
                <w:spacing w:val="-2"/>
                <w:w w:val="105"/>
                <w:sz w:val="13"/>
              </w:rPr>
              <w:t>29/12/08</w:t>
            </w:r>
          </w:p>
        </w:tc>
      </w:tr>
      <w:tr>
        <w:trPr>
          <w:trHeight w:val="163" w:hRule="atLeast"/>
        </w:trPr>
        <w:tc>
          <w:tcPr>
            <w:tcW w:w="2663" w:type="dxa"/>
            <w:tcBorders>
              <w:top w:val="single" w:sz="6" w:space="0" w:color="000000"/>
              <w:left w:val="single" w:sz="6" w:space="0" w:color="000000"/>
              <w:bottom w:val="nil"/>
              <w:right w:val="single" w:sz="6" w:space="0" w:color="000000"/>
            </w:tcBorders>
          </w:tcPr>
          <w:p>
            <w:pPr>
              <w:pStyle w:val="TableParagraph"/>
              <w:spacing w:line="144" w:lineRule="exact" w:before="0"/>
              <w:ind w:left="120"/>
              <w:jc w:val="left"/>
              <w:rPr>
                <w:i/>
                <w:sz w:val="13"/>
              </w:rPr>
            </w:pPr>
            <w:r>
              <w:rPr>
                <w:i/>
                <w:w w:val="105"/>
                <w:sz w:val="13"/>
              </w:rPr>
              <w:t>US bank s</w:t>
            </w:r>
          </w:p>
        </w:tc>
        <w:tc>
          <w:tcPr>
            <w:tcW w:w="732" w:type="dxa"/>
            <w:tcBorders>
              <w:top w:val="single" w:sz="6" w:space="0" w:color="000000"/>
              <w:left w:val="single" w:sz="6" w:space="0" w:color="000000"/>
              <w:bottom w:val="nil"/>
              <w:right w:val="single" w:sz="6" w:space="0" w:color="000000"/>
            </w:tcBorders>
          </w:tcPr>
          <w:p>
            <w:pPr>
              <w:pStyle w:val="TableParagraph"/>
              <w:spacing w:before="0"/>
              <w:ind w:left="0"/>
              <w:jc w:val="left"/>
              <w:rPr>
                <w:rFonts w:ascii="Times New Roman"/>
                <w:sz w:val="10"/>
              </w:rPr>
            </w:pPr>
          </w:p>
        </w:tc>
        <w:tc>
          <w:tcPr>
            <w:tcW w:w="679" w:type="dxa"/>
            <w:tcBorders>
              <w:top w:val="single" w:sz="6" w:space="0" w:color="000000"/>
              <w:left w:val="single" w:sz="6" w:space="0" w:color="000000"/>
              <w:bottom w:val="nil"/>
              <w:right w:val="single" w:sz="6" w:space="0" w:color="000000"/>
            </w:tcBorders>
          </w:tcPr>
          <w:p>
            <w:pPr>
              <w:pStyle w:val="TableParagraph"/>
              <w:spacing w:before="0"/>
              <w:ind w:left="0"/>
              <w:jc w:val="left"/>
              <w:rPr>
                <w:rFonts w:ascii="Times New Roman"/>
                <w:sz w:val="10"/>
              </w:rPr>
            </w:pPr>
          </w:p>
        </w:tc>
        <w:tc>
          <w:tcPr>
            <w:tcW w:w="679" w:type="dxa"/>
            <w:tcBorders>
              <w:top w:val="single" w:sz="6" w:space="0" w:color="000000"/>
              <w:left w:val="single" w:sz="6" w:space="0" w:color="000000"/>
              <w:bottom w:val="nil"/>
              <w:right w:val="single" w:sz="6" w:space="0" w:color="000000"/>
            </w:tcBorders>
          </w:tcPr>
          <w:p>
            <w:pPr>
              <w:pStyle w:val="TableParagraph"/>
              <w:spacing w:before="0"/>
              <w:ind w:left="0"/>
              <w:jc w:val="left"/>
              <w:rPr>
                <w:rFonts w:ascii="Times New Roman"/>
                <w:sz w:val="10"/>
              </w:rPr>
            </w:pPr>
          </w:p>
        </w:tc>
        <w:tc>
          <w:tcPr>
            <w:tcW w:w="679" w:type="dxa"/>
            <w:tcBorders>
              <w:top w:val="single" w:sz="6" w:space="0" w:color="000000"/>
              <w:left w:val="single" w:sz="6" w:space="0" w:color="000000"/>
              <w:bottom w:val="nil"/>
              <w:right w:val="single" w:sz="6" w:space="0" w:color="000000"/>
            </w:tcBorders>
          </w:tcPr>
          <w:p>
            <w:pPr>
              <w:pStyle w:val="TableParagraph"/>
              <w:spacing w:before="0"/>
              <w:ind w:left="0"/>
              <w:jc w:val="left"/>
              <w:rPr>
                <w:rFonts w:ascii="Times New Roman"/>
                <w:sz w:val="10"/>
              </w:rPr>
            </w:pPr>
          </w:p>
        </w:tc>
        <w:tc>
          <w:tcPr>
            <w:tcW w:w="987" w:type="dxa"/>
            <w:tcBorders>
              <w:top w:val="single" w:sz="6" w:space="0" w:color="000000"/>
              <w:left w:val="single" w:sz="6" w:space="0" w:color="000000"/>
              <w:bottom w:val="nil"/>
              <w:right w:val="single" w:sz="4" w:space="0" w:color="000000"/>
            </w:tcBorders>
          </w:tcPr>
          <w:p>
            <w:pPr>
              <w:pStyle w:val="TableParagraph"/>
              <w:spacing w:before="0"/>
              <w:ind w:left="0"/>
              <w:jc w:val="left"/>
              <w:rPr>
                <w:rFonts w:ascii="Times New Roman"/>
                <w:sz w:val="10"/>
              </w:rPr>
            </w:pPr>
          </w:p>
        </w:tc>
        <w:tc>
          <w:tcPr>
            <w:tcW w:w="986" w:type="dxa"/>
            <w:tcBorders>
              <w:top w:val="single" w:sz="6" w:space="0" w:color="000000"/>
              <w:left w:val="single" w:sz="4" w:space="0" w:color="000000"/>
              <w:bottom w:val="nil"/>
              <w:right w:val="single" w:sz="6" w:space="0" w:color="000000"/>
            </w:tcBorders>
          </w:tcPr>
          <w:p>
            <w:pPr>
              <w:pStyle w:val="TableParagraph"/>
              <w:spacing w:before="0"/>
              <w:ind w:left="0"/>
              <w:jc w:val="left"/>
              <w:rPr>
                <w:rFonts w:ascii="Times New Roman"/>
                <w:sz w:val="10"/>
              </w:rPr>
            </w:pPr>
          </w:p>
        </w:tc>
        <w:tc>
          <w:tcPr>
            <w:tcW w:w="1358" w:type="dxa"/>
            <w:tcBorders>
              <w:top w:val="single" w:sz="6" w:space="0" w:color="000000"/>
              <w:left w:val="single" w:sz="6" w:space="0" w:color="000000"/>
              <w:bottom w:val="nil"/>
              <w:right w:val="single" w:sz="6" w:space="0" w:color="000000"/>
            </w:tcBorders>
          </w:tcPr>
          <w:p>
            <w:pPr>
              <w:pStyle w:val="TableParagraph"/>
              <w:spacing w:before="0"/>
              <w:ind w:left="0"/>
              <w:jc w:val="left"/>
              <w:rPr>
                <w:rFonts w:ascii="Times New Roman"/>
                <w:sz w:val="10"/>
              </w:rPr>
            </w:pPr>
          </w:p>
        </w:tc>
      </w:tr>
      <w:tr>
        <w:trPr>
          <w:trHeight w:val="181" w:hRule="atLeast"/>
        </w:trPr>
        <w:tc>
          <w:tcPr>
            <w:tcW w:w="2663" w:type="dxa"/>
            <w:tcBorders>
              <w:top w:val="nil"/>
              <w:left w:val="single" w:sz="6" w:space="0" w:color="000000"/>
              <w:bottom w:val="nil"/>
              <w:right w:val="single" w:sz="6" w:space="0" w:color="000000"/>
            </w:tcBorders>
          </w:tcPr>
          <w:p>
            <w:pPr>
              <w:pStyle w:val="TableParagraph"/>
              <w:spacing w:line="144" w:lineRule="exact" w:before="17"/>
              <w:ind w:left="216"/>
              <w:jc w:val="left"/>
              <w:rPr>
                <w:sz w:val="13"/>
              </w:rPr>
            </w:pPr>
            <w:r>
              <w:rPr>
                <w:w w:val="105"/>
                <w:sz w:val="13"/>
              </w:rPr>
              <w:t>Bank of America</w:t>
            </w:r>
          </w:p>
        </w:tc>
        <w:tc>
          <w:tcPr>
            <w:tcW w:w="732" w:type="dxa"/>
            <w:tcBorders>
              <w:top w:val="nil"/>
              <w:left w:val="single" w:sz="6" w:space="0" w:color="000000"/>
              <w:bottom w:val="nil"/>
              <w:right w:val="single" w:sz="6" w:space="0" w:color="000000"/>
            </w:tcBorders>
          </w:tcPr>
          <w:p>
            <w:pPr>
              <w:pStyle w:val="TableParagraph"/>
              <w:spacing w:line="144" w:lineRule="exact" w:before="17"/>
              <w:ind w:left="226"/>
              <w:jc w:val="left"/>
              <w:rPr>
                <w:sz w:val="13"/>
              </w:rPr>
            </w:pPr>
            <w:r>
              <w:rPr>
                <w:w w:val="105"/>
                <w:sz w:val="13"/>
              </w:rPr>
              <w:t>USD</w:t>
            </w:r>
          </w:p>
        </w:tc>
        <w:tc>
          <w:tcPr>
            <w:tcW w:w="679" w:type="dxa"/>
            <w:tcBorders>
              <w:top w:val="nil"/>
              <w:left w:val="single" w:sz="6" w:space="0" w:color="000000"/>
              <w:bottom w:val="nil"/>
              <w:right w:val="single" w:sz="6" w:space="0" w:color="000000"/>
            </w:tcBorders>
          </w:tcPr>
          <w:p>
            <w:pPr>
              <w:pStyle w:val="TableParagraph"/>
              <w:spacing w:line="144" w:lineRule="exact" w:before="17"/>
              <w:ind w:left="98" w:right="74"/>
              <w:rPr>
                <w:sz w:val="13"/>
              </w:rPr>
            </w:pPr>
            <w:r>
              <w:rPr>
                <w:w w:val="105"/>
                <w:sz w:val="13"/>
              </w:rPr>
              <w:t>42</w:t>
            </w:r>
          </w:p>
        </w:tc>
        <w:tc>
          <w:tcPr>
            <w:tcW w:w="679" w:type="dxa"/>
            <w:tcBorders>
              <w:top w:val="nil"/>
              <w:left w:val="single" w:sz="6" w:space="0" w:color="000000"/>
              <w:bottom w:val="nil"/>
              <w:right w:val="single" w:sz="6" w:space="0" w:color="000000"/>
            </w:tcBorders>
          </w:tcPr>
          <w:p>
            <w:pPr>
              <w:pStyle w:val="TableParagraph"/>
              <w:spacing w:line="144" w:lineRule="exact" w:before="17"/>
              <w:ind w:left="98" w:right="83"/>
              <w:rPr>
                <w:sz w:val="13"/>
              </w:rPr>
            </w:pPr>
            <w:r>
              <w:rPr>
                <w:w w:val="105"/>
                <w:sz w:val="13"/>
              </w:rPr>
              <w:t>382</w:t>
            </w:r>
          </w:p>
        </w:tc>
        <w:tc>
          <w:tcPr>
            <w:tcW w:w="679" w:type="dxa"/>
            <w:tcBorders>
              <w:top w:val="nil"/>
              <w:left w:val="single" w:sz="6" w:space="0" w:color="000000"/>
              <w:bottom w:val="nil"/>
              <w:right w:val="single" w:sz="6" w:space="0" w:color="000000"/>
            </w:tcBorders>
          </w:tcPr>
          <w:p>
            <w:pPr>
              <w:pStyle w:val="TableParagraph"/>
              <w:spacing w:line="144" w:lineRule="exact" w:before="17"/>
              <w:ind w:left="98" w:right="83"/>
              <w:rPr>
                <w:sz w:val="13"/>
              </w:rPr>
            </w:pPr>
            <w:r>
              <w:rPr>
                <w:w w:val="105"/>
                <w:sz w:val="13"/>
              </w:rPr>
              <w:t>244</w:t>
            </w:r>
          </w:p>
        </w:tc>
        <w:tc>
          <w:tcPr>
            <w:tcW w:w="987" w:type="dxa"/>
            <w:tcBorders>
              <w:top w:val="nil"/>
              <w:left w:val="single" w:sz="6" w:space="0" w:color="000000"/>
              <w:bottom w:val="nil"/>
              <w:right w:val="single" w:sz="4" w:space="0" w:color="000000"/>
            </w:tcBorders>
          </w:tcPr>
          <w:p>
            <w:pPr>
              <w:pStyle w:val="TableParagraph"/>
              <w:spacing w:line="144" w:lineRule="exact" w:before="17"/>
              <w:ind w:left="363" w:right="342"/>
              <w:rPr>
                <w:sz w:val="13"/>
              </w:rPr>
            </w:pPr>
            <w:r>
              <w:rPr>
                <w:w w:val="105"/>
                <w:sz w:val="13"/>
              </w:rPr>
              <w:t>201</w:t>
            </w:r>
          </w:p>
        </w:tc>
        <w:tc>
          <w:tcPr>
            <w:tcW w:w="986" w:type="dxa"/>
            <w:tcBorders>
              <w:top w:val="nil"/>
              <w:left w:val="single" w:sz="4" w:space="0" w:color="000000"/>
              <w:bottom w:val="nil"/>
              <w:right w:val="single" w:sz="6" w:space="0" w:color="000000"/>
            </w:tcBorders>
          </w:tcPr>
          <w:p>
            <w:pPr>
              <w:pStyle w:val="TableParagraph"/>
              <w:spacing w:line="144" w:lineRule="exact" w:before="17"/>
              <w:ind w:left="0" w:right="335"/>
              <w:jc w:val="right"/>
              <w:rPr>
                <w:sz w:val="13"/>
              </w:rPr>
            </w:pPr>
            <w:r>
              <w:rPr>
                <w:w w:val="105"/>
                <w:sz w:val="13"/>
              </w:rPr>
              <w:t>-138</w:t>
            </w:r>
          </w:p>
        </w:tc>
        <w:tc>
          <w:tcPr>
            <w:tcW w:w="1358" w:type="dxa"/>
            <w:tcBorders>
              <w:top w:val="nil"/>
              <w:left w:val="single" w:sz="6" w:space="0" w:color="000000"/>
              <w:bottom w:val="nil"/>
              <w:right w:val="single" w:sz="6" w:space="0" w:color="000000"/>
            </w:tcBorders>
          </w:tcPr>
          <w:p>
            <w:pPr>
              <w:pStyle w:val="TableParagraph"/>
              <w:tabs>
                <w:tab w:pos="530" w:val="left" w:leader="none"/>
              </w:tabs>
              <w:spacing w:line="144" w:lineRule="exact" w:before="17"/>
              <w:ind w:left="0" w:right="51"/>
              <w:jc w:val="right"/>
              <w:rPr>
                <w:sz w:val="13"/>
              </w:rPr>
            </w:pPr>
            <w:r>
              <w:rPr>
                <w:w w:val="105"/>
                <w:sz w:val="13"/>
              </w:rPr>
              <w:t>715</w:t>
              <w:tab/>
            </w:r>
            <w:r>
              <w:rPr>
                <w:spacing w:val="-2"/>
                <w:w w:val="105"/>
                <w:sz w:val="13"/>
              </w:rPr>
              <w:t>10/04/09</w:t>
            </w:r>
          </w:p>
        </w:tc>
      </w:tr>
      <w:tr>
        <w:trPr>
          <w:trHeight w:val="179" w:hRule="atLeast"/>
        </w:trPr>
        <w:tc>
          <w:tcPr>
            <w:tcW w:w="2663" w:type="dxa"/>
            <w:tcBorders>
              <w:top w:val="nil"/>
              <w:left w:val="single" w:sz="6" w:space="0" w:color="000000"/>
              <w:bottom w:val="nil"/>
              <w:right w:val="single" w:sz="6" w:space="0" w:color="000000"/>
            </w:tcBorders>
          </w:tcPr>
          <w:p>
            <w:pPr>
              <w:pStyle w:val="TableParagraph"/>
              <w:spacing w:line="144" w:lineRule="exact" w:before="16"/>
              <w:ind w:left="216"/>
              <w:jc w:val="left"/>
              <w:rPr>
                <w:sz w:val="13"/>
              </w:rPr>
            </w:pPr>
            <w:r>
              <w:rPr>
                <w:w w:val="105"/>
                <w:sz w:val="13"/>
              </w:rPr>
              <w:t>JP Morgan</w:t>
            </w:r>
          </w:p>
        </w:tc>
        <w:tc>
          <w:tcPr>
            <w:tcW w:w="732" w:type="dxa"/>
            <w:tcBorders>
              <w:top w:val="nil"/>
              <w:left w:val="single" w:sz="6" w:space="0" w:color="000000"/>
              <w:bottom w:val="nil"/>
              <w:right w:val="single" w:sz="6" w:space="0" w:color="000000"/>
            </w:tcBorders>
          </w:tcPr>
          <w:p>
            <w:pPr>
              <w:pStyle w:val="TableParagraph"/>
              <w:spacing w:line="144" w:lineRule="exact" w:before="16"/>
              <w:ind w:left="226"/>
              <w:jc w:val="left"/>
              <w:rPr>
                <w:sz w:val="13"/>
              </w:rPr>
            </w:pPr>
            <w:r>
              <w:rPr>
                <w:w w:val="105"/>
                <w:sz w:val="13"/>
              </w:rPr>
              <w:t>USD</w:t>
            </w:r>
          </w:p>
        </w:tc>
        <w:tc>
          <w:tcPr>
            <w:tcW w:w="679" w:type="dxa"/>
            <w:tcBorders>
              <w:top w:val="nil"/>
              <w:left w:val="single" w:sz="6" w:space="0" w:color="000000"/>
              <w:bottom w:val="nil"/>
              <w:right w:val="single" w:sz="6" w:space="0" w:color="000000"/>
            </w:tcBorders>
          </w:tcPr>
          <w:p>
            <w:pPr>
              <w:pStyle w:val="TableParagraph"/>
              <w:spacing w:line="144" w:lineRule="exact" w:before="16"/>
              <w:ind w:left="98" w:right="72"/>
              <w:rPr>
                <w:sz w:val="13"/>
              </w:rPr>
            </w:pPr>
            <w:r>
              <w:rPr>
                <w:w w:val="105"/>
                <w:sz w:val="13"/>
              </w:rPr>
              <w:t>55</w:t>
            </w:r>
          </w:p>
        </w:tc>
        <w:tc>
          <w:tcPr>
            <w:tcW w:w="679" w:type="dxa"/>
            <w:tcBorders>
              <w:top w:val="nil"/>
              <w:left w:val="single" w:sz="6" w:space="0" w:color="000000"/>
              <w:bottom w:val="nil"/>
              <w:right w:val="single" w:sz="6" w:space="0" w:color="000000"/>
            </w:tcBorders>
          </w:tcPr>
          <w:p>
            <w:pPr>
              <w:pStyle w:val="TableParagraph"/>
              <w:spacing w:line="144" w:lineRule="exact" w:before="16"/>
              <w:ind w:left="98" w:right="83"/>
              <w:rPr>
                <w:sz w:val="13"/>
              </w:rPr>
            </w:pPr>
            <w:r>
              <w:rPr>
                <w:w w:val="105"/>
                <w:sz w:val="13"/>
              </w:rPr>
              <w:t>334</w:t>
            </w:r>
          </w:p>
        </w:tc>
        <w:tc>
          <w:tcPr>
            <w:tcW w:w="679" w:type="dxa"/>
            <w:tcBorders>
              <w:top w:val="nil"/>
              <w:left w:val="single" w:sz="6" w:space="0" w:color="000000"/>
              <w:bottom w:val="nil"/>
              <w:right w:val="single" w:sz="6" w:space="0" w:color="000000"/>
            </w:tcBorders>
          </w:tcPr>
          <w:p>
            <w:pPr>
              <w:pStyle w:val="TableParagraph"/>
              <w:spacing w:line="144" w:lineRule="exact" w:before="16"/>
              <w:ind w:left="98" w:right="83"/>
              <w:rPr>
                <w:sz w:val="13"/>
              </w:rPr>
            </w:pPr>
            <w:r>
              <w:rPr>
                <w:w w:val="105"/>
                <w:sz w:val="13"/>
              </w:rPr>
              <w:t>162</w:t>
            </w:r>
          </w:p>
        </w:tc>
        <w:tc>
          <w:tcPr>
            <w:tcW w:w="987" w:type="dxa"/>
            <w:tcBorders>
              <w:top w:val="nil"/>
              <w:left w:val="single" w:sz="6" w:space="0" w:color="000000"/>
              <w:bottom w:val="nil"/>
              <w:right w:val="single" w:sz="4" w:space="0" w:color="000000"/>
            </w:tcBorders>
          </w:tcPr>
          <w:p>
            <w:pPr>
              <w:pStyle w:val="TableParagraph"/>
              <w:spacing w:line="144" w:lineRule="exact" w:before="16"/>
              <w:ind w:left="363" w:right="341"/>
              <w:rPr>
                <w:sz w:val="13"/>
              </w:rPr>
            </w:pPr>
            <w:r>
              <w:rPr>
                <w:w w:val="105"/>
                <w:sz w:val="13"/>
              </w:rPr>
              <w:t>107</w:t>
            </w:r>
          </w:p>
        </w:tc>
        <w:tc>
          <w:tcPr>
            <w:tcW w:w="986" w:type="dxa"/>
            <w:tcBorders>
              <w:top w:val="nil"/>
              <w:left w:val="single" w:sz="4" w:space="0" w:color="000000"/>
              <w:bottom w:val="nil"/>
              <w:right w:val="single" w:sz="6" w:space="0" w:color="000000"/>
            </w:tcBorders>
          </w:tcPr>
          <w:p>
            <w:pPr>
              <w:pStyle w:val="TableParagraph"/>
              <w:spacing w:line="144" w:lineRule="exact" w:before="16"/>
              <w:ind w:left="0" w:right="335"/>
              <w:jc w:val="right"/>
              <w:rPr>
                <w:sz w:val="13"/>
              </w:rPr>
            </w:pPr>
            <w:r>
              <w:rPr>
                <w:w w:val="105"/>
                <w:sz w:val="13"/>
              </w:rPr>
              <w:t>-172</w:t>
            </w:r>
          </w:p>
        </w:tc>
        <w:tc>
          <w:tcPr>
            <w:tcW w:w="1358" w:type="dxa"/>
            <w:tcBorders>
              <w:top w:val="nil"/>
              <w:left w:val="single" w:sz="6" w:space="0" w:color="000000"/>
              <w:bottom w:val="nil"/>
              <w:right w:val="single" w:sz="6" w:space="0" w:color="000000"/>
            </w:tcBorders>
          </w:tcPr>
          <w:p>
            <w:pPr>
              <w:pStyle w:val="TableParagraph"/>
              <w:tabs>
                <w:tab w:pos="530" w:val="left" w:leader="none"/>
              </w:tabs>
              <w:spacing w:line="144" w:lineRule="exact" w:before="16"/>
              <w:ind w:left="0" w:right="50"/>
              <w:jc w:val="right"/>
              <w:rPr>
                <w:sz w:val="13"/>
              </w:rPr>
            </w:pPr>
            <w:r>
              <w:rPr>
                <w:w w:val="105"/>
                <w:sz w:val="13"/>
              </w:rPr>
              <w:t>371</w:t>
              <w:tab/>
            </w:r>
            <w:r>
              <w:rPr>
                <w:spacing w:val="-2"/>
                <w:w w:val="105"/>
                <w:sz w:val="13"/>
              </w:rPr>
              <w:t>13/10/08</w:t>
            </w:r>
          </w:p>
        </w:tc>
      </w:tr>
      <w:tr>
        <w:trPr>
          <w:trHeight w:val="180" w:hRule="atLeast"/>
        </w:trPr>
        <w:tc>
          <w:tcPr>
            <w:tcW w:w="2663" w:type="dxa"/>
            <w:tcBorders>
              <w:top w:val="nil"/>
              <w:left w:val="single" w:sz="6" w:space="0" w:color="000000"/>
              <w:bottom w:val="nil"/>
              <w:right w:val="single" w:sz="6" w:space="0" w:color="000000"/>
            </w:tcBorders>
          </w:tcPr>
          <w:p>
            <w:pPr>
              <w:pStyle w:val="TableParagraph"/>
              <w:spacing w:line="145" w:lineRule="exact" w:before="16"/>
              <w:ind w:left="216"/>
              <w:jc w:val="left"/>
              <w:rPr>
                <w:sz w:val="13"/>
              </w:rPr>
            </w:pPr>
            <w:r>
              <w:rPr>
                <w:w w:val="105"/>
                <w:sz w:val="13"/>
              </w:rPr>
              <w:t>Citigroup</w:t>
            </w:r>
          </w:p>
        </w:tc>
        <w:tc>
          <w:tcPr>
            <w:tcW w:w="732" w:type="dxa"/>
            <w:tcBorders>
              <w:top w:val="nil"/>
              <w:left w:val="single" w:sz="6" w:space="0" w:color="000000"/>
              <w:bottom w:val="nil"/>
              <w:right w:val="single" w:sz="6" w:space="0" w:color="000000"/>
            </w:tcBorders>
          </w:tcPr>
          <w:p>
            <w:pPr>
              <w:pStyle w:val="TableParagraph"/>
              <w:spacing w:line="145" w:lineRule="exact" w:before="16"/>
              <w:ind w:left="226"/>
              <w:jc w:val="left"/>
              <w:rPr>
                <w:sz w:val="13"/>
              </w:rPr>
            </w:pPr>
            <w:r>
              <w:rPr>
                <w:w w:val="105"/>
                <w:sz w:val="13"/>
              </w:rPr>
              <w:t>USD</w:t>
            </w:r>
          </w:p>
        </w:tc>
        <w:tc>
          <w:tcPr>
            <w:tcW w:w="679" w:type="dxa"/>
            <w:tcBorders>
              <w:top w:val="nil"/>
              <w:left w:val="single" w:sz="6" w:space="0" w:color="000000"/>
              <w:bottom w:val="nil"/>
              <w:right w:val="single" w:sz="6" w:space="0" w:color="000000"/>
            </w:tcBorders>
          </w:tcPr>
          <w:p>
            <w:pPr>
              <w:pStyle w:val="TableParagraph"/>
              <w:spacing w:line="145" w:lineRule="exact" w:before="16"/>
              <w:ind w:left="98" w:right="72"/>
              <w:rPr>
                <w:sz w:val="13"/>
              </w:rPr>
            </w:pPr>
            <w:r>
              <w:rPr>
                <w:w w:val="105"/>
                <w:sz w:val="13"/>
              </w:rPr>
              <w:t>51</w:t>
            </w:r>
          </w:p>
        </w:tc>
        <w:tc>
          <w:tcPr>
            <w:tcW w:w="679" w:type="dxa"/>
            <w:tcBorders>
              <w:top w:val="nil"/>
              <w:left w:val="single" w:sz="6" w:space="0" w:color="000000"/>
              <w:bottom w:val="nil"/>
              <w:right w:val="single" w:sz="6" w:space="0" w:color="000000"/>
            </w:tcBorders>
          </w:tcPr>
          <w:p>
            <w:pPr>
              <w:pStyle w:val="TableParagraph"/>
              <w:spacing w:line="145" w:lineRule="exact" w:before="16"/>
              <w:ind w:left="98" w:right="83"/>
              <w:rPr>
                <w:sz w:val="13"/>
              </w:rPr>
            </w:pPr>
            <w:r>
              <w:rPr>
                <w:w w:val="105"/>
                <w:sz w:val="13"/>
              </w:rPr>
              <w:t>523</w:t>
            </w:r>
          </w:p>
        </w:tc>
        <w:tc>
          <w:tcPr>
            <w:tcW w:w="679" w:type="dxa"/>
            <w:tcBorders>
              <w:top w:val="nil"/>
              <w:left w:val="single" w:sz="6" w:space="0" w:color="000000"/>
              <w:bottom w:val="nil"/>
              <w:right w:val="single" w:sz="6" w:space="0" w:color="000000"/>
            </w:tcBorders>
          </w:tcPr>
          <w:p>
            <w:pPr>
              <w:pStyle w:val="TableParagraph"/>
              <w:spacing w:line="145" w:lineRule="exact" w:before="16"/>
              <w:ind w:left="98" w:right="83"/>
              <w:rPr>
                <w:sz w:val="13"/>
              </w:rPr>
            </w:pPr>
            <w:r>
              <w:rPr>
                <w:w w:val="105"/>
                <w:sz w:val="13"/>
              </w:rPr>
              <w:t>231</w:t>
            </w:r>
          </w:p>
        </w:tc>
        <w:tc>
          <w:tcPr>
            <w:tcW w:w="987" w:type="dxa"/>
            <w:tcBorders>
              <w:top w:val="nil"/>
              <w:left w:val="single" w:sz="6" w:space="0" w:color="000000"/>
              <w:bottom w:val="nil"/>
              <w:right w:val="single" w:sz="4" w:space="0" w:color="000000"/>
            </w:tcBorders>
          </w:tcPr>
          <w:p>
            <w:pPr>
              <w:pStyle w:val="TableParagraph"/>
              <w:spacing w:line="145" w:lineRule="exact" w:before="16"/>
              <w:ind w:left="363" w:right="342"/>
              <w:rPr>
                <w:sz w:val="13"/>
              </w:rPr>
            </w:pPr>
            <w:r>
              <w:rPr>
                <w:w w:val="105"/>
                <w:sz w:val="13"/>
              </w:rPr>
              <w:t>180</w:t>
            </w:r>
          </w:p>
        </w:tc>
        <w:tc>
          <w:tcPr>
            <w:tcW w:w="986" w:type="dxa"/>
            <w:tcBorders>
              <w:top w:val="nil"/>
              <w:left w:val="single" w:sz="4" w:space="0" w:color="000000"/>
              <w:bottom w:val="nil"/>
              <w:right w:val="single" w:sz="6" w:space="0" w:color="000000"/>
            </w:tcBorders>
          </w:tcPr>
          <w:p>
            <w:pPr>
              <w:pStyle w:val="TableParagraph"/>
              <w:spacing w:line="145" w:lineRule="exact" w:before="16"/>
              <w:ind w:left="0" w:right="335"/>
              <w:jc w:val="right"/>
              <w:rPr>
                <w:sz w:val="13"/>
              </w:rPr>
            </w:pPr>
            <w:r>
              <w:rPr>
                <w:w w:val="105"/>
                <w:sz w:val="13"/>
              </w:rPr>
              <w:t>-292</w:t>
            </w:r>
          </w:p>
        </w:tc>
        <w:tc>
          <w:tcPr>
            <w:tcW w:w="1358" w:type="dxa"/>
            <w:tcBorders>
              <w:top w:val="nil"/>
              <w:left w:val="single" w:sz="6" w:space="0" w:color="000000"/>
              <w:bottom w:val="nil"/>
              <w:right w:val="single" w:sz="6" w:space="0" w:color="000000"/>
            </w:tcBorders>
          </w:tcPr>
          <w:p>
            <w:pPr>
              <w:pStyle w:val="TableParagraph"/>
              <w:tabs>
                <w:tab w:pos="530" w:val="left" w:leader="none"/>
              </w:tabs>
              <w:spacing w:line="145" w:lineRule="exact" w:before="16"/>
              <w:ind w:left="0" w:right="51"/>
              <w:jc w:val="right"/>
              <w:rPr>
                <w:sz w:val="13"/>
              </w:rPr>
            </w:pPr>
            <w:r>
              <w:rPr>
                <w:w w:val="105"/>
                <w:sz w:val="13"/>
              </w:rPr>
              <w:t>659</w:t>
              <w:tab/>
            </w:r>
            <w:r>
              <w:rPr>
                <w:spacing w:val="-2"/>
                <w:w w:val="105"/>
                <w:sz w:val="13"/>
              </w:rPr>
              <w:t>12/03/09</w:t>
            </w:r>
          </w:p>
        </w:tc>
      </w:tr>
      <w:tr>
        <w:trPr>
          <w:trHeight w:val="180" w:hRule="atLeast"/>
        </w:trPr>
        <w:tc>
          <w:tcPr>
            <w:tcW w:w="2663" w:type="dxa"/>
            <w:tcBorders>
              <w:top w:val="nil"/>
              <w:left w:val="single" w:sz="6" w:space="0" w:color="000000"/>
              <w:bottom w:val="nil"/>
              <w:right w:val="single" w:sz="6" w:space="0" w:color="000000"/>
            </w:tcBorders>
          </w:tcPr>
          <w:p>
            <w:pPr>
              <w:pStyle w:val="TableParagraph"/>
              <w:spacing w:line="144" w:lineRule="exact" w:before="16"/>
              <w:ind w:left="216"/>
              <w:jc w:val="left"/>
              <w:rPr>
                <w:sz w:val="13"/>
              </w:rPr>
            </w:pPr>
            <w:r>
              <w:rPr>
                <w:w w:val="105"/>
                <w:sz w:val="13"/>
              </w:rPr>
              <w:t>Wells Fargo</w:t>
            </w:r>
          </w:p>
        </w:tc>
        <w:tc>
          <w:tcPr>
            <w:tcW w:w="732" w:type="dxa"/>
            <w:tcBorders>
              <w:top w:val="nil"/>
              <w:left w:val="single" w:sz="6" w:space="0" w:color="000000"/>
              <w:bottom w:val="nil"/>
              <w:right w:val="single" w:sz="6" w:space="0" w:color="000000"/>
            </w:tcBorders>
          </w:tcPr>
          <w:p>
            <w:pPr>
              <w:pStyle w:val="TableParagraph"/>
              <w:spacing w:line="144" w:lineRule="exact" w:before="16"/>
              <w:ind w:left="226"/>
              <w:jc w:val="left"/>
              <w:rPr>
                <w:sz w:val="13"/>
              </w:rPr>
            </w:pPr>
            <w:r>
              <w:rPr>
                <w:w w:val="105"/>
                <w:sz w:val="13"/>
              </w:rPr>
              <w:t>USD</w:t>
            </w:r>
          </w:p>
        </w:tc>
        <w:tc>
          <w:tcPr>
            <w:tcW w:w="679" w:type="dxa"/>
            <w:tcBorders>
              <w:top w:val="nil"/>
              <w:left w:val="single" w:sz="6" w:space="0" w:color="000000"/>
              <w:bottom w:val="nil"/>
              <w:right w:val="single" w:sz="6" w:space="0" w:color="000000"/>
            </w:tcBorders>
          </w:tcPr>
          <w:p>
            <w:pPr>
              <w:pStyle w:val="TableParagraph"/>
              <w:spacing w:line="144" w:lineRule="exact" w:before="16"/>
              <w:ind w:left="98" w:right="74"/>
              <w:rPr>
                <w:sz w:val="13"/>
              </w:rPr>
            </w:pPr>
            <w:r>
              <w:rPr>
                <w:w w:val="105"/>
                <w:sz w:val="13"/>
              </w:rPr>
              <w:t>56</w:t>
            </w:r>
          </w:p>
        </w:tc>
        <w:tc>
          <w:tcPr>
            <w:tcW w:w="679" w:type="dxa"/>
            <w:tcBorders>
              <w:top w:val="nil"/>
              <w:left w:val="single" w:sz="6" w:space="0" w:color="000000"/>
              <w:bottom w:val="nil"/>
              <w:right w:val="single" w:sz="6" w:space="0" w:color="000000"/>
            </w:tcBorders>
          </w:tcPr>
          <w:p>
            <w:pPr>
              <w:pStyle w:val="TableParagraph"/>
              <w:spacing w:line="144" w:lineRule="exact" w:before="16"/>
              <w:ind w:left="98" w:right="83"/>
              <w:rPr>
                <w:sz w:val="13"/>
              </w:rPr>
            </w:pPr>
            <w:r>
              <w:rPr>
                <w:w w:val="105"/>
                <w:sz w:val="13"/>
              </w:rPr>
              <w:t>355</w:t>
            </w:r>
          </w:p>
        </w:tc>
        <w:tc>
          <w:tcPr>
            <w:tcW w:w="679" w:type="dxa"/>
            <w:tcBorders>
              <w:top w:val="nil"/>
              <w:left w:val="single" w:sz="6" w:space="0" w:color="000000"/>
              <w:bottom w:val="nil"/>
              <w:right w:val="single" w:sz="6" w:space="0" w:color="000000"/>
            </w:tcBorders>
          </w:tcPr>
          <w:p>
            <w:pPr>
              <w:pStyle w:val="TableParagraph"/>
              <w:spacing w:line="144" w:lineRule="exact" w:before="16"/>
              <w:ind w:left="98" w:right="83"/>
              <w:rPr>
                <w:sz w:val="13"/>
              </w:rPr>
            </w:pPr>
            <w:r>
              <w:rPr>
                <w:w w:val="105"/>
                <w:sz w:val="13"/>
              </w:rPr>
              <w:t>149</w:t>
            </w:r>
          </w:p>
        </w:tc>
        <w:tc>
          <w:tcPr>
            <w:tcW w:w="987" w:type="dxa"/>
            <w:tcBorders>
              <w:top w:val="nil"/>
              <w:left w:val="single" w:sz="6" w:space="0" w:color="000000"/>
              <w:bottom w:val="nil"/>
              <w:right w:val="single" w:sz="4" w:space="0" w:color="000000"/>
            </w:tcBorders>
          </w:tcPr>
          <w:p>
            <w:pPr>
              <w:pStyle w:val="TableParagraph"/>
              <w:spacing w:line="144" w:lineRule="exact" w:before="16"/>
              <w:ind w:left="354" w:right="342"/>
              <w:rPr>
                <w:sz w:val="13"/>
              </w:rPr>
            </w:pPr>
            <w:r>
              <w:rPr>
                <w:w w:val="105"/>
                <w:sz w:val="13"/>
              </w:rPr>
              <w:t>93</w:t>
            </w:r>
          </w:p>
        </w:tc>
        <w:tc>
          <w:tcPr>
            <w:tcW w:w="986" w:type="dxa"/>
            <w:tcBorders>
              <w:top w:val="nil"/>
              <w:left w:val="single" w:sz="4" w:space="0" w:color="000000"/>
              <w:bottom w:val="nil"/>
              <w:right w:val="single" w:sz="6" w:space="0" w:color="000000"/>
            </w:tcBorders>
          </w:tcPr>
          <w:p>
            <w:pPr>
              <w:pStyle w:val="TableParagraph"/>
              <w:spacing w:line="144" w:lineRule="exact" w:before="16"/>
              <w:ind w:left="0" w:right="335"/>
              <w:jc w:val="right"/>
              <w:rPr>
                <w:sz w:val="13"/>
              </w:rPr>
            </w:pPr>
            <w:r>
              <w:rPr>
                <w:w w:val="105"/>
                <w:sz w:val="13"/>
              </w:rPr>
              <w:t>-207</w:t>
            </w:r>
          </w:p>
        </w:tc>
        <w:tc>
          <w:tcPr>
            <w:tcW w:w="1358" w:type="dxa"/>
            <w:tcBorders>
              <w:top w:val="nil"/>
              <w:left w:val="single" w:sz="6" w:space="0" w:color="000000"/>
              <w:bottom w:val="nil"/>
              <w:right w:val="single" w:sz="6" w:space="0" w:color="000000"/>
            </w:tcBorders>
          </w:tcPr>
          <w:p>
            <w:pPr>
              <w:pStyle w:val="TableParagraph"/>
              <w:tabs>
                <w:tab w:pos="530" w:val="left" w:leader="none"/>
              </w:tabs>
              <w:spacing w:line="144" w:lineRule="exact" w:before="16"/>
              <w:ind w:left="0" w:right="50"/>
              <w:jc w:val="right"/>
              <w:rPr>
                <w:sz w:val="13"/>
              </w:rPr>
            </w:pPr>
            <w:r>
              <w:rPr>
                <w:w w:val="105"/>
                <w:sz w:val="13"/>
              </w:rPr>
              <w:t>488</w:t>
              <w:tab/>
            </w:r>
            <w:r>
              <w:rPr>
                <w:spacing w:val="-2"/>
                <w:w w:val="105"/>
                <w:sz w:val="13"/>
              </w:rPr>
              <w:t>01/04/09</w:t>
            </w:r>
          </w:p>
        </w:tc>
      </w:tr>
      <w:tr>
        <w:trPr>
          <w:trHeight w:val="180" w:hRule="atLeast"/>
        </w:trPr>
        <w:tc>
          <w:tcPr>
            <w:tcW w:w="2663" w:type="dxa"/>
            <w:tcBorders>
              <w:top w:val="nil"/>
              <w:left w:val="single" w:sz="6" w:space="0" w:color="000000"/>
              <w:bottom w:val="nil"/>
              <w:right w:val="single" w:sz="6" w:space="0" w:color="000000"/>
            </w:tcBorders>
          </w:tcPr>
          <w:p>
            <w:pPr>
              <w:pStyle w:val="TableParagraph"/>
              <w:spacing w:line="144" w:lineRule="exact" w:before="16"/>
              <w:ind w:left="216"/>
              <w:jc w:val="left"/>
              <w:rPr>
                <w:sz w:val="13"/>
              </w:rPr>
            </w:pPr>
            <w:r>
              <w:rPr>
                <w:w w:val="105"/>
                <w:sz w:val="13"/>
              </w:rPr>
              <w:t>US Bancorp</w:t>
            </w:r>
          </w:p>
        </w:tc>
        <w:tc>
          <w:tcPr>
            <w:tcW w:w="732" w:type="dxa"/>
            <w:tcBorders>
              <w:top w:val="nil"/>
              <w:left w:val="single" w:sz="6" w:space="0" w:color="000000"/>
              <w:bottom w:val="nil"/>
              <w:right w:val="single" w:sz="6" w:space="0" w:color="000000"/>
            </w:tcBorders>
          </w:tcPr>
          <w:p>
            <w:pPr>
              <w:pStyle w:val="TableParagraph"/>
              <w:spacing w:line="144" w:lineRule="exact" w:before="16"/>
              <w:ind w:left="226"/>
              <w:jc w:val="left"/>
              <w:rPr>
                <w:sz w:val="13"/>
              </w:rPr>
            </w:pPr>
            <w:r>
              <w:rPr>
                <w:w w:val="105"/>
                <w:sz w:val="13"/>
              </w:rPr>
              <w:t>USD</w:t>
            </w:r>
          </w:p>
        </w:tc>
        <w:tc>
          <w:tcPr>
            <w:tcW w:w="679" w:type="dxa"/>
            <w:tcBorders>
              <w:top w:val="nil"/>
              <w:left w:val="single" w:sz="6" w:space="0" w:color="000000"/>
              <w:bottom w:val="nil"/>
              <w:right w:val="single" w:sz="6" w:space="0" w:color="000000"/>
            </w:tcBorders>
          </w:tcPr>
          <w:p>
            <w:pPr>
              <w:pStyle w:val="TableParagraph"/>
              <w:spacing w:line="144" w:lineRule="exact" w:before="16"/>
              <w:ind w:left="98" w:right="74"/>
              <w:rPr>
                <w:sz w:val="13"/>
              </w:rPr>
            </w:pPr>
            <w:r>
              <w:rPr>
                <w:w w:val="105"/>
                <w:sz w:val="13"/>
              </w:rPr>
              <w:t>62</w:t>
            </w:r>
          </w:p>
        </w:tc>
        <w:tc>
          <w:tcPr>
            <w:tcW w:w="679" w:type="dxa"/>
            <w:tcBorders>
              <w:top w:val="nil"/>
              <w:left w:val="single" w:sz="6" w:space="0" w:color="000000"/>
              <w:bottom w:val="nil"/>
              <w:right w:val="single" w:sz="6" w:space="0" w:color="000000"/>
            </w:tcBorders>
          </w:tcPr>
          <w:p>
            <w:pPr>
              <w:pStyle w:val="TableParagraph"/>
              <w:spacing w:line="144" w:lineRule="exact" w:before="16"/>
              <w:ind w:left="98" w:right="83"/>
              <w:rPr>
                <w:sz w:val="13"/>
              </w:rPr>
            </w:pPr>
            <w:r>
              <w:rPr>
                <w:w w:val="105"/>
                <w:sz w:val="13"/>
              </w:rPr>
              <w:t>222</w:t>
            </w:r>
          </w:p>
        </w:tc>
        <w:tc>
          <w:tcPr>
            <w:tcW w:w="679" w:type="dxa"/>
            <w:tcBorders>
              <w:top w:val="nil"/>
              <w:left w:val="single" w:sz="6" w:space="0" w:color="000000"/>
              <w:bottom w:val="nil"/>
              <w:right w:val="single" w:sz="6" w:space="0" w:color="000000"/>
            </w:tcBorders>
          </w:tcPr>
          <w:p>
            <w:pPr>
              <w:pStyle w:val="TableParagraph"/>
              <w:spacing w:line="144" w:lineRule="exact" w:before="16"/>
              <w:ind w:left="98" w:right="73"/>
              <w:rPr>
                <w:sz w:val="13"/>
              </w:rPr>
            </w:pPr>
            <w:r>
              <w:rPr>
                <w:w w:val="105"/>
                <w:sz w:val="13"/>
              </w:rPr>
              <w:t>86</w:t>
            </w:r>
          </w:p>
        </w:tc>
        <w:tc>
          <w:tcPr>
            <w:tcW w:w="987" w:type="dxa"/>
            <w:tcBorders>
              <w:top w:val="nil"/>
              <w:left w:val="single" w:sz="6" w:space="0" w:color="000000"/>
              <w:bottom w:val="nil"/>
              <w:right w:val="single" w:sz="4" w:space="0" w:color="000000"/>
            </w:tcBorders>
          </w:tcPr>
          <w:p>
            <w:pPr>
              <w:pStyle w:val="TableParagraph"/>
              <w:spacing w:line="144" w:lineRule="exact" w:before="16"/>
              <w:ind w:left="354" w:right="342"/>
              <w:rPr>
                <w:sz w:val="13"/>
              </w:rPr>
            </w:pPr>
            <w:r>
              <w:rPr>
                <w:w w:val="105"/>
                <w:sz w:val="13"/>
              </w:rPr>
              <w:t>24</w:t>
            </w:r>
          </w:p>
        </w:tc>
        <w:tc>
          <w:tcPr>
            <w:tcW w:w="986" w:type="dxa"/>
            <w:tcBorders>
              <w:top w:val="nil"/>
              <w:left w:val="single" w:sz="4" w:space="0" w:color="000000"/>
              <w:bottom w:val="nil"/>
              <w:right w:val="single" w:sz="6" w:space="0" w:color="000000"/>
            </w:tcBorders>
          </w:tcPr>
          <w:p>
            <w:pPr>
              <w:pStyle w:val="TableParagraph"/>
              <w:spacing w:line="144" w:lineRule="exact" w:before="16"/>
              <w:ind w:left="0" w:right="335"/>
              <w:jc w:val="right"/>
              <w:rPr>
                <w:sz w:val="13"/>
              </w:rPr>
            </w:pPr>
            <w:r>
              <w:rPr>
                <w:w w:val="105"/>
                <w:sz w:val="13"/>
              </w:rPr>
              <w:t>-136</w:t>
            </w:r>
          </w:p>
        </w:tc>
        <w:tc>
          <w:tcPr>
            <w:tcW w:w="1358" w:type="dxa"/>
            <w:tcBorders>
              <w:top w:val="nil"/>
              <w:left w:val="single" w:sz="6" w:space="0" w:color="000000"/>
              <w:bottom w:val="nil"/>
              <w:right w:val="single" w:sz="6" w:space="0" w:color="000000"/>
            </w:tcBorders>
          </w:tcPr>
          <w:p>
            <w:pPr>
              <w:pStyle w:val="TableParagraph"/>
              <w:tabs>
                <w:tab w:pos="530" w:val="left" w:leader="none"/>
              </w:tabs>
              <w:spacing w:line="144" w:lineRule="exact" w:before="16"/>
              <w:ind w:left="0" w:right="50"/>
              <w:jc w:val="right"/>
              <w:rPr>
                <w:sz w:val="13"/>
              </w:rPr>
            </w:pPr>
            <w:r>
              <w:rPr>
                <w:w w:val="105"/>
                <w:sz w:val="13"/>
              </w:rPr>
              <w:t>394</w:t>
              <w:tab/>
            </w:r>
            <w:r>
              <w:rPr>
                <w:spacing w:val="-2"/>
                <w:w w:val="105"/>
                <w:sz w:val="13"/>
              </w:rPr>
              <w:t>09/03/09</w:t>
            </w:r>
          </w:p>
        </w:tc>
      </w:tr>
      <w:tr>
        <w:trPr>
          <w:trHeight w:val="180" w:hRule="atLeast"/>
        </w:trPr>
        <w:tc>
          <w:tcPr>
            <w:tcW w:w="2663" w:type="dxa"/>
            <w:tcBorders>
              <w:top w:val="nil"/>
              <w:left w:val="single" w:sz="6" w:space="0" w:color="000000"/>
              <w:bottom w:val="nil"/>
              <w:right w:val="single" w:sz="6" w:space="0" w:color="000000"/>
            </w:tcBorders>
          </w:tcPr>
          <w:p>
            <w:pPr>
              <w:pStyle w:val="TableParagraph"/>
              <w:spacing w:line="145" w:lineRule="exact" w:before="16"/>
              <w:ind w:left="216"/>
              <w:jc w:val="left"/>
              <w:rPr>
                <w:sz w:val="13"/>
              </w:rPr>
            </w:pPr>
            <w:r>
              <w:rPr>
                <w:w w:val="105"/>
                <w:sz w:val="13"/>
              </w:rPr>
              <w:t>Bank of New York Mellon</w:t>
            </w:r>
          </w:p>
        </w:tc>
        <w:tc>
          <w:tcPr>
            <w:tcW w:w="732" w:type="dxa"/>
            <w:tcBorders>
              <w:top w:val="nil"/>
              <w:left w:val="single" w:sz="6" w:space="0" w:color="000000"/>
              <w:bottom w:val="nil"/>
              <w:right w:val="single" w:sz="6" w:space="0" w:color="000000"/>
            </w:tcBorders>
          </w:tcPr>
          <w:p>
            <w:pPr>
              <w:pStyle w:val="TableParagraph"/>
              <w:spacing w:line="145" w:lineRule="exact" w:before="16"/>
              <w:ind w:left="227"/>
              <w:jc w:val="left"/>
              <w:rPr>
                <w:sz w:val="13"/>
              </w:rPr>
            </w:pPr>
            <w:r>
              <w:rPr>
                <w:w w:val="105"/>
                <w:sz w:val="13"/>
              </w:rPr>
              <w:t>USD</w:t>
            </w:r>
          </w:p>
        </w:tc>
        <w:tc>
          <w:tcPr>
            <w:tcW w:w="679" w:type="dxa"/>
            <w:tcBorders>
              <w:top w:val="nil"/>
              <w:left w:val="single" w:sz="6" w:space="0" w:color="000000"/>
              <w:bottom w:val="nil"/>
              <w:right w:val="single" w:sz="6" w:space="0" w:color="000000"/>
            </w:tcBorders>
          </w:tcPr>
          <w:p>
            <w:pPr>
              <w:pStyle w:val="TableParagraph"/>
              <w:spacing w:line="145" w:lineRule="exact" w:before="16"/>
              <w:ind w:left="98" w:right="70"/>
              <w:rPr>
                <w:sz w:val="13"/>
              </w:rPr>
            </w:pPr>
            <w:r>
              <w:rPr>
                <w:w w:val="105"/>
                <w:sz w:val="13"/>
              </w:rPr>
              <w:t>76</w:t>
            </w:r>
          </w:p>
        </w:tc>
        <w:tc>
          <w:tcPr>
            <w:tcW w:w="679" w:type="dxa"/>
            <w:tcBorders>
              <w:top w:val="nil"/>
              <w:left w:val="single" w:sz="6" w:space="0" w:color="000000"/>
              <w:bottom w:val="nil"/>
              <w:right w:val="single" w:sz="6" w:space="0" w:color="000000"/>
            </w:tcBorders>
          </w:tcPr>
          <w:p>
            <w:pPr>
              <w:pStyle w:val="TableParagraph"/>
              <w:spacing w:line="145" w:lineRule="exact" w:before="16"/>
              <w:ind w:left="98" w:right="82"/>
              <w:rPr>
                <w:sz w:val="13"/>
              </w:rPr>
            </w:pPr>
            <w:r>
              <w:rPr>
                <w:w w:val="105"/>
                <w:sz w:val="13"/>
              </w:rPr>
              <w:t>330</w:t>
            </w:r>
          </w:p>
        </w:tc>
        <w:tc>
          <w:tcPr>
            <w:tcW w:w="679" w:type="dxa"/>
            <w:tcBorders>
              <w:top w:val="nil"/>
              <w:left w:val="single" w:sz="6" w:space="0" w:color="000000"/>
              <w:bottom w:val="nil"/>
              <w:right w:val="single" w:sz="6" w:space="0" w:color="000000"/>
            </w:tcBorders>
          </w:tcPr>
          <w:p>
            <w:pPr>
              <w:pStyle w:val="TableParagraph"/>
              <w:spacing w:line="145" w:lineRule="exact" w:before="16"/>
              <w:ind w:left="98" w:right="72"/>
              <w:rPr>
                <w:sz w:val="13"/>
              </w:rPr>
            </w:pPr>
            <w:r>
              <w:rPr>
                <w:w w:val="105"/>
                <w:sz w:val="13"/>
              </w:rPr>
              <w:t>81</w:t>
            </w:r>
          </w:p>
        </w:tc>
        <w:tc>
          <w:tcPr>
            <w:tcW w:w="987" w:type="dxa"/>
            <w:tcBorders>
              <w:top w:val="nil"/>
              <w:left w:val="single" w:sz="6" w:space="0" w:color="000000"/>
              <w:bottom w:val="nil"/>
              <w:right w:val="single" w:sz="4" w:space="0" w:color="000000"/>
            </w:tcBorders>
          </w:tcPr>
          <w:p>
            <w:pPr>
              <w:pStyle w:val="TableParagraph"/>
              <w:spacing w:line="145" w:lineRule="exact" w:before="16"/>
              <w:ind w:left="25"/>
              <w:rPr>
                <w:sz w:val="13"/>
              </w:rPr>
            </w:pPr>
            <w:r>
              <w:rPr>
                <w:w w:val="106"/>
                <w:sz w:val="13"/>
              </w:rPr>
              <w:t>6</w:t>
            </w:r>
          </w:p>
        </w:tc>
        <w:tc>
          <w:tcPr>
            <w:tcW w:w="986" w:type="dxa"/>
            <w:tcBorders>
              <w:top w:val="nil"/>
              <w:left w:val="single" w:sz="4" w:space="0" w:color="000000"/>
              <w:bottom w:val="nil"/>
              <w:right w:val="single" w:sz="6" w:space="0" w:color="000000"/>
            </w:tcBorders>
          </w:tcPr>
          <w:p>
            <w:pPr>
              <w:pStyle w:val="TableParagraph"/>
              <w:spacing w:line="145" w:lineRule="exact" w:before="16"/>
              <w:ind w:left="0" w:right="335"/>
              <w:jc w:val="right"/>
              <w:rPr>
                <w:sz w:val="13"/>
              </w:rPr>
            </w:pPr>
            <w:r>
              <w:rPr>
                <w:w w:val="105"/>
                <w:sz w:val="13"/>
              </w:rPr>
              <w:t>-249</w:t>
            </w:r>
          </w:p>
        </w:tc>
        <w:tc>
          <w:tcPr>
            <w:tcW w:w="1358" w:type="dxa"/>
            <w:tcBorders>
              <w:top w:val="nil"/>
              <w:left w:val="single" w:sz="6" w:space="0" w:color="000000"/>
              <w:bottom w:val="nil"/>
              <w:right w:val="single" w:sz="6" w:space="0" w:color="000000"/>
            </w:tcBorders>
          </w:tcPr>
          <w:p>
            <w:pPr>
              <w:pStyle w:val="TableParagraph"/>
              <w:tabs>
                <w:tab w:pos="530" w:val="left" w:leader="none"/>
              </w:tabs>
              <w:spacing w:line="145" w:lineRule="exact" w:before="16"/>
              <w:ind w:left="0" w:right="50"/>
              <w:jc w:val="right"/>
              <w:rPr>
                <w:sz w:val="13"/>
              </w:rPr>
            </w:pPr>
            <w:r>
              <w:rPr>
                <w:w w:val="105"/>
                <w:sz w:val="13"/>
              </w:rPr>
              <w:t>382</w:t>
              <w:tab/>
            </w:r>
            <w:r>
              <w:rPr>
                <w:spacing w:val="-2"/>
                <w:w w:val="105"/>
                <w:sz w:val="13"/>
              </w:rPr>
              <w:t>14/04/09</w:t>
            </w:r>
          </w:p>
        </w:tc>
      </w:tr>
      <w:tr>
        <w:trPr>
          <w:trHeight w:val="181" w:hRule="atLeast"/>
        </w:trPr>
        <w:tc>
          <w:tcPr>
            <w:tcW w:w="2663" w:type="dxa"/>
            <w:tcBorders>
              <w:top w:val="nil"/>
              <w:left w:val="single" w:sz="6" w:space="0" w:color="000000"/>
              <w:bottom w:val="single" w:sz="6" w:space="0" w:color="000000"/>
              <w:right w:val="single" w:sz="6" w:space="0" w:color="000000"/>
            </w:tcBorders>
          </w:tcPr>
          <w:p>
            <w:pPr>
              <w:pStyle w:val="TableParagraph"/>
              <w:spacing w:line="145" w:lineRule="exact" w:before="16"/>
              <w:ind w:left="216"/>
              <w:jc w:val="left"/>
              <w:rPr>
                <w:sz w:val="13"/>
              </w:rPr>
            </w:pPr>
            <w:r>
              <w:rPr>
                <w:w w:val="105"/>
                <w:sz w:val="13"/>
              </w:rPr>
              <w:t>Suntrust banks</w:t>
            </w:r>
          </w:p>
        </w:tc>
        <w:tc>
          <w:tcPr>
            <w:tcW w:w="732" w:type="dxa"/>
            <w:tcBorders>
              <w:top w:val="nil"/>
              <w:left w:val="single" w:sz="6" w:space="0" w:color="000000"/>
              <w:bottom w:val="single" w:sz="6" w:space="0" w:color="000000"/>
              <w:right w:val="single" w:sz="6" w:space="0" w:color="000000"/>
            </w:tcBorders>
          </w:tcPr>
          <w:p>
            <w:pPr>
              <w:pStyle w:val="TableParagraph"/>
              <w:spacing w:line="145" w:lineRule="exact" w:before="16"/>
              <w:ind w:left="226"/>
              <w:jc w:val="left"/>
              <w:rPr>
                <w:sz w:val="13"/>
              </w:rPr>
            </w:pPr>
            <w:r>
              <w:rPr>
                <w:w w:val="105"/>
                <w:sz w:val="13"/>
              </w:rPr>
              <w:t>USD</w:t>
            </w:r>
          </w:p>
        </w:tc>
        <w:tc>
          <w:tcPr>
            <w:tcW w:w="679" w:type="dxa"/>
            <w:tcBorders>
              <w:top w:val="nil"/>
              <w:left w:val="single" w:sz="6" w:space="0" w:color="000000"/>
              <w:bottom w:val="single" w:sz="6" w:space="0" w:color="000000"/>
              <w:right w:val="single" w:sz="6" w:space="0" w:color="000000"/>
            </w:tcBorders>
          </w:tcPr>
          <w:p>
            <w:pPr>
              <w:pStyle w:val="TableParagraph"/>
              <w:spacing w:line="145" w:lineRule="exact" w:before="16"/>
              <w:ind w:left="98" w:right="74"/>
              <w:rPr>
                <w:sz w:val="13"/>
              </w:rPr>
            </w:pPr>
            <w:r>
              <w:rPr>
                <w:w w:val="105"/>
                <w:sz w:val="13"/>
              </w:rPr>
              <w:t>64</w:t>
            </w:r>
          </w:p>
        </w:tc>
        <w:tc>
          <w:tcPr>
            <w:tcW w:w="679" w:type="dxa"/>
            <w:tcBorders>
              <w:top w:val="nil"/>
              <w:left w:val="single" w:sz="6" w:space="0" w:color="000000"/>
              <w:bottom w:val="single" w:sz="6" w:space="0" w:color="000000"/>
              <w:right w:val="single" w:sz="6" w:space="0" w:color="000000"/>
            </w:tcBorders>
          </w:tcPr>
          <w:p>
            <w:pPr>
              <w:pStyle w:val="TableParagraph"/>
              <w:spacing w:line="145" w:lineRule="exact" w:before="16"/>
              <w:ind w:left="98" w:right="83"/>
              <w:rPr>
                <w:sz w:val="13"/>
              </w:rPr>
            </w:pPr>
            <w:r>
              <w:rPr>
                <w:w w:val="105"/>
                <w:sz w:val="13"/>
              </w:rPr>
              <w:t>551</w:t>
            </w:r>
          </w:p>
        </w:tc>
        <w:tc>
          <w:tcPr>
            <w:tcW w:w="679" w:type="dxa"/>
            <w:tcBorders>
              <w:top w:val="nil"/>
              <w:left w:val="single" w:sz="6" w:space="0" w:color="000000"/>
              <w:bottom w:val="single" w:sz="6" w:space="0" w:color="000000"/>
              <w:right w:val="single" w:sz="6" w:space="0" w:color="000000"/>
            </w:tcBorders>
          </w:tcPr>
          <w:p>
            <w:pPr>
              <w:pStyle w:val="TableParagraph"/>
              <w:spacing w:line="145" w:lineRule="exact" w:before="16"/>
              <w:ind w:left="98" w:right="83"/>
              <w:rPr>
                <w:sz w:val="13"/>
              </w:rPr>
            </w:pPr>
            <w:r>
              <w:rPr>
                <w:w w:val="105"/>
                <w:sz w:val="13"/>
              </w:rPr>
              <w:t>263</w:t>
            </w:r>
          </w:p>
        </w:tc>
        <w:tc>
          <w:tcPr>
            <w:tcW w:w="987" w:type="dxa"/>
            <w:tcBorders>
              <w:top w:val="nil"/>
              <w:left w:val="single" w:sz="6" w:space="0" w:color="000000"/>
              <w:bottom w:val="single" w:sz="6" w:space="0" w:color="000000"/>
              <w:right w:val="single" w:sz="4" w:space="0" w:color="000000"/>
            </w:tcBorders>
          </w:tcPr>
          <w:p>
            <w:pPr>
              <w:pStyle w:val="TableParagraph"/>
              <w:spacing w:line="145" w:lineRule="exact" w:before="16"/>
              <w:ind w:left="363" w:right="342"/>
              <w:rPr>
                <w:sz w:val="13"/>
              </w:rPr>
            </w:pPr>
            <w:r>
              <w:rPr>
                <w:w w:val="105"/>
                <w:sz w:val="13"/>
              </w:rPr>
              <w:t>199</w:t>
            </w:r>
          </w:p>
        </w:tc>
        <w:tc>
          <w:tcPr>
            <w:tcW w:w="986" w:type="dxa"/>
            <w:tcBorders>
              <w:top w:val="nil"/>
              <w:left w:val="single" w:sz="4" w:space="0" w:color="000000"/>
              <w:bottom w:val="single" w:sz="6" w:space="0" w:color="000000"/>
              <w:right w:val="single" w:sz="6" w:space="0" w:color="000000"/>
            </w:tcBorders>
          </w:tcPr>
          <w:p>
            <w:pPr>
              <w:pStyle w:val="TableParagraph"/>
              <w:spacing w:line="145" w:lineRule="exact" w:before="16"/>
              <w:ind w:left="0" w:right="335"/>
              <w:jc w:val="right"/>
              <w:rPr>
                <w:sz w:val="13"/>
              </w:rPr>
            </w:pPr>
            <w:r>
              <w:rPr>
                <w:w w:val="105"/>
                <w:sz w:val="13"/>
              </w:rPr>
              <w:t>-288</w:t>
            </w:r>
          </w:p>
        </w:tc>
        <w:tc>
          <w:tcPr>
            <w:tcW w:w="1358" w:type="dxa"/>
            <w:tcBorders>
              <w:top w:val="nil"/>
              <w:left w:val="single" w:sz="6" w:space="0" w:color="000000"/>
              <w:bottom w:val="single" w:sz="6" w:space="0" w:color="000000"/>
              <w:right w:val="single" w:sz="6" w:space="0" w:color="000000"/>
            </w:tcBorders>
          </w:tcPr>
          <w:p>
            <w:pPr>
              <w:pStyle w:val="TableParagraph"/>
              <w:tabs>
                <w:tab w:pos="530" w:val="left" w:leader="none"/>
              </w:tabs>
              <w:spacing w:line="145" w:lineRule="exact" w:before="16"/>
              <w:ind w:left="0" w:right="51"/>
              <w:jc w:val="right"/>
              <w:rPr>
                <w:sz w:val="13"/>
              </w:rPr>
            </w:pPr>
            <w:r>
              <w:rPr>
                <w:w w:val="105"/>
                <w:sz w:val="13"/>
              </w:rPr>
              <w:t>588</w:t>
              <w:tab/>
            </w:r>
            <w:r>
              <w:rPr>
                <w:spacing w:val="-2"/>
                <w:w w:val="105"/>
                <w:sz w:val="13"/>
              </w:rPr>
              <w:t>03/11/08</w:t>
            </w:r>
          </w:p>
        </w:tc>
      </w:tr>
    </w:tbl>
    <w:p>
      <w:pPr>
        <w:spacing w:before="233"/>
        <w:ind w:left="110" w:right="0" w:firstLine="0"/>
        <w:jc w:val="left"/>
        <w:rPr>
          <w:sz w:val="15"/>
        </w:rPr>
      </w:pPr>
      <w:r>
        <w:rPr>
          <w:w w:val="105"/>
          <w:sz w:val="15"/>
        </w:rPr>
        <w:t>Source: UBS Delta.</w:t>
      </w:r>
    </w:p>
    <w:p>
      <w:pPr>
        <w:pStyle w:val="ListParagraph"/>
        <w:numPr>
          <w:ilvl w:val="0"/>
          <w:numId w:val="5"/>
        </w:numPr>
        <w:tabs>
          <w:tab w:pos="322" w:val="left" w:leader="none"/>
        </w:tabs>
        <w:spacing w:line="249" w:lineRule="auto" w:before="6" w:after="0"/>
        <w:ind w:left="110" w:right="551" w:firstLine="0"/>
        <w:jc w:val="left"/>
        <w:rPr>
          <w:sz w:val="15"/>
        </w:rPr>
      </w:pPr>
      <w:r>
        <w:rPr>
          <w:w w:val="105"/>
          <w:sz w:val="15"/>
        </w:rPr>
        <w:t>Spreads</w:t>
      </w:r>
      <w:r>
        <w:rPr>
          <w:spacing w:val="-9"/>
          <w:w w:val="105"/>
          <w:sz w:val="15"/>
        </w:rPr>
        <w:t> </w:t>
      </w:r>
      <w:r>
        <w:rPr>
          <w:w w:val="105"/>
          <w:sz w:val="15"/>
        </w:rPr>
        <w:t>to</w:t>
      </w:r>
      <w:r>
        <w:rPr>
          <w:spacing w:val="-7"/>
          <w:w w:val="105"/>
          <w:sz w:val="15"/>
        </w:rPr>
        <w:t> </w:t>
      </w:r>
      <w:r>
        <w:rPr>
          <w:w w:val="105"/>
          <w:sz w:val="15"/>
        </w:rPr>
        <w:t>government</w:t>
      </w:r>
      <w:r>
        <w:rPr>
          <w:spacing w:val="-7"/>
          <w:w w:val="105"/>
          <w:sz w:val="15"/>
        </w:rPr>
        <w:t> </w:t>
      </w:r>
      <w:r>
        <w:rPr>
          <w:w w:val="105"/>
          <w:sz w:val="15"/>
        </w:rPr>
        <w:t>bonds.</w:t>
      </w:r>
      <w:r>
        <w:rPr>
          <w:spacing w:val="25"/>
          <w:w w:val="105"/>
          <w:sz w:val="15"/>
        </w:rPr>
        <w:t> </w:t>
      </w:r>
      <w:r>
        <w:rPr>
          <w:w w:val="105"/>
          <w:sz w:val="15"/>
        </w:rPr>
        <w:t>Spread</w:t>
      </w:r>
      <w:r>
        <w:rPr>
          <w:spacing w:val="-7"/>
          <w:w w:val="105"/>
          <w:sz w:val="15"/>
        </w:rPr>
        <w:t> </w:t>
      </w:r>
      <w:r>
        <w:rPr>
          <w:w w:val="105"/>
          <w:sz w:val="15"/>
        </w:rPr>
        <w:t>at</w:t>
      </w:r>
      <w:r>
        <w:rPr>
          <w:spacing w:val="-7"/>
          <w:w w:val="105"/>
          <w:sz w:val="15"/>
        </w:rPr>
        <w:t> </w:t>
      </w:r>
      <w:r>
        <w:rPr>
          <w:w w:val="105"/>
          <w:sz w:val="15"/>
        </w:rPr>
        <w:t>five-year</w:t>
      </w:r>
      <w:r>
        <w:rPr>
          <w:spacing w:val="-7"/>
          <w:w w:val="105"/>
          <w:sz w:val="15"/>
        </w:rPr>
        <w:t> </w:t>
      </w:r>
      <w:r>
        <w:rPr>
          <w:w w:val="105"/>
          <w:sz w:val="15"/>
        </w:rPr>
        <w:t>maturity</w:t>
      </w:r>
      <w:r>
        <w:rPr>
          <w:spacing w:val="-8"/>
          <w:w w:val="105"/>
          <w:sz w:val="15"/>
        </w:rPr>
        <w:t> </w:t>
      </w:r>
      <w:r>
        <w:rPr>
          <w:w w:val="105"/>
          <w:sz w:val="15"/>
        </w:rPr>
        <w:t>estimated</w:t>
      </w:r>
      <w:r>
        <w:rPr>
          <w:spacing w:val="-7"/>
          <w:w w:val="105"/>
          <w:sz w:val="15"/>
        </w:rPr>
        <w:t> </w:t>
      </w:r>
      <w:r>
        <w:rPr>
          <w:w w:val="105"/>
          <w:sz w:val="15"/>
        </w:rPr>
        <w:t>based</w:t>
      </w:r>
      <w:r>
        <w:rPr>
          <w:spacing w:val="-7"/>
          <w:w w:val="105"/>
          <w:sz w:val="15"/>
        </w:rPr>
        <w:t> </w:t>
      </w:r>
      <w:r>
        <w:rPr>
          <w:w w:val="105"/>
          <w:sz w:val="15"/>
        </w:rPr>
        <w:t>on</w:t>
      </w:r>
      <w:r>
        <w:rPr>
          <w:spacing w:val="-6"/>
          <w:w w:val="105"/>
          <w:sz w:val="15"/>
        </w:rPr>
        <w:t> </w:t>
      </w:r>
      <w:r>
        <w:rPr>
          <w:w w:val="105"/>
          <w:sz w:val="15"/>
        </w:rPr>
        <w:t>spreads</w:t>
      </w:r>
      <w:r>
        <w:rPr>
          <w:spacing w:val="-8"/>
          <w:w w:val="105"/>
          <w:sz w:val="15"/>
        </w:rPr>
        <w:t> </w:t>
      </w:r>
      <w:r>
        <w:rPr>
          <w:w w:val="105"/>
          <w:sz w:val="15"/>
        </w:rPr>
        <w:t>on</w:t>
      </w:r>
      <w:r>
        <w:rPr>
          <w:spacing w:val="-7"/>
          <w:w w:val="105"/>
          <w:sz w:val="15"/>
        </w:rPr>
        <w:t> </w:t>
      </w:r>
      <w:r>
        <w:rPr>
          <w:w w:val="105"/>
          <w:sz w:val="15"/>
        </w:rPr>
        <w:t>senior</w:t>
      </w:r>
      <w:r>
        <w:rPr>
          <w:spacing w:val="-8"/>
          <w:w w:val="105"/>
          <w:sz w:val="15"/>
        </w:rPr>
        <w:t> </w:t>
      </w:r>
      <w:r>
        <w:rPr>
          <w:w w:val="105"/>
          <w:sz w:val="15"/>
        </w:rPr>
        <w:t>unsecured</w:t>
      </w:r>
      <w:r>
        <w:rPr>
          <w:spacing w:val="-7"/>
          <w:w w:val="105"/>
          <w:sz w:val="15"/>
        </w:rPr>
        <w:t> </w:t>
      </w:r>
      <w:r>
        <w:rPr>
          <w:w w:val="105"/>
          <w:sz w:val="15"/>
        </w:rPr>
        <w:t>debt</w:t>
      </w:r>
      <w:r>
        <w:rPr>
          <w:spacing w:val="-8"/>
          <w:w w:val="105"/>
          <w:sz w:val="15"/>
        </w:rPr>
        <w:t> </w:t>
      </w:r>
      <w:r>
        <w:rPr>
          <w:w w:val="105"/>
          <w:sz w:val="15"/>
        </w:rPr>
        <w:t>securities</w:t>
      </w:r>
      <w:r>
        <w:rPr>
          <w:spacing w:val="-8"/>
          <w:w w:val="105"/>
          <w:sz w:val="15"/>
        </w:rPr>
        <w:t> </w:t>
      </w:r>
      <w:r>
        <w:rPr>
          <w:w w:val="105"/>
          <w:sz w:val="15"/>
        </w:rPr>
        <w:t>in</w:t>
      </w:r>
      <w:r>
        <w:rPr>
          <w:spacing w:val="-7"/>
          <w:w w:val="105"/>
          <w:sz w:val="15"/>
        </w:rPr>
        <w:t> </w:t>
      </w:r>
      <w:r>
        <w:rPr>
          <w:w w:val="105"/>
          <w:sz w:val="15"/>
        </w:rPr>
        <w:t>issue for firm. Spread may not in all cases reflect the cost of funding actually faced by a firm, in particular where the number and liquidity of securities outstanding is small. Blank indicates data not</w:t>
      </w:r>
      <w:r>
        <w:rPr>
          <w:spacing w:val="-15"/>
          <w:w w:val="105"/>
          <w:sz w:val="15"/>
        </w:rPr>
        <w:t> </w:t>
      </w:r>
      <w:r>
        <w:rPr>
          <w:w w:val="105"/>
          <w:sz w:val="15"/>
        </w:rPr>
        <w:t>available.</w:t>
      </w:r>
    </w:p>
    <w:p>
      <w:pPr>
        <w:pStyle w:val="ListParagraph"/>
        <w:numPr>
          <w:ilvl w:val="0"/>
          <w:numId w:val="5"/>
        </w:numPr>
        <w:tabs>
          <w:tab w:pos="332" w:val="left" w:leader="none"/>
        </w:tabs>
        <w:spacing w:line="171" w:lineRule="exact" w:before="0" w:after="0"/>
        <w:ind w:left="331" w:right="0" w:hanging="222"/>
        <w:jc w:val="left"/>
        <w:rPr>
          <w:sz w:val="15"/>
        </w:rPr>
      </w:pPr>
      <w:r>
        <w:rPr>
          <w:w w:val="105"/>
          <w:sz w:val="15"/>
        </w:rPr>
        <w:t>Data</w:t>
      </w:r>
      <w:r>
        <w:rPr>
          <w:spacing w:val="-4"/>
          <w:w w:val="105"/>
          <w:sz w:val="15"/>
        </w:rPr>
        <w:t> </w:t>
      </w:r>
      <w:r>
        <w:rPr>
          <w:w w:val="105"/>
          <w:sz w:val="15"/>
        </w:rPr>
        <w:t>have</w:t>
      </w:r>
      <w:r>
        <w:rPr>
          <w:spacing w:val="-4"/>
          <w:w w:val="105"/>
          <w:sz w:val="15"/>
        </w:rPr>
        <w:t> </w:t>
      </w:r>
      <w:r>
        <w:rPr>
          <w:w w:val="105"/>
          <w:sz w:val="15"/>
        </w:rPr>
        <w:t>been</w:t>
      </w:r>
      <w:r>
        <w:rPr>
          <w:spacing w:val="-3"/>
          <w:w w:val="105"/>
          <w:sz w:val="15"/>
        </w:rPr>
        <w:t> </w:t>
      </w:r>
      <w:r>
        <w:rPr>
          <w:w w:val="105"/>
          <w:sz w:val="15"/>
        </w:rPr>
        <w:t>revised</w:t>
      </w:r>
      <w:r>
        <w:rPr>
          <w:spacing w:val="-3"/>
          <w:w w:val="105"/>
          <w:sz w:val="15"/>
        </w:rPr>
        <w:t> </w:t>
      </w:r>
      <w:r>
        <w:rPr>
          <w:w w:val="105"/>
          <w:sz w:val="15"/>
        </w:rPr>
        <w:t>since</w:t>
      </w:r>
      <w:r>
        <w:rPr>
          <w:spacing w:val="-5"/>
          <w:w w:val="105"/>
          <w:sz w:val="15"/>
        </w:rPr>
        <w:t> </w:t>
      </w:r>
      <w:r>
        <w:rPr>
          <w:w w:val="105"/>
          <w:sz w:val="15"/>
        </w:rPr>
        <w:t>this</w:t>
      </w:r>
      <w:r>
        <w:rPr>
          <w:spacing w:val="-4"/>
          <w:w w:val="105"/>
          <w:sz w:val="15"/>
        </w:rPr>
        <w:t> </w:t>
      </w:r>
      <w:r>
        <w:rPr>
          <w:w w:val="105"/>
          <w:sz w:val="15"/>
        </w:rPr>
        <w:t>speech</w:t>
      </w:r>
      <w:r>
        <w:rPr>
          <w:spacing w:val="-4"/>
          <w:w w:val="105"/>
          <w:sz w:val="15"/>
        </w:rPr>
        <w:t> </w:t>
      </w:r>
      <w:r>
        <w:rPr>
          <w:w w:val="105"/>
          <w:sz w:val="15"/>
        </w:rPr>
        <w:t>was</w:t>
      </w:r>
      <w:r>
        <w:rPr>
          <w:spacing w:val="-5"/>
          <w:w w:val="105"/>
          <w:sz w:val="15"/>
        </w:rPr>
        <w:t> </w:t>
      </w:r>
      <w:r>
        <w:rPr>
          <w:w w:val="105"/>
          <w:sz w:val="15"/>
        </w:rPr>
        <w:t>originally</w:t>
      </w:r>
      <w:r>
        <w:rPr>
          <w:spacing w:val="-5"/>
          <w:w w:val="105"/>
          <w:sz w:val="15"/>
        </w:rPr>
        <w:t> </w:t>
      </w:r>
      <w:r>
        <w:rPr>
          <w:w w:val="105"/>
          <w:sz w:val="15"/>
        </w:rPr>
        <w:t>given</w:t>
      </w:r>
      <w:r>
        <w:rPr>
          <w:spacing w:val="-5"/>
          <w:w w:val="105"/>
          <w:sz w:val="15"/>
        </w:rPr>
        <w:t> </w:t>
      </w:r>
      <w:r>
        <w:rPr>
          <w:w w:val="105"/>
          <w:sz w:val="15"/>
        </w:rPr>
        <w:t>to</w:t>
      </w:r>
      <w:r>
        <w:rPr>
          <w:spacing w:val="-4"/>
          <w:w w:val="105"/>
          <w:sz w:val="15"/>
        </w:rPr>
        <w:t> </w:t>
      </w:r>
      <w:r>
        <w:rPr>
          <w:w w:val="105"/>
          <w:sz w:val="15"/>
        </w:rPr>
        <w:t>reflect</w:t>
      </w:r>
      <w:r>
        <w:rPr>
          <w:spacing w:val="-4"/>
          <w:w w:val="105"/>
          <w:sz w:val="15"/>
        </w:rPr>
        <w:t> </w:t>
      </w:r>
      <w:r>
        <w:rPr>
          <w:w w:val="105"/>
          <w:sz w:val="15"/>
        </w:rPr>
        <w:t>refinements</w:t>
      </w:r>
      <w:r>
        <w:rPr>
          <w:spacing w:val="-4"/>
          <w:w w:val="105"/>
          <w:sz w:val="15"/>
        </w:rPr>
        <w:t> </w:t>
      </w:r>
      <w:r>
        <w:rPr>
          <w:w w:val="105"/>
          <w:sz w:val="15"/>
        </w:rPr>
        <w:t>to</w:t>
      </w:r>
      <w:r>
        <w:rPr>
          <w:spacing w:val="-4"/>
          <w:w w:val="105"/>
          <w:sz w:val="15"/>
        </w:rPr>
        <w:t> </w:t>
      </w:r>
      <w:r>
        <w:rPr>
          <w:w w:val="105"/>
          <w:sz w:val="15"/>
        </w:rPr>
        <w:t>the</w:t>
      </w:r>
      <w:r>
        <w:rPr>
          <w:spacing w:val="-3"/>
          <w:w w:val="105"/>
          <w:sz w:val="15"/>
        </w:rPr>
        <w:t> </w:t>
      </w:r>
      <w:r>
        <w:rPr>
          <w:w w:val="105"/>
          <w:sz w:val="15"/>
        </w:rPr>
        <w:t>data</w:t>
      </w:r>
      <w:r>
        <w:rPr>
          <w:spacing w:val="-4"/>
          <w:w w:val="105"/>
          <w:sz w:val="15"/>
        </w:rPr>
        <w:t> </w:t>
      </w:r>
      <w:r>
        <w:rPr>
          <w:w w:val="105"/>
          <w:sz w:val="15"/>
        </w:rPr>
        <w:t>originally</w:t>
      </w:r>
      <w:r>
        <w:rPr>
          <w:spacing w:val="-4"/>
          <w:w w:val="105"/>
          <w:sz w:val="15"/>
        </w:rPr>
        <w:t> </w:t>
      </w:r>
      <w:r>
        <w:rPr>
          <w:w w:val="105"/>
          <w:sz w:val="15"/>
        </w:rPr>
        <w:t>supplied</w:t>
      </w:r>
      <w:r>
        <w:rPr>
          <w:spacing w:val="-4"/>
          <w:w w:val="105"/>
          <w:sz w:val="15"/>
        </w:rPr>
        <w:t> </w:t>
      </w:r>
      <w:r>
        <w:rPr>
          <w:w w:val="105"/>
          <w:sz w:val="15"/>
        </w:rPr>
        <w:t>by</w:t>
      </w:r>
      <w:r>
        <w:rPr>
          <w:spacing w:val="-4"/>
          <w:w w:val="105"/>
          <w:sz w:val="15"/>
        </w:rPr>
        <w:t> </w:t>
      </w:r>
      <w:r>
        <w:rPr>
          <w:w w:val="105"/>
          <w:sz w:val="15"/>
        </w:rPr>
        <w:t>UBS</w:t>
      </w:r>
      <w:r>
        <w:rPr>
          <w:spacing w:val="-3"/>
          <w:w w:val="105"/>
          <w:sz w:val="15"/>
        </w:rPr>
        <w:t> </w:t>
      </w:r>
      <w:r>
        <w:rPr>
          <w:w w:val="105"/>
          <w:sz w:val="15"/>
        </w:rPr>
        <w:t>Delta.</w:t>
      </w:r>
    </w:p>
    <w:p>
      <w:pPr>
        <w:pStyle w:val="ListParagraph"/>
        <w:numPr>
          <w:ilvl w:val="0"/>
          <w:numId w:val="5"/>
        </w:numPr>
        <w:tabs>
          <w:tab w:pos="323" w:val="left" w:leader="none"/>
        </w:tabs>
        <w:spacing w:line="247" w:lineRule="auto" w:before="8" w:after="0"/>
        <w:ind w:left="110" w:right="845" w:firstLine="0"/>
        <w:jc w:val="left"/>
        <w:rPr>
          <w:sz w:val="15"/>
        </w:rPr>
      </w:pPr>
      <w:r>
        <w:rPr>
          <w:w w:val="105"/>
          <w:sz w:val="15"/>
        </w:rPr>
        <w:t>Where</w:t>
      </w:r>
      <w:r>
        <w:rPr>
          <w:spacing w:val="-7"/>
          <w:w w:val="105"/>
          <w:sz w:val="15"/>
        </w:rPr>
        <w:t> </w:t>
      </w:r>
      <w:r>
        <w:rPr>
          <w:w w:val="105"/>
          <w:sz w:val="15"/>
        </w:rPr>
        <w:t>a</w:t>
      </w:r>
      <w:r>
        <w:rPr>
          <w:spacing w:val="-6"/>
          <w:w w:val="105"/>
          <w:sz w:val="15"/>
        </w:rPr>
        <w:t> </w:t>
      </w:r>
      <w:r>
        <w:rPr>
          <w:w w:val="105"/>
          <w:sz w:val="15"/>
        </w:rPr>
        <w:t>firm</w:t>
      </w:r>
      <w:r>
        <w:rPr>
          <w:spacing w:val="-8"/>
          <w:w w:val="105"/>
          <w:sz w:val="15"/>
        </w:rPr>
        <w:t> </w:t>
      </w:r>
      <w:r>
        <w:rPr>
          <w:w w:val="105"/>
          <w:sz w:val="15"/>
        </w:rPr>
        <w:t>issues</w:t>
      </w:r>
      <w:r>
        <w:rPr>
          <w:spacing w:val="-6"/>
          <w:w w:val="105"/>
          <w:sz w:val="15"/>
        </w:rPr>
        <w:t> </w:t>
      </w:r>
      <w:r>
        <w:rPr>
          <w:w w:val="105"/>
          <w:sz w:val="15"/>
        </w:rPr>
        <w:t>senior</w:t>
      </w:r>
      <w:r>
        <w:rPr>
          <w:spacing w:val="-6"/>
          <w:w w:val="105"/>
          <w:sz w:val="15"/>
        </w:rPr>
        <w:t> </w:t>
      </w:r>
      <w:r>
        <w:rPr>
          <w:w w:val="105"/>
          <w:sz w:val="15"/>
        </w:rPr>
        <w:t>unsecured</w:t>
      </w:r>
      <w:r>
        <w:rPr>
          <w:spacing w:val="-6"/>
          <w:w w:val="105"/>
          <w:sz w:val="15"/>
        </w:rPr>
        <w:t> </w:t>
      </w:r>
      <w:r>
        <w:rPr>
          <w:w w:val="105"/>
          <w:sz w:val="15"/>
        </w:rPr>
        <w:t>debt</w:t>
      </w:r>
      <w:r>
        <w:rPr>
          <w:spacing w:val="-6"/>
          <w:w w:val="105"/>
          <w:sz w:val="15"/>
        </w:rPr>
        <w:t> </w:t>
      </w:r>
      <w:r>
        <w:rPr>
          <w:w w:val="105"/>
          <w:sz w:val="15"/>
        </w:rPr>
        <w:t>in</w:t>
      </w:r>
      <w:r>
        <w:rPr>
          <w:spacing w:val="-6"/>
          <w:w w:val="105"/>
          <w:sz w:val="15"/>
        </w:rPr>
        <w:t> </w:t>
      </w:r>
      <w:r>
        <w:rPr>
          <w:w w:val="105"/>
          <w:sz w:val="15"/>
        </w:rPr>
        <w:t>more</w:t>
      </w:r>
      <w:r>
        <w:rPr>
          <w:spacing w:val="-5"/>
          <w:w w:val="105"/>
          <w:sz w:val="15"/>
        </w:rPr>
        <w:t> </w:t>
      </w:r>
      <w:r>
        <w:rPr>
          <w:w w:val="105"/>
          <w:sz w:val="15"/>
        </w:rPr>
        <w:t>than</w:t>
      </w:r>
      <w:r>
        <w:rPr>
          <w:spacing w:val="-6"/>
          <w:w w:val="105"/>
          <w:sz w:val="15"/>
        </w:rPr>
        <w:t> </w:t>
      </w:r>
      <w:r>
        <w:rPr>
          <w:w w:val="105"/>
          <w:sz w:val="15"/>
        </w:rPr>
        <w:t>one</w:t>
      </w:r>
      <w:r>
        <w:rPr>
          <w:spacing w:val="-7"/>
          <w:w w:val="105"/>
          <w:sz w:val="15"/>
        </w:rPr>
        <w:t> </w:t>
      </w:r>
      <w:r>
        <w:rPr>
          <w:w w:val="105"/>
          <w:sz w:val="15"/>
        </w:rPr>
        <w:t>currency</w:t>
      </w:r>
      <w:r>
        <w:rPr>
          <w:spacing w:val="-6"/>
          <w:w w:val="105"/>
          <w:sz w:val="15"/>
        </w:rPr>
        <w:t> </w:t>
      </w:r>
      <w:r>
        <w:rPr>
          <w:w w:val="105"/>
          <w:sz w:val="15"/>
        </w:rPr>
        <w:t>the</w:t>
      </w:r>
      <w:r>
        <w:rPr>
          <w:spacing w:val="-7"/>
          <w:w w:val="105"/>
          <w:sz w:val="15"/>
        </w:rPr>
        <w:t> </w:t>
      </w:r>
      <w:r>
        <w:rPr>
          <w:w w:val="105"/>
          <w:sz w:val="15"/>
        </w:rPr>
        <w:t>currency</w:t>
      </w:r>
      <w:r>
        <w:rPr>
          <w:spacing w:val="-7"/>
          <w:w w:val="105"/>
          <w:sz w:val="15"/>
        </w:rPr>
        <w:t> </w:t>
      </w:r>
      <w:r>
        <w:rPr>
          <w:w w:val="105"/>
          <w:sz w:val="15"/>
        </w:rPr>
        <w:t>quoted</w:t>
      </w:r>
      <w:r>
        <w:rPr>
          <w:spacing w:val="-6"/>
          <w:w w:val="105"/>
          <w:sz w:val="15"/>
        </w:rPr>
        <w:t> </w:t>
      </w:r>
      <w:r>
        <w:rPr>
          <w:w w:val="105"/>
          <w:sz w:val="15"/>
        </w:rPr>
        <w:t>here</w:t>
      </w:r>
      <w:r>
        <w:rPr>
          <w:spacing w:val="-7"/>
          <w:w w:val="105"/>
          <w:sz w:val="15"/>
        </w:rPr>
        <w:t> </w:t>
      </w:r>
      <w:r>
        <w:rPr>
          <w:w w:val="105"/>
          <w:sz w:val="15"/>
        </w:rPr>
        <w:t>is</w:t>
      </w:r>
      <w:r>
        <w:rPr>
          <w:spacing w:val="-6"/>
          <w:w w:val="105"/>
          <w:sz w:val="15"/>
        </w:rPr>
        <w:t> </w:t>
      </w:r>
      <w:r>
        <w:rPr>
          <w:w w:val="105"/>
          <w:sz w:val="15"/>
        </w:rPr>
        <w:t>chosen</w:t>
      </w:r>
      <w:r>
        <w:rPr>
          <w:spacing w:val="-6"/>
          <w:w w:val="105"/>
          <w:sz w:val="15"/>
        </w:rPr>
        <w:t> </w:t>
      </w:r>
      <w:r>
        <w:rPr>
          <w:w w:val="105"/>
          <w:sz w:val="15"/>
        </w:rPr>
        <w:t>based</w:t>
      </w:r>
      <w:r>
        <w:rPr>
          <w:spacing w:val="-6"/>
          <w:w w:val="105"/>
          <w:sz w:val="15"/>
        </w:rPr>
        <w:t> </w:t>
      </w:r>
      <w:r>
        <w:rPr>
          <w:w w:val="105"/>
          <w:sz w:val="15"/>
        </w:rPr>
        <w:t>on</w:t>
      </w:r>
      <w:r>
        <w:rPr>
          <w:spacing w:val="-6"/>
          <w:w w:val="105"/>
          <w:sz w:val="15"/>
        </w:rPr>
        <w:t> </w:t>
      </w:r>
      <w:r>
        <w:rPr>
          <w:w w:val="105"/>
          <w:sz w:val="15"/>
        </w:rPr>
        <w:t>the</w:t>
      </w:r>
      <w:r>
        <w:rPr>
          <w:spacing w:val="-7"/>
          <w:w w:val="105"/>
          <w:sz w:val="15"/>
        </w:rPr>
        <w:t> </w:t>
      </w:r>
      <w:r>
        <w:rPr>
          <w:w w:val="105"/>
          <w:sz w:val="15"/>
        </w:rPr>
        <w:t>depth</w:t>
      </w:r>
      <w:r>
        <w:rPr>
          <w:spacing w:val="-6"/>
          <w:w w:val="105"/>
          <w:sz w:val="15"/>
        </w:rPr>
        <w:t> </w:t>
      </w:r>
      <w:r>
        <w:rPr>
          <w:w w:val="105"/>
          <w:sz w:val="15"/>
        </w:rPr>
        <w:t>of outstanding issuance between January 2007 and August</w:t>
      </w:r>
      <w:r>
        <w:rPr>
          <w:spacing w:val="-8"/>
          <w:w w:val="105"/>
          <w:sz w:val="15"/>
        </w:rPr>
        <w:t> </w:t>
      </w:r>
      <w:r>
        <w:rPr>
          <w:w w:val="105"/>
          <w:sz w:val="15"/>
        </w:rPr>
        <w:t>2010.</w:t>
      </w:r>
    </w:p>
    <w:p>
      <w:pPr>
        <w:pStyle w:val="ListParagraph"/>
        <w:numPr>
          <w:ilvl w:val="0"/>
          <w:numId w:val="5"/>
        </w:numPr>
        <w:tabs>
          <w:tab w:pos="330" w:val="left" w:leader="none"/>
        </w:tabs>
        <w:spacing w:line="240" w:lineRule="auto" w:before="1" w:after="0"/>
        <w:ind w:left="329" w:right="0" w:hanging="220"/>
        <w:jc w:val="left"/>
        <w:rPr>
          <w:sz w:val="15"/>
        </w:rPr>
      </w:pPr>
      <w:r>
        <w:rPr>
          <w:w w:val="105"/>
          <w:sz w:val="15"/>
        </w:rPr>
        <w:t>Monthly</w:t>
      </w:r>
      <w:r>
        <w:rPr>
          <w:spacing w:val="-1"/>
          <w:w w:val="105"/>
          <w:sz w:val="15"/>
        </w:rPr>
        <w:t> </w:t>
      </w:r>
      <w:r>
        <w:rPr>
          <w:w w:val="105"/>
          <w:sz w:val="15"/>
        </w:rPr>
        <w:t>average.</w:t>
      </w:r>
    </w:p>
    <w:p>
      <w:pPr>
        <w:pStyle w:val="ListParagraph"/>
        <w:numPr>
          <w:ilvl w:val="0"/>
          <w:numId w:val="5"/>
        </w:numPr>
        <w:tabs>
          <w:tab w:pos="323" w:val="left" w:leader="none"/>
        </w:tabs>
        <w:spacing w:line="249" w:lineRule="auto" w:before="7" w:after="0"/>
        <w:ind w:left="110" w:right="796" w:firstLine="0"/>
        <w:jc w:val="left"/>
        <w:rPr>
          <w:sz w:val="15"/>
        </w:rPr>
      </w:pPr>
      <w:r>
        <w:rPr>
          <w:w w:val="105"/>
          <w:sz w:val="15"/>
        </w:rPr>
        <w:t>Although</w:t>
      </w:r>
      <w:r>
        <w:rPr>
          <w:spacing w:val="-6"/>
          <w:w w:val="105"/>
          <w:sz w:val="15"/>
        </w:rPr>
        <w:t> </w:t>
      </w:r>
      <w:r>
        <w:rPr>
          <w:w w:val="105"/>
          <w:sz w:val="15"/>
        </w:rPr>
        <w:t>it</w:t>
      </w:r>
      <w:r>
        <w:rPr>
          <w:spacing w:val="-6"/>
          <w:w w:val="105"/>
          <w:sz w:val="15"/>
        </w:rPr>
        <w:t> </w:t>
      </w:r>
      <w:r>
        <w:rPr>
          <w:w w:val="105"/>
          <w:sz w:val="15"/>
        </w:rPr>
        <w:t>is</w:t>
      </w:r>
      <w:r>
        <w:rPr>
          <w:spacing w:val="-7"/>
          <w:w w:val="105"/>
          <w:sz w:val="15"/>
        </w:rPr>
        <w:t> </w:t>
      </w:r>
      <w:r>
        <w:rPr>
          <w:w w:val="105"/>
          <w:sz w:val="15"/>
        </w:rPr>
        <w:t>not</w:t>
      </w:r>
      <w:r>
        <w:rPr>
          <w:spacing w:val="-6"/>
          <w:w w:val="105"/>
          <w:sz w:val="15"/>
        </w:rPr>
        <w:t> </w:t>
      </w:r>
      <w:r>
        <w:rPr>
          <w:w w:val="105"/>
          <w:sz w:val="15"/>
        </w:rPr>
        <w:t>headquartered</w:t>
      </w:r>
      <w:r>
        <w:rPr>
          <w:spacing w:val="-5"/>
          <w:w w:val="105"/>
          <w:sz w:val="15"/>
        </w:rPr>
        <w:t> </w:t>
      </w:r>
      <w:r>
        <w:rPr>
          <w:w w:val="105"/>
          <w:sz w:val="15"/>
        </w:rPr>
        <w:t>in</w:t>
      </w:r>
      <w:r>
        <w:rPr>
          <w:spacing w:val="-5"/>
          <w:w w:val="105"/>
          <w:sz w:val="15"/>
        </w:rPr>
        <w:t> </w:t>
      </w:r>
      <w:r>
        <w:rPr>
          <w:w w:val="105"/>
          <w:sz w:val="15"/>
        </w:rPr>
        <w:t>the</w:t>
      </w:r>
      <w:r>
        <w:rPr>
          <w:spacing w:val="-7"/>
          <w:w w:val="105"/>
          <w:sz w:val="15"/>
        </w:rPr>
        <w:t> </w:t>
      </w:r>
      <w:r>
        <w:rPr>
          <w:w w:val="105"/>
          <w:sz w:val="15"/>
        </w:rPr>
        <w:t>UK,</w:t>
      </w:r>
      <w:r>
        <w:rPr>
          <w:spacing w:val="-6"/>
          <w:w w:val="105"/>
          <w:sz w:val="15"/>
        </w:rPr>
        <w:t> </w:t>
      </w:r>
      <w:r>
        <w:rPr>
          <w:w w:val="105"/>
          <w:sz w:val="15"/>
        </w:rPr>
        <w:t>Santander</w:t>
      </w:r>
      <w:r>
        <w:rPr>
          <w:spacing w:val="-7"/>
          <w:w w:val="105"/>
          <w:sz w:val="15"/>
        </w:rPr>
        <w:t> </w:t>
      </w:r>
      <w:r>
        <w:rPr>
          <w:w w:val="105"/>
          <w:sz w:val="15"/>
        </w:rPr>
        <w:t>is</w:t>
      </w:r>
      <w:r>
        <w:rPr>
          <w:spacing w:val="-7"/>
          <w:w w:val="105"/>
          <w:sz w:val="15"/>
        </w:rPr>
        <w:t> </w:t>
      </w:r>
      <w:r>
        <w:rPr>
          <w:w w:val="105"/>
          <w:sz w:val="15"/>
        </w:rPr>
        <w:t>included</w:t>
      </w:r>
      <w:r>
        <w:rPr>
          <w:spacing w:val="-5"/>
          <w:w w:val="105"/>
          <w:sz w:val="15"/>
        </w:rPr>
        <w:t> </w:t>
      </w:r>
      <w:r>
        <w:rPr>
          <w:w w:val="105"/>
          <w:sz w:val="15"/>
        </w:rPr>
        <w:t>in</w:t>
      </w:r>
      <w:r>
        <w:rPr>
          <w:spacing w:val="-6"/>
          <w:w w:val="105"/>
          <w:sz w:val="15"/>
        </w:rPr>
        <w:t> </w:t>
      </w:r>
      <w:r>
        <w:rPr>
          <w:w w:val="105"/>
          <w:sz w:val="15"/>
        </w:rPr>
        <w:t>the</w:t>
      </w:r>
      <w:r>
        <w:rPr>
          <w:spacing w:val="-6"/>
          <w:w w:val="105"/>
          <w:sz w:val="15"/>
        </w:rPr>
        <w:t> </w:t>
      </w:r>
      <w:r>
        <w:rPr>
          <w:w w:val="105"/>
          <w:sz w:val="15"/>
        </w:rPr>
        <w:t>UK</w:t>
      </w:r>
      <w:r>
        <w:rPr>
          <w:spacing w:val="-6"/>
          <w:w w:val="105"/>
          <w:sz w:val="15"/>
        </w:rPr>
        <w:t> </w:t>
      </w:r>
      <w:r>
        <w:rPr>
          <w:w w:val="105"/>
          <w:sz w:val="15"/>
        </w:rPr>
        <w:t>banks</w:t>
      </w:r>
      <w:r>
        <w:rPr>
          <w:spacing w:val="-6"/>
          <w:w w:val="105"/>
          <w:sz w:val="15"/>
        </w:rPr>
        <w:t> </w:t>
      </w:r>
      <w:r>
        <w:rPr>
          <w:w w:val="105"/>
          <w:sz w:val="15"/>
        </w:rPr>
        <w:t>peer</w:t>
      </w:r>
      <w:r>
        <w:rPr>
          <w:spacing w:val="-6"/>
          <w:w w:val="105"/>
          <w:sz w:val="15"/>
        </w:rPr>
        <w:t> </w:t>
      </w:r>
      <w:r>
        <w:rPr>
          <w:w w:val="105"/>
          <w:sz w:val="15"/>
        </w:rPr>
        <w:t>group</w:t>
      </w:r>
      <w:r>
        <w:rPr>
          <w:spacing w:val="-6"/>
          <w:w w:val="105"/>
          <w:sz w:val="15"/>
        </w:rPr>
        <w:t> </w:t>
      </w:r>
      <w:r>
        <w:rPr>
          <w:w w:val="105"/>
          <w:sz w:val="15"/>
        </w:rPr>
        <w:t>because</w:t>
      </w:r>
      <w:r>
        <w:rPr>
          <w:spacing w:val="-6"/>
          <w:w w:val="105"/>
          <w:sz w:val="15"/>
        </w:rPr>
        <w:t> </w:t>
      </w:r>
      <w:r>
        <w:rPr>
          <w:w w:val="105"/>
          <w:sz w:val="15"/>
        </w:rPr>
        <w:t>of</w:t>
      </w:r>
      <w:r>
        <w:rPr>
          <w:spacing w:val="-7"/>
          <w:w w:val="105"/>
          <w:sz w:val="15"/>
        </w:rPr>
        <w:t> </w:t>
      </w:r>
      <w:r>
        <w:rPr>
          <w:w w:val="105"/>
          <w:sz w:val="15"/>
        </w:rPr>
        <w:t>the</w:t>
      </w:r>
      <w:r>
        <w:rPr>
          <w:spacing w:val="-7"/>
          <w:w w:val="105"/>
          <w:sz w:val="15"/>
        </w:rPr>
        <w:t> </w:t>
      </w:r>
      <w:r>
        <w:rPr>
          <w:w w:val="105"/>
          <w:sz w:val="15"/>
        </w:rPr>
        <w:t>significance</w:t>
      </w:r>
      <w:r>
        <w:rPr>
          <w:spacing w:val="-6"/>
          <w:w w:val="105"/>
          <w:sz w:val="15"/>
        </w:rPr>
        <w:t> </w:t>
      </w:r>
      <w:r>
        <w:rPr>
          <w:w w:val="105"/>
          <w:sz w:val="15"/>
        </w:rPr>
        <w:t>of</w:t>
      </w:r>
      <w:r>
        <w:rPr>
          <w:spacing w:val="-7"/>
          <w:w w:val="105"/>
          <w:sz w:val="15"/>
        </w:rPr>
        <w:t> </w:t>
      </w:r>
      <w:r>
        <w:rPr>
          <w:w w:val="105"/>
          <w:sz w:val="15"/>
        </w:rPr>
        <w:t>its operations in the</w:t>
      </w:r>
      <w:r>
        <w:rPr>
          <w:spacing w:val="-5"/>
          <w:w w:val="105"/>
          <w:sz w:val="15"/>
        </w:rPr>
        <w:t> </w:t>
      </w:r>
      <w:r>
        <w:rPr>
          <w:w w:val="105"/>
          <w:sz w:val="15"/>
        </w:rPr>
        <w:t>UK.</w:t>
      </w:r>
    </w:p>
    <w:p>
      <w:pPr>
        <w:pStyle w:val="Heading1"/>
        <w:spacing w:before="1"/>
        <w:ind w:left="110" w:firstLine="0"/>
      </w:pPr>
      <w:r>
        <w:rPr/>
        <w:t>Table 4: 5-year senior CDS premia for large US and UK commercial banks</w:t>
      </w:r>
    </w:p>
    <w:p>
      <w:pPr>
        <w:pStyle w:val="BodyText"/>
        <w:spacing w:before="8"/>
        <w:rPr>
          <w:b/>
          <w:sz w:val="14"/>
        </w:rPr>
      </w:pPr>
    </w:p>
    <w:tbl>
      <w:tblPr>
        <w:tblW w:w="0" w:type="auto"/>
        <w:jc w:val="left"/>
        <w:tblInd w:w="1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69"/>
        <w:gridCol w:w="781"/>
        <w:gridCol w:w="833"/>
        <w:gridCol w:w="766"/>
        <w:gridCol w:w="903"/>
        <w:gridCol w:w="824"/>
        <w:gridCol w:w="854"/>
        <w:gridCol w:w="843"/>
      </w:tblGrid>
      <w:tr>
        <w:trPr>
          <w:trHeight w:val="364" w:hRule="atLeast"/>
        </w:trPr>
        <w:tc>
          <w:tcPr>
            <w:tcW w:w="2369" w:type="dxa"/>
            <w:shd w:val="clear" w:color="auto" w:fill="000000"/>
          </w:tcPr>
          <w:p>
            <w:pPr>
              <w:pStyle w:val="TableParagraph"/>
              <w:spacing w:before="4"/>
              <w:ind w:left="0"/>
              <w:jc w:val="left"/>
              <w:rPr>
                <w:rFonts w:ascii="Times New Roman"/>
                <w:b/>
                <w:sz w:val="15"/>
              </w:rPr>
            </w:pPr>
          </w:p>
          <w:p>
            <w:pPr>
              <w:pStyle w:val="TableParagraph"/>
              <w:spacing w:before="0"/>
              <w:ind w:left="20"/>
              <w:jc w:val="left"/>
              <w:rPr>
                <w:sz w:val="13"/>
              </w:rPr>
            </w:pPr>
            <w:r>
              <w:rPr>
                <w:color w:val="FFFFFF"/>
                <w:w w:val="105"/>
                <w:sz w:val="13"/>
              </w:rPr>
              <w:t>Selected UK banks (basis points)</w:t>
            </w:r>
          </w:p>
        </w:tc>
        <w:tc>
          <w:tcPr>
            <w:tcW w:w="781" w:type="dxa"/>
            <w:shd w:val="clear" w:color="auto" w:fill="000000"/>
          </w:tcPr>
          <w:p>
            <w:pPr>
              <w:pStyle w:val="TableParagraph"/>
              <w:spacing w:line="138" w:lineRule="exact" w:before="0"/>
              <w:ind w:left="165"/>
              <w:jc w:val="left"/>
              <w:rPr>
                <w:sz w:val="13"/>
              </w:rPr>
            </w:pPr>
            <w:r>
              <w:rPr>
                <w:color w:val="FFFFFF"/>
                <w:spacing w:val="-3"/>
                <w:w w:val="105"/>
                <w:sz w:val="13"/>
              </w:rPr>
              <w:t>Jan 07</w:t>
            </w:r>
          </w:p>
          <w:p>
            <w:pPr>
              <w:pStyle w:val="TableParagraph"/>
              <w:spacing w:before="28"/>
              <w:ind w:left="134"/>
              <w:jc w:val="left"/>
              <w:rPr>
                <w:sz w:val="13"/>
              </w:rPr>
            </w:pPr>
            <w:r>
              <w:rPr>
                <w:color w:val="FFFFFF"/>
                <w:spacing w:val="-5"/>
                <w:w w:val="105"/>
                <w:sz w:val="13"/>
              </w:rPr>
              <w:t>average</w:t>
            </w:r>
          </w:p>
        </w:tc>
        <w:tc>
          <w:tcPr>
            <w:tcW w:w="833" w:type="dxa"/>
            <w:shd w:val="clear" w:color="auto" w:fill="000000"/>
          </w:tcPr>
          <w:p>
            <w:pPr>
              <w:pStyle w:val="TableParagraph"/>
              <w:spacing w:line="138" w:lineRule="exact" w:before="0"/>
              <w:ind w:left="218"/>
              <w:jc w:val="left"/>
              <w:rPr>
                <w:sz w:val="13"/>
              </w:rPr>
            </w:pPr>
            <w:r>
              <w:rPr>
                <w:color w:val="FFFFFF"/>
                <w:w w:val="105"/>
                <w:sz w:val="13"/>
              </w:rPr>
              <w:t>Oct</w:t>
            </w:r>
            <w:r>
              <w:rPr>
                <w:color w:val="FFFFFF"/>
                <w:spacing w:val="7"/>
                <w:w w:val="105"/>
                <w:sz w:val="13"/>
              </w:rPr>
              <w:t> </w:t>
            </w:r>
            <w:r>
              <w:rPr>
                <w:color w:val="FFFFFF"/>
                <w:spacing w:val="-3"/>
                <w:w w:val="105"/>
                <w:sz w:val="13"/>
              </w:rPr>
              <w:t>08</w:t>
            </w:r>
          </w:p>
          <w:p>
            <w:pPr>
              <w:pStyle w:val="TableParagraph"/>
              <w:spacing w:before="28"/>
              <w:ind w:left="187"/>
              <w:jc w:val="left"/>
              <w:rPr>
                <w:sz w:val="13"/>
              </w:rPr>
            </w:pPr>
            <w:r>
              <w:rPr>
                <w:color w:val="FFFFFF"/>
                <w:spacing w:val="-6"/>
                <w:w w:val="105"/>
                <w:sz w:val="13"/>
              </w:rPr>
              <w:t>average</w:t>
            </w:r>
          </w:p>
        </w:tc>
        <w:tc>
          <w:tcPr>
            <w:tcW w:w="766" w:type="dxa"/>
            <w:shd w:val="clear" w:color="auto" w:fill="000000"/>
          </w:tcPr>
          <w:p>
            <w:pPr>
              <w:pStyle w:val="TableParagraph"/>
              <w:spacing w:line="138" w:lineRule="exact" w:before="0"/>
              <w:ind w:left="209"/>
              <w:jc w:val="left"/>
              <w:rPr>
                <w:sz w:val="13"/>
              </w:rPr>
            </w:pPr>
            <w:r>
              <w:rPr>
                <w:color w:val="FFFFFF"/>
                <w:w w:val="105"/>
                <w:sz w:val="13"/>
              </w:rPr>
              <w:t>Aug</w:t>
            </w:r>
            <w:r>
              <w:rPr>
                <w:color w:val="FFFFFF"/>
                <w:spacing w:val="-3"/>
                <w:w w:val="105"/>
                <w:sz w:val="13"/>
              </w:rPr>
              <w:t> 10</w:t>
            </w:r>
          </w:p>
          <w:p>
            <w:pPr>
              <w:pStyle w:val="TableParagraph"/>
              <w:spacing w:before="28"/>
              <w:ind w:left="188"/>
              <w:jc w:val="left"/>
              <w:rPr>
                <w:sz w:val="13"/>
              </w:rPr>
            </w:pPr>
            <w:r>
              <w:rPr>
                <w:color w:val="FFFFFF"/>
                <w:spacing w:val="-5"/>
                <w:w w:val="105"/>
                <w:sz w:val="13"/>
              </w:rPr>
              <w:t>average</w:t>
            </w:r>
          </w:p>
        </w:tc>
        <w:tc>
          <w:tcPr>
            <w:tcW w:w="903" w:type="dxa"/>
            <w:shd w:val="clear" w:color="auto" w:fill="000000"/>
          </w:tcPr>
          <w:p>
            <w:pPr>
              <w:pStyle w:val="TableParagraph"/>
              <w:spacing w:line="138" w:lineRule="exact" w:before="0"/>
              <w:ind w:left="92" w:right="19"/>
              <w:rPr>
                <w:sz w:val="13"/>
              </w:rPr>
            </w:pPr>
            <w:r>
              <w:rPr>
                <w:color w:val="FFFFFF"/>
                <w:w w:val="105"/>
                <w:sz w:val="13"/>
              </w:rPr>
              <w:t>Change 10 -</w:t>
            </w:r>
          </w:p>
          <w:p>
            <w:pPr>
              <w:pStyle w:val="TableParagraph"/>
              <w:spacing w:before="28"/>
              <w:ind w:left="89" w:right="19"/>
              <w:rPr>
                <w:sz w:val="13"/>
              </w:rPr>
            </w:pPr>
            <w:r>
              <w:rPr>
                <w:color w:val="FFFFFF"/>
                <w:w w:val="105"/>
                <w:sz w:val="13"/>
              </w:rPr>
              <w:t>07</w:t>
            </w:r>
          </w:p>
        </w:tc>
        <w:tc>
          <w:tcPr>
            <w:tcW w:w="824" w:type="dxa"/>
            <w:shd w:val="clear" w:color="auto" w:fill="000000"/>
          </w:tcPr>
          <w:p>
            <w:pPr>
              <w:pStyle w:val="TableParagraph"/>
              <w:spacing w:line="138" w:lineRule="exact" w:before="0"/>
              <w:ind w:left="23" w:right="8"/>
              <w:rPr>
                <w:sz w:val="13"/>
              </w:rPr>
            </w:pPr>
            <w:r>
              <w:rPr>
                <w:color w:val="FFFFFF"/>
                <w:w w:val="105"/>
                <w:sz w:val="13"/>
              </w:rPr>
              <w:t>Change 10 -</w:t>
            </w:r>
          </w:p>
          <w:p>
            <w:pPr>
              <w:pStyle w:val="TableParagraph"/>
              <w:spacing w:before="28"/>
              <w:ind w:left="19" w:right="8"/>
              <w:rPr>
                <w:sz w:val="13"/>
              </w:rPr>
            </w:pPr>
            <w:r>
              <w:rPr>
                <w:color w:val="FFFFFF"/>
                <w:w w:val="105"/>
                <w:sz w:val="13"/>
              </w:rPr>
              <w:t>08</w:t>
            </w:r>
          </w:p>
        </w:tc>
        <w:tc>
          <w:tcPr>
            <w:tcW w:w="854" w:type="dxa"/>
            <w:shd w:val="clear" w:color="auto" w:fill="000000"/>
          </w:tcPr>
          <w:p>
            <w:pPr>
              <w:pStyle w:val="TableParagraph"/>
              <w:spacing w:before="4"/>
              <w:ind w:left="0"/>
              <w:jc w:val="left"/>
              <w:rPr>
                <w:rFonts w:ascii="Times New Roman"/>
                <w:b/>
                <w:sz w:val="15"/>
              </w:rPr>
            </w:pPr>
          </w:p>
          <w:p>
            <w:pPr>
              <w:pStyle w:val="TableParagraph"/>
              <w:spacing w:before="0"/>
              <w:ind w:left="42"/>
              <w:jc w:val="left"/>
              <w:rPr>
                <w:sz w:val="13"/>
              </w:rPr>
            </w:pPr>
            <w:r>
              <w:rPr>
                <w:color w:val="FFFFFF"/>
                <w:w w:val="105"/>
                <w:sz w:val="13"/>
              </w:rPr>
              <w:t>Max value</w:t>
            </w:r>
          </w:p>
        </w:tc>
        <w:tc>
          <w:tcPr>
            <w:tcW w:w="843" w:type="dxa"/>
            <w:shd w:val="clear" w:color="auto" w:fill="000000"/>
          </w:tcPr>
          <w:p>
            <w:pPr>
              <w:pStyle w:val="TableParagraph"/>
              <w:spacing w:before="4"/>
              <w:ind w:left="0"/>
              <w:jc w:val="left"/>
              <w:rPr>
                <w:rFonts w:ascii="Times New Roman"/>
                <w:b/>
                <w:sz w:val="15"/>
              </w:rPr>
            </w:pPr>
          </w:p>
          <w:p>
            <w:pPr>
              <w:pStyle w:val="TableParagraph"/>
              <w:spacing w:before="0"/>
              <w:ind w:left="126"/>
              <w:jc w:val="left"/>
              <w:rPr>
                <w:sz w:val="13"/>
              </w:rPr>
            </w:pPr>
            <w:r>
              <w:rPr>
                <w:color w:val="FFFFFF"/>
                <w:w w:val="105"/>
                <w:sz w:val="13"/>
              </w:rPr>
              <w:t>Max date</w:t>
            </w:r>
          </w:p>
        </w:tc>
      </w:tr>
      <w:tr>
        <w:trPr>
          <w:trHeight w:val="199" w:hRule="atLeast"/>
        </w:trPr>
        <w:tc>
          <w:tcPr>
            <w:tcW w:w="2369" w:type="dxa"/>
          </w:tcPr>
          <w:p>
            <w:pPr>
              <w:pStyle w:val="TableParagraph"/>
              <w:spacing w:before="21"/>
              <w:ind w:left="20"/>
              <w:jc w:val="left"/>
              <w:rPr>
                <w:sz w:val="13"/>
              </w:rPr>
            </w:pPr>
            <w:r>
              <w:rPr>
                <w:w w:val="105"/>
                <w:sz w:val="13"/>
              </w:rPr>
              <w:t>RBS</w:t>
            </w:r>
          </w:p>
        </w:tc>
        <w:tc>
          <w:tcPr>
            <w:tcW w:w="781" w:type="dxa"/>
          </w:tcPr>
          <w:p>
            <w:pPr>
              <w:pStyle w:val="TableParagraph"/>
              <w:spacing w:before="21"/>
              <w:ind w:left="0" w:right="39"/>
              <w:rPr>
                <w:sz w:val="13"/>
              </w:rPr>
            </w:pPr>
            <w:r>
              <w:rPr>
                <w:w w:val="104"/>
                <w:sz w:val="13"/>
              </w:rPr>
              <w:t>4</w:t>
            </w:r>
          </w:p>
        </w:tc>
        <w:tc>
          <w:tcPr>
            <w:tcW w:w="833" w:type="dxa"/>
          </w:tcPr>
          <w:p>
            <w:pPr>
              <w:pStyle w:val="TableParagraph"/>
              <w:spacing w:before="21"/>
              <w:ind w:left="284" w:right="274"/>
              <w:rPr>
                <w:sz w:val="13"/>
              </w:rPr>
            </w:pPr>
            <w:r>
              <w:rPr>
                <w:w w:val="105"/>
                <w:sz w:val="13"/>
              </w:rPr>
              <w:t>157</w:t>
            </w:r>
          </w:p>
        </w:tc>
        <w:tc>
          <w:tcPr>
            <w:tcW w:w="766" w:type="dxa"/>
          </w:tcPr>
          <w:p>
            <w:pPr>
              <w:pStyle w:val="TableParagraph"/>
              <w:spacing w:before="21"/>
              <w:ind w:left="290" w:right="208"/>
              <w:rPr>
                <w:sz w:val="13"/>
              </w:rPr>
            </w:pPr>
            <w:r>
              <w:rPr>
                <w:w w:val="105"/>
                <w:sz w:val="13"/>
              </w:rPr>
              <w:t>175</w:t>
            </w:r>
          </w:p>
        </w:tc>
        <w:tc>
          <w:tcPr>
            <w:tcW w:w="903" w:type="dxa"/>
          </w:tcPr>
          <w:p>
            <w:pPr>
              <w:pStyle w:val="TableParagraph"/>
              <w:spacing w:before="21"/>
              <w:ind w:left="0" w:right="299"/>
              <w:jc w:val="right"/>
              <w:rPr>
                <w:sz w:val="13"/>
              </w:rPr>
            </w:pPr>
            <w:r>
              <w:rPr>
                <w:w w:val="105"/>
                <w:sz w:val="13"/>
              </w:rPr>
              <w:t>170</w:t>
            </w:r>
          </w:p>
        </w:tc>
        <w:tc>
          <w:tcPr>
            <w:tcW w:w="824" w:type="dxa"/>
          </w:tcPr>
          <w:p>
            <w:pPr>
              <w:pStyle w:val="TableParagraph"/>
              <w:spacing w:before="21"/>
              <w:ind w:left="40" w:right="8"/>
              <w:rPr>
                <w:sz w:val="13"/>
              </w:rPr>
            </w:pPr>
            <w:r>
              <w:rPr>
                <w:w w:val="105"/>
                <w:sz w:val="13"/>
              </w:rPr>
              <w:t>17</w:t>
            </w:r>
          </w:p>
        </w:tc>
        <w:tc>
          <w:tcPr>
            <w:tcW w:w="854" w:type="dxa"/>
          </w:tcPr>
          <w:p>
            <w:pPr>
              <w:pStyle w:val="TableParagraph"/>
              <w:spacing w:before="21"/>
              <w:ind w:left="290" w:right="295"/>
              <w:rPr>
                <w:sz w:val="13"/>
              </w:rPr>
            </w:pPr>
            <w:r>
              <w:rPr>
                <w:w w:val="105"/>
                <w:sz w:val="13"/>
              </w:rPr>
              <w:t>325</w:t>
            </w:r>
          </w:p>
        </w:tc>
        <w:tc>
          <w:tcPr>
            <w:tcW w:w="843" w:type="dxa"/>
          </w:tcPr>
          <w:p>
            <w:pPr>
              <w:pStyle w:val="TableParagraph"/>
              <w:spacing w:before="21"/>
              <w:ind w:left="148"/>
              <w:jc w:val="left"/>
              <w:rPr>
                <w:sz w:val="13"/>
              </w:rPr>
            </w:pPr>
            <w:r>
              <w:rPr>
                <w:w w:val="105"/>
                <w:sz w:val="13"/>
              </w:rPr>
              <w:t>29/09/08</w:t>
            </w:r>
          </w:p>
        </w:tc>
      </w:tr>
      <w:tr>
        <w:trPr>
          <w:trHeight w:val="208" w:hRule="atLeast"/>
        </w:trPr>
        <w:tc>
          <w:tcPr>
            <w:tcW w:w="2369" w:type="dxa"/>
          </w:tcPr>
          <w:p>
            <w:pPr>
              <w:pStyle w:val="TableParagraph"/>
              <w:ind w:left="20"/>
              <w:jc w:val="left"/>
              <w:rPr>
                <w:sz w:val="13"/>
              </w:rPr>
            </w:pPr>
            <w:r>
              <w:rPr>
                <w:w w:val="105"/>
                <w:sz w:val="13"/>
              </w:rPr>
              <w:t>Barclays</w:t>
            </w:r>
          </w:p>
        </w:tc>
        <w:tc>
          <w:tcPr>
            <w:tcW w:w="781" w:type="dxa"/>
          </w:tcPr>
          <w:p>
            <w:pPr>
              <w:pStyle w:val="TableParagraph"/>
              <w:ind w:left="0" w:right="39"/>
              <w:rPr>
                <w:sz w:val="13"/>
              </w:rPr>
            </w:pPr>
            <w:r>
              <w:rPr>
                <w:w w:val="104"/>
                <w:sz w:val="13"/>
              </w:rPr>
              <w:t>6</w:t>
            </w:r>
          </w:p>
        </w:tc>
        <w:tc>
          <w:tcPr>
            <w:tcW w:w="833" w:type="dxa"/>
          </w:tcPr>
          <w:p>
            <w:pPr>
              <w:pStyle w:val="TableParagraph"/>
              <w:ind w:left="284" w:right="274"/>
              <w:rPr>
                <w:sz w:val="13"/>
              </w:rPr>
            </w:pPr>
            <w:r>
              <w:rPr>
                <w:w w:val="105"/>
                <w:sz w:val="13"/>
              </w:rPr>
              <w:t>109</w:t>
            </w:r>
          </w:p>
        </w:tc>
        <w:tc>
          <w:tcPr>
            <w:tcW w:w="766" w:type="dxa"/>
          </w:tcPr>
          <w:p>
            <w:pPr>
              <w:pStyle w:val="TableParagraph"/>
              <w:ind w:left="290" w:right="208"/>
              <w:rPr>
                <w:sz w:val="13"/>
              </w:rPr>
            </w:pPr>
            <w:r>
              <w:rPr>
                <w:w w:val="105"/>
                <w:sz w:val="13"/>
              </w:rPr>
              <w:t>114</w:t>
            </w:r>
          </w:p>
        </w:tc>
        <w:tc>
          <w:tcPr>
            <w:tcW w:w="903" w:type="dxa"/>
          </w:tcPr>
          <w:p>
            <w:pPr>
              <w:pStyle w:val="TableParagraph"/>
              <w:ind w:left="0" w:right="299"/>
              <w:jc w:val="right"/>
              <w:rPr>
                <w:sz w:val="13"/>
              </w:rPr>
            </w:pPr>
            <w:r>
              <w:rPr>
                <w:w w:val="105"/>
                <w:sz w:val="13"/>
              </w:rPr>
              <w:t>108</w:t>
            </w:r>
          </w:p>
        </w:tc>
        <w:tc>
          <w:tcPr>
            <w:tcW w:w="824" w:type="dxa"/>
          </w:tcPr>
          <w:p>
            <w:pPr>
              <w:pStyle w:val="TableParagraph"/>
              <w:ind w:left="23"/>
              <w:rPr>
                <w:sz w:val="13"/>
              </w:rPr>
            </w:pPr>
            <w:r>
              <w:rPr>
                <w:w w:val="104"/>
                <w:sz w:val="13"/>
              </w:rPr>
              <w:t>6</w:t>
            </w:r>
          </w:p>
        </w:tc>
        <w:tc>
          <w:tcPr>
            <w:tcW w:w="854" w:type="dxa"/>
          </w:tcPr>
          <w:p>
            <w:pPr>
              <w:pStyle w:val="TableParagraph"/>
              <w:ind w:left="290" w:right="295"/>
              <w:rPr>
                <w:sz w:val="13"/>
              </w:rPr>
            </w:pPr>
            <w:r>
              <w:rPr>
                <w:w w:val="105"/>
                <w:sz w:val="13"/>
              </w:rPr>
              <w:t>240</w:t>
            </w:r>
          </w:p>
        </w:tc>
        <w:tc>
          <w:tcPr>
            <w:tcW w:w="843" w:type="dxa"/>
          </w:tcPr>
          <w:p>
            <w:pPr>
              <w:pStyle w:val="TableParagraph"/>
              <w:ind w:left="148"/>
              <w:jc w:val="left"/>
              <w:rPr>
                <w:sz w:val="13"/>
              </w:rPr>
            </w:pPr>
            <w:r>
              <w:rPr>
                <w:w w:val="105"/>
                <w:sz w:val="13"/>
              </w:rPr>
              <w:t>24/02/09</w:t>
            </w:r>
          </w:p>
        </w:tc>
      </w:tr>
      <w:tr>
        <w:trPr>
          <w:trHeight w:val="208" w:hRule="atLeast"/>
        </w:trPr>
        <w:tc>
          <w:tcPr>
            <w:tcW w:w="2369" w:type="dxa"/>
          </w:tcPr>
          <w:p>
            <w:pPr>
              <w:pStyle w:val="TableParagraph"/>
              <w:ind w:left="20"/>
              <w:jc w:val="left"/>
              <w:rPr>
                <w:sz w:val="13"/>
              </w:rPr>
            </w:pPr>
            <w:r>
              <w:rPr>
                <w:w w:val="105"/>
                <w:sz w:val="13"/>
              </w:rPr>
              <w:t>HSBC</w:t>
            </w:r>
          </w:p>
        </w:tc>
        <w:tc>
          <w:tcPr>
            <w:tcW w:w="781" w:type="dxa"/>
          </w:tcPr>
          <w:p>
            <w:pPr>
              <w:pStyle w:val="TableParagraph"/>
              <w:ind w:left="0" w:right="39"/>
              <w:rPr>
                <w:sz w:val="13"/>
              </w:rPr>
            </w:pPr>
            <w:r>
              <w:rPr>
                <w:w w:val="104"/>
                <w:sz w:val="13"/>
              </w:rPr>
              <w:t>5</w:t>
            </w:r>
          </w:p>
        </w:tc>
        <w:tc>
          <w:tcPr>
            <w:tcW w:w="833" w:type="dxa"/>
          </w:tcPr>
          <w:p>
            <w:pPr>
              <w:pStyle w:val="TableParagraph"/>
              <w:ind w:left="287" w:right="264"/>
              <w:rPr>
                <w:sz w:val="13"/>
              </w:rPr>
            </w:pPr>
            <w:r>
              <w:rPr>
                <w:w w:val="105"/>
                <w:sz w:val="13"/>
              </w:rPr>
              <w:t>85</w:t>
            </w:r>
          </w:p>
        </w:tc>
        <w:tc>
          <w:tcPr>
            <w:tcW w:w="766" w:type="dxa"/>
          </w:tcPr>
          <w:p>
            <w:pPr>
              <w:pStyle w:val="TableParagraph"/>
              <w:ind w:left="290" w:right="198"/>
              <w:rPr>
                <w:sz w:val="13"/>
              </w:rPr>
            </w:pPr>
            <w:r>
              <w:rPr>
                <w:w w:val="105"/>
                <w:sz w:val="13"/>
              </w:rPr>
              <w:t>91</w:t>
            </w:r>
          </w:p>
        </w:tc>
        <w:tc>
          <w:tcPr>
            <w:tcW w:w="903" w:type="dxa"/>
          </w:tcPr>
          <w:p>
            <w:pPr>
              <w:pStyle w:val="TableParagraph"/>
              <w:ind w:left="0" w:right="328"/>
              <w:jc w:val="right"/>
              <w:rPr>
                <w:sz w:val="13"/>
              </w:rPr>
            </w:pPr>
            <w:r>
              <w:rPr>
                <w:sz w:val="13"/>
              </w:rPr>
              <w:t>85</w:t>
            </w:r>
          </w:p>
        </w:tc>
        <w:tc>
          <w:tcPr>
            <w:tcW w:w="824" w:type="dxa"/>
          </w:tcPr>
          <w:p>
            <w:pPr>
              <w:pStyle w:val="TableParagraph"/>
              <w:ind w:left="23"/>
              <w:rPr>
                <w:sz w:val="13"/>
              </w:rPr>
            </w:pPr>
            <w:r>
              <w:rPr>
                <w:w w:val="104"/>
                <w:sz w:val="13"/>
              </w:rPr>
              <w:t>6</w:t>
            </w:r>
          </w:p>
        </w:tc>
        <w:tc>
          <w:tcPr>
            <w:tcW w:w="854" w:type="dxa"/>
          </w:tcPr>
          <w:p>
            <w:pPr>
              <w:pStyle w:val="TableParagraph"/>
              <w:ind w:left="290" w:right="295"/>
              <w:rPr>
                <w:sz w:val="13"/>
              </w:rPr>
            </w:pPr>
            <w:r>
              <w:rPr>
                <w:w w:val="105"/>
                <w:sz w:val="13"/>
              </w:rPr>
              <w:t>202</w:t>
            </w:r>
          </w:p>
        </w:tc>
        <w:tc>
          <w:tcPr>
            <w:tcW w:w="843" w:type="dxa"/>
          </w:tcPr>
          <w:p>
            <w:pPr>
              <w:pStyle w:val="TableParagraph"/>
              <w:ind w:left="148"/>
              <w:jc w:val="left"/>
              <w:rPr>
                <w:sz w:val="13"/>
              </w:rPr>
            </w:pPr>
            <w:r>
              <w:rPr>
                <w:w w:val="105"/>
                <w:sz w:val="13"/>
              </w:rPr>
              <w:t>16/03/09</w:t>
            </w:r>
          </w:p>
        </w:tc>
      </w:tr>
      <w:tr>
        <w:trPr>
          <w:trHeight w:val="208" w:hRule="atLeast"/>
        </w:trPr>
        <w:tc>
          <w:tcPr>
            <w:tcW w:w="2369" w:type="dxa"/>
          </w:tcPr>
          <w:p>
            <w:pPr>
              <w:pStyle w:val="TableParagraph"/>
              <w:ind w:left="20"/>
              <w:jc w:val="left"/>
              <w:rPr>
                <w:sz w:val="13"/>
              </w:rPr>
            </w:pPr>
            <w:r>
              <w:rPr>
                <w:w w:val="105"/>
                <w:sz w:val="13"/>
              </w:rPr>
              <w:t>Lloyds Banking Group</w:t>
            </w:r>
          </w:p>
        </w:tc>
        <w:tc>
          <w:tcPr>
            <w:tcW w:w="781" w:type="dxa"/>
          </w:tcPr>
          <w:p>
            <w:pPr>
              <w:pStyle w:val="TableParagraph"/>
              <w:ind w:left="0" w:right="39"/>
              <w:rPr>
                <w:sz w:val="13"/>
              </w:rPr>
            </w:pPr>
            <w:r>
              <w:rPr>
                <w:w w:val="104"/>
                <w:sz w:val="13"/>
              </w:rPr>
              <w:t>4</w:t>
            </w:r>
          </w:p>
        </w:tc>
        <w:tc>
          <w:tcPr>
            <w:tcW w:w="833" w:type="dxa"/>
          </w:tcPr>
          <w:p>
            <w:pPr>
              <w:pStyle w:val="TableParagraph"/>
              <w:ind w:left="284" w:right="274"/>
              <w:rPr>
                <w:sz w:val="13"/>
              </w:rPr>
            </w:pPr>
            <w:r>
              <w:rPr>
                <w:w w:val="105"/>
                <w:sz w:val="13"/>
              </w:rPr>
              <w:t>100</w:t>
            </w:r>
          </w:p>
        </w:tc>
        <w:tc>
          <w:tcPr>
            <w:tcW w:w="766" w:type="dxa"/>
          </w:tcPr>
          <w:p>
            <w:pPr>
              <w:pStyle w:val="TableParagraph"/>
              <w:ind w:left="290" w:right="208"/>
              <w:rPr>
                <w:sz w:val="13"/>
              </w:rPr>
            </w:pPr>
            <w:r>
              <w:rPr>
                <w:w w:val="105"/>
                <w:sz w:val="13"/>
              </w:rPr>
              <w:t>179</w:t>
            </w:r>
          </w:p>
        </w:tc>
        <w:tc>
          <w:tcPr>
            <w:tcW w:w="903" w:type="dxa"/>
          </w:tcPr>
          <w:p>
            <w:pPr>
              <w:pStyle w:val="TableParagraph"/>
              <w:ind w:left="0" w:right="299"/>
              <w:jc w:val="right"/>
              <w:rPr>
                <w:sz w:val="13"/>
              </w:rPr>
            </w:pPr>
            <w:r>
              <w:rPr>
                <w:w w:val="105"/>
                <w:sz w:val="13"/>
              </w:rPr>
              <w:t>175</w:t>
            </w:r>
          </w:p>
        </w:tc>
        <w:tc>
          <w:tcPr>
            <w:tcW w:w="824" w:type="dxa"/>
          </w:tcPr>
          <w:p>
            <w:pPr>
              <w:pStyle w:val="TableParagraph"/>
              <w:ind w:left="39" w:right="8"/>
              <w:rPr>
                <w:sz w:val="13"/>
              </w:rPr>
            </w:pPr>
            <w:r>
              <w:rPr>
                <w:w w:val="105"/>
                <w:sz w:val="13"/>
              </w:rPr>
              <w:t>80</w:t>
            </w:r>
          </w:p>
        </w:tc>
        <w:tc>
          <w:tcPr>
            <w:tcW w:w="854" w:type="dxa"/>
          </w:tcPr>
          <w:p>
            <w:pPr>
              <w:pStyle w:val="TableParagraph"/>
              <w:ind w:left="289" w:right="295"/>
              <w:rPr>
                <w:sz w:val="13"/>
              </w:rPr>
            </w:pPr>
            <w:r>
              <w:rPr>
                <w:w w:val="105"/>
                <w:sz w:val="13"/>
              </w:rPr>
              <w:t>250</w:t>
            </w:r>
          </w:p>
        </w:tc>
        <w:tc>
          <w:tcPr>
            <w:tcW w:w="843" w:type="dxa"/>
          </w:tcPr>
          <w:p>
            <w:pPr>
              <w:pStyle w:val="TableParagraph"/>
              <w:ind w:left="147"/>
              <w:jc w:val="left"/>
              <w:rPr>
                <w:sz w:val="13"/>
              </w:rPr>
            </w:pPr>
            <w:r>
              <w:rPr>
                <w:w w:val="105"/>
                <w:sz w:val="13"/>
              </w:rPr>
              <w:t>08/06/10</w:t>
            </w:r>
          </w:p>
        </w:tc>
      </w:tr>
      <w:tr>
        <w:trPr>
          <w:trHeight w:val="208" w:hRule="atLeast"/>
        </w:trPr>
        <w:tc>
          <w:tcPr>
            <w:tcW w:w="2369" w:type="dxa"/>
          </w:tcPr>
          <w:p>
            <w:pPr>
              <w:pStyle w:val="TableParagraph"/>
              <w:ind w:left="20"/>
              <w:jc w:val="left"/>
              <w:rPr>
                <w:sz w:val="13"/>
              </w:rPr>
            </w:pPr>
            <w:r>
              <w:rPr>
                <w:w w:val="105"/>
                <w:sz w:val="13"/>
              </w:rPr>
              <w:t>Standard Chartered</w:t>
            </w:r>
          </w:p>
        </w:tc>
        <w:tc>
          <w:tcPr>
            <w:tcW w:w="781" w:type="dxa"/>
          </w:tcPr>
          <w:p>
            <w:pPr>
              <w:pStyle w:val="TableParagraph"/>
              <w:ind w:left="0" w:right="39"/>
              <w:rPr>
                <w:sz w:val="13"/>
              </w:rPr>
            </w:pPr>
            <w:r>
              <w:rPr>
                <w:w w:val="104"/>
                <w:sz w:val="13"/>
              </w:rPr>
              <w:t>7</w:t>
            </w:r>
          </w:p>
        </w:tc>
        <w:tc>
          <w:tcPr>
            <w:tcW w:w="833" w:type="dxa"/>
          </w:tcPr>
          <w:p>
            <w:pPr>
              <w:pStyle w:val="TableParagraph"/>
              <w:ind w:left="284" w:right="274"/>
              <w:rPr>
                <w:sz w:val="13"/>
              </w:rPr>
            </w:pPr>
            <w:r>
              <w:rPr>
                <w:w w:val="105"/>
                <w:sz w:val="13"/>
              </w:rPr>
              <w:t>141</w:t>
            </w:r>
          </w:p>
        </w:tc>
        <w:tc>
          <w:tcPr>
            <w:tcW w:w="766" w:type="dxa"/>
          </w:tcPr>
          <w:p>
            <w:pPr>
              <w:pStyle w:val="TableParagraph"/>
              <w:ind w:left="290" w:right="201"/>
              <w:rPr>
                <w:sz w:val="13"/>
              </w:rPr>
            </w:pPr>
            <w:r>
              <w:rPr>
                <w:w w:val="105"/>
                <w:sz w:val="13"/>
              </w:rPr>
              <w:t>83</w:t>
            </w:r>
          </w:p>
        </w:tc>
        <w:tc>
          <w:tcPr>
            <w:tcW w:w="903" w:type="dxa"/>
          </w:tcPr>
          <w:p>
            <w:pPr>
              <w:pStyle w:val="TableParagraph"/>
              <w:ind w:left="0" w:right="330"/>
              <w:jc w:val="right"/>
              <w:rPr>
                <w:sz w:val="13"/>
              </w:rPr>
            </w:pPr>
            <w:r>
              <w:rPr>
                <w:sz w:val="13"/>
              </w:rPr>
              <w:t>76</w:t>
            </w:r>
          </w:p>
        </w:tc>
        <w:tc>
          <w:tcPr>
            <w:tcW w:w="824" w:type="dxa"/>
          </w:tcPr>
          <w:p>
            <w:pPr>
              <w:pStyle w:val="TableParagraph"/>
              <w:ind w:left="42" w:right="8"/>
              <w:rPr>
                <w:sz w:val="13"/>
              </w:rPr>
            </w:pPr>
            <w:r>
              <w:rPr>
                <w:w w:val="105"/>
                <w:sz w:val="13"/>
              </w:rPr>
              <w:t>-58</w:t>
            </w:r>
          </w:p>
        </w:tc>
        <w:tc>
          <w:tcPr>
            <w:tcW w:w="854" w:type="dxa"/>
          </w:tcPr>
          <w:p>
            <w:pPr>
              <w:pStyle w:val="TableParagraph"/>
              <w:ind w:left="289" w:right="295"/>
              <w:rPr>
                <w:sz w:val="13"/>
              </w:rPr>
            </w:pPr>
            <w:r>
              <w:rPr>
                <w:w w:val="105"/>
                <w:sz w:val="13"/>
              </w:rPr>
              <w:t>354</w:t>
            </w:r>
          </w:p>
        </w:tc>
        <w:tc>
          <w:tcPr>
            <w:tcW w:w="843" w:type="dxa"/>
          </w:tcPr>
          <w:p>
            <w:pPr>
              <w:pStyle w:val="TableParagraph"/>
              <w:ind w:left="147"/>
              <w:jc w:val="left"/>
              <w:rPr>
                <w:sz w:val="13"/>
              </w:rPr>
            </w:pPr>
            <w:r>
              <w:rPr>
                <w:w w:val="105"/>
                <w:sz w:val="13"/>
              </w:rPr>
              <w:t>16/03/09</w:t>
            </w:r>
          </w:p>
        </w:tc>
      </w:tr>
      <w:tr>
        <w:trPr>
          <w:trHeight w:val="208" w:hRule="atLeast"/>
        </w:trPr>
        <w:tc>
          <w:tcPr>
            <w:tcW w:w="2369" w:type="dxa"/>
          </w:tcPr>
          <w:p>
            <w:pPr>
              <w:pStyle w:val="TableParagraph"/>
              <w:ind w:left="20"/>
              <w:jc w:val="left"/>
              <w:rPr>
                <w:sz w:val="13"/>
              </w:rPr>
            </w:pPr>
            <w:r>
              <w:rPr>
                <w:w w:val="105"/>
                <w:sz w:val="13"/>
              </w:rPr>
              <w:t>Nationwide</w:t>
            </w:r>
          </w:p>
        </w:tc>
        <w:tc>
          <w:tcPr>
            <w:tcW w:w="781" w:type="dxa"/>
          </w:tcPr>
          <w:p>
            <w:pPr>
              <w:pStyle w:val="TableParagraph"/>
              <w:ind w:left="0" w:right="39"/>
              <w:rPr>
                <w:sz w:val="13"/>
              </w:rPr>
            </w:pPr>
            <w:r>
              <w:rPr>
                <w:w w:val="104"/>
                <w:sz w:val="13"/>
              </w:rPr>
              <w:t>9</w:t>
            </w:r>
          </w:p>
        </w:tc>
        <w:tc>
          <w:tcPr>
            <w:tcW w:w="833" w:type="dxa"/>
          </w:tcPr>
          <w:p>
            <w:pPr>
              <w:pStyle w:val="TableParagraph"/>
              <w:ind w:left="284" w:right="274"/>
              <w:rPr>
                <w:sz w:val="13"/>
              </w:rPr>
            </w:pPr>
            <w:r>
              <w:rPr>
                <w:w w:val="105"/>
                <w:sz w:val="13"/>
              </w:rPr>
              <w:t>157</w:t>
            </w:r>
          </w:p>
        </w:tc>
        <w:tc>
          <w:tcPr>
            <w:tcW w:w="766" w:type="dxa"/>
          </w:tcPr>
          <w:p>
            <w:pPr>
              <w:pStyle w:val="TableParagraph"/>
              <w:ind w:left="290" w:right="208"/>
              <w:rPr>
                <w:sz w:val="13"/>
              </w:rPr>
            </w:pPr>
            <w:r>
              <w:rPr>
                <w:w w:val="105"/>
                <w:sz w:val="13"/>
              </w:rPr>
              <w:t>135</w:t>
            </w:r>
          </w:p>
        </w:tc>
        <w:tc>
          <w:tcPr>
            <w:tcW w:w="903" w:type="dxa"/>
          </w:tcPr>
          <w:p>
            <w:pPr>
              <w:pStyle w:val="TableParagraph"/>
              <w:ind w:left="0" w:right="299"/>
              <w:jc w:val="right"/>
              <w:rPr>
                <w:sz w:val="13"/>
              </w:rPr>
            </w:pPr>
            <w:r>
              <w:rPr>
                <w:w w:val="105"/>
                <w:sz w:val="13"/>
              </w:rPr>
              <w:t>127</w:t>
            </w:r>
          </w:p>
        </w:tc>
        <w:tc>
          <w:tcPr>
            <w:tcW w:w="824" w:type="dxa"/>
          </w:tcPr>
          <w:p>
            <w:pPr>
              <w:pStyle w:val="TableParagraph"/>
              <w:ind w:left="42" w:right="8"/>
              <w:rPr>
                <w:sz w:val="13"/>
              </w:rPr>
            </w:pPr>
            <w:r>
              <w:rPr>
                <w:w w:val="105"/>
                <w:sz w:val="13"/>
              </w:rPr>
              <w:t>-22</w:t>
            </w:r>
          </w:p>
        </w:tc>
        <w:tc>
          <w:tcPr>
            <w:tcW w:w="854" w:type="dxa"/>
          </w:tcPr>
          <w:p>
            <w:pPr>
              <w:pStyle w:val="TableParagraph"/>
              <w:ind w:left="289" w:right="295"/>
              <w:rPr>
                <w:sz w:val="13"/>
              </w:rPr>
            </w:pPr>
            <w:r>
              <w:rPr>
                <w:w w:val="105"/>
                <w:sz w:val="13"/>
              </w:rPr>
              <w:t>289</w:t>
            </w:r>
          </w:p>
        </w:tc>
        <w:tc>
          <w:tcPr>
            <w:tcW w:w="843" w:type="dxa"/>
          </w:tcPr>
          <w:p>
            <w:pPr>
              <w:pStyle w:val="TableParagraph"/>
              <w:ind w:left="147"/>
              <w:jc w:val="left"/>
              <w:rPr>
                <w:sz w:val="13"/>
              </w:rPr>
            </w:pPr>
            <w:r>
              <w:rPr>
                <w:w w:val="105"/>
                <w:sz w:val="13"/>
              </w:rPr>
              <w:t>03/10/08</w:t>
            </w:r>
          </w:p>
        </w:tc>
      </w:tr>
      <w:tr>
        <w:trPr>
          <w:trHeight w:val="208" w:hRule="atLeast"/>
        </w:trPr>
        <w:tc>
          <w:tcPr>
            <w:tcW w:w="2369" w:type="dxa"/>
          </w:tcPr>
          <w:p>
            <w:pPr>
              <w:pStyle w:val="TableParagraph"/>
              <w:ind w:left="20"/>
              <w:jc w:val="left"/>
              <w:rPr>
                <w:sz w:val="13"/>
              </w:rPr>
            </w:pPr>
            <w:r>
              <w:rPr>
                <w:w w:val="105"/>
                <w:sz w:val="13"/>
              </w:rPr>
              <w:t>Northern Rock</w:t>
            </w:r>
          </w:p>
        </w:tc>
        <w:tc>
          <w:tcPr>
            <w:tcW w:w="781" w:type="dxa"/>
          </w:tcPr>
          <w:p>
            <w:pPr>
              <w:pStyle w:val="TableParagraph"/>
              <w:ind w:left="239" w:right="274"/>
              <w:rPr>
                <w:sz w:val="13"/>
              </w:rPr>
            </w:pPr>
            <w:r>
              <w:rPr>
                <w:w w:val="105"/>
                <w:sz w:val="13"/>
              </w:rPr>
              <w:t>N/A</w:t>
            </w:r>
          </w:p>
        </w:tc>
        <w:tc>
          <w:tcPr>
            <w:tcW w:w="833" w:type="dxa"/>
          </w:tcPr>
          <w:p>
            <w:pPr>
              <w:pStyle w:val="TableParagraph"/>
              <w:ind w:left="287" w:right="271"/>
              <w:rPr>
                <w:sz w:val="13"/>
              </w:rPr>
            </w:pPr>
            <w:r>
              <w:rPr>
                <w:w w:val="105"/>
                <w:sz w:val="13"/>
              </w:rPr>
              <w:t>N/A</w:t>
            </w:r>
          </w:p>
        </w:tc>
        <w:tc>
          <w:tcPr>
            <w:tcW w:w="766" w:type="dxa"/>
          </w:tcPr>
          <w:p>
            <w:pPr>
              <w:pStyle w:val="TableParagraph"/>
              <w:ind w:left="290" w:right="208"/>
              <w:rPr>
                <w:sz w:val="13"/>
              </w:rPr>
            </w:pPr>
            <w:r>
              <w:rPr>
                <w:w w:val="105"/>
                <w:sz w:val="13"/>
              </w:rPr>
              <w:t>192</w:t>
            </w:r>
          </w:p>
        </w:tc>
        <w:tc>
          <w:tcPr>
            <w:tcW w:w="903" w:type="dxa"/>
          </w:tcPr>
          <w:p>
            <w:pPr>
              <w:pStyle w:val="TableParagraph"/>
              <w:ind w:left="0" w:right="292"/>
              <w:jc w:val="right"/>
              <w:rPr>
                <w:sz w:val="13"/>
              </w:rPr>
            </w:pPr>
            <w:r>
              <w:rPr>
                <w:w w:val="105"/>
                <w:sz w:val="13"/>
              </w:rPr>
              <w:t>N/A</w:t>
            </w:r>
          </w:p>
        </w:tc>
        <w:tc>
          <w:tcPr>
            <w:tcW w:w="824" w:type="dxa"/>
          </w:tcPr>
          <w:p>
            <w:pPr>
              <w:pStyle w:val="TableParagraph"/>
              <w:ind w:left="36" w:right="8"/>
              <w:rPr>
                <w:sz w:val="13"/>
              </w:rPr>
            </w:pPr>
            <w:r>
              <w:rPr>
                <w:w w:val="105"/>
                <w:sz w:val="13"/>
              </w:rPr>
              <w:t>N/A</w:t>
            </w:r>
          </w:p>
        </w:tc>
        <w:tc>
          <w:tcPr>
            <w:tcW w:w="854" w:type="dxa"/>
          </w:tcPr>
          <w:p>
            <w:pPr>
              <w:pStyle w:val="TableParagraph"/>
              <w:ind w:left="290" w:right="295"/>
              <w:rPr>
                <w:sz w:val="13"/>
              </w:rPr>
            </w:pPr>
            <w:r>
              <w:rPr>
                <w:w w:val="105"/>
                <w:sz w:val="13"/>
              </w:rPr>
              <w:t>221</w:t>
            </w:r>
          </w:p>
        </w:tc>
        <w:tc>
          <w:tcPr>
            <w:tcW w:w="843" w:type="dxa"/>
          </w:tcPr>
          <w:p>
            <w:pPr>
              <w:pStyle w:val="TableParagraph"/>
              <w:ind w:left="148"/>
              <w:jc w:val="left"/>
              <w:rPr>
                <w:sz w:val="13"/>
              </w:rPr>
            </w:pPr>
            <w:r>
              <w:rPr>
                <w:w w:val="105"/>
                <w:sz w:val="13"/>
              </w:rPr>
              <w:t>08/02/10</w:t>
            </w:r>
          </w:p>
        </w:tc>
      </w:tr>
      <w:tr>
        <w:trPr>
          <w:trHeight w:val="208" w:hRule="atLeast"/>
        </w:trPr>
        <w:tc>
          <w:tcPr>
            <w:tcW w:w="2369" w:type="dxa"/>
          </w:tcPr>
          <w:p>
            <w:pPr>
              <w:pStyle w:val="TableParagraph"/>
              <w:ind w:left="20"/>
              <w:jc w:val="left"/>
              <w:rPr>
                <w:sz w:val="13"/>
              </w:rPr>
            </w:pPr>
            <w:r>
              <w:rPr>
                <w:w w:val="105"/>
                <w:sz w:val="13"/>
              </w:rPr>
              <w:t>Co-operative Financial Services</w:t>
            </w:r>
          </w:p>
        </w:tc>
        <w:tc>
          <w:tcPr>
            <w:tcW w:w="781" w:type="dxa"/>
          </w:tcPr>
          <w:p>
            <w:pPr>
              <w:pStyle w:val="TableParagraph"/>
              <w:ind w:left="239" w:right="270"/>
              <w:rPr>
                <w:sz w:val="13"/>
              </w:rPr>
            </w:pPr>
            <w:r>
              <w:rPr>
                <w:w w:val="105"/>
                <w:sz w:val="13"/>
              </w:rPr>
              <w:t>13</w:t>
            </w:r>
          </w:p>
        </w:tc>
        <w:tc>
          <w:tcPr>
            <w:tcW w:w="833" w:type="dxa"/>
          </w:tcPr>
          <w:p>
            <w:pPr>
              <w:pStyle w:val="TableParagraph"/>
              <w:ind w:left="283" w:right="274"/>
              <w:rPr>
                <w:sz w:val="13"/>
              </w:rPr>
            </w:pPr>
            <w:r>
              <w:rPr>
                <w:w w:val="105"/>
                <w:sz w:val="13"/>
              </w:rPr>
              <w:t>470</w:t>
            </w:r>
          </w:p>
        </w:tc>
        <w:tc>
          <w:tcPr>
            <w:tcW w:w="766" w:type="dxa"/>
          </w:tcPr>
          <w:p>
            <w:pPr>
              <w:pStyle w:val="TableParagraph"/>
              <w:ind w:left="290" w:right="208"/>
              <w:rPr>
                <w:sz w:val="13"/>
              </w:rPr>
            </w:pPr>
            <w:r>
              <w:rPr>
                <w:w w:val="105"/>
                <w:sz w:val="13"/>
              </w:rPr>
              <w:t>265</w:t>
            </w:r>
          </w:p>
        </w:tc>
        <w:tc>
          <w:tcPr>
            <w:tcW w:w="903" w:type="dxa"/>
          </w:tcPr>
          <w:p>
            <w:pPr>
              <w:pStyle w:val="TableParagraph"/>
              <w:ind w:left="0" w:right="299"/>
              <w:jc w:val="right"/>
              <w:rPr>
                <w:sz w:val="13"/>
              </w:rPr>
            </w:pPr>
            <w:r>
              <w:rPr>
                <w:w w:val="105"/>
                <w:sz w:val="13"/>
              </w:rPr>
              <w:t>252</w:t>
            </w:r>
          </w:p>
        </w:tc>
        <w:tc>
          <w:tcPr>
            <w:tcW w:w="824" w:type="dxa"/>
          </w:tcPr>
          <w:p>
            <w:pPr>
              <w:pStyle w:val="TableParagraph"/>
              <w:ind w:left="23"/>
              <w:rPr>
                <w:sz w:val="13"/>
              </w:rPr>
            </w:pPr>
            <w:r>
              <w:rPr>
                <w:w w:val="105"/>
                <w:sz w:val="13"/>
              </w:rPr>
              <w:t>-205</w:t>
            </w:r>
          </w:p>
        </w:tc>
        <w:tc>
          <w:tcPr>
            <w:tcW w:w="854" w:type="dxa"/>
          </w:tcPr>
          <w:p>
            <w:pPr>
              <w:pStyle w:val="TableParagraph"/>
              <w:ind w:left="289" w:right="295"/>
              <w:rPr>
                <w:sz w:val="13"/>
              </w:rPr>
            </w:pPr>
            <w:r>
              <w:rPr>
                <w:w w:val="105"/>
                <w:sz w:val="13"/>
              </w:rPr>
              <w:t>333</w:t>
            </w:r>
          </w:p>
        </w:tc>
        <w:tc>
          <w:tcPr>
            <w:tcW w:w="843" w:type="dxa"/>
          </w:tcPr>
          <w:p>
            <w:pPr>
              <w:pStyle w:val="TableParagraph"/>
              <w:ind w:left="147"/>
              <w:jc w:val="left"/>
              <w:rPr>
                <w:sz w:val="13"/>
              </w:rPr>
            </w:pPr>
            <w:r>
              <w:rPr>
                <w:w w:val="105"/>
                <w:sz w:val="13"/>
              </w:rPr>
              <w:t>25/09/09</w:t>
            </w:r>
          </w:p>
        </w:tc>
      </w:tr>
      <w:tr>
        <w:trPr>
          <w:trHeight w:val="208" w:hRule="atLeast"/>
        </w:trPr>
        <w:tc>
          <w:tcPr>
            <w:tcW w:w="2369" w:type="dxa"/>
          </w:tcPr>
          <w:p>
            <w:pPr>
              <w:pStyle w:val="TableParagraph"/>
              <w:ind w:left="20"/>
              <w:jc w:val="left"/>
              <w:rPr>
                <w:sz w:val="13"/>
              </w:rPr>
            </w:pPr>
            <w:r>
              <w:rPr>
                <w:w w:val="105"/>
                <w:sz w:val="13"/>
              </w:rPr>
              <w:t>Santander</w:t>
            </w:r>
          </w:p>
        </w:tc>
        <w:tc>
          <w:tcPr>
            <w:tcW w:w="781" w:type="dxa"/>
          </w:tcPr>
          <w:p>
            <w:pPr>
              <w:pStyle w:val="TableParagraph"/>
              <w:ind w:left="239" w:right="274"/>
              <w:rPr>
                <w:sz w:val="13"/>
              </w:rPr>
            </w:pPr>
            <w:r>
              <w:rPr>
                <w:w w:val="105"/>
                <w:sz w:val="13"/>
              </w:rPr>
              <w:t>N/A</w:t>
            </w:r>
          </w:p>
        </w:tc>
        <w:tc>
          <w:tcPr>
            <w:tcW w:w="833" w:type="dxa"/>
          </w:tcPr>
          <w:p>
            <w:pPr>
              <w:pStyle w:val="TableParagraph"/>
              <w:ind w:left="287" w:right="264"/>
              <w:rPr>
                <w:sz w:val="13"/>
              </w:rPr>
            </w:pPr>
            <w:r>
              <w:rPr>
                <w:w w:val="105"/>
                <w:sz w:val="13"/>
              </w:rPr>
              <w:t>97</w:t>
            </w:r>
          </w:p>
        </w:tc>
        <w:tc>
          <w:tcPr>
            <w:tcW w:w="766" w:type="dxa"/>
          </w:tcPr>
          <w:p>
            <w:pPr>
              <w:pStyle w:val="TableParagraph"/>
              <w:ind w:left="290" w:right="208"/>
              <w:rPr>
                <w:sz w:val="13"/>
              </w:rPr>
            </w:pPr>
            <w:r>
              <w:rPr>
                <w:w w:val="105"/>
                <w:sz w:val="13"/>
              </w:rPr>
              <w:t>150</w:t>
            </w:r>
          </w:p>
        </w:tc>
        <w:tc>
          <w:tcPr>
            <w:tcW w:w="903" w:type="dxa"/>
          </w:tcPr>
          <w:p>
            <w:pPr>
              <w:pStyle w:val="TableParagraph"/>
              <w:ind w:left="0" w:right="292"/>
              <w:jc w:val="right"/>
              <w:rPr>
                <w:sz w:val="13"/>
              </w:rPr>
            </w:pPr>
            <w:r>
              <w:rPr>
                <w:w w:val="105"/>
                <w:sz w:val="13"/>
              </w:rPr>
              <w:t>N/A</w:t>
            </w:r>
          </w:p>
        </w:tc>
        <w:tc>
          <w:tcPr>
            <w:tcW w:w="824" w:type="dxa"/>
          </w:tcPr>
          <w:p>
            <w:pPr>
              <w:pStyle w:val="TableParagraph"/>
              <w:ind w:left="42" w:right="8"/>
              <w:rPr>
                <w:sz w:val="13"/>
              </w:rPr>
            </w:pPr>
            <w:r>
              <w:rPr>
                <w:w w:val="105"/>
                <w:sz w:val="13"/>
              </w:rPr>
              <w:t>53</w:t>
            </w:r>
          </w:p>
        </w:tc>
        <w:tc>
          <w:tcPr>
            <w:tcW w:w="854" w:type="dxa"/>
          </w:tcPr>
          <w:p>
            <w:pPr>
              <w:pStyle w:val="TableParagraph"/>
              <w:ind w:left="290" w:right="295"/>
              <w:rPr>
                <w:sz w:val="13"/>
              </w:rPr>
            </w:pPr>
            <w:r>
              <w:rPr>
                <w:w w:val="105"/>
                <w:sz w:val="13"/>
              </w:rPr>
              <w:t>260</w:t>
            </w:r>
          </w:p>
        </w:tc>
        <w:tc>
          <w:tcPr>
            <w:tcW w:w="843" w:type="dxa"/>
          </w:tcPr>
          <w:p>
            <w:pPr>
              <w:pStyle w:val="TableParagraph"/>
              <w:ind w:left="148"/>
              <w:jc w:val="left"/>
              <w:rPr>
                <w:sz w:val="13"/>
              </w:rPr>
            </w:pPr>
            <w:r>
              <w:rPr>
                <w:w w:val="105"/>
                <w:sz w:val="13"/>
              </w:rPr>
              <w:t>08/06/10</w:t>
            </w:r>
          </w:p>
        </w:tc>
      </w:tr>
      <w:tr>
        <w:trPr>
          <w:trHeight w:val="415" w:hRule="atLeast"/>
        </w:trPr>
        <w:tc>
          <w:tcPr>
            <w:tcW w:w="2369" w:type="dxa"/>
          </w:tcPr>
          <w:p>
            <w:pPr>
              <w:pStyle w:val="TableParagraph"/>
              <w:ind w:left="20"/>
              <w:jc w:val="left"/>
              <w:rPr>
                <w:sz w:val="13"/>
              </w:rPr>
            </w:pPr>
            <w:r>
              <w:rPr>
                <w:w w:val="105"/>
                <w:sz w:val="13"/>
              </w:rPr>
              <w:t>Clydesdale (National Australia Bank)</w:t>
            </w:r>
          </w:p>
        </w:tc>
        <w:tc>
          <w:tcPr>
            <w:tcW w:w="781" w:type="dxa"/>
          </w:tcPr>
          <w:p>
            <w:pPr>
              <w:pStyle w:val="TableParagraph"/>
              <w:ind w:left="0" w:right="39"/>
              <w:rPr>
                <w:sz w:val="13"/>
              </w:rPr>
            </w:pPr>
            <w:r>
              <w:rPr>
                <w:w w:val="104"/>
                <w:sz w:val="13"/>
              </w:rPr>
              <w:t>6</w:t>
            </w:r>
          </w:p>
        </w:tc>
        <w:tc>
          <w:tcPr>
            <w:tcW w:w="833" w:type="dxa"/>
          </w:tcPr>
          <w:p>
            <w:pPr>
              <w:pStyle w:val="TableParagraph"/>
              <w:ind w:left="283" w:right="274"/>
              <w:rPr>
                <w:sz w:val="13"/>
              </w:rPr>
            </w:pPr>
            <w:r>
              <w:rPr>
                <w:w w:val="105"/>
                <w:sz w:val="13"/>
              </w:rPr>
              <w:t>129</w:t>
            </w:r>
          </w:p>
        </w:tc>
        <w:tc>
          <w:tcPr>
            <w:tcW w:w="766" w:type="dxa"/>
          </w:tcPr>
          <w:p>
            <w:pPr>
              <w:pStyle w:val="TableParagraph"/>
              <w:ind w:left="290" w:right="208"/>
              <w:rPr>
                <w:sz w:val="13"/>
              </w:rPr>
            </w:pPr>
            <w:r>
              <w:rPr>
                <w:w w:val="105"/>
                <w:sz w:val="13"/>
              </w:rPr>
              <w:t>105</w:t>
            </w:r>
          </w:p>
        </w:tc>
        <w:tc>
          <w:tcPr>
            <w:tcW w:w="903" w:type="dxa"/>
          </w:tcPr>
          <w:p>
            <w:pPr>
              <w:pStyle w:val="TableParagraph"/>
              <w:ind w:left="0" w:right="328"/>
              <w:jc w:val="right"/>
              <w:rPr>
                <w:sz w:val="13"/>
              </w:rPr>
            </w:pPr>
            <w:r>
              <w:rPr>
                <w:sz w:val="13"/>
              </w:rPr>
              <w:t>98</w:t>
            </w:r>
          </w:p>
        </w:tc>
        <w:tc>
          <w:tcPr>
            <w:tcW w:w="824" w:type="dxa"/>
          </w:tcPr>
          <w:p>
            <w:pPr>
              <w:pStyle w:val="TableParagraph"/>
              <w:ind w:left="41" w:right="8"/>
              <w:rPr>
                <w:sz w:val="13"/>
              </w:rPr>
            </w:pPr>
            <w:r>
              <w:rPr>
                <w:w w:val="105"/>
                <w:sz w:val="13"/>
              </w:rPr>
              <w:t>-25</w:t>
            </w:r>
          </w:p>
        </w:tc>
        <w:tc>
          <w:tcPr>
            <w:tcW w:w="854" w:type="dxa"/>
          </w:tcPr>
          <w:p>
            <w:pPr>
              <w:pStyle w:val="TableParagraph"/>
              <w:ind w:left="289" w:right="295"/>
              <w:rPr>
                <w:sz w:val="13"/>
              </w:rPr>
            </w:pPr>
            <w:r>
              <w:rPr>
                <w:w w:val="105"/>
                <w:sz w:val="13"/>
              </w:rPr>
              <w:t>225</w:t>
            </w:r>
          </w:p>
        </w:tc>
        <w:tc>
          <w:tcPr>
            <w:tcW w:w="843" w:type="dxa"/>
          </w:tcPr>
          <w:p>
            <w:pPr>
              <w:pStyle w:val="TableParagraph"/>
              <w:ind w:left="147"/>
              <w:jc w:val="left"/>
              <w:rPr>
                <w:sz w:val="13"/>
              </w:rPr>
            </w:pPr>
            <w:r>
              <w:rPr>
                <w:w w:val="105"/>
                <w:sz w:val="13"/>
              </w:rPr>
              <w:t>10/03/09</w:t>
            </w:r>
          </w:p>
        </w:tc>
      </w:tr>
      <w:tr>
        <w:trPr>
          <w:trHeight w:val="377" w:hRule="atLeast"/>
        </w:trPr>
        <w:tc>
          <w:tcPr>
            <w:tcW w:w="2369" w:type="dxa"/>
            <w:shd w:val="clear" w:color="auto" w:fill="000000"/>
          </w:tcPr>
          <w:p>
            <w:pPr>
              <w:pStyle w:val="TableParagraph"/>
              <w:spacing w:before="2"/>
              <w:ind w:left="0"/>
              <w:jc w:val="left"/>
              <w:rPr>
                <w:rFonts w:ascii="Times New Roman"/>
                <w:b/>
                <w:sz w:val="16"/>
              </w:rPr>
            </w:pPr>
          </w:p>
          <w:p>
            <w:pPr>
              <w:pStyle w:val="TableParagraph"/>
              <w:spacing w:before="0"/>
              <w:ind w:left="20"/>
              <w:jc w:val="left"/>
              <w:rPr>
                <w:sz w:val="13"/>
              </w:rPr>
            </w:pPr>
            <w:r>
              <w:rPr>
                <w:color w:val="FFFFFF"/>
                <w:w w:val="105"/>
                <w:sz w:val="13"/>
              </w:rPr>
              <w:t>Selected US banks (basis points)</w:t>
            </w:r>
          </w:p>
        </w:tc>
        <w:tc>
          <w:tcPr>
            <w:tcW w:w="781" w:type="dxa"/>
            <w:shd w:val="clear" w:color="auto" w:fill="000000"/>
          </w:tcPr>
          <w:p>
            <w:pPr>
              <w:pStyle w:val="TableParagraph"/>
              <w:spacing w:line="285" w:lineRule="auto" w:before="0"/>
              <w:ind w:left="134" w:firstLine="31"/>
              <w:jc w:val="left"/>
              <w:rPr>
                <w:sz w:val="13"/>
              </w:rPr>
            </w:pPr>
            <w:r>
              <w:rPr>
                <w:color w:val="FFFFFF"/>
                <w:w w:val="105"/>
                <w:sz w:val="13"/>
              </w:rPr>
              <w:t>Jan 07 average</w:t>
            </w:r>
          </w:p>
        </w:tc>
        <w:tc>
          <w:tcPr>
            <w:tcW w:w="833" w:type="dxa"/>
            <w:shd w:val="clear" w:color="auto" w:fill="000000"/>
          </w:tcPr>
          <w:p>
            <w:pPr>
              <w:pStyle w:val="TableParagraph"/>
              <w:spacing w:line="285" w:lineRule="auto" w:before="0"/>
              <w:ind w:left="187" w:firstLine="31"/>
              <w:jc w:val="left"/>
              <w:rPr>
                <w:sz w:val="13"/>
              </w:rPr>
            </w:pPr>
            <w:r>
              <w:rPr>
                <w:color w:val="FFFFFF"/>
                <w:w w:val="105"/>
                <w:sz w:val="13"/>
              </w:rPr>
              <w:t>Oct 08 average</w:t>
            </w:r>
          </w:p>
        </w:tc>
        <w:tc>
          <w:tcPr>
            <w:tcW w:w="766" w:type="dxa"/>
            <w:shd w:val="clear" w:color="auto" w:fill="000000"/>
          </w:tcPr>
          <w:p>
            <w:pPr>
              <w:pStyle w:val="TableParagraph"/>
              <w:spacing w:line="285" w:lineRule="auto" w:before="0"/>
              <w:ind w:left="188" w:firstLine="21"/>
              <w:jc w:val="left"/>
              <w:rPr>
                <w:sz w:val="13"/>
              </w:rPr>
            </w:pPr>
            <w:r>
              <w:rPr>
                <w:color w:val="FFFFFF"/>
                <w:w w:val="105"/>
                <w:sz w:val="13"/>
              </w:rPr>
              <w:t>Aug 10 average</w:t>
            </w:r>
          </w:p>
        </w:tc>
        <w:tc>
          <w:tcPr>
            <w:tcW w:w="903" w:type="dxa"/>
            <w:shd w:val="clear" w:color="auto" w:fill="000000"/>
          </w:tcPr>
          <w:p>
            <w:pPr>
              <w:pStyle w:val="TableParagraph"/>
              <w:spacing w:line="149" w:lineRule="exact" w:before="0"/>
              <w:ind w:left="92" w:right="19"/>
              <w:rPr>
                <w:sz w:val="13"/>
              </w:rPr>
            </w:pPr>
            <w:r>
              <w:rPr>
                <w:color w:val="FFFFFF"/>
                <w:w w:val="105"/>
                <w:sz w:val="13"/>
              </w:rPr>
              <w:t>Change 10 -</w:t>
            </w:r>
          </w:p>
          <w:p>
            <w:pPr>
              <w:pStyle w:val="TableParagraph"/>
              <w:spacing w:before="28"/>
              <w:ind w:left="89" w:right="19"/>
              <w:rPr>
                <w:sz w:val="13"/>
              </w:rPr>
            </w:pPr>
            <w:r>
              <w:rPr>
                <w:color w:val="FFFFFF"/>
                <w:w w:val="105"/>
                <w:sz w:val="13"/>
              </w:rPr>
              <w:t>07</w:t>
            </w:r>
          </w:p>
        </w:tc>
        <w:tc>
          <w:tcPr>
            <w:tcW w:w="824" w:type="dxa"/>
            <w:shd w:val="clear" w:color="auto" w:fill="000000"/>
          </w:tcPr>
          <w:p>
            <w:pPr>
              <w:pStyle w:val="TableParagraph"/>
              <w:spacing w:line="149" w:lineRule="exact" w:before="0"/>
              <w:ind w:left="23" w:right="8"/>
              <w:rPr>
                <w:sz w:val="13"/>
              </w:rPr>
            </w:pPr>
            <w:r>
              <w:rPr>
                <w:color w:val="FFFFFF"/>
                <w:w w:val="105"/>
                <w:sz w:val="13"/>
              </w:rPr>
              <w:t>Change 10 -</w:t>
            </w:r>
          </w:p>
          <w:p>
            <w:pPr>
              <w:pStyle w:val="TableParagraph"/>
              <w:spacing w:before="28"/>
              <w:ind w:left="19" w:right="8"/>
              <w:rPr>
                <w:sz w:val="13"/>
              </w:rPr>
            </w:pPr>
            <w:r>
              <w:rPr>
                <w:color w:val="FFFFFF"/>
                <w:w w:val="105"/>
                <w:sz w:val="13"/>
              </w:rPr>
              <w:t>08</w:t>
            </w:r>
          </w:p>
        </w:tc>
        <w:tc>
          <w:tcPr>
            <w:tcW w:w="854" w:type="dxa"/>
            <w:shd w:val="clear" w:color="auto" w:fill="000000"/>
          </w:tcPr>
          <w:p>
            <w:pPr>
              <w:pStyle w:val="TableParagraph"/>
              <w:spacing w:before="2"/>
              <w:ind w:left="0"/>
              <w:jc w:val="left"/>
              <w:rPr>
                <w:rFonts w:ascii="Times New Roman"/>
                <w:b/>
                <w:sz w:val="16"/>
              </w:rPr>
            </w:pPr>
          </w:p>
          <w:p>
            <w:pPr>
              <w:pStyle w:val="TableParagraph"/>
              <w:spacing w:before="0"/>
              <w:ind w:left="126"/>
              <w:jc w:val="left"/>
              <w:rPr>
                <w:sz w:val="13"/>
              </w:rPr>
            </w:pPr>
            <w:r>
              <w:rPr>
                <w:color w:val="FFFFFF"/>
                <w:w w:val="105"/>
                <w:sz w:val="13"/>
              </w:rPr>
              <w:t>Max value</w:t>
            </w:r>
          </w:p>
        </w:tc>
        <w:tc>
          <w:tcPr>
            <w:tcW w:w="843" w:type="dxa"/>
            <w:shd w:val="clear" w:color="auto" w:fill="000000"/>
          </w:tcPr>
          <w:p>
            <w:pPr>
              <w:pStyle w:val="TableParagraph"/>
              <w:spacing w:before="2"/>
              <w:ind w:left="0"/>
              <w:jc w:val="left"/>
              <w:rPr>
                <w:rFonts w:ascii="Times New Roman"/>
                <w:b/>
                <w:sz w:val="16"/>
              </w:rPr>
            </w:pPr>
          </w:p>
          <w:p>
            <w:pPr>
              <w:pStyle w:val="TableParagraph"/>
              <w:spacing w:before="0"/>
              <w:ind w:left="126"/>
              <w:jc w:val="left"/>
              <w:rPr>
                <w:sz w:val="13"/>
              </w:rPr>
            </w:pPr>
            <w:r>
              <w:rPr>
                <w:color w:val="FFFFFF"/>
                <w:w w:val="105"/>
                <w:sz w:val="13"/>
              </w:rPr>
              <w:t>Max date</w:t>
            </w:r>
          </w:p>
        </w:tc>
      </w:tr>
      <w:tr>
        <w:trPr>
          <w:trHeight w:val="198" w:hRule="atLeast"/>
        </w:trPr>
        <w:tc>
          <w:tcPr>
            <w:tcW w:w="2369" w:type="dxa"/>
          </w:tcPr>
          <w:p>
            <w:pPr>
              <w:pStyle w:val="TableParagraph"/>
              <w:spacing w:before="19"/>
              <w:ind w:left="20"/>
              <w:jc w:val="left"/>
              <w:rPr>
                <w:sz w:val="13"/>
              </w:rPr>
            </w:pPr>
            <w:r>
              <w:rPr>
                <w:w w:val="105"/>
                <w:sz w:val="13"/>
              </w:rPr>
              <w:t>Bank of America</w:t>
            </w:r>
          </w:p>
        </w:tc>
        <w:tc>
          <w:tcPr>
            <w:tcW w:w="781" w:type="dxa"/>
          </w:tcPr>
          <w:p>
            <w:pPr>
              <w:pStyle w:val="TableParagraph"/>
              <w:spacing w:before="19"/>
              <w:ind w:left="0" w:right="39"/>
              <w:rPr>
                <w:sz w:val="13"/>
              </w:rPr>
            </w:pPr>
            <w:r>
              <w:rPr>
                <w:w w:val="104"/>
                <w:sz w:val="13"/>
              </w:rPr>
              <w:t>9</w:t>
            </w:r>
          </w:p>
        </w:tc>
        <w:tc>
          <w:tcPr>
            <w:tcW w:w="833" w:type="dxa"/>
          </w:tcPr>
          <w:p>
            <w:pPr>
              <w:pStyle w:val="TableParagraph"/>
              <w:spacing w:before="19"/>
              <w:ind w:left="284" w:right="274"/>
              <w:rPr>
                <w:sz w:val="13"/>
              </w:rPr>
            </w:pPr>
            <w:r>
              <w:rPr>
                <w:w w:val="105"/>
                <w:sz w:val="13"/>
              </w:rPr>
              <w:t>136</w:t>
            </w:r>
          </w:p>
        </w:tc>
        <w:tc>
          <w:tcPr>
            <w:tcW w:w="766" w:type="dxa"/>
          </w:tcPr>
          <w:p>
            <w:pPr>
              <w:pStyle w:val="TableParagraph"/>
              <w:spacing w:before="19"/>
              <w:ind w:left="290" w:right="208"/>
              <w:rPr>
                <w:sz w:val="13"/>
              </w:rPr>
            </w:pPr>
            <w:r>
              <w:rPr>
                <w:w w:val="105"/>
                <w:sz w:val="13"/>
              </w:rPr>
              <w:t>149</w:t>
            </w:r>
          </w:p>
        </w:tc>
        <w:tc>
          <w:tcPr>
            <w:tcW w:w="903" w:type="dxa"/>
          </w:tcPr>
          <w:p>
            <w:pPr>
              <w:pStyle w:val="TableParagraph"/>
              <w:spacing w:before="19"/>
              <w:ind w:left="0" w:right="299"/>
              <w:jc w:val="right"/>
              <w:rPr>
                <w:sz w:val="13"/>
              </w:rPr>
            </w:pPr>
            <w:r>
              <w:rPr>
                <w:w w:val="105"/>
                <w:sz w:val="13"/>
              </w:rPr>
              <w:t>140</w:t>
            </w:r>
          </w:p>
        </w:tc>
        <w:tc>
          <w:tcPr>
            <w:tcW w:w="824" w:type="dxa"/>
          </w:tcPr>
          <w:p>
            <w:pPr>
              <w:pStyle w:val="TableParagraph"/>
              <w:spacing w:before="19"/>
              <w:ind w:left="40" w:right="8"/>
              <w:rPr>
                <w:sz w:val="13"/>
              </w:rPr>
            </w:pPr>
            <w:r>
              <w:rPr>
                <w:w w:val="105"/>
                <w:sz w:val="13"/>
              </w:rPr>
              <w:t>13</w:t>
            </w:r>
          </w:p>
        </w:tc>
        <w:tc>
          <w:tcPr>
            <w:tcW w:w="854" w:type="dxa"/>
          </w:tcPr>
          <w:p>
            <w:pPr>
              <w:pStyle w:val="TableParagraph"/>
              <w:spacing w:before="19"/>
              <w:ind w:left="290" w:right="295"/>
              <w:rPr>
                <w:sz w:val="13"/>
              </w:rPr>
            </w:pPr>
            <w:r>
              <w:rPr>
                <w:w w:val="105"/>
                <w:sz w:val="13"/>
              </w:rPr>
              <w:t>321</w:t>
            </w:r>
          </w:p>
        </w:tc>
        <w:tc>
          <w:tcPr>
            <w:tcW w:w="843" w:type="dxa"/>
          </w:tcPr>
          <w:p>
            <w:pPr>
              <w:pStyle w:val="TableParagraph"/>
              <w:spacing w:before="19"/>
              <w:ind w:left="148"/>
              <w:jc w:val="left"/>
              <w:rPr>
                <w:sz w:val="13"/>
              </w:rPr>
            </w:pPr>
            <w:r>
              <w:rPr>
                <w:w w:val="105"/>
                <w:sz w:val="13"/>
              </w:rPr>
              <w:t>08/04/09</w:t>
            </w:r>
          </w:p>
        </w:tc>
      </w:tr>
      <w:tr>
        <w:trPr>
          <w:trHeight w:val="208" w:hRule="atLeast"/>
        </w:trPr>
        <w:tc>
          <w:tcPr>
            <w:tcW w:w="2369" w:type="dxa"/>
          </w:tcPr>
          <w:p>
            <w:pPr>
              <w:pStyle w:val="TableParagraph"/>
              <w:ind w:left="20"/>
              <w:jc w:val="left"/>
              <w:rPr>
                <w:sz w:val="13"/>
              </w:rPr>
            </w:pPr>
            <w:r>
              <w:rPr>
                <w:w w:val="105"/>
                <w:sz w:val="13"/>
              </w:rPr>
              <w:t>JPMorgan Chase &amp; co</w:t>
            </w:r>
          </w:p>
        </w:tc>
        <w:tc>
          <w:tcPr>
            <w:tcW w:w="781" w:type="dxa"/>
          </w:tcPr>
          <w:p>
            <w:pPr>
              <w:pStyle w:val="TableParagraph"/>
              <w:ind w:left="239" w:right="269"/>
              <w:rPr>
                <w:sz w:val="13"/>
              </w:rPr>
            </w:pPr>
            <w:r>
              <w:rPr>
                <w:w w:val="105"/>
                <w:sz w:val="13"/>
              </w:rPr>
              <w:t>15</w:t>
            </w:r>
          </w:p>
        </w:tc>
        <w:tc>
          <w:tcPr>
            <w:tcW w:w="833" w:type="dxa"/>
          </w:tcPr>
          <w:p>
            <w:pPr>
              <w:pStyle w:val="TableParagraph"/>
              <w:ind w:left="284" w:right="274"/>
              <w:rPr>
                <w:sz w:val="13"/>
              </w:rPr>
            </w:pPr>
            <w:r>
              <w:rPr>
                <w:w w:val="105"/>
                <w:sz w:val="13"/>
              </w:rPr>
              <w:t>121</w:t>
            </w:r>
          </w:p>
        </w:tc>
        <w:tc>
          <w:tcPr>
            <w:tcW w:w="766" w:type="dxa"/>
          </w:tcPr>
          <w:p>
            <w:pPr>
              <w:pStyle w:val="TableParagraph"/>
              <w:ind w:left="290" w:right="201"/>
              <w:rPr>
                <w:sz w:val="13"/>
              </w:rPr>
            </w:pPr>
            <w:r>
              <w:rPr>
                <w:w w:val="105"/>
                <w:sz w:val="13"/>
              </w:rPr>
              <w:t>96</w:t>
            </w:r>
          </w:p>
        </w:tc>
        <w:tc>
          <w:tcPr>
            <w:tcW w:w="903" w:type="dxa"/>
          </w:tcPr>
          <w:p>
            <w:pPr>
              <w:pStyle w:val="TableParagraph"/>
              <w:ind w:left="0" w:right="330"/>
              <w:jc w:val="right"/>
              <w:rPr>
                <w:sz w:val="13"/>
              </w:rPr>
            </w:pPr>
            <w:r>
              <w:rPr>
                <w:sz w:val="13"/>
              </w:rPr>
              <w:t>80</w:t>
            </w:r>
          </w:p>
        </w:tc>
        <w:tc>
          <w:tcPr>
            <w:tcW w:w="824" w:type="dxa"/>
          </w:tcPr>
          <w:p>
            <w:pPr>
              <w:pStyle w:val="TableParagraph"/>
              <w:ind w:left="42" w:right="8"/>
              <w:rPr>
                <w:sz w:val="13"/>
              </w:rPr>
            </w:pPr>
            <w:r>
              <w:rPr>
                <w:w w:val="105"/>
                <w:sz w:val="13"/>
              </w:rPr>
              <w:t>-25</w:t>
            </w:r>
          </w:p>
        </w:tc>
        <w:tc>
          <w:tcPr>
            <w:tcW w:w="854" w:type="dxa"/>
          </w:tcPr>
          <w:p>
            <w:pPr>
              <w:pStyle w:val="TableParagraph"/>
              <w:ind w:left="290" w:right="295"/>
              <w:rPr>
                <w:sz w:val="13"/>
              </w:rPr>
            </w:pPr>
            <w:r>
              <w:rPr>
                <w:w w:val="105"/>
                <w:sz w:val="13"/>
              </w:rPr>
              <w:t>183</w:t>
            </w:r>
          </w:p>
        </w:tc>
        <w:tc>
          <w:tcPr>
            <w:tcW w:w="843" w:type="dxa"/>
          </w:tcPr>
          <w:p>
            <w:pPr>
              <w:pStyle w:val="TableParagraph"/>
              <w:ind w:left="147"/>
              <w:jc w:val="left"/>
              <w:rPr>
                <w:sz w:val="13"/>
              </w:rPr>
            </w:pPr>
            <w:r>
              <w:rPr>
                <w:w w:val="105"/>
                <w:sz w:val="13"/>
              </w:rPr>
              <w:t>08/04/09</w:t>
            </w:r>
          </w:p>
        </w:tc>
      </w:tr>
      <w:tr>
        <w:trPr>
          <w:trHeight w:val="208" w:hRule="atLeast"/>
        </w:trPr>
        <w:tc>
          <w:tcPr>
            <w:tcW w:w="2369" w:type="dxa"/>
          </w:tcPr>
          <w:p>
            <w:pPr>
              <w:pStyle w:val="TableParagraph"/>
              <w:ind w:left="20"/>
              <w:jc w:val="left"/>
              <w:rPr>
                <w:sz w:val="13"/>
              </w:rPr>
            </w:pPr>
            <w:r>
              <w:rPr>
                <w:w w:val="105"/>
                <w:sz w:val="13"/>
              </w:rPr>
              <w:t>Citigroup</w:t>
            </w:r>
          </w:p>
        </w:tc>
        <w:tc>
          <w:tcPr>
            <w:tcW w:w="781" w:type="dxa"/>
          </w:tcPr>
          <w:p>
            <w:pPr>
              <w:pStyle w:val="TableParagraph"/>
              <w:ind w:left="0" w:right="39"/>
              <w:rPr>
                <w:sz w:val="13"/>
              </w:rPr>
            </w:pPr>
            <w:r>
              <w:rPr>
                <w:w w:val="104"/>
                <w:sz w:val="13"/>
              </w:rPr>
              <w:t>8</w:t>
            </w:r>
          </w:p>
        </w:tc>
        <w:tc>
          <w:tcPr>
            <w:tcW w:w="833" w:type="dxa"/>
          </w:tcPr>
          <w:p>
            <w:pPr>
              <w:pStyle w:val="TableParagraph"/>
              <w:ind w:left="284" w:right="274"/>
              <w:rPr>
                <w:sz w:val="13"/>
              </w:rPr>
            </w:pPr>
            <w:r>
              <w:rPr>
                <w:w w:val="105"/>
                <w:sz w:val="13"/>
              </w:rPr>
              <w:t>243</w:t>
            </w:r>
          </w:p>
        </w:tc>
        <w:tc>
          <w:tcPr>
            <w:tcW w:w="766" w:type="dxa"/>
          </w:tcPr>
          <w:p>
            <w:pPr>
              <w:pStyle w:val="TableParagraph"/>
              <w:ind w:left="290" w:right="208"/>
              <w:rPr>
                <w:sz w:val="13"/>
              </w:rPr>
            </w:pPr>
            <w:r>
              <w:rPr>
                <w:w w:val="105"/>
                <w:sz w:val="13"/>
              </w:rPr>
              <w:t>165</w:t>
            </w:r>
          </w:p>
        </w:tc>
        <w:tc>
          <w:tcPr>
            <w:tcW w:w="903" w:type="dxa"/>
          </w:tcPr>
          <w:p>
            <w:pPr>
              <w:pStyle w:val="TableParagraph"/>
              <w:ind w:left="0" w:right="299"/>
              <w:jc w:val="right"/>
              <w:rPr>
                <w:sz w:val="13"/>
              </w:rPr>
            </w:pPr>
            <w:r>
              <w:rPr>
                <w:w w:val="105"/>
                <w:sz w:val="13"/>
              </w:rPr>
              <w:t>158</w:t>
            </w:r>
          </w:p>
        </w:tc>
        <w:tc>
          <w:tcPr>
            <w:tcW w:w="824" w:type="dxa"/>
          </w:tcPr>
          <w:p>
            <w:pPr>
              <w:pStyle w:val="TableParagraph"/>
              <w:ind w:left="42" w:right="8"/>
              <w:rPr>
                <w:sz w:val="13"/>
              </w:rPr>
            </w:pPr>
            <w:r>
              <w:rPr>
                <w:w w:val="105"/>
                <w:sz w:val="13"/>
              </w:rPr>
              <w:t>-78</w:t>
            </w:r>
          </w:p>
        </w:tc>
        <w:tc>
          <w:tcPr>
            <w:tcW w:w="854" w:type="dxa"/>
          </w:tcPr>
          <w:p>
            <w:pPr>
              <w:pStyle w:val="TableParagraph"/>
              <w:ind w:left="289" w:right="295"/>
              <w:rPr>
                <w:sz w:val="13"/>
              </w:rPr>
            </w:pPr>
            <w:r>
              <w:rPr>
                <w:w w:val="105"/>
                <w:sz w:val="13"/>
              </w:rPr>
              <w:t>621</w:t>
            </w:r>
          </w:p>
        </w:tc>
        <w:tc>
          <w:tcPr>
            <w:tcW w:w="843" w:type="dxa"/>
          </w:tcPr>
          <w:p>
            <w:pPr>
              <w:pStyle w:val="TableParagraph"/>
              <w:ind w:left="147"/>
              <w:jc w:val="left"/>
              <w:rPr>
                <w:sz w:val="13"/>
              </w:rPr>
            </w:pPr>
            <w:r>
              <w:rPr>
                <w:w w:val="105"/>
                <w:sz w:val="13"/>
              </w:rPr>
              <w:t>08/04/09</w:t>
            </w:r>
          </w:p>
        </w:tc>
      </w:tr>
      <w:tr>
        <w:trPr>
          <w:trHeight w:val="208" w:hRule="atLeast"/>
        </w:trPr>
        <w:tc>
          <w:tcPr>
            <w:tcW w:w="2369" w:type="dxa"/>
          </w:tcPr>
          <w:p>
            <w:pPr>
              <w:pStyle w:val="TableParagraph"/>
              <w:ind w:left="20"/>
              <w:jc w:val="left"/>
              <w:rPr>
                <w:sz w:val="13"/>
              </w:rPr>
            </w:pPr>
            <w:r>
              <w:rPr>
                <w:w w:val="105"/>
                <w:sz w:val="13"/>
              </w:rPr>
              <w:t>Wells Fargo &amp; Company</w:t>
            </w:r>
          </w:p>
        </w:tc>
        <w:tc>
          <w:tcPr>
            <w:tcW w:w="781" w:type="dxa"/>
          </w:tcPr>
          <w:p>
            <w:pPr>
              <w:pStyle w:val="TableParagraph"/>
              <w:ind w:left="0" w:right="39"/>
              <w:rPr>
                <w:sz w:val="13"/>
              </w:rPr>
            </w:pPr>
            <w:r>
              <w:rPr>
                <w:w w:val="104"/>
                <w:sz w:val="13"/>
              </w:rPr>
              <w:t>7</w:t>
            </w:r>
          </w:p>
        </w:tc>
        <w:tc>
          <w:tcPr>
            <w:tcW w:w="833" w:type="dxa"/>
          </w:tcPr>
          <w:p>
            <w:pPr>
              <w:pStyle w:val="TableParagraph"/>
              <w:ind w:left="284" w:right="274"/>
              <w:rPr>
                <w:sz w:val="13"/>
              </w:rPr>
            </w:pPr>
            <w:r>
              <w:rPr>
                <w:w w:val="105"/>
                <w:sz w:val="13"/>
              </w:rPr>
              <w:t>123</w:t>
            </w:r>
          </w:p>
        </w:tc>
        <w:tc>
          <w:tcPr>
            <w:tcW w:w="766" w:type="dxa"/>
          </w:tcPr>
          <w:p>
            <w:pPr>
              <w:pStyle w:val="TableParagraph"/>
              <w:ind w:left="290" w:right="201"/>
              <w:rPr>
                <w:sz w:val="13"/>
              </w:rPr>
            </w:pPr>
            <w:r>
              <w:rPr>
                <w:w w:val="105"/>
                <w:sz w:val="13"/>
              </w:rPr>
              <w:t>97</w:t>
            </w:r>
          </w:p>
        </w:tc>
        <w:tc>
          <w:tcPr>
            <w:tcW w:w="903" w:type="dxa"/>
          </w:tcPr>
          <w:p>
            <w:pPr>
              <w:pStyle w:val="TableParagraph"/>
              <w:ind w:left="0" w:right="330"/>
              <w:jc w:val="right"/>
              <w:rPr>
                <w:sz w:val="13"/>
              </w:rPr>
            </w:pPr>
            <w:r>
              <w:rPr>
                <w:sz w:val="13"/>
              </w:rPr>
              <w:t>90</w:t>
            </w:r>
          </w:p>
        </w:tc>
        <w:tc>
          <w:tcPr>
            <w:tcW w:w="824" w:type="dxa"/>
          </w:tcPr>
          <w:p>
            <w:pPr>
              <w:pStyle w:val="TableParagraph"/>
              <w:ind w:left="42" w:right="8"/>
              <w:rPr>
                <w:sz w:val="13"/>
              </w:rPr>
            </w:pPr>
            <w:r>
              <w:rPr>
                <w:w w:val="105"/>
                <w:sz w:val="13"/>
              </w:rPr>
              <w:t>-26</w:t>
            </w:r>
          </w:p>
        </w:tc>
        <w:tc>
          <w:tcPr>
            <w:tcW w:w="854" w:type="dxa"/>
          </w:tcPr>
          <w:p>
            <w:pPr>
              <w:pStyle w:val="TableParagraph"/>
              <w:ind w:left="290" w:right="295"/>
              <w:rPr>
                <w:sz w:val="13"/>
              </w:rPr>
            </w:pPr>
            <w:r>
              <w:rPr>
                <w:w w:val="105"/>
                <w:sz w:val="13"/>
              </w:rPr>
              <w:t>288</w:t>
            </w:r>
          </w:p>
        </w:tc>
        <w:tc>
          <w:tcPr>
            <w:tcW w:w="843" w:type="dxa"/>
          </w:tcPr>
          <w:p>
            <w:pPr>
              <w:pStyle w:val="TableParagraph"/>
              <w:ind w:left="147"/>
              <w:jc w:val="left"/>
              <w:rPr>
                <w:sz w:val="13"/>
              </w:rPr>
            </w:pPr>
            <w:r>
              <w:rPr>
                <w:w w:val="105"/>
                <w:sz w:val="13"/>
              </w:rPr>
              <w:t>08/04/09</w:t>
            </w:r>
          </w:p>
        </w:tc>
      </w:tr>
      <w:tr>
        <w:trPr>
          <w:trHeight w:val="208" w:hRule="atLeast"/>
        </w:trPr>
        <w:tc>
          <w:tcPr>
            <w:tcW w:w="2369" w:type="dxa"/>
          </w:tcPr>
          <w:p>
            <w:pPr>
              <w:pStyle w:val="TableParagraph"/>
              <w:ind w:left="20"/>
              <w:jc w:val="left"/>
              <w:rPr>
                <w:sz w:val="13"/>
              </w:rPr>
            </w:pPr>
            <w:r>
              <w:rPr>
                <w:w w:val="105"/>
                <w:sz w:val="13"/>
              </w:rPr>
              <w:t>US Bancorp</w:t>
            </w:r>
          </w:p>
        </w:tc>
        <w:tc>
          <w:tcPr>
            <w:tcW w:w="781" w:type="dxa"/>
          </w:tcPr>
          <w:p>
            <w:pPr>
              <w:pStyle w:val="TableParagraph"/>
              <w:ind w:left="0" w:right="39"/>
              <w:rPr>
                <w:sz w:val="13"/>
              </w:rPr>
            </w:pPr>
            <w:r>
              <w:rPr>
                <w:w w:val="104"/>
                <w:sz w:val="13"/>
              </w:rPr>
              <w:t>8</w:t>
            </w:r>
          </w:p>
        </w:tc>
        <w:tc>
          <w:tcPr>
            <w:tcW w:w="833" w:type="dxa"/>
          </w:tcPr>
          <w:p>
            <w:pPr>
              <w:pStyle w:val="TableParagraph"/>
              <w:ind w:left="284" w:right="274"/>
              <w:rPr>
                <w:sz w:val="13"/>
              </w:rPr>
            </w:pPr>
            <w:r>
              <w:rPr>
                <w:w w:val="105"/>
                <w:sz w:val="13"/>
              </w:rPr>
              <w:t>144</w:t>
            </w:r>
          </w:p>
        </w:tc>
        <w:tc>
          <w:tcPr>
            <w:tcW w:w="766" w:type="dxa"/>
          </w:tcPr>
          <w:p>
            <w:pPr>
              <w:pStyle w:val="TableParagraph"/>
              <w:ind w:left="290" w:right="200"/>
              <w:rPr>
                <w:sz w:val="13"/>
              </w:rPr>
            </w:pPr>
            <w:r>
              <w:rPr>
                <w:w w:val="105"/>
                <w:sz w:val="13"/>
              </w:rPr>
              <w:t>71</w:t>
            </w:r>
          </w:p>
        </w:tc>
        <w:tc>
          <w:tcPr>
            <w:tcW w:w="903" w:type="dxa"/>
          </w:tcPr>
          <w:p>
            <w:pPr>
              <w:pStyle w:val="TableParagraph"/>
              <w:ind w:left="0" w:right="330"/>
              <w:jc w:val="right"/>
              <w:rPr>
                <w:sz w:val="13"/>
              </w:rPr>
            </w:pPr>
            <w:r>
              <w:rPr>
                <w:sz w:val="13"/>
              </w:rPr>
              <w:t>63</w:t>
            </w:r>
          </w:p>
        </w:tc>
        <w:tc>
          <w:tcPr>
            <w:tcW w:w="824" w:type="dxa"/>
          </w:tcPr>
          <w:p>
            <w:pPr>
              <w:pStyle w:val="TableParagraph"/>
              <w:ind w:left="42" w:right="8"/>
              <w:rPr>
                <w:sz w:val="13"/>
              </w:rPr>
            </w:pPr>
            <w:r>
              <w:rPr>
                <w:w w:val="105"/>
                <w:sz w:val="13"/>
              </w:rPr>
              <w:t>-74</w:t>
            </w:r>
          </w:p>
        </w:tc>
        <w:tc>
          <w:tcPr>
            <w:tcW w:w="854" w:type="dxa"/>
          </w:tcPr>
          <w:p>
            <w:pPr>
              <w:pStyle w:val="TableParagraph"/>
              <w:ind w:left="290" w:right="295"/>
              <w:rPr>
                <w:sz w:val="13"/>
              </w:rPr>
            </w:pPr>
            <w:r>
              <w:rPr>
                <w:w w:val="105"/>
                <w:sz w:val="13"/>
              </w:rPr>
              <w:t>249</w:t>
            </w:r>
          </w:p>
        </w:tc>
        <w:tc>
          <w:tcPr>
            <w:tcW w:w="843" w:type="dxa"/>
          </w:tcPr>
          <w:p>
            <w:pPr>
              <w:pStyle w:val="TableParagraph"/>
              <w:ind w:left="148"/>
              <w:jc w:val="left"/>
              <w:rPr>
                <w:sz w:val="13"/>
              </w:rPr>
            </w:pPr>
            <w:r>
              <w:rPr>
                <w:w w:val="105"/>
                <w:sz w:val="13"/>
              </w:rPr>
              <w:t>19/05/09</w:t>
            </w:r>
          </w:p>
        </w:tc>
      </w:tr>
      <w:tr>
        <w:trPr>
          <w:trHeight w:val="208" w:hRule="atLeast"/>
        </w:trPr>
        <w:tc>
          <w:tcPr>
            <w:tcW w:w="2369" w:type="dxa"/>
          </w:tcPr>
          <w:p>
            <w:pPr>
              <w:pStyle w:val="TableParagraph"/>
              <w:ind w:left="20"/>
              <w:jc w:val="left"/>
              <w:rPr>
                <w:sz w:val="13"/>
              </w:rPr>
            </w:pPr>
            <w:r>
              <w:rPr>
                <w:w w:val="105"/>
                <w:sz w:val="13"/>
              </w:rPr>
              <w:t>PNC Financial Services Group Inc</w:t>
            </w:r>
          </w:p>
        </w:tc>
        <w:tc>
          <w:tcPr>
            <w:tcW w:w="781" w:type="dxa"/>
          </w:tcPr>
          <w:p>
            <w:pPr>
              <w:pStyle w:val="TableParagraph"/>
              <w:ind w:left="239" w:right="267"/>
              <w:rPr>
                <w:sz w:val="13"/>
              </w:rPr>
            </w:pPr>
            <w:r>
              <w:rPr>
                <w:w w:val="105"/>
                <w:sz w:val="13"/>
              </w:rPr>
              <w:t>20</w:t>
            </w:r>
          </w:p>
        </w:tc>
        <w:tc>
          <w:tcPr>
            <w:tcW w:w="833" w:type="dxa"/>
          </w:tcPr>
          <w:p>
            <w:pPr>
              <w:pStyle w:val="TableParagraph"/>
              <w:ind w:left="287" w:right="271"/>
              <w:rPr>
                <w:sz w:val="13"/>
              </w:rPr>
            </w:pPr>
            <w:r>
              <w:rPr>
                <w:w w:val="105"/>
                <w:sz w:val="13"/>
              </w:rPr>
              <w:t>N/A</w:t>
            </w:r>
          </w:p>
        </w:tc>
        <w:tc>
          <w:tcPr>
            <w:tcW w:w="766" w:type="dxa"/>
          </w:tcPr>
          <w:p>
            <w:pPr>
              <w:pStyle w:val="TableParagraph"/>
              <w:ind w:left="290" w:right="201"/>
              <w:rPr>
                <w:sz w:val="13"/>
              </w:rPr>
            </w:pPr>
            <w:r>
              <w:rPr>
                <w:w w:val="105"/>
                <w:sz w:val="13"/>
              </w:rPr>
              <w:t>78</w:t>
            </w:r>
          </w:p>
        </w:tc>
        <w:tc>
          <w:tcPr>
            <w:tcW w:w="903" w:type="dxa"/>
          </w:tcPr>
          <w:p>
            <w:pPr>
              <w:pStyle w:val="TableParagraph"/>
              <w:ind w:left="0" w:right="330"/>
              <w:jc w:val="right"/>
              <w:rPr>
                <w:sz w:val="13"/>
              </w:rPr>
            </w:pPr>
            <w:r>
              <w:rPr>
                <w:sz w:val="13"/>
              </w:rPr>
              <w:t>58</w:t>
            </w:r>
          </w:p>
        </w:tc>
        <w:tc>
          <w:tcPr>
            <w:tcW w:w="824" w:type="dxa"/>
          </w:tcPr>
          <w:p>
            <w:pPr>
              <w:pStyle w:val="TableParagraph"/>
              <w:ind w:left="35" w:right="8"/>
              <w:rPr>
                <w:sz w:val="13"/>
              </w:rPr>
            </w:pPr>
            <w:r>
              <w:rPr>
                <w:w w:val="105"/>
                <w:sz w:val="13"/>
              </w:rPr>
              <w:t>N/A</w:t>
            </w:r>
          </w:p>
        </w:tc>
        <w:tc>
          <w:tcPr>
            <w:tcW w:w="854" w:type="dxa"/>
          </w:tcPr>
          <w:p>
            <w:pPr>
              <w:pStyle w:val="TableParagraph"/>
              <w:ind w:left="290" w:right="295"/>
              <w:rPr>
                <w:sz w:val="13"/>
              </w:rPr>
            </w:pPr>
            <w:r>
              <w:rPr>
                <w:w w:val="105"/>
                <w:sz w:val="13"/>
              </w:rPr>
              <w:t>296</w:t>
            </w:r>
          </w:p>
        </w:tc>
        <w:tc>
          <w:tcPr>
            <w:tcW w:w="843" w:type="dxa"/>
          </w:tcPr>
          <w:p>
            <w:pPr>
              <w:pStyle w:val="TableParagraph"/>
              <w:ind w:left="147"/>
              <w:jc w:val="left"/>
              <w:rPr>
                <w:sz w:val="13"/>
              </w:rPr>
            </w:pPr>
            <w:r>
              <w:rPr>
                <w:w w:val="105"/>
                <w:sz w:val="13"/>
              </w:rPr>
              <w:t>13/04/09</w:t>
            </w:r>
          </w:p>
        </w:tc>
      </w:tr>
      <w:tr>
        <w:trPr>
          <w:trHeight w:val="208" w:hRule="atLeast"/>
        </w:trPr>
        <w:tc>
          <w:tcPr>
            <w:tcW w:w="2369" w:type="dxa"/>
          </w:tcPr>
          <w:p>
            <w:pPr>
              <w:pStyle w:val="TableParagraph"/>
              <w:ind w:left="20"/>
              <w:jc w:val="left"/>
              <w:rPr>
                <w:sz w:val="13"/>
              </w:rPr>
            </w:pPr>
            <w:r>
              <w:rPr>
                <w:w w:val="105"/>
                <w:sz w:val="13"/>
              </w:rPr>
              <w:t>Bank of New York Mellon Corp</w:t>
            </w:r>
          </w:p>
        </w:tc>
        <w:tc>
          <w:tcPr>
            <w:tcW w:w="781" w:type="dxa"/>
          </w:tcPr>
          <w:p>
            <w:pPr>
              <w:pStyle w:val="TableParagraph"/>
              <w:ind w:left="239" w:right="274"/>
              <w:rPr>
                <w:sz w:val="13"/>
              </w:rPr>
            </w:pPr>
            <w:r>
              <w:rPr>
                <w:w w:val="105"/>
                <w:sz w:val="13"/>
              </w:rPr>
              <w:t>N/A</w:t>
            </w:r>
          </w:p>
        </w:tc>
        <w:tc>
          <w:tcPr>
            <w:tcW w:w="833" w:type="dxa"/>
          </w:tcPr>
          <w:p>
            <w:pPr>
              <w:pStyle w:val="TableParagraph"/>
              <w:ind w:left="287" w:right="271"/>
              <w:rPr>
                <w:sz w:val="13"/>
              </w:rPr>
            </w:pPr>
            <w:r>
              <w:rPr>
                <w:w w:val="105"/>
                <w:sz w:val="13"/>
              </w:rPr>
              <w:t>N/A</w:t>
            </w:r>
          </w:p>
        </w:tc>
        <w:tc>
          <w:tcPr>
            <w:tcW w:w="766" w:type="dxa"/>
          </w:tcPr>
          <w:p>
            <w:pPr>
              <w:pStyle w:val="TableParagraph"/>
              <w:ind w:left="290" w:right="201"/>
              <w:rPr>
                <w:sz w:val="13"/>
              </w:rPr>
            </w:pPr>
            <w:r>
              <w:rPr>
                <w:w w:val="105"/>
                <w:sz w:val="13"/>
              </w:rPr>
              <w:t>73</w:t>
            </w:r>
          </w:p>
        </w:tc>
        <w:tc>
          <w:tcPr>
            <w:tcW w:w="903" w:type="dxa"/>
          </w:tcPr>
          <w:p>
            <w:pPr>
              <w:pStyle w:val="TableParagraph"/>
              <w:ind w:left="0" w:right="293"/>
              <w:jc w:val="right"/>
              <w:rPr>
                <w:sz w:val="13"/>
              </w:rPr>
            </w:pPr>
            <w:r>
              <w:rPr>
                <w:w w:val="105"/>
                <w:sz w:val="13"/>
              </w:rPr>
              <w:t>N/A</w:t>
            </w:r>
          </w:p>
        </w:tc>
        <w:tc>
          <w:tcPr>
            <w:tcW w:w="824" w:type="dxa"/>
          </w:tcPr>
          <w:p>
            <w:pPr>
              <w:pStyle w:val="TableParagraph"/>
              <w:ind w:left="35" w:right="8"/>
              <w:rPr>
                <w:sz w:val="13"/>
              </w:rPr>
            </w:pPr>
            <w:r>
              <w:rPr>
                <w:w w:val="105"/>
                <w:sz w:val="13"/>
              </w:rPr>
              <w:t>N/A</w:t>
            </w:r>
          </w:p>
        </w:tc>
        <w:tc>
          <w:tcPr>
            <w:tcW w:w="854" w:type="dxa"/>
          </w:tcPr>
          <w:p>
            <w:pPr>
              <w:pStyle w:val="TableParagraph"/>
              <w:ind w:left="290" w:right="295"/>
              <w:rPr>
                <w:sz w:val="13"/>
              </w:rPr>
            </w:pPr>
            <w:r>
              <w:rPr>
                <w:w w:val="105"/>
                <w:sz w:val="13"/>
              </w:rPr>
              <w:t>100</w:t>
            </w:r>
          </w:p>
        </w:tc>
        <w:tc>
          <w:tcPr>
            <w:tcW w:w="843" w:type="dxa"/>
          </w:tcPr>
          <w:p>
            <w:pPr>
              <w:pStyle w:val="TableParagraph"/>
              <w:ind w:left="148"/>
              <w:jc w:val="left"/>
              <w:rPr>
                <w:sz w:val="13"/>
              </w:rPr>
            </w:pPr>
            <w:r>
              <w:rPr>
                <w:w w:val="105"/>
                <w:sz w:val="13"/>
              </w:rPr>
              <w:t>12/05/09</w:t>
            </w:r>
          </w:p>
        </w:tc>
      </w:tr>
      <w:tr>
        <w:trPr>
          <w:trHeight w:val="208" w:hRule="atLeast"/>
        </w:trPr>
        <w:tc>
          <w:tcPr>
            <w:tcW w:w="2369" w:type="dxa"/>
          </w:tcPr>
          <w:p>
            <w:pPr>
              <w:pStyle w:val="TableParagraph"/>
              <w:ind w:left="20"/>
              <w:jc w:val="left"/>
              <w:rPr>
                <w:sz w:val="13"/>
              </w:rPr>
            </w:pPr>
            <w:r>
              <w:rPr>
                <w:w w:val="105"/>
                <w:sz w:val="13"/>
              </w:rPr>
              <w:t>Suntrust Banks</w:t>
            </w:r>
          </w:p>
        </w:tc>
        <w:tc>
          <w:tcPr>
            <w:tcW w:w="781" w:type="dxa"/>
          </w:tcPr>
          <w:p>
            <w:pPr>
              <w:pStyle w:val="TableParagraph"/>
              <w:ind w:left="239" w:right="267"/>
              <w:rPr>
                <w:sz w:val="13"/>
              </w:rPr>
            </w:pPr>
            <w:r>
              <w:rPr>
                <w:w w:val="105"/>
                <w:sz w:val="13"/>
              </w:rPr>
              <w:t>11</w:t>
            </w:r>
          </w:p>
        </w:tc>
        <w:tc>
          <w:tcPr>
            <w:tcW w:w="833" w:type="dxa"/>
          </w:tcPr>
          <w:p>
            <w:pPr>
              <w:pStyle w:val="TableParagraph"/>
              <w:ind w:left="284" w:right="274"/>
              <w:rPr>
                <w:sz w:val="13"/>
              </w:rPr>
            </w:pPr>
            <w:r>
              <w:rPr>
                <w:w w:val="105"/>
                <w:sz w:val="13"/>
              </w:rPr>
              <w:t>250</w:t>
            </w:r>
          </w:p>
        </w:tc>
        <w:tc>
          <w:tcPr>
            <w:tcW w:w="766" w:type="dxa"/>
          </w:tcPr>
          <w:p>
            <w:pPr>
              <w:pStyle w:val="TableParagraph"/>
              <w:ind w:left="290" w:right="208"/>
              <w:rPr>
                <w:sz w:val="13"/>
              </w:rPr>
            </w:pPr>
            <w:r>
              <w:rPr>
                <w:w w:val="105"/>
                <w:sz w:val="13"/>
              </w:rPr>
              <w:t>168</w:t>
            </w:r>
          </w:p>
        </w:tc>
        <w:tc>
          <w:tcPr>
            <w:tcW w:w="903" w:type="dxa"/>
          </w:tcPr>
          <w:p>
            <w:pPr>
              <w:pStyle w:val="TableParagraph"/>
              <w:ind w:left="0" w:right="299"/>
              <w:jc w:val="right"/>
              <w:rPr>
                <w:sz w:val="13"/>
              </w:rPr>
            </w:pPr>
            <w:r>
              <w:rPr>
                <w:w w:val="105"/>
                <w:sz w:val="13"/>
              </w:rPr>
              <w:t>157</w:t>
            </w:r>
          </w:p>
        </w:tc>
        <w:tc>
          <w:tcPr>
            <w:tcW w:w="824" w:type="dxa"/>
          </w:tcPr>
          <w:p>
            <w:pPr>
              <w:pStyle w:val="TableParagraph"/>
              <w:ind w:left="42" w:right="8"/>
              <w:rPr>
                <w:sz w:val="13"/>
              </w:rPr>
            </w:pPr>
            <w:r>
              <w:rPr>
                <w:w w:val="105"/>
                <w:sz w:val="13"/>
              </w:rPr>
              <w:t>-82</w:t>
            </w:r>
          </w:p>
        </w:tc>
        <w:tc>
          <w:tcPr>
            <w:tcW w:w="854" w:type="dxa"/>
          </w:tcPr>
          <w:p>
            <w:pPr>
              <w:pStyle w:val="TableParagraph"/>
              <w:ind w:left="290" w:right="295"/>
              <w:rPr>
                <w:sz w:val="13"/>
              </w:rPr>
            </w:pPr>
            <w:r>
              <w:rPr>
                <w:w w:val="105"/>
                <w:sz w:val="13"/>
              </w:rPr>
              <w:t>323</w:t>
            </w:r>
          </w:p>
        </w:tc>
        <w:tc>
          <w:tcPr>
            <w:tcW w:w="843" w:type="dxa"/>
          </w:tcPr>
          <w:p>
            <w:pPr>
              <w:pStyle w:val="TableParagraph"/>
              <w:ind w:left="148"/>
              <w:jc w:val="left"/>
              <w:rPr>
                <w:sz w:val="13"/>
              </w:rPr>
            </w:pPr>
            <w:r>
              <w:rPr>
                <w:w w:val="105"/>
                <w:sz w:val="13"/>
              </w:rPr>
              <w:t>24/07/09</w:t>
            </w:r>
          </w:p>
        </w:tc>
      </w:tr>
      <w:tr>
        <w:trPr>
          <w:trHeight w:val="208" w:hRule="atLeast"/>
        </w:trPr>
        <w:tc>
          <w:tcPr>
            <w:tcW w:w="2369" w:type="dxa"/>
          </w:tcPr>
          <w:p>
            <w:pPr>
              <w:pStyle w:val="TableParagraph"/>
              <w:ind w:left="20"/>
              <w:jc w:val="left"/>
              <w:rPr>
                <w:sz w:val="13"/>
              </w:rPr>
            </w:pPr>
            <w:r>
              <w:rPr>
                <w:w w:val="105"/>
                <w:sz w:val="13"/>
              </w:rPr>
              <w:t>BB&amp;T corp</w:t>
            </w:r>
          </w:p>
        </w:tc>
        <w:tc>
          <w:tcPr>
            <w:tcW w:w="781" w:type="dxa"/>
          </w:tcPr>
          <w:p>
            <w:pPr>
              <w:pStyle w:val="TableParagraph"/>
              <w:ind w:left="239" w:right="269"/>
              <w:rPr>
                <w:sz w:val="13"/>
              </w:rPr>
            </w:pPr>
            <w:r>
              <w:rPr>
                <w:w w:val="105"/>
                <w:sz w:val="13"/>
              </w:rPr>
              <w:t>14</w:t>
            </w:r>
          </w:p>
        </w:tc>
        <w:tc>
          <w:tcPr>
            <w:tcW w:w="833" w:type="dxa"/>
          </w:tcPr>
          <w:p>
            <w:pPr>
              <w:pStyle w:val="TableParagraph"/>
              <w:ind w:left="284" w:right="274"/>
              <w:rPr>
                <w:sz w:val="13"/>
              </w:rPr>
            </w:pPr>
            <w:r>
              <w:rPr>
                <w:w w:val="105"/>
                <w:sz w:val="13"/>
              </w:rPr>
              <w:t>224</w:t>
            </w:r>
          </w:p>
        </w:tc>
        <w:tc>
          <w:tcPr>
            <w:tcW w:w="766" w:type="dxa"/>
          </w:tcPr>
          <w:p>
            <w:pPr>
              <w:pStyle w:val="TableParagraph"/>
              <w:ind w:left="290" w:right="200"/>
              <w:rPr>
                <w:sz w:val="13"/>
              </w:rPr>
            </w:pPr>
            <w:r>
              <w:rPr>
                <w:w w:val="105"/>
                <w:sz w:val="13"/>
              </w:rPr>
              <w:t>71</w:t>
            </w:r>
          </w:p>
        </w:tc>
        <w:tc>
          <w:tcPr>
            <w:tcW w:w="903" w:type="dxa"/>
          </w:tcPr>
          <w:p>
            <w:pPr>
              <w:pStyle w:val="TableParagraph"/>
              <w:ind w:left="0" w:right="330"/>
              <w:jc w:val="right"/>
              <w:rPr>
                <w:sz w:val="13"/>
              </w:rPr>
            </w:pPr>
            <w:r>
              <w:rPr>
                <w:sz w:val="13"/>
              </w:rPr>
              <w:t>58</w:t>
            </w:r>
          </w:p>
        </w:tc>
        <w:tc>
          <w:tcPr>
            <w:tcW w:w="824" w:type="dxa"/>
          </w:tcPr>
          <w:p>
            <w:pPr>
              <w:pStyle w:val="TableParagraph"/>
              <w:ind w:left="23"/>
              <w:rPr>
                <w:sz w:val="13"/>
              </w:rPr>
            </w:pPr>
            <w:r>
              <w:rPr>
                <w:w w:val="105"/>
                <w:sz w:val="13"/>
              </w:rPr>
              <w:t>-153</w:t>
            </w:r>
          </w:p>
        </w:tc>
        <w:tc>
          <w:tcPr>
            <w:tcW w:w="854" w:type="dxa"/>
          </w:tcPr>
          <w:p>
            <w:pPr>
              <w:pStyle w:val="TableParagraph"/>
              <w:ind w:left="290" w:right="295"/>
              <w:rPr>
                <w:sz w:val="13"/>
              </w:rPr>
            </w:pPr>
            <w:r>
              <w:rPr>
                <w:w w:val="105"/>
                <w:sz w:val="13"/>
              </w:rPr>
              <w:t>200</w:t>
            </w:r>
          </w:p>
        </w:tc>
        <w:tc>
          <w:tcPr>
            <w:tcW w:w="843" w:type="dxa"/>
          </w:tcPr>
          <w:p>
            <w:pPr>
              <w:pStyle w:val="TableParagraph"/>
              <w:ind w:left="148"/>
              <w:jc w:val="left"/>
              <w:rPr>
                <w:sz w:val="13"/>
              </w:rPr>
            </w:pPr>
            <w:r>
              <w:rPr>
                <w:w w:val="105"/>
                <w:sz w:val="13"/>
              </w:rPr>
              <w:t>02/07/09</w:t>
            </w:r>
          </w:p>
        </w:tc>
      </w:tr>
      <w:tr>
        <w:trPr>
          <w:trHeight w:val="180" w:hRule="atLeast"/>
        </w:trPr>
        <w:tc>
          <w:tcPr>
            <w:tcW w:w="2369" w:type="dxa"/>
          </w:tcPr>
          <w:p>
            <w:pPr>
              <w:pStyle w:val="TableParagraph"/>
              <w:spacing w:line="131" w:lineRule="exact"/>
              <w:ind w:left="20"/>
              <w:jc w:val="left"/>
              <w:rPr>
                <w:sz w:val="13"/>
              </w:rPr>
            </w:pPr>
            <w:r>
              <w:rPr>
                <w:w w:val="105"/>
                <w:sz w:val="13"/>
              </w:rPr>
              <w:t>State Street</w:t>
            </w:r>
          </w:p>
        </w:tc>
        <w:tc>
          <w:tcPr>
            <w:tcW w:w="781" w:type="dxa"/>
          </w:tcPr>
          <w:p>
            <w:pPr>
              <w:pStyle w:val="TableParagraph"/>
              <w:spacing w:line="131" w:lineRule="exact"/>
              <w:ind w:left="239" w:right="269"/>
              <w:rPr>
                <w:sz w:val="13"/>
              </w:rPr>
            </w:pPr>
            <w:r>
              <w:rPr>
                <w:w w:val="105"/>
                <w:sz w:val="13"/>
              </w:rPr>
              <w:t>20</w:t>
            </w:r>
          </w:p>
        </w:tc>
        <w:tc>
          <w:tcPr>
            <w:tcW w:w="833" w:type="dxa"/>
          </w:tcPr>
          <w:p>
            <w:pPr>
              <w:pStyle w:val="TableParagraph"/>
              <w:spacing w:line="131" w:lineRule="exact"/>
              <w:ind w:left="284" w:right="274"/>
              <w:rPr>
                <w:sz w:val="13"/>
              </w:rPr>
            </w:pPr>
            <w:r>
              <w:rPr>
                <w:w w:val="105"/>
                <w:sz w:val="13"/>
              </w:rPr>
              <w:t>147</w:t>
            </w:r>
          </w:p>
        </w:tc>
        <w:tc>
          <w:tcPr>
            <w:tcW w:w="766" w:type="dxa"/>
          </w:tcPr>
          <w:p>
            <w:pPr>
              <w:pStyle w:val="TableParagraph"/>
              <w:spacing w:line="131" w:lineRule="exact"/>
              <w:ind w:left="290" w:right="208"/>
              <w:rPr>
                <w:sz w:val="13"/>
              </w:rPr>
            </w:pPr>
            <w:r>
              <w:rPr>
                <w:w w:val="105"/>
                <w:sz w:val="13"/>
              </w:rPr>
              <w:t>149</w:t>
            </w:r>
          </w:p>
        </w:tc>
        <w:tc>
          <w:tcPr>
            <w:tcW w:w="903" w:type="dxa"/>
          </w:tcPr>
          <w:p>
            <w:pPr>
              <w:pStyle w:val="TableParagraph"/>
              <w:spacing w:line="131" w:lineRule="exact"/>
              <w:ind w:left="0" w:right="299"/>
              <w:jc w:val="right"/>
              <w:rPr>
                <w:sz w:val="13"/>
              </w:rPr>
            </w:pPr>
            <w:r>
              <w:rPr>
                <w:w w:val="105"/>
                <w:sz w:val="13"/>
              </w:rPr>
              <w:t>129</w:t>
            </w:r>
          </w:p>
        </w:tc>
        <w:tc>
          <w:tcPr>
            <w:tcW w:w="824" w:type="dxa"/>
          </w:tcPr>
          <w:p>
            <w:pPr>
              <w:pStyle w:val="TableParagraph"/>
              <w:spacing w:line="131" w:lineRule="exact"/>
              <w:ind w:left="23"/>
              <w:rPr>
                <w:sz w:val="13"/>
              </w:rPr>
            </w:pPr>
            <w:r>
              <w:rPr>
                <w:w w:val="104"/>
                <w:sz w:val="13"/>
              </w:rPr>
              <w:t>2</w:t>
            </w:r>
          </w:p>
        </w:tc>
        <w:tc>
          <w:tcPr>
            <w:tcW w:w="854" w:type="dxa"/>
          </w:tcPr>
          <w:p>
            <w:pPr>
              <w:pStyle w:val="TableParagraph"/>
              <w:spacing w:line="131" w:lineRule="exact"/>
              <w:ind w:left="290" w:right="295"/>
              <w:rPr>
                <w:sz w:val="13"/>
              </w:rPr>
            </w:pPr>
            <w:r>
              <w:rPr>
                <w:w w:val="105"/>
                <w:sz w:val="13"/>
              </w:rPr>
              <w:t>197</w:t>
            </w:r>
          </w:p>
        </w:tc>
        <w:tc>
          <w:tcPr>
            <w:tcW w:w="843" w:type="dxa"/>
          </w:tcPr>
          <w:p>
            <w:pPr>
              <w:pStyle w:val="TableParagraph"/>
              <w:spacing w:line="131" w:lineRule="exact"/>
              <w:ind w:left="148"/>
              <w:jc w:val="left"/>
              <w:rPr>
                <w:sz w:val="13"/>
              </w:rPr>
            </w:pPr>
            <w:r>
              <w:rPr>
                <w:w w:val="105"/>
                <w:sz w:val="13"/>
              </w:rPr>
              <w:t>15/10/09</w:t>
            </w:r>
          </w:p>
        </w:tc>
      </w:tr>
    </w:tbl>
    <w:p>
      <w:pPr>
        <w:pStyle w:val="BodyText"/>
        <w:spacing w:before="9"/>
        <w:rPr>
          <w:b/>
          <w:sz w:val="22"/>
        </w:rPr>
      </w:pPr>
    </w:p>
    <w:p>
      <w:pPr>
        <w:spacing w:before="1"/>
        <w:ind w:left="171" w:right="0" w:firstLine="0"/>
        <w:jc w:val="left"/>
        <w:rPr>
          <w:rFonts w:ascii="Calibri"/>
          <w:sz w:val="15"/>
        </w:rPr>
      </w:pPr>
      <w:r>
        <w:rPr>
          <w:rFonts w:ascii="Calibri"/>
          <w:w w:val="105"/>
          <w:sz w:val="15"/>
        </w:rPr>
        <w:t>Source: Markit</w:t>
      </w:r>
    </w:p>
    <w:p>
      <w:pPr>
        <w:spacing w:before="25"/>
        <w:ind w:left="171" w:right="0" w:firstLine="0"/>
        <w:jc w:val="left"/>
        <w:rPr>
          <w:rFonts w:ascii="Calibri"/>
          <w:sz w:val="15"/>
        </w:rPr>
      </w:pPr>
      <w:r>
        <w:rPr>
          <w:rFonts w:ascii="Calibri"/>
          <w:w w:val="105"/>
          <w:sz w:val="15"/>
        </w:rPr>
        <w:t>Note: Max value is drawn from the period 1 Jan 07 to current</w:t>
      </w:r>
    </w:p>
    <w:sectPr>
      <w:pgSz w:w="11900" w:h="16840"/>
      <w:pgMar w:header="1447" w:footer="0" w:top="1660" w:bottom="280" w:left="1640" w:right="1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9.140320pt;margin-top:71.33107pt;width:16.95pt;height:12.7pt;mso-position-horizontal-relative:page;mso-position-vertical-relative:page;z-index:-253703168" type="#_x0000_t202" filled="false" stroked="false">
          <v:textbox inset="0,0,0,0">
            <w:txbxContent>
              <w:p>
                <w:pPr>
                  <w:spacing w:line="237" w:lineRule="exact" w:before="0"/>
                  <w:ind w:left="60" w:right="0" w:firstLine="0"/>
                  <w:jc w:val="left"/>
                  <w:rPr>
                    <w:rFonts w:ascii="Calibri"/>
                    <w:sz w:val="21"/>
                  </w:rPr>
                </w:pPr>
                <w:r>
                  <w:rPr/>
                  <w:fldChar w:fldCharType="begin"/>
                </w:r>
                <w:r>
                  <w:rPr>
                    <w:rFonts w:ascii="Calibri"/>
                    <w:sz w:val="21"/>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lowerLetter"/>
      <w:lvlText w:val="(%1)"/>
      <w:lvlJc w:val="left"/>
      <w:pPr>
        <w:ind w:left="110" w:hanging="211"/>
        <w:jc w:val="left"/>
      </w:pPr>
      <w:rPr>
        <w:rFonts w:hint="default" w:ascii="Times New Roman" w:hAnsi="Times New Roman" w:eastAsia="Times New Roman" w:cs="Times New Roman"/>
        <w:spacing w:val="-1"/>
        <w:w w:val="103"/>
        <w:sz w:val="15"/>
        <w:szCs w:val="15"/>
      </w:rPr>
    </w:lvl>
    <w:lvl w:ilvl="1">
      <w:start w:val="0"/>
      <w:numFmt w:val="bullet"/>
      <w:lvlText w:val="•"/>
      <w:lvlJc w:val="left"/>
      <w:pPr>
        <w:ind w:left="1012" w:hanging="211"/>
      </w:pPr>
      <w:rPr>
        <w:rFonts w:hint="default"/>
      </w:rPr>
    </w:lvl>
    <w:lvl w:ilvl="2">
      <w:start w:val="0"/>
      <w:numFmt w:val="bullet"/>
      <w:lvlText w:val="•"/>
      <w:lvlJc w:val="left"/>
      <w:pPr>
        <w:ind w:left="1904" w:hanging="211"/>
      </w:pPr>
      <w:rPr>
        <w:rFonts w:hint="default"/>
      </w:rPr>
    </w:lvl>
    <w:lvl w:ilvl="3">
      <w:start w:val="0"/>
      <w:numFmt w:val="bullet"/>
      <w:lvlText w:val="•"/>
      <w:lvlJc w:val="left"/>
      <w:pPr>
        <w:ind w:left="2796" w:hanging="211"/>
      </w:pPr>
      <w:rPr>
        <w:rFonts w:hint="default"/>
      </w:rPr>
    </w:lvl>
    <w:lvl w:ilvl="4">
      <w:start w:val="0"/>
      <w:numFmt w:val="bullet"/>
      <w:lvlText w:val="•"/>
      <w:lvlJc w:val="left"/>
      <w:pPr>
        <w:ind w:left="3688" w:hanging="211"/>
      </w:pPr>
      <w:rPr>
        <w:rFonts w:hint="default"/>
      </w:rPr>
    </w:lvl>
    <w:lvl w:ilvl="5">
      <w:start w:val="0"/>
      <w:numFmt w:val="bullet"/>
      <w:lvlText w:val="•"/>
      <w:lvlJc w:val="left"/>
      <w:pPr>
        <w:ind w:left="4580" w:hanging="211"/>
      </w:pPr>
      <w:rPr>
        <w:rFonts w:hint="default"/>
      </w:rPr>
    </w:lvl>
    <w:lvl w:ilvl="6">
      <w:start w:val="0"/>
      <w:numFmt w:val="bullet"/>
      <w:lvlText w:val="•"/>
      <w:lvlJc w:val="left"/>
      <w:pPr>
        <w:ind w:left="5472" w:hanging="211"/>
      </w:pPr>
      <w:rPr>
        <w:rFonts w:hint="default"/>
      </w:rPr>
    </w:lvl>
    <w:lvl w:ilvl="7">
      <w:start w:val="0"/>
      <w:numFmt w:val="bullet"/>
      <w:lvlText w:val="•"/>
      <w:lvlJc w:val="left"/>
      <w:pPr>
        <w:ind w:left="6364" w:hanging="211"/>
      </w:pPr>
      <w:rPr>
        <w:rFonts w:hint="default"/>
      </w:rPr>
    </w:lvl>
    <w:lvl w:ilvl="8">
      <w:start w:val="0"/>
      <w:numFmt w:val="bullet"/>
      <w:lvlText w:val="•"/>
      <w:lvlJc w:val="left"/>
      <w:pPr>
        <w:ind w:left="7256" w:hanging="211"/>
      </w:pPr>
      <w:rPr>
        <w:rFonts w:hint="default"/>
      </w:rPr>
    </w:lvl>
  </w:abstractNum>
  <w:abstractNum w:abstractNumId="3">
    <w:multiLevelType w:val="hybridMultilevel"/>
    <w:lvl w:ilvl="0">
      <w:start w:val="1"/>
      <w:numFmt w:val="lowerLetter"/>
      <w:lvlText w:val="(%1)"/>
      <w:lvlJc w:val="left"/>
      <w:pPr>
        <w:ind w:left="322" w:hanging="213"/>
        <w:jc w:val="left"/>
      </w:pPr>
      <w:rPr>
        <w:rFonts w:hint="default" w:ascii="Times New Roman" w:hAnsi="Times New Roman" w:eastAsia="Times New Roman" w:cs="Times New Roman"/>
        <w:spacing w:val="-1"/>
        <w:w w:val="103"/>
        <w:sz w:val="15"/>
        <w:szCs w:val="15"/>
      </w:rPr>
    </w:lvl>
    <w:lvl w:ilvl="1">
      <w:start w:val="0"/>
      <w:numFmt w:val="bullet"/>
      <w:lvlText w:val="•"/>
      <w:lvlJc w:val="left"/>
      <w:pPr>
        <w:ind w:left="1192" w:hanging="213"/>
      </w:pPr>
      <w:rPr>
        <w:rFonts w:hint="default"/>
      </w:rPr>
    </w:lvl>
    <w:lvl w:ilvl="2">
      <w:start w:val="0"/>
      <w:numFmt w:val="bullet"/>
      <w:lvlText w:val="•"/>
      <w:lvlJc w:val="left"/>
      <w:pPr>
        <w:ind w:left="2064" w:hanging="213"/>
      </w:pPr>
      <w:rPr>
        <w:rFonts w:hint="default"/>
      </w:rPr>
    </w:lvl>
    <w:lvl w:ilvl="3">
      <w:start w:val="0"/>
      <w:numFmt w:val="bullet"/>
      <w:lvlText w:val="•"/>
      <w:lvlJc w:val="left"/>
      <w:pPr>
        <w:ind w:left="2936" w:hanging="213"/>
      </w:pPr>
      <w:rPr>
        <w:rFonts w:hint="default"/>
      </w:rPr>
    </w:lvl>
    <w:lvl w:ilvl="4">
      <w:start w:val="0"/>
      <w:numFmt w:val="bullet"/>
      <w:lvlText w:val="•"/>
      <w:lvlJc w:val="left"/>
      <w:pPr>
        <w:ind w:left="3808" w:hanging="213"/>
      </w:pPr>
      <w:rPr>
        <w:rFonts w:hint="default"/>
      </w:rPr>
    </w:lvl>
    <w:lvl w:ilvl="5">
      <w:start w:val="0"/>
      <w:numFmt w:val="bullet"/>
      <w:lvlText w:val="•"/>
      <w:lvlJc w:val="left"/>
      <w:pPr>
        <w:ind w:left="4680" w:hanging="213"/>
      </w:pPr>
      <w:rPr>
        <w:rFonts w:hint="default"/>
      </w:rPr>
    </w:lvl>
    <w:lvl w:ilvl="6">
      <w:start w:val="0"/>
      <w:numFmt w:val="bullet"/>
      <w:lvlText w:val="•"/>
      <w:lvlJc w:val="left"/>
      <w:pPr>
        <w:ind w:left="5552" w:hanging="213"/>
      </w:pPr>
      <w:rPr>
        <w:rFonts w:hint="default"/>
      </w:rPr>
    </w:lvl>
    <w:lvl w:ilvl="7">
      <w:start w:val="0"/>
      <w:numFmt w:val="bullet"/>
      <w:lvlText w:val="•"/>
      <w:lvlJc w:val="left"/>
      <w:pPr>
        <w:ind w:left="6424" w:hanging="213"/>
      </w:pPr>
      <w:rPr>
        <w:rFonts w:hint="default"/>
      </w:rPr>
    </w:lvl>
    <w:lvl w:ilvl="8">
      <w:start w:val="0"/>
      <w:numFmt w:val="bullet"/>
      <w:lvlText w:val="•"/>
      <w:lvlJc w:val="left"/>
      <w:pPr>
        <w:ind w:left="7296" w:hanging="213"/>
      </w:pPr>
      <w:rPr>
        <w:rFonts w:hint="default"/>
      </w:rPr>
    </w:lvl>
  </w:abstractNum>
  <w:abstractNum w:abstractNumId="2">
    <w:multiLevelType w:val="hybridMultilevel"/>
    <w:lvl w:ilvl="0">
      <w:start w:val="1"/>
      <w:numFmt w:val="decimal"/>
      <w:lvlText w:val="(%1)"/>
      <w:lvlJc w:val="left"/>
      <w:pPr>
        <w:ind w:left="330" w:hanging="220"/>
        <w:jc w:val="left"/>
      </w:pPr>
      <w:rPr>
        <w:rFonts w:hint="default" w:ascii="Times New Roman" w:hAnsi="Times New Roman" w:eastAsia="Times New Roman" w:cs="Times New Roman"/>
        <w:w w:val="103"/>
        <w:sz w:val="15"/>
        <w:szCs w:val="15"/>
      </w:rPr>
    </w:lvl>
    <w:lvl w:ilvl="1">
      <w:start w:val="0"/>
      <w:numFmt w:val="bullet"/>
      <w:lvlText w:val="•"/>
      <w:lvlJc w:val="left"/>
      <w:pPr>
        <w:ind w:left="1210" w:hanging="220"/>
      </w:pPr>
      <w:rPr>
        <w:rFonts w:hint="default"/>
      </w:rPr>
    </w:lvl>
    <w:lvl w:ilvl="2">
      <w:start w:val="0"/>
      <w:numFmt w:val="bullet"/>
      <w:lvlText w:val="•"/>
      <w:lvlJc w:val="left"/>
      <w:pPr>
        <w:ind w:left="2080" w:hanging="220"/>
      </w:pPr>
      <w:rPr>
        <w:rFonts w:hint="default"/>
      </w:rPr>
    </w:lvl>
    <w:lvl w:ilvl="3">
      <w:start w:val="0"/>
      <w:numFmt w:val="bullet"/>
      <w:lvlText w:val="•"/>
      <w:lvlJc w:val="left"/>
      <w:pPr>
        <w:ind w:left="2950" w:hanging="220"/>
      </w:pPr>
      <w:rPr>
        <w:rFonts w:hint="default"/>
      </w:rPr>
    </w:lvl>
    <w:lvl w:ilvl="4">
      <w:start w:val="0"/>
      <w:numFmt w:val="bullet"/>
      <w:lvlText w:val="•"/>
      <w:lvlJc w:val="left"/>
      <w:pPr>
        <w:ind w:left="3820" w:hanging="220"/>
      </w:pPr>
      <w:rPr>
        <w:rFonts w:hint="default"/>
      </w:rPr>
    </w:lvl>
    <w:lvl w:ilvl="5">
      <w:start w:val="0"/>
      <w:numFmt w:val="bullet"/>
      <w:lvlText w:val="•"/>
      <w:lvlJc w:val="left"/>
      <w:pPr>
        <w:ind w:left="4690" w:hanging="220"/>
      </w:pPr>
      <w:rPr>
        <w:rFonts w:hint="default"/>
      </w:rPr>
    </w:lvl>
    <w:lvl w:ilvl="6">
      <w:start w:val="0"/>
      <w:numFmt w:val="bullet"/>
      <w:lvlText w:val="•"/>
      <w:lvlJc w:val="left"/>
      <w:pPr>
        <w:ind w:left="5560" w:hanging="220"/>
      </w:pPr>
      <w:rPr>
        <w:rFonts w:hint="default"/>
      </w:rPr>
    </w:lvl>
    <w:lvl w:ilvl="7">
      <w:start w:val="0"/>
      <w:numFmt w:val="bullet"/>
      <w:lvlText w:val="•"/>
      <w:lvlJc w:val="left"/>
      <w:pPr>
        <w:ind w:left="6430" w:hanging="220"/>
      </w:pPr>
      <w:rPr>
        <w:rFonts w:hint="default"/>
      </w:rPr>
    </w:lvl>
    <w:lvl w:ilvl="8">
      <w:start w:val="0"/>
      <w:numFmt w:val="bullet"/>
      <w:lvlText w:val="•"/>
      <w:lvlJc w:val="left"/>
      <w:pPr>
        <w:ind w:left="7300" w:hanging="220"/>
      </w:pPr>
      <w:rPr>
        <w:rFonts w:hint="default"/>
      </w:rPr>
    </w:lvl>
  </w:abstractNum>
  <w:abstractNum w:abstractNumId="1">
    <w:multiLevelType w:val="hybridMultilevel"/>
    <w:lvl w:ilvl="0">
      <w:start w:val="0"/>
      <w:numFmt w:val="bullet"/>
      <w:lvlText w:val="–"/>
      <w:lvlJc w:val="left"/>
      <w:pPr>
        <w:ind w:left="287" w:hanging="177"/>
      </w:pPr>
      <w:rPr>
        <w:rFonts w:hint="default" w:ascii="Times New Roman" w:hAnsi="Times New Roman" w:eastAsia="Times New Roman" w:cs="Times New Roman"/>
        <w:w w:val="101"/>
        <w:sz w:val="23"/>
        <w:szCs w:val="23"/>
      </w:rPr>
    </w:lvl>
    <w:lvl w:ilvl="1">
      <w:start w:val="0"/>
      <w:numFmt w:val="bullet"/>
      <w:lvlText w:val="•"/>
      <w:lvlJc w:val="left"/>
      <w:pPr>
        <w:ind w:left="1156" w:hanging="177"/>
      </w:pPr>
      <w:rPr>
        <w:rFonts w:hint="default"/>
      </w:rPr>
    </w:lvl>
    <w:lvl w:ilvl="2">
      <w:start w:val="0"/>
      <w:numFmt w:val="bullet"/>
      <w:lvlText w:val="•"/>
      <w:lvlJc w:val="left"/>
      <w:pPr>
        <w:ind w:left="2032" w:hanging="177"/>
      </w:pPr>
      <w:rPr>
        <w:rFonts w:hint="default"/>
      </w:rPr>
    </w:lvl>
    <w:lvl w:ilvl="3">
      <w:start w:val="0"/>
      <w:numFmt w:val="bullet"/>
      <w:lvlText w:val="•"/>
      <w:lvlJc w:val="left"/>
      <w:pPr>
        <w:ind w:left="2908" w:hanging="177"/>
      </w:pPr>
      <w:rPr>
        <w:rFonts w:hint="default"/>
      </w:rPr>
    </w:lvl>
    <w:lvl w:ilvl="4">
      <w:start w:val="0"/>
      <w:numFmt w:val="bullet"/>
      <w:lvlText w:val="•"/>
      <w:lvlJc w:val="left"/>
      <w:pPr>
        <w:ind w:left="3784" w:hanging="177"/>
      </w:pPr>
      <w:rPr>
        <w:rFonts w:hint="default"/>
      </w:rPr>
    </w:lvl>
    <w:lvl w:ilvl="5">
      <w:start w:val="0"/>
      <w:numFmt w:val="bullet"/>
      <w:lvlText w:val="•"/>
      <w:lvlJc w:val="left"/>
      <w:pPr>
        <w:ind w:left="4660" w:hanging="177"/>
      </w:pPr>
      <w:rPr>
        <w:rFonts w:hint="default"/>
      </w:rPr>
    </w:lvl>
    <w:lvl w:ilvl="6">
      <w:start w:val="0"/>
      <w:numFmt w:val="bullet"/>
      <w:lvlText w:val="•"/>
      <w:lvlJc w:val="left"/>
      <w:pPr>
        <w:ind w:left="5536" w:hanging="177"/>
      </w:pPr>
      <w:rPr>
        <w:rFonts w:hint="default"/>
      </w:rPr>
    </w:lvl>
    <w:lvl w:ilvl="7">
      <w:start w:val="0"/>
      <w:numFmt w:val="bullet"/>
      <w:lvlText w:val="•"/>
      <w:lvlJc w:val="left"/>
      <w:pPr>
        <w:ind w:left="6412" w:hanging="177"/>
      </w:pPr>
      <w:rPr>
        <w:rFonts w:hint="default"/>
      </w:rPr>
    </w:lvl>
    <w:lvl w:ilvl="8">
      <w:start w:val="0"/>
      <w:numFmt w:val="bullet"/>
      <w:lvlText w:val="•"/>
      <w:lvlJc w:val="left"/>
      <w:pPr>
        <w:ind w:left="7288" w:hanging="177"/>
      </w:pPr>
      <w:rPr>
        <w:rFonts w:hint="default"/>
      </w:rPr>
    </w:lvl>
  </w:abstractNum>
  <w:abstractNum w:abstractNumId="0">
    <w:multiLevelType w:val="hybridMultilevel"/>
    <w:lvl w:ilvl="0">
      <w:start w:val="1"/>
      <w:numFmt w:val="decimal"/>
      <w:lvlText w:val="%1."/>
      <w:lvlJc w:val="left"/>
      <w:pPr>
        <w:ind w:left="440" w:hanging="330"/>
        <w:jc w:val="left"/>
      </w:pPr>
      <w:rPr>
        <w:rFonts w:hint="default" w:ascii="Times New Roman" w:hAnsi="Times New Roman" w:eastAsia="Times New Roman" w:cs="Times New Roman"/>
        <w:w w:val="101"/>
        <w:sz w:val="23"/>
        <w:szCs w:val="23"/>
      </w:rPr>
    </w:lvl>
    <w:lvl w:ilvl="1">
      <w:start w:val="0"/>
      <w:numFmt w:val="bullet"/>
      <w:lvlText w:val="•"/>
      <w:lvlJc w:val="left"/>
      <w:pPr>
        <w:ind w:left="1300" w:hanging="330"/>
      </w:pPr>
      <w:rPr>
        <w:rFonts w:hint="default"/>
      </w:rPr>
    </w:lvl>
    <w:lvl w:ilvl="2">
      <w:start w:val="0"/>
      <w:numFmt w:val="bullet"/>
      <w:lvlText w:val="•"/>
      <w:lvlJc w:val="left"/>
      <w:pPr>
        <w:ind w:left="2160" w:hanging="330"/>
      </w:pPr>
      <w:rPr>
        <w:rFonts w:hint="default"/>
      </w:rPr>
    </w:lvl>
    <w:lvl w:ilvl="3">
      <w:start w:val="0"/>
      <w:numFmt w:val="bullet"/>
      <w:lvlText w:val="•"/>
      <w:lvlJc w:val="left"/>
      <w:pPr>
        <w:ind w:left="3020" w:hanging="330"/>
      </w:pPr>
      <w:rPr>
        <w:rFonts w:hint="default"/>
      </w:rPr>
    </w:lvl>
    <w:lvl w:ilvl="4">
      <w:start w:val="0"/>
      <w:numFmt w:val="bullet"/>
      <w:lvlText w:val="•"/>
      <w:lvlJc w:val="left"/>
      <w:pPr>
        <w:ind w:left="3880" w:hanging="330"/>
      </w:pPr>
      <w:rPr>
        <w:rFonts w:hint="default"/>
      </w:rPr>
    </w:lvl>
    <w:lvl w:ilvl="5">
      <w:start w:val="0"/>
      <w:numFmt w:val="bullet"/>
      <w:lvlText w:val="•"/>
      <w:lvlJc w:val="left"/>
      <w:pPr>
        <w:ind w:left="4740" w:hanging="330"/>
      </w:pPr>
      <w:rPr>
        <w:rFonts w:hint="default"/>
      </w:rPr>
    </w:lvl>
    <w:lvl w:ilvl="6">
      <w:start w:val="0"/>
      <w:numFmt w:val="bullet"/>
      <w:lvlText w:val="•"/>
      <w:lvlJc w:val="left"/>
      <w:pPr>
        <w:ind w:left="5600" w:hanging="330"/>
      </w:pPr>
      <w:rPr>
        <w:rFonts w:hint="default"/>
      </w:rPr>
    </w:lvl>
    <w:lvl w:ilvl="7">
      <w:start w:val="0"/>
      <w:numFmt w:val="bullet"/>
      <w:lvlText w:val="•"/>
      <w:lvlJc w:val="left"/>
      <w:pPr>
        <w:ind w:left="6460" w:hanging="330"/>
      </w:pPr>
      <w:rPr>
        <w:rFonts w:hint="default"/>
      </w:rPr>
    </w:lvl>
    <w:lvl w:ilvl="8">
      <w:start w:val="0"/>
      <w:numFmt w:val="bullet"/>
      <w:lvlText w:val="•"/>
      <w:lvlJc w:val="left"/>
      <w:pPr>
        <w:ind w:left="7320" w:hanging="330"/>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3"/>
      <w:szCs w:val="23"/>
    </w:rPr>
  </w:style>
  <w:style w:styleId="Heading1" w:type="paragraph">
    <w:name w:val="Heading 1"/>
    <w:basedOn w:val="Normal"/>
    <w:uiPriority w:val="1"/>
    <w:qFormat/>
    <w:pPr>
      <w:ind w:left="440" w:hanging="331"/>
      <w:outlineLvl w:val="1"/>
    </w:pPr>
    <w:rPr>
      <w:rFonts w:ascii="Times New Roman" w:hAnsi="Times New Roman" w:eastAsia="Times New Roman" w:cs="Times New Roman"/>
      <w:b/>
      <w:bCs/>
      <w:sz w:val="23"/>
      <w:szCs w:val="23"/>
    </w:rPr>
  </w:style>
  <w:style w:styleId="ListParagraph" w:type="paragraph">
    <w:name w:val="List Paragraph"/>
    <w:basedOn w:val="Normal"/>
    <w:uiPriority w:val="1"/>
    <w:qFormat/>
    <w:pPr>
      <w:ind w:left="110" w:hanging="331"/>
    </w:pPr>
    <w:rPr>
      <w:rFonts w:ascii="Times New Roman" w:hAnsi="Times New Roman" w:eastAsia="Times New Roman" w:cs="Times New Roman"/>
    </w:rPr>
  </w:style>
  <w:style w:styleId="TableParagraph" w:type="paragraph">
    <w:name w:val="Table Paragraph"/>
    <w:basedOn w:val="Normal"/>
    <w:uiPriority w:val="1"/>
    <w:qFormat/>
    <w:pPr>
      <w:spacing w:before="29"/>
      <w:ind w:left="54"/>
      <w:jc w:val="center"/>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yperlink" Target="http://www.bankofengland.co.uk/publications/fsr/2009/fsrfull0906.pdf" TargetMode="External"/><Relationship Id="rId7" Type="http://schemas.openxmlformats.org/officeDocument/2006/relationships/hyperlink" Target="http://www.bankofengland.co.uk/publications/speeches/2010/speech442.pdf" TargetMode="External"/><Relationship Id="rId8" Type="http://schemas.openxmlformats.org/officeDocument/2006/relationships/hyperlink" Target="http://www.bankofengland.co.uk/publications/speeches/2010/speech433.pdf" TargetMode="External"/><Relationship Id="rId9" Type="http://schemas.openxmlformats.org/officeDocument/2006/relationships/hyperlink" Target="http://www.ebf-fbe.eu/uploads/10-Interim%20NCI_June2010_Web.pdf" TargetMode="External"/><Relationship Id="rId10" Type="http://schemas.openxmlformats.org/officeDocument/2006/relationships/hyperlink" Target="http://www.richmondfed.org/press_room/speeches/president_jeff_lacker/2010/lacker_speech_201" TargetMode="External"/><Relationship Id="rId11" Type="http://schemas.openxmlformats.org/officeDocument/2006/relationships/hyperlink" Target="http://www.bankofengland.co.uk/publications/speeches/2010/speech451.pdf" TargetMode="External"/><Relationship Id="rId12" Type="http://schemas.openxmlformats.org/officeDocument/2006/relationships/hyperlink" Target="http://www.bankofengland.co.uk/publications/speeches/2010/speech431.pdf" TargetMode="External"/><Relationship Id="rId13" Type="http://schemas.openxmlformats.org/officeDocument/2006/relationships/hyperlink" Target="http://www.bankofengland.co.uk/publications/speeches/2010/speech420.pdf" TargetMode="Externa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Speeches by Mervyn King, Governor of the Bank of England</dc:subject>
  <dc:title>Banking: From Bagehot to Basel, and Back Again - Speech by Mervyn King, Governor of the Bank of England given at The Second Bagehot Lecture, Buttonwood Gathering, New York City on 25 October 2010</dc:title>
  <dcterms:created xsi:type="dcterms:W3CDTF">2020-06-02T17:15:12Z</dcterms:created>
  <dcterms:modified xsi:type="dcterms:W3CDTF">2020-06-02T17:15:12Z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2010-12-23T00:00:00Z</vt:filetime>
  </property>
  <property fmtid="{D5CDD505-2E9C-101B-9397-08002B2CF9AE}" pid="3" name="Creator">
    <vt:lpwstr>PScript5.dll Version 5.2.2</vt:lpwstr>
  </property>
  <property fmtid="{D5CDD505-2E9C-101B-9397-08002B2CF9AE}" pid="4" name="LastSaved">
    <vt:filetime>2020-06-02T00:00:00Z</vt:filetime>
  </property>
</Properties>
</file>