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rFonts w:ascii="Times New Roman"/>
        </w:rPr>
      </w:pPr>
      <w:r>
        <w:rPr/>
        <w:pict>
          <v:group style="position:absolute;margin-left:38.880001pt;margin-top:772.536011pt;width:517.6pt;height:.25pt;mso-position-horizontal-relative:page;mso-position-vertical-relative:page;z-index:251659264" coordorigin="778,15451" coordsize="10352,5">
            <v:line style="position:absolute" from="778,15453" to="10421,15453" stroked="true" strokeweight=".23999pt" strokecolor="#000000">
              <v:stroke dashstyle="solid"/>
            </v:line>
            <v:rect style="position:absolute;left:10420;top:15450;width:5;height:5" filled="true" fillcolor="#000000" stroked="false">
              <v:fill type="solid"/>
            </v:rect>
            <v:line style="position:absolute" from="10426,15453" to="11129,15453" stroked="true" strokeweight=".23999pt" strokecolor="#000000">
              <v:stroke dashstyle="solid"/>
            </v:line>
            <w10:wrap type="none"/>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21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4"/>
        <w:rPr>
          <w:rFonts w:ascii="Times New Roman"/>
          <w:sz w:val="22"/>
        </w:rPr>
      </w:pPr>
    </w:p>
    <w:p>
      <w:pPr>
        <w:spacing w:before="89"/>
        <w:ind w:left="353" w:right="0" w:firstLine="0"/>
        <w:jc w:val="left"/>
        <w:rPr>
          <w:b/>
          <w:sz w:val="32"/>
        </w:rPr>
      </w:pPr>
      <w:r>
        <w:rPr>
          <w:b/>
          <w:color w:val="6A709F"/>
          <w:sz w:val="32"/>
        </w:rPr>
        <w:t>Building the Infrastructure to Realise FinTech’s Promise</w:t>
      </w:r>
    </w:p>
    <w:p>
      <w:pPr>
        <w:pStyle w:val="BodyText"/>
        <w:spacing w:before="4"/>
        <w:rPr>
          <w:b/>
          <w:sz w:val="37"/>
        </w:rPr>
      </w:pPr>
    </w:p>
    <w:p>
      <w:pPr>
        <w:pStyle w:val="Heading1"/>
        <w:spacing w:line="360" w:lineRule="auto"/>
        <w:ind w:right="7942"/>
      </w:pPr>
      <w:r>
        <w:rPr/>
        <w:t>Speech given by Mark Carney,</w:t>
      </w:r>
    </w:p>
    <w:p>
      <w:pPr>
        <w:spacing w:before="1"/>
        <w:ind w:left="353" w:right="0" w:firstLine="0"/>
        <w:jc w:val="left"/>
        <w:rPr>
          <w:sz w:val="24"/>
        </w:rPr>
      </w:pPr>
      <w:r>
        <w:rPr>
          <w:sz w:val="24"/>
        </w:rPr>
        <w:t>Governor of the Bank of England</w:t>
      </w:r>
    </w:p>
    <w:p>
      <w:pPr>
        <w:pStyle w:val="BodyText"/>
        <w:rPr>
          <w:sz w:val="26"/>
        </w:rPr>
      </w:pPr>
    </w:p>
    <w:p>
      <w:pPr>
        <w:pStyle w:val="BodyText"/>
        <w:spacing w:before="5"/>
        <w:rPr>
          <w:sz w:val="32"/>
        </w:rPr>
      </w:pPr>
    </w:p>
    <w:p>
      <w:pPr>
        <w:spacing w:line="463" w:lineRule="auto" w:before="0"/>
        <w:ind w:left="353" w:right="3526" w:firstLine="0"/>
        <w:jc w:val="left"/>
        <w:rPr>
          <w:sz w:val="24"/>
        </w:rPr>
      </w:pPr>
      <w:r>
        <w:rPr>
          <w:sz w:val="24"/>
        </w:rPr>
        <w:t>International FinTech Conference 2017, Old Billingsgate 12 April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1"/>
        </w:rPr>
      </w:pPr>
    </w:p>
    <w:p>
      <w:pPr>
        <w:pStyle w:val="BodyText"/>
        <w:spacing w:before="93"/>
        <w:ind w:left="353" w:right="979"/>
      </w:pPr>
      <w:r>
        <w:rPr/>
        <w:t>I am grateful to Nicola Anderson, Sharmista Appaya, Alice Carr, Helen George, Andrew Hauser, Rosey Jeffrey, Varun Paul, Gregory Stevens and Iain de Weymarn for their assistance in preparing these remarks.</w:t>
      </w:r>
    </w:p>
    <w:p>
      <w:pPr>
        <w:pStyle w:val="BodyText"/>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5"/>
        <w:rPr>
          <w:sz w:val="2"/>
        </w:rPr>
      </w:pPr>
    </w:p>
    <w:p>
      <w:pPr>
        <w:spacing w:before="0"/>
        <w:ind w:left="0" w:right="324" w:firstLine="0"/>
        <w:jc w:val="right"/>
        <w:rPr>
          <w:sz w:val="2"/>
        </w:rPr>
      </w:pPr>
      <w:r>
        <w:rPr>
          <w:w w:val="95"/>
          <w:sz w:val="2"/>
        </w:rPr>
        <w:t>1</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ind w:left="107"/>
      </w:pPr>
      <w:r>
        <w:rPr/>
        <w:t>All speeches are available online at </w:t>
      </w:r>
      <w:hyperlink r:id="rId6">
        <w:r>
          <w:rPr/>
          <w:t>www.bankofengland.co.uk/speeches</w:t>
        </w:r>
      </w:hyperlink>
    </w:p>
    <w:p>
      <w:pPr>
        <w:spacing w:after="0"/>
        <w:sectPr>
          <w:type w:val="continuous"/>
          <w:pgSz w:w="11910" w:h="16840"/>
          <w:pgMar w:top="1180" w:bottom="280" w:left="780" w:right="1040"/>
        </w:sectPr>
      </w:pPr>
    </w:p>
    <w:p>
      <w:pPr>
        <w:pStyle w:val="Heading3"/>
        <w:spacing w:before="79"/>
        <w:rPr>
          <w:i/>
        </w:rPr>
      </w:pPr>
      <w:r>
        <w:rPr>
          <w:i/>
        </w:rPr>
        <w:t>Introduction</w:t>
      </w:r>
    </w:p>
    <w:p>
      <w:pPr>
        <w:pStyle w:val="BodyText"/>
        <w:spacing w:before="10"/>
        <w:rPr>
          <w:b/>
          <w:i/>
          <w:sz w:val="30"/>
        </w:rPr>
      </w:pPr>
    </w:p>
    <w:p>
      <w:pPr>
        <w:pStyle w:val="BodyText"/>
        <w:spacing w:line="357" w:lineRule="auto" w:before="1"/>
        <w:ind w:left="353"/>
      </w:pPr>
      <w:r>
        <w:rPr/>
        <w:t>It’s a pleasure to be in this historic setting at the heart of the world’s leading international financial centre and its global hub for FinTech.</w:t>
      </w:r>
      <w:r>
        <w:rPr>
          <w:vertAlign w:val="superscript"/>
        </w:rPr>
        <w:t>1</w:t>
      </w:r>
    </w:p>
    <w:p>
      <w:pPr>
        <w:pStyle w:val="BodyText"/>
        <w:spacing w:before="1"/>
        <w:rPr>
          <w:sz w:val="21"/>
        </w:rPr>
      </w:pPr>
    </w:p>
    <w:p>
      <w:pPr>
        <w:pStyle w:val="BodyText"/>
        <w:spacing w:line="360" w:lineRule="auto" w:before="1"/>
        <w:ind w:left="353"/>
      </w:pPr>
      <w:r>
        <w:rPr/>
        <w:t>Such leadership reflects the UK’s inherent strengths: its people, law, language and time zone. And it is testament to the City’s fundamental belief in markets and innovation.</w:t>
      </w:r>
    </w:p>
    <w:p>
      <w:pPr>
        <w:pStyle w:val="BodyText"/>
        <w:spacing w:before="11"/>
      </w:pPr>
    </w:p>
    <w:p>
      <w:pPr>
        <w:pStyle w:val="BodyText"/>
        <w:spacing w:line="360" w:lineRule="auto"/>
        <w:ind w:left="353" w:right="245"/>
      </w:pPr>
      <w:r>
        <w:rPr/>
        <w:t>Over the centuries, we have learned that markets and innovation thrive with the right hard and soft infrastructure: hard infrastructure ranging from transport links to broadband and payments architecture; and soft infrastructure from the rule of law to market practices, codes of conduct, and regulatory frameworks.</w:t>
      </w:r>
    </w:p>
    <w:p>
      <w:pPr>
        <w:pStyle w:val="BodyText"/>
        <w:spacing w:before="5"/>
        <w:rPr>
          <w:sz w:val="28"/>
        </w:rPr>
      </w:pPr>
      <w:r>
        <w:rPr/>
        <w:pict>
          <v:shape style="position:absolute;margin-left:252.649994pt;margin-top:18.780064pt;width:89.7pt;height:.1pt;mso-position-horizontal-relative:page;mso-position-vertical-relative:paragraph;z-index:-251656192;mso-wrap-distance-left:0;mso-wrap-distance-right:0" coordorigin="5053,376" coordsize="1794,0" path="m5053,376l6846,376e" filled="false" stroked="true" strokeweight=".87648pt" strokecolor="#000000">
            <v:path arrowok="t"/>
            <v:stroke dashstyle="shortdash"/>
            <w10:wrap type="topAndBottom"/>
          </v:shape>
        </w:pict>
      </w:r>
    </w:p>
    <w:p>
      <w:pPr>
        <w:pStyle w:val="BodyText"/>
        <w:spacing w:before="8"/>
        <w:rPr>
          <w:sz w:val="27"/>
        </w:rPr>
      </w:pPr>
    </w:p>
    <w:p>
      <w:pPr>
        <w:pStyle w:val="BodyText"/>
        <w:spacing w:line="357" w:lineRule="auto" w:before="93"/>
        <w:ind w:left="353"/>
      </w:pPr>
      <w:r>
        <w:rPr/>
        <w:t>When Horace Jones was re-imagining Old Billingsgate Market, Britain was in the throes of its Second Industrial Revolution – a time of mass innovation that changed the way people lived, worked and interacted.</w:t>
      </w:r>
    </w:p>
    <w:p>
      <w:pPr>
        <w:pStyle w:val="BodyText"/>
        <w:spacing w:before="2"/>
        <w:rPr>
          <w:sz w:val="21"/>
        </w:rPr>
      </w:pPr>
    </w:p>
    <w:p>
      <w:pPr>
        <w:pStyle w:val="BodyText"/>
        <w:spacing w:line="360" w:lineRule="auto"/>
        <w:ind w:left="353" w:right="133"/>
      </w:pPr>
      <w:r>
        <w:rPr/>
        <w:t>Throughout the nineteenth century technological advances – including steam, electricity, and the telegraph – fostered new industries and made possible an unprecedented openness to trade, people, and ideas.</w:t>
      </w:r>
    </w:p>
    <w:p>
      <w:pPr>
        <w:pStyle w:val="BodyText"/>
        <w:rPr>
          <w:sz w:val="21"/>
        </w:rPr>
      </w:pPr>
    </w:p>
    <w:p>
      <w:pPr>
        <w:pStyle w:val="BodyText"/>
        <w:spacing w:line="357" w:lineRule="auto"/>
        <w:ind w:left="353" w:right="200"/>
      </w:pPr>
      <w:r>
        <w:rPr/>
        <w:t>London’s financiers, book keepers and lawyers provided the capital, infrastructure and know-how to support these trends, cementing the City’s status as the leading international financial centre.</w:t>
      </w:r>
    </w:p>
    <w:p>
      <w:pPr>
        <w:pStyle w:val="BodyText"/>
        <w:spacing w:before="2"/>
        <w:rPr>
          <w:sz w:val="21"/>
        </w:rPr>
      </w:pPr>
    </w:p>
    <w:p>
      <w:pPr>
        <w:pStyle w:val="BodyText"/>
        <w:spacing w:line="360" w:lineRule="auto"/>
        <w:ind w:left="353"/>
      </w:pPr>
      <w:r>
        <w:rPr/>
        <w:t>The result was an unprecedented surge in prosperity. While UK real GDP merely doubled during the eighteenth century, it increased 7-fold during the course of the nineteenth century.</w:t>
      </w:r>
      <w:r>
        <w:rPr>
          <w:vertAlign w:val="superscript"/>
        </w:rPr>
        <w:t>2</w:t>
      </w:r>
    </w:p>
    <w:p>
      <w:pPr>
        <w:pStyle w:val="BodyText"/>
        <w:rPr>
          <w:sz w:val="21"/>
        </w:rPr>
      </w:pPr>
    </w:p>
    <w:p>
      <w:pPr>
        <w:pStyle w:val="BodyText"/>
        <w:spacing w:line="357" w:lineRule="auto"/>
        <w:ind w:left="353"/>
      </w:pPr>
      <w:r>
        <w:rPr/>
        <w:t>There were risks alongside such growth. The century was punctuated by a succession of crises and a lost decade.</w:t>
      </w:r>
    </w:p>
    <w:p>
      <w:pPr>
        <w:pStyle w:val="BodyText"/>
        <w:spacing w:before="2"/>
        <w:rPr>
          <w:sz w:val="21"/>
        </w:rPr>
      </w:pPr>
    </w:p>
    <w:p>
      <w:pPr>
        <w:pStyle w:val="BodyText"/>
        <w:spacing w:line="360" w:lineRule="auto"/>
        <w:ind w:left="353" w:right="133"/>
      </w:pPr>
      <w:r>
        <w:rPr/>
        <w:t>It took decades to develop the necessary soft infrastructure to support more sustainable growth. Indeed only by the late 1800s did the Bank of England assume its vital roles as lender of last resort and informal supervisor of the banking system.</w:t>
      </w:r>
      <w:r>
        <w:rPr>
          <w:vertAlign w:val="superscript"/>
        </w:rPr>
        <w:t>3</w:t>
      </w:r>
    </w:p>
    <w:p>
      <w:pPr>
        <w:pStyle w:val="BodyText"/>
        <w:spacing w:before="10"/>
      </w:pPr>
    </w:p>
    <w:p>
      <w:pPr>
        <w:pStyle w:val="BodyText"/>
        <w:spacing w:line="360" w:lineRule="auto"/>
        <w:ind w:left="353" w:right="245"/>
      </w:pPr>
      <w:r>
        <w:rPr/>
        <w:t>Similarly, around the turn of the millennium during the Third Industrial Revolution, a series of technological innovations – including a revolution in computing power, the internet, and mobile telephony – fed a new wave of openness and growth.</w:t>
      </w:r>
    </w:p>
    <w:p>
      <w:pPr>
        <w:pStyle w:val="BodyText"/>
      </w:pPr>
    </w:p>
    <w:p>
      <w:pPr>
        <w:pStyle w:val="BodyText"/>
      </w:pPr>
    </w:p>
    <w:p>
      <w:pPr>
        <w:pStyle w:val="BodyText"/>
      </w:pPr>
    </w:p>
    <w:p>
      <w:pPr>
        <w:pStyle w:val="BodyText"/>
        <w:spacing w:before="3"/>
        <w:rPr>
          <w:sz w:val="15"/>
        </w:rPr>
      </w:pPr>
      <w:r>
        <w:rPr/>
        <w:pict>
          <v:shape style="position:absolute;margin-left:56.664001pt;margin-top:11.013324pt;width:144.050pt;height:.1pt;mso-position-horizontal-relative:page;mso-position-vertical-relative:paragraph;z-index:-251655168;mso-wrap-distance-left:0;mso-wrap-distance-right:0" coordorigin="1133,220" coordsize="2881,0" path="m1133,220l4014,220e" filled="false" stroked="true" strokeweight=".48004pt" strokecolor="#000000">
            <v:path arrowok="t"/>
            <v:stroke dashstyle="solid"/>
            <w10:wrap type="topAndBottom"/>
          </v:shape>
        </w:pict>
      </w:r>
    </w:p>
    <w:p>
      <w:pPr>
        <w:spacing w:before="30"/>
        <w:ind w:left="353" w:right="412" w:firstLine="0"/>
        <w:jc w:val="left"/>
        <w:rPr>
          <w:sz w:val="16"/>
        </w:rPr>
      </w:pPr>
      <w:r>
        <w:rPr>
          <w:position w:val="8"/>
          <w:sz w:val="10"/>
        </w:rPr>
        <w:t>1 </w:t>
      </w:r>
      <w:r>
        <w:rPr>
          <w:sz w:val="16"/>
        </w:rPr>
        <w:t>See the Global Financial Centres Index (2016) at: </w:t>
      </w:r>
      <w:hyperlink r:id="rId8">
        <w:r>
          <w:rPr>
            <w:sz w:val="16"/>
          </w:rPr>
          <w:t>http://www.longfinance.net/global-financial-centre-index-19/992-gfci-19.html </w:t>
        </w:r>
      </w:hyperlink>
      <w:r>
        <w:rPr>
          <w:sz w:val="16"/>
        </w:rPr>
        <w:t>and Ernst and Young, “FinTech on the Cutting Edge”, (2016): </w:t>
      </w:r>
      <w:hyperlink r:id="rId9">
        <w:r>
          <w:rPr>
            <w:color w:val="0000FF"/>
            <w:sz w:val="16"/>
            <w:u w:val="single" w:color="0000FF"/>
          </w:rPr>
          <w:t>https://www.ey.com/uk/en/industries/financial-services/banking---capital-</w:t>
        </w:r>
      </w:hyperlink>
      <w:r>
        <w:rPr>
          <w:color w:val="0000FF"/>
          <w:sz w:val="16"/>
        </w:rPr>
        <w:t> </w:t>
      </w:r>
      <w:hyperlink r:id="rId9">
        <w:r>
          <w:rPr>
            <w:color w:val="0000FF"/>
            <w:sz w:val="16"/>
            <w:u w:val="single" w:color="0000FF"/>
          </w:rPr>
          <w:t>markets/ey-uk-fintech-on-the-cutting-edge</w:t>
        </w:r>
      </w:hyperlink>
    </w:p>
    <w:p>
      <w:pPr>
        <w:spacing w:line="171" w:lineRule="exact" w:before="0"/>
        <w:ind w:left="353" w:right="0" w:firstLine="0"/>
        <w:jc w:val="left"/>
        <w:rPr>
          <w:sz w:val="16"/>
        </w:rPr>
      </w:pPr>
      <w:r>
        <w:rPr>
          <w:position w:val="8"/>
          <w:sz w:val="10"/>
        </w:rPr>
        <w:t>2 </w:t>
      </w:r>
      <w:r>
        <w:rPr>
          <w:sz w:val="16"/>
        </w:rPr>
        <w:t>Bank of England, ‘Three centuries of macroeconomic data’ at: </w:t>
      </w:r>
      <w:hyperlink r:id="rId10">
        <w:r>
          <w:rPr>
            <w:sz w:val="16"/>
          </w:rPr>
          <w:t>http://www.bankofengland.co.uk/research/Pages/datasets/default.aspx</w:t>
        </w:r>
      </w:hyperlink>
    </w:p>
    <w:p>
      <w:pPr>
        <w:spacing w:line="184" w:lineRule="exact" w:before="13"/>
        <w:ind w:left="353" w:right="384" w:firstLine="0"/>
        <w:jc w:val="left"/>
        <w:rPr>
          <w:sz w:val="16"/>
        </w:rPr>
      </w:pPr>
      <w:r>
        <w:rPr>
          <w:position w:val="8"/>
          <w:sz w:val="10"/>
        </w:rPr>
        <w:t>3 </w:t>
      </w:r>
      <w:r>
        <w:rPr>
          <w:sz w:val="16"/>
        </w:rPr>
        <w:t>See Bank Underground articles on the crises of 1847, 1857 and 1866 and the development of the role of the Bank of England at: https://bankunderground.co.uk/2016/12/19/christmas-special-financial-crises-in-the-19th-century/. New laws emerged in the mid-19</w:t>
      </w:r>
      <w:r>
        <w:rPr>
          <w:sz w:val="16"/>
          <w:vertAlign w:val="superscript"/>
        </w:rPr>
        <w:t>th</w:t>
      </w:r>
      <w:r>
        <w:rPr>
          <w:sz w:val="16"/>
          <w:vertAlign w:val="baseline"/>
        </w:rPr>
        <w:t> century, allowing the spread of joint stock banks across the country, to finance the growing needs of the economy.</w:t>
      </w:r>
    </w:p>
    <w:p>
      <w:pPr>
        <w:spacing w:after="0" w:line="184" w:lineRule="exact"/>
        <w:jc w:val="left"/>
        <w:rPr>
          <w:sz w:val="16"/>
        </w:rPr>
        <w:sectPr>
          <w:footerReference w:type="default" r:id="rId7"/>
          <w:pgSz w:w="11910" w:h="16840"/>
          <w:pgMar w:footer="1338" w:header="0" w:top="1340" w:bottom="1520" w:left="780" w:right="1040"/>
        </w:sectPr>
      </w:pPr>
    </w:p>
    <w:p>
      <w:pPr>
        <w:pStyle w:val="BodyText"/>
        <w:spacing w:line="360" w:lineRule="auto" w:before="79"/>
        <w:ind w:left="353" w:right="133"/>
      </w:pPr>
      <w:r>
        <w:rPr/>
        <w:t>The accompanying burst of financial innovation spread the application of these technologies and supported the process of globalisation that bolstered trade, productivity and incomes.</w:t>
      </w:r>
    </w:p>
    <w:p>
      <w:pPr>
        <w:pStyle w:val="BodyText"/>
        <w:spacing w:before="9"/>
      </w:pPr>
    </w:p>
    <w:p>
      <w:pPr>
        <w:pStyle w:val="BodyText"/>
        <w:spacing w:line="360" w:lineRule="auto"/>
        <w:ind w:left="353" w:right="289"/>
      </w:pPr>
      <w:r>
        <w:rPr/>
        <w:t>Once again, however, the hard and soft infrastructure of the financial system failed to keep pace. Light- touch regulation, out-moded codes of market conduct, inadequate settlement and clearing infrastructure all contributed to the global financial crisis.</w:t>
      </w:r>
    </w:p>
    <w:p>
      <w:pPr>
        <w:pStyle w:val="BodyText"/>
        <w:rPr>
          <w:sz w:val="21"/>
        </w:rPr>
      </w:pPr>
    </w:p>
    <w:p>
      <w:pPr>
        <w:pStyle w:val="BodyText"/>
        <w:spacing w:line="357" w:lineRule="auto"/>
        <w:ind w:left="353" w:right="245"/>
      </w:pPr>
      <w:r>
        <w:rPr/>
        <w:t>We can draw on these experiences to help ensure that FinTech boosts growth and promotes financial stability.</w:t>
      </w:r>
    </w:p>
    <w:p>
      <w:pPr>
        <w:pStyle w:val="BodyText"/>
        <w:spacing w:before="2"/>
        <w:rPr>
          <w:sz w:val="21"/>
        </w:rPr>
      </w:pPr>
    </w:p>
    <w:p>
      <w:pPr>
        <w:pStyle w:val="BodyText"/>
        <w:spacing w:line="360" w:lineRule="auto"/>
        <w:ind w:left="353" w:right="457"/>
      </w:pPr>
      <w:r>
        <w:rPr/>
        <w:t>Not least because, following a raft of post-crisis reforms, the Bank’s regulatory frameworks are now fit for purpose.</w:t>
      </w:r>
    </w:p>
    <w:p>
      <w:pPr>
        <w:pStyle w:val="BodyText"/>
        <w:rPr>
          <w:sz w:val="21"/>
        </w:rPr>
      </w:pPr>
    </w:p>
    <w:p>
      <w:pPr>
        <w:pStyle w:val="BodyText"/>
        <w:spacing w:line="360" w:lineRule="auto" w:before="1"/>
        <w:ind w:left="353"/>
      </w:pPr>
      <w:r>
        <w:rPr/>
        <w:t>The Bank of England’s Financial Policy Committee (FPC) is mandated to assess new and emerging risks to financial stability, including those that may exist beyond the existing regulatory perimeter. And it now has the powers to treat similar risks consistently, wherever they originate.</w:t>
      </w:r>
      <w:r>
        <w:rPr>
          <w:vertAlign w:val="superscript"/>
        </w:rPr>
        <w:t>4</w:t>
      </w:r>
    </w:p>
    <w:p>
      <w:pPr>
        <w:pStyle w:val="BodyText"/>
        <w:spacing w:before="9"/>
      </w:pPr>
    </w:p>
    <w:p>
      <w:pPr>
        <w:pStyle w:val="BodyText"/>
        <w:ind w:left="353"/>
      </w:pPr>
      <w:r>
        <w:rPr/>
        <w:t>With this new approach, the Bank can help build the right infrastructure for FinTech to realise its promise.</w:t>
      </w:r>
    </w:p>
    <w:p>
      <w:pPr>
        <w:pStyle w:val="BodyText"/>
        <w:spacing w:before="11"/>
        <w:rPr>
          <w:sz w:val="30"/>
        </w:rPr>
      </w:pPr>
    </w:p>
    <w:p>
      <w:pPr>
        <w:pStyle w:val="Heading3"/>
        <w:rPr>
          <w:i/>
        </w:rPr>
      </w:pPr>
      <w:r>
        <w:rPr>
          <w:i/>
        </w:rPr>
        <w:t>The Promise of FinTech</w:t>
      </w:r>
    </w:p>
    <w:p>
      <w:pPr>
        <w:pStyle w:val="BodyText"/>
        <w:spacing w:before="8"/>
        <w:rPr>
          <w:b/>
          <w:i/>
          <w:sz w:val="30"/>
        </w:rPr>
      </w:pPr>
    </w:p>
    <w:p>
      <w:pPr>
        <w:pStyle w:val="BodyText"/>
        <w:spacing w:line="612" w:lineRule="auto"/>
        <w:ind w:left="353" w:right="4314"/>
      </w:pPr>
      <w:r>
        <w:rPr/>
        <w:t>To its advocates, FinTech will democratise financial services. Consumers will get more choice and keener pricing.</w:t>
      </w:r>
    </w:p>
    <w:p>
      <w:pPr>
        <w:pStyle w:val="BodyText"/>
        <w:spacing w:line="228" w:lineRule="exact"/>
        <w:ind w:left="353"/>
      </w:pPr>
      <w:r>
        <w:rPr/>
        <w:t>SMEs will get access to new credit.</w:t>
      </w:r>
    </w:p>
    <w:p>
      <w:pPr>
        <w:pStyle w:val="BodyText"/>
        <w:spacing w:before="11"/>
        <w:rPr>
          <w:sz w:val="30"/>
        </w:rPr>
      </w:pPr>
    </w:p>
    <w:p>
      <w:pPr>
        <w:pStyle w:val="BodyText"/>
        <w:spacing w:line="357" w:lineRule="auto"/>
        <w:ind w:left="353"/>
      </w:pPr>
      <w:r>
        <w:rPr/>
        <w:t>Banks will become more productive, with lower transaction costs, greater capital efficiency and stronger operational resilience.</w:t>
      </w:r>
    </w:p>
    <w:p>
      <w:pPr>
        <w:pStyle w:val="BodyText"/>
        <w:spacing w:before="2"/>
        <w:rPr>
          <w:sz w:val="21"/>
        </w:rPr>
      </w:pPr>
    </w:p>
    <w:p>
      <w:pPr>
        <w:pStyle w:val="BodyText"/>
        <w:spacing w:line="360" w:lineRule="auto"/>
        <w:ind w:left="353" w:right="612"/>
      </w:pPr>
      <w:r>
        <w:rPr/>
        <w:t>Financial services will be more inclusive; with people better connected, more informed and increasingly empowered.</w:t>
      </w:r>
    </w:p>
    <w:p>
      <w:pPr>
        <w:pStyle w:val="BodyText"/>
        <w:spacing w:before="9"/>
      </w:pPr>
    </w:p>
    <w:p>
      <w:pPr>
        <w:pStyle w:val="BodyText"/>
        <w:spacing w:line="360" w:lineRule="auto"/>
        <w:ind w:left="353"/>
      </w:pPr>
      <w:r>
        <w:rPr/>
        <w:t>And tantalisingly, FinTech could help make the system itself more resilient with greater diversity, redundancy and depth.</w:t>
      </w:r>
    </w:p>
    <w:p>
      <w:pPr>
        <w:pStyle w:val="BodyText"/>
        <w:spacing w:before="11"/>
      </w:pPr>
    </w:p>
    <w:p>
      <w:pPr>
        <w:pStyle w:val="BodyText"/>
        <w:spacing w:line="360" w:lineRule="auto"/>
        <w:ind w:left="353"/>
      </w:pPr>
      <w:r>
        <w:rPr/>
        <w:t>These possibilities are why the Bank has already taken a number of steps to encourage FinTech’s development.</w:t>
      </w:r>
    </w:p>
    <w:p>
      <w:pPr>
        <w:pStyle w:val="BodyText"/>
      </w:pPr>
    </w:p>
    <w:p>
      <w:pPr>
        <w:pStyle w:val="BodyText"/>
      </w:pPr>
    </w:p>
    <w:p>
      <w:pPr>
        <w:pStyle w:val="BodyText"/>
      </w:pPr>
    </w:p>
    <w:p>
      <w:pPr>
        <w:pStyle w:val="BodyText"/>
      </w:pPr>
    </w:p>
    <w:p>
      <w:pPr>
        <w:pStyle w:val="BodyText"/>
      </w:pPr>
    </w:p>
    <w:p>
      <w:pPr>
        <w:pStyle w:val="BodyText"/>
        <w:spacing w:before="5"/>
        <w:rPr>
          <w:sz w:val="13"/>
        </w:rPr>
      </w:pPr>
      <w:r>
        <w:rPr/>
        <w:pict>
          <v:shape style="position:absolute;margin-left:56.664001pt;margin-top:9.959485pt;width:144.050pt;height:.1pt;mso-position-horizontal-relative:page;mso-position-vertical-relative:paragraph;z-index:-251654144;mso-wrap-distance-left:0;mso-wrap-distance-right:0" coordorigin="1133,199" coordsize="2881,0" path="m1133,199l4014,199e" filled="false" stroked="true" strokeweight=".47998pt" strokecolor="#000000">
            <v:path arrowok="t"/>
            <v:stroke dashstyle="solid"/>
            <w10:wrap type="topAndBottom"/>
          </v:shape>
        </w:pict>
      </w:r>
    </w:p>
    <w:p>
      <w:pPr>
        <w:spacing w:before="30"/>
        <w:ind w:left="353" w:right="606" w:firstLine="0"/>
        <w:jc w:val="left"/>
        <w:rPr>
          <w:sz w:val="16"/>
        </w:rPr>
      </w:pPr>
      <w:r>
        <w:rPr>
          <w:position w:val="8"/>
          <w:sz w:val="10"/>
        </w:rPr>
        <w:t>4 </w:t>
      </w:r>
      <w:r>
        <w:rPr>
          <w:sz w:val="16"/>
        </w:rPr>
        <w:t>For a summary of the new regulatory arrangements see “Changes to the Bank of England”, Murphy, E. and Senior, S, Quarterly Bulletin Article (Q1 2013).</w:t>
      </w:r>
    </w:p>
    <w:p>
      <w:pPr>
        <w:spacing w:after="0"/>
        <w:jc w:val="left"/>
        <w:rPr>
          <w:sz w:val="16"/>
        </w:rPr>
        <w:sectPr>
          <w:footerReference w:type="default" r:id="rId11"/>
          <w:pgSz w:w="11910" w:h="16840"/>
          <w:pgMar w:footer="1338" w:header="0" w:top="1340" w:bottom="1520" w:left="780" w:right="1040"/>
        </w:sectPr>
      </w:pPr>
    </w:p>
    <w:p>
      <w:pPr>
        <w:pStyle w:val="BodyText"/>
        <w:spacing w:line="360" w:lineRule="auto" w:before="79"/>
        <w:ind w:left="353" w:right="245"/>
      </w:pPr>
      <w:r>
        <w:rPr/>
        <w:t>The PRA and the FCA have changed their authorisation processes to support new business models. The New Bank Start-Up Unit, created in 2016, works closely with firms seeking to become banks. Already, four new ‘mobile’ banks have been authorised.</w:t>
      </w:r>
      <w:r>
        <w:rPr>
          <w:vertAlign w:val="superscript"/>
        </w:rPr>
        <w:t>5</w:t>
      </w:r>
    </w:p>
    <w:p>
      <w:pPr>
        <w:pStyle w:val="BodyText"/>
        <w:spacing w:before="9"/>
      </w:pPr>
    </w:p>
    <w:p>
      <w:pPr>
        <w:pStyle w:val="BodyText"/>
        <w:spacing w:line="360" w:lineRule="auto"/>
        <w:ind w:left="353" w:right="212"/>
      </w:pPr>
      <w:r>
        <w:rPr/>
        <w:t>The Bank also established a FinTech Accelerator last year. Since then, we have worked with a number of firms on proofs of concept ranging from strengthening our cyber security to using AI for regulatory data, and improving our understanding of distributed ledgers.</w:t>
      </w:r>
    </w:p>
    <w:p>
      <w:pPr>
        <w:pStyle w:val="BodyText"/>
        <w:spacing w:before="10"/>
      </w:pPr>
    </w:p>
    <w:p>
      <w:pPr>
        <w:pStyle w:val="BodyText"/>
        <w:spacing w:line="360" w:lineRule="auto"/>
        <w:ind w:left="353" w:right="555"/>
      </w:pPr>
      <w:r>
        <w:rPr/>
        <w:t>Today we are opening our 4th round of applications to the Accelerator. We are looking to work on new proofs of concept on maintaining privacy in a distributed ledger and applying a range of big data tools to support the Bank’s analysis.</w:t>
      </w:r>
      <w:r>
        <w:rPr>
          <w:vertAlign w:val="superscript"/>
        </w:rPr>
        <w:t>6</w:t>
      </w:r>
    </w:p>
    <w:p>
      <w:pPr>
        <w:pStyle w:val="BodyText"/>
        <w:rPr>
          <w:sz w:val="21"/>
        </w:rPr>
      </w:pPr>
    </w:p>
    <w:p>
      <w:pPr>
        <w:pStyle w:val="BodyText"/>
        <w:spacing w:line="357" w:lineRule="auto"/>
        <w:ind w:left="353" w:right="89"/>
      </w:pPr>
      <w:r>
        <w:rPr/>
        <w:t>More broadly, the Bank is working to ensure that this time the right hard and soft infrastructure are in place to allow innovation to thrive while keeping the system safe.</w:t>
      </w:r>
    </w:p>
    <w:p>
      <w:pPr>
        <w:pStyle w:val="BodyText"/>
        <w:spacing w:before="3"/>
        <w:rPr>
          <w:sz w:val="21"/>
        </w:rPr>
      </w:pPr>
    </w:p>
    <w:p>
      <w:pPr>
        <w:pStyle w:val="BodyText"/>
        <w:ind w:left="353"/>
      </w:pPr>
      <w:r>
        <w:rPr/>
        <w:t>Let me expand briefly with three examples.</w:t>
      </w:r>
    </w:p>
    <w:p>
      <w:pPr>
        <w:pStyle w:val="BodyText"/>
        <w:spacing w:before="10"/>
        <w:rPr>
          <w:sz w:val="30"/>
        </w:rPr>
      </w:pPr>
    </w:p>
    <w:p>
      <w:pPr>
        <w:pStyle w:val="Heading3"/>
        <w:spacing w:before="1"/>
        <w:rPr>
          <w:i/>
        </w:rPr>
      </w:pPr>
      <w:r>
        <w:rPr>
          <w:i/>
        </w:rPr>
        <w:t>The Right Soft Infrastructure</w:t>
      </w:r>
    </w:p>
    <w:p>
      <w:pPr>
        <w:pStyle w:val="BodyText"/>
        <w:spacing w:before="10"/>
        <w:rPr>
          <w:b/>
          <w:i/>
          <w:sz w:val="30"/>
        </w:rPr>
      </w:pPr>
    </w:p>
    <w:p>
      <w:pPr>
        <w:pStyle w:val="BodyText"/>
        <w:spacing w:line="360" w:lineRule="auto"/>
        <w:ind w:left="353"/>
      </w:pPr>
      <w:r>
        <w:rPr/>
        <w:t>First, with respect to soft infrastructure, the Bank is assessing how FinTech could change risks and opportunities along the financial services value chain. We are then using our existing frameworks to respond where necessary.</w:t>
      </w:r>
    </w:p>
    <w:p>
      <w:pPr>
        <w:pStyle w:val="BodyText"/>
        <w:spacing w:before="10"/>
      </w:pPr>
    </w:p>
    <w:p>
      <w:pPr>
        <w:pStyle w:val="BodyText"/>
        <w:spacing w:line="360" w:lineRule="auto"/>
        <w:ind w:left="353" w:right="245"/>
      </w:pPr>
      <w:r>
        <w:rPr/>
        <w:t>We are disciplined. Just because something is new doesn’t mean it should be treated differently. Similarly, just because it is outside the regulatory perimeter doesn’t mean it needs to be brought inside. We apply consistent approaches to activities that give rise to the same risks regardless of whether those are undertaken by old regulated or new FinTech firms.</w:t>
      </w:r>
    </w:p>
    <w:p>
      <w:pPr>
        <w:pStyle w:val="BodyText"/>
        <w:spacing w:before="10"/>
      </w:pPr>
    </w:p>
    <w:p>
      <w:pPr>
        <w:pStyle w:val="BodyText"/>
        <w:ind w:left="353"/>
      </w:pPr>
      <w:r>
        <w:rPr/>
        <w:t>Some of the most important questions we are considering include:</w:t>
      </w:r>
    </w:p>
    <w:p>
      <w:pPr>
        <w:pStyle w:val="BodyText"/>
        <w:spacing w:before="8"/>
        <w:rPr>
          <w:sz w:val="30"/>
        </w:rPr>
      </w:pPr>
    </w:p>
    <w:p>
      <w:pPr>
        <w:pStyle w:val="ListParagraph"/>
        <w:numPr>
          <w:ilvl w:val="0"/>
          <w:numId w:val="1"/>
        </w:numPr>
        <w:tabs>
          <w:tab w:pos="1065" w:val="left" w:leader="none"/>
          <w:tab w:pos="1067" w:val="left" w:leader="none"/>
        </w:tabs>
        <w:spacing w:line="360" w:lineRule="auto" w:before="0" w:after="0"/>
        <w:ind w:left="1066" w:right="586" w:hanging="356"/>
        <w:jc w:val="left"/>
        <w:rPr>
          <w:sz w:val="20"/>
        </w:rPr>
      </w:pPr>
      <w:r>
        <w:rPr>
          <w:sz w:val="20"/>
        </w:rPr>
        <w:t>Which FinTech activities constitute traditional banking activities by another name and should</w:t>
      </w:r>
      <w:r>
        <w:rPr>
          <w:spacing w:val="-29"/>
          <w:sz w:val="20"/>
        </w:rPr>
        <w:t> </w:t>
      </w:r>
      <w:r>
        <w:rPr>
          <w:sz w:val="20"/>
        </w:rPr>
        <w:t>be regulated as</w:t>
      </w:r>
      <w:r>
        <w:rPr>
          <w:spacing w:val="-2"/>
          <w:sz w:val="20"/>
        </w:rPr>
        <w:t> </w:t>
      </w:r>
      <w:r>
        <w:rPr>
          <w:sz w:val="20"/>
        </w:rPr>
        <w:t>such?</w:t>
      </w:r>
      <w:r>
        <w:rPr>
          <w:sz w:val="20"/>
          <w:vertAlign w:val="superscript"/>
        </w:rPr>
        <w:t>7</w:t>
      </w:r>
    </w:p>
    <w:p>
      <w:pPr>
        <w:pStyle w:val="BodyText"/>
        <w:rPr>
          <w:sz w:val="21"/>
        </w:rPr>
      </w:pPr>
    </w:p>
    <w:p>
      <w:pPr>
        <w:pStyle w:val="ListParagraph"/>
        <w:numPr>
          <w:ilvl w:val="0"/>
          <w:numId w:val="1"/>
        </w:numPr>
        <w:tabs>
          <w:tab w:pos="1065" w:val="left" w:leader="none"/>
          <w:tab w:pos="1067" w:val="left" w:leader="none"/>
        </w:tabs>
        <w:spacing w:line="240" w:lineRule="auto" w:before="0" w:after="0"/>
        <w:ind w:left="1066" w:right="0" w:hanging="357"/>
        <w:jc w:val="left"/>
        <w:rPr>
          <w:sz w:val="20"/>
        </w:rPr>
      </w:pPr>
      <w:r>
        <w:rPr>
          <w:sz w:val="20"/>
        </w:rPr>
        <w:t>How could developments change the safety and soundness of existing regulated</w:t>
      </w:r>
      <w:r>
        <w:rPr>
          <w:spacing w:val="-10"/>
          <w:sz w:val="20"/>
        </w:rPr>
        <w:t> </w:t>
      </w:r>
      <w:r>
        <w:rPr>
          <w:sz w:val="20"/>
        </w:rPr>
        <w:t>firms?</w:t>
      </w:r>
    </w:p>
    <w:p>
      <w:pPr>
        <w:pStyle w:val="BodyText"/>
        <w:spacing w:before="11"/>
        <w:rPr>
          <w:sz w:val="30"/>
        </w:rPr>
      </w:pPr>
    </w:p>
    <w:p>
      <w:pPr>
        <w:pStyle w:val="ListParagraph"/>
        <w:numPr>
          <w:ilvl w:val="0"/>
          <w:numId w:val="1"/>
        </w:numPr>
        <w:tabs>
          <w:tab w:pos="1065" w:val="left" w:leader="none"/>
          <w:tab w:pos="1067" w:val="left" w:leader="none"/>
        </w:tabs>
        <w:spacing w:line="357" w:lineRule="auto" w:before="0" w:after="0"/>
        <w:ind w:left="1066" w:right="315" w:hanging="356"/>
        <w:jc w:val="left"/>
        <w:rPr>
          <w:sz w:val="20"/>
        </w:rPr>
      </w:pPr>
      <w:r>
        <w:rPr>
          <w:sz w:val="20"/>
        </w:rPr>
        <w:t>How could developments change potential macroeconomic and macrofinancial dynamics including disruptions to systemically important markets?</w:t>
      </w:r>
      <w:r>
        <w:rPr>
          <w:spacing w:val="-8"/>
          <w:sz w:val="20"/>
        </w:rPr>
        <w:t> </w:t>
      </w:r>
      <w:r>
        <w:rPr>
          <w:sz w:val="20"/>
        </w:rPr>
        <w:t>And</w:t>
      </w:r>
    </w:p>
    <w:p>
      <w:pPr>
        <w:pStyle w:val="BodyText"/>
        <w:spacing w:before="2"/>
        <w:rPr>
          <w:sz w:val="21"/>
        </w:rPr>
      </w:pPr>
    </w:p>
    <w:p>
      <w:pPr>
        <w:pStyle w:val="ListParagraph"/>
        <w:numPr>
          <w:ilvl w:val="0"/>
          <w:numId w:val="1"/>
        </w:numPr>
        <w:tabs>
          <w:tab w:pos="1065" w:val="left" w:leader="none"/>
          <w:tab w:pos="1067" w:val="left" w:leader="none"/>
        </w:tabs>
        <w:spacing w:line="360" w:lineRule="auto" w:before="1" w:after="0"/>
        <w:ind w:left="1066" w:right="366" w:hanging="356"/>
        <w:jc w:val="left"/>
        <w:rPr>
          <w:sz w:val="20"/>
        </w:rPr>
      </w:pPr>
      <w:r>
        <w:rPr>
          <w:sz w:val="20"/>
        </w:rPr>
        <w:t>What could be the implications for the level of cyber and operational risks faced by regulated</w:t>
      </w:r>
      <w:r>
        <w:rPr>
          <w:spacing w:val="-30"/>
          <w:sz w:val="20"/>
        </w:rPr>
        <w:t> </w:t>
      </w:r>
      <w:r>
        <w:rPr>
          <w:sz w:val="20"/>
        </w:rPr>
        <w:t>firms and the financial system as a</w:t>
      </w:r>
      <w:r>
        <w:rPr>
          <w:spacing w:val="-3"/>
          <w:sz w:val="20"/>
        </w:rPr>
        <w:t> </w:t>
      </w:r>
      <w:r>
        <w:rPr>
          <w:sz w:val="20"/>
        </w:rPr>
        <w:t>whole?</w:t>
      </w:r>
    </w:p>
    <w:p>
      <w:pPr>
        <w:pStyle w:val="BodyText"/>
        <w:spacing w:before="4"/>
        <w:rPr>
          <w:sz w:val="12"/>
        </w:rPr>
      </w:pPr>
      <w:r>
        <w:rPr/>
        <w:pict>
          <v:shape style="position:absolute;margin-left:56.664001pt;margin-top:9.312901pt;width:144.050pt;height:.1pt;mso-position-horizontal-relative:page;mso-position-vertical-relative:paragraph;z-index:-251653120;mso-wrap-distance-left:0;mso-wrap-distance-right:0" coordorigin="1133,186" coordsize="2881,0" path="m1133,186l4014,186e" filled="false" stroked="true" strokeweight=".47998pt" strokecolor="#000000">
            <v:path arrowok="t"/>
            <v:stroke dashstyle="solid"/>
            <w10:wrap type="topAndBottom"/>
          </v:shape>
        </w:pict>
      </w:r>
    </w:p>
    <w:p>
      <w:pPr>
        <w:spacing w:line="195" w:lineRule="exact" w:before="30"/>
        <w:ind w:left="353" w:right="0" w:firstLine="0"/>
        <w:jc w:val="left"/>
        <w:rPr>
          <w:sz w:val="16"/>
        </w:rPr>
      </w:pPr>
      <w:r>
        <w:rPr>
          <w:position w:val="8"/>
          <w:sz w:val="10"/>
        </w:rPr>
        <w:t>5 </w:t>
      </w:r>
      <w:r>
        <w:rPr>
          <w:sz w:val="16"/>
        </w:rPr>
        <w:t>For further details on the New Bank Start-Up Unit, see: </w:t>
      </w:r>
      <w:hyperlink r:id="rId13">
        <w:r>
          <w:rPr>
            <w:sz w:val="16"/>
          </w:rPr>
          <w:t>http://www.bankofengland.co.uk/pra/nbsu/Pages/default.aspx</w:t>
        </w:r>
      </w:hyperlink>
    </w:p>
    <w:p>
      <w:pPr>
        <w:spacing w:line="184" w:lineRule="exact" w:before="0"/>
        <w:ind w:left="353" w:right="0" w:firstLine="0"/>
        <w:jc w:val="left"/>
        <w:rPr>
          <w:sz w:val="16"/>
        </w:rPr>
      </w:pPr>
      <w:r>
        <w:rPr>
          <w:position w:val="8"/>
          <w:sz w:val="10"/>
        </w:rPr>
        <w:t>6 </w:t>
      </w:r>
      <w:r>
        <w:rPr>
          <w:sz w:val="16"/>
        </w:rPr>
        <w:t>For further detail on the work of our FinTech Accelerator see: </w:t>
      </w:r>
      <w:hyperlink r:id="rId14">
        <w:r>
          <w:rPr>
            <w:sz w:val="16"/>
          </w:rPr>
          <w:t>http://www.bankofengland.co.uk/Pages/fintech/default.aspx</w:t>
        </w:r>
      </w:hyperlink>
    </w:p>
    <w:p>
      <w:pPr>
        <w:spacing w:line="184" w:lineRule="exact" w:before="15"/>
        <w:ind w:left="353" w:right="0" w:firstLine="0"/>
        <w:jc w:val="left"/>
        <w:rPr>
          <w:sz w:val="16"/>
        </w:rPr>
      </w:pPr>
      <w:r>
        <w:rPr>
          <w:position w:val="8"/>
          <w:sz w:val="10"/>
        </w:rPr>
        <w:t>7 </w:t>
      </w:r>
      <w:r>
        <w:rPr>
          <w:sz w:val="16"/>
        </w:rPr>
        <w:t>Systemic risks associated with credit intermediation including maturity transformation, leverage and liquidity mismatch should be regulated consistently regardless of the delivery mechanism.</w:t>
      </w:r>
    </w:p>
    <w:p>
      <w:pPr>
        <w:spacing w:after="0" w:line="184" w:lineRule="exact"/>
        <w:jc w:val="left"/>
        <w:rPr>
          <w:sz w:val="16"/>
        </w:rPr>
        <w:sectPr>
          <w:footerReference w:type="default" r:id="rId12"/>
          <w:pgSz w:w="11910" w:h="16840"/>
          <w:pgMar w:footer="1338" w:header="0" w:top="1340" w:bottom="1520" w:left="780" w:right="1040"/>
        </w:sectPr>
      </w:pPr>
    </w:p>
    <w:p>
      <w:pPr>
        <w:pStyle w:val="BodyText"/>
        <w:spacing w:line="360" w:lineRule="auto" w:before="79"/>
        <w:ind w:left="353" w:right="212"/>
      </w:pPr>
      <w:r>
        <w:rPr/>
        <w:t>To illustrate some of the issues, consider how FinTech is affecting the financial services value chain (Figure 1).</w:t>
      </w:r>
    </w:p>
    <w:p>
      <w:pPr>
        <w:pStyle w:val="BodyText"/>
        <w:spacing w:before="6"/>
      </w:pPr>
    </w:p>
    <w:p>
      <w:pPr>
        <w:spacing w:before="0"/>
        <w:ind w:left="353" w:right="0" w:firstLine="0"/>
        <w:jc w:val="left"/>
        <w:rPr>
          <w:b/>
          <w:sz w:val="20"/>
        </w:rPr>
      </w:pPr>
      <w:r>
        <w:rPr>
          <w:b/>
          <w:sz w:val="20"/>
        </w:rPr>
        <w:t>Figure 1: Financial Services Value Chain</w:t>
      </w:r>
    </w:p>
    <w:p>
      <w:pPr>
        <w:pStyle w:val="BodyText"/>
        <w:rPr>
          <w:b/>
          <w:sz w:val="28"/>
        </w:rPr>
      </w:pPr>
      <w:r>
        <w:rPr/>
        <w:drawing>
          <wp:anchor distT="0" distB="0" distL="0" distR="0" allowOverlap="1" layoutInCell="1" locked="0" behindDoc="0" simplePos="0" relativeHeight="6">
            <wp:simplePos x="0" y="0"/>
            <wp:positionH relativeFrom="page">
              <wp:posOffset>720090</wp:posOffset>
            </wp:positionH>
            <wp:positionV relativeFrom="paragraph">
              <wp:posOffset>229678</wp:posOffset>
            </wp:positionV>
            <wp:extent cx="6044712" cy="3516439"/>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6044712" cy="3516439"/>
                    </a:xfrm>
                    <a:prstGeom prst="rect">
                      <a:avLst/>
                    </a:prstGeom>
                  </pic:spPr>
                </pic:pic>
              </a:graphicData>
            </a:graphic>
          </wp:anchor>
        </w:drawing>
      </w:r>
    </w:p>
    <w:p>
      <w:pPr>
        <w:pStyle w:val="BodyText"/>
        <w:spacing w:before="1"/>
        <w:rPr>
          <w:b/>
          <w:sz w:val="24"/>
        </w:rPr>
      </w:pPr>
    </w:p>
    <w:p>
      <w:pPr>
        <w:pStyle w:val="BodyText"/>
        <w:spacing w:line="360" w:lineRule="auto"/>
        <w:ind w:left="353" w:right="167"/>
      </w:pPr>
      <w:r>
        <w:rPr/>
        <w:t>At present, the most significant changes are taking place at the front-end, where innovative payment service providers (PSPs) are providing new user interfaces for domestic retail and cross-border payment services through digital wallets or pre-funded eMoney.</w:t>
      </w:r>
      <w:r>
        <w:rPr>
          <w:vertAlign w:val="superscript"/>
        </w:rPr>
        <w:t>8</w:t>
      </w:r>
    </w:p>
    <w:p>
      <w:pPr>
        <w:pStyle w:val="BodyText"/>
        <w:spacing w:before="10"/>
      </w:pPr>
    </w:p>
    <w:p>
      <w:pPr>
        <w:pStyle w:val="BodyText"/>
        <w:spacing w:line="360" w:lineRule="auto"/>
        <w:ind w:left="353"/>
      </w:pPr>
      <w:r>
        <w:rPr/>
        <w:t>Other aspects of the customer relationships are being opened up. For example, aggregators are providing customers with ready access to price comparison and switching services. This will increase further when aggregators gain access to banks’ Application Programme Interfaces (APIs).</w:t>
      </w:r>
      <w:r>
        <w:rPr>
          <w:vertAlign w:val="superscript"/>
        </w:rPr>
        <w:t>9</w:t>
      </w:r>
    </w:p>
    <w:p>
      <w:pPr>
        <w:pStyle w:val="BodyText"/>
        <w:spacing w:before="9"/>
      </w:pPr>
    </w:p>
    <w:p>
      <w:pPr>
        <w:pStyle w:val="BodyText"/>
        <w:spacing w:line="360" w:lineRule="auto"/>
        <w:ind w:left="353" w:right="111"/>
      </w:pPr>
      <w:r>
        <w:rPr/>
        <w:t>These new entrants are capturing potentially invaluable customer data which can be used to target non-bank products and services.</w:t>
      </w:r>
      <w:r>
        <w:rPr>
          <w:vertAlign w:val="superscript"/>
        </w:rPr>
        <w:t>10</w:t>
      </w:r>
    </w:p>
    <w:p>
      <w:pPr>
        <w:pStyle w:val="BodyText"/>
        <w:rPr>
          <w:sz w:val="21"/>
        </w:rPr>
      </w:pPr>
    </w:p>
    <w:p>
      <w:pPr>
        <w:pStyle w:val="BodyText"/>
        <w:spacing w:line="357" w:lineRule="auto"/>
        <w:ind w:left="353" w:right="512"/>
      </w:pPr>
      <w:r>
        <w:rPr/>
        <w:pict>
          <v:shape style="position:absolute;margin-left:56.664001pt;margin-top:39.019901pt;width:144.050pt;height:.1pt;mso-position-horizontal-relative:page;mso-position-vertical-relative:paragraph;z-index:-251651072;mso-wrap-distance-left:0;mso-wrap-distance-right:0" coordorigin="1133,780" coordsize="2881,0" path="m1133,780l4014,780e" filled="false" stroked="true" strokeweight=".47998pt" strokecolor="#000000">
            <v:path arrowok="t"/>
            <v:stroke dashstyle="solid"/>
            <w10:wrap type="topAndBottom"/>
          </v:shape>
        </w:pict>
      </w:r>
      <w:r>
        <w:rPr/>
        <w:t>In their current form, these innovations are simply a new front-end to the banking system where FinTech providers take a slice of customer revenue and loyalty but none of the associated risks.</w:t>
      </w:r>
    </w:p>
    <w:p>
      <w:pPr>
        <w:spacing w:before="30"/>
        <w:ind w:left="353" w:right="218" w:firstLine="0"/>
        <w:jc w:val="left"/>
        <w:rPr>
          <w:sz w:val="16"/>
        </w:rPr>
      </w:pPr>
      <w:r>
        <w:rPr>
          <w:position w:val="8"/>
          <w:sz w:val="10"/>
        </w:rPr>
        <w:t>8 </w:t>
      </w:r>
      <w:r>
        <w:rPr>
          <w:sz w:val="16"/>
        </w:rPr>
        <w:t>For example, more than 80% of incumbent financial institutions thought their customers were already using FinTech companies to make payments whilst nearly 70% thought they were doing the same for fund transfer and around 60% for personal finance. Only 50% thought their customers were doing so for traditional deposits and savings. See PWC “Global FinTech Report” (2017).</w:t>
      </w:r>
    </w:p>
    <w:p>
      <w:pPr>
        <w:spacing w:line="182" w:lineRule="exact" w:before="5"/>
        <w:ind w:left="353" w:right="0" w:firstLine="0"/>
        <w:jc w:val="left"/>
        <w:rPr>
          <w:sz w:val="16"/>
        </w:rPr>
      </w:pPr>
      <w:r>
        <w:rPr>
          <w:position w:val="8"/>
          <w:sz w:val="10"/>
        </w:rPr>
        <w:t>9 </w:t>
      </w:r>
      <w:r>
        <w:rPr>
          <w:sz w:val="16"/>
        </w:rPr>
        <w:t>The second Payment Services Directive (PSD2) will allow, conditional FCA authorisation and customer authority, non-banks to access customers’ bank account data. In the UK, the Competition and Markets Authority has required that the UK’s nine largest banks adopt</w:t>
      </w:r>
    </w:p>
    <w:p>
      <w:pPr>
        <w:spacing w:line="171" w:lineRule="exact" w:before="0"/>
        <w:ind w:left="353" w:right="0" w:firstLine="0"/>
        <w:jc w:val="left"/>
        <w:rPr>
          <w:sz w:val="16"/>
        </w:rPr>
      </w:pPr>
      <w:r>
        <w:rPr>
          <w:sz w:val="16"/>
        </w:rPr>
        <w:t>an open banking standard for APIs by early 2018.</w:t>
      </w:r>
    </w:p>
    <w:p>
      <w:pPr>
        <w:spacing w:line="182" w:lineRule="exact" w:before="16"/>
        <w:ind w:left="353" w:right="559" w:firstLine="0"/>
        <w:jc w:val="left"/>
        <w:rPr>
          <w:sz w:val="16"/>
        </w:rPr>
      </w:pPr>
      <w:r>
        <w:rPr>
          <w:position w:val="8"/>
          <w:sz w:val="10"/>
        </w:rPr>
        <w:t>10 </w:t>
      </w:r>
      <w:r>
        <w:rPr>
          <w:sz w:val="16"/>
        </w:rPr>
        <w:t>For an overview of the changes occurring further along the value chain see: “The promise of FinTech: something new under the sun?”, a speech given by Mark Carney on 25 January 2017, at the Deutsche Bundesbank G20 conference on “Digitising finance,</w:t>
      </w:r>
    </w:p>
    <w:p>
      <w:pPr>
        <w:spacing w:before="0"/>
        <w:ind w:left="353" w:right="4237" w:firstLine="0"/>
        <w:jc w:val="left"/>
        <w:rPr>
          <w:sz w:val="16"/>
        </w:rPr>
      </w:pPr>
      <w:r>
        <w:rPr>
          <w:sz w:val="16"/>
        </w:rPr>
        <w:t>financial inclusion and financial literacy”, Wiesbaden. Available at: </w:t>
      </w:r>
      <w:hyperlink r:id="rId17">
        <w:r>
          <w:rPr>
            <w:sz w:val="16"/>
          </w:rPr>
          <w:t>http://www.bankofengland.co.uk/publications/Pages/speeches/2017/956.aspx</w:t>
        </w:r>
      </w:hyperlink>
    </w:p>
    <w:p>
      <w:pPr>
        <w:spacing w:after="0"/>
        <w:jc w:val="left"/>
        <w:rPr>
          <w:sz w:val="16"/>
        </w:rPr>
        <w:sectPr>
          <w:footerReference w:type="default" r:id="rId15"/>
          <w:pgSz w:w="11910" w:h="16840"/>
          <w:pgMar w:footer="1338" w:header="0" w:top="1340" w:bottom="1520" w:left="780" w:right="1040"/>
        </w:sectPr>
      </w:pPr>
    </w:p>
    <w:p>
      <w:pPr>
        <w:pStyle w:val="BodyText"/>
        <w:spacing w:line="360" w:lineRule="auto" w:before="79"/>
        <w:ind w:left="353"/>
      </w:pPr>
      <w:r>
        <w:rPr/>
        <w:t>They have generally avoided undertaking traditional banking activities. So for now, absent a substantive change in business models or scale of activities, the FPC is unlikely to want to bring these firms into the regulatory perimeter.</w:t>
      </w:r>
      <w:r>
        <w:rPr>
          <w:vertAlign w:val="superscript"/>
        </w:rPr>
        <w:t>11</w:t>
      </w:r>
    </w:p>
    <w:p>
      <w:pPr>
        <w:pStyle w:val="BodyText"/>
        <w:spacing w:before="9"/>
      </w:pPr>
    </w:p>
    <w:p>
      <w:pPr>
        <w:pStyle w:val="BodyText"/>
        <w:spacing w:line="360" w:lineRule="auto"/>
        <w:ind w:left="353" w:right="133"/>
      </w:pPr>
      <w:r>
        <w:rPr/>
        <w:t>The changes to customer relationships resulting from FinTech competition could, however, reduce customer loyalty and the stability of funding of incumbent banks. If this happens, the Bank of England would need to ensure prudential standards and resolution regimes for the affected banks are sufficiently robust to these risks.</w:t>
      </w:r>
    </w:p>
    <w:p>
      <w:pPr>
        <w:pStyle w:val="BodyText"/>
        <w:spacing w:before="8"/>
      </w:pPr>
    </w:p>
    <w:p>
      <w:pPr>
        <w:pStyle w:val="Heading2"/>
      </w:pPr>
      <w:r>
        <w:rPr/>
        <w:t>Figure 2: Financial Services Value Chain and Our Infrastructure</w:t>
      </w:r>
    </w:p>
    <w:p>
      <w:pPr>
        <w:pStyle w:val="BodyText"/>
        <w:spacing w:before="11"/>
        <w:rPr>
          <w:b/>
          <w:sz w:val="27"/>
        </w:rPr>
      </w:pPr>
      <w:r>
        <w:rPr/>
        <w:drawing>
          <wp:anchor distT="0" distB="0" distL="0" distR="0" allowOverlap="1" layoutInCell="1" locked="0" behindDoc="0" simplePos="0" relativeHeight="8">
            <wp:simplePos x="0" y="0"/>
            <wp:positionH relativeFrom="page">
              <wp:posOffset>720090</wp:posOffset>
            </wp:positionH>
            <wp:positionV relativeFrom="paragraph">
              <wp:posOffset>229148</wp:posOffset>
            </wp:positionV>
            <wp:extent cx="5951621" cy="344833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5951621" cy="3448335"/>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17"/>
        </w:rPr>
      </w:pPr>
      <w:r>
        <w:rPr/>
        <w:pict>
          <v:shape style="position:absolute;margin-left:56.664001pt;margin-top:12.124111pt;width:144.050pt;height:.1pt;mso-position-horizontal-relative:page;mso-position-vertical-relative:paragraph;z-index:-251649024;mso-wrap-distance-left:0;mso-wrap-distance-right:0" coordorigin="1133,242" coordsize="2881,0" path="m1133,242l4014,242e" filled="false" stroked="true" strokeweight=".47998pt" strokecolor="#000000">
            <v:path arrowok="t"/>
            <v:stroke dashstyle="solid"/>
            <w10:wrap type="topAndBottom"/>
          </v:shape>
        </w:pict>
      </w:r>
    </w:p>
    <w:p>
      <w:pPr>
        <w:spacing w:before="30"/>
        <w:ind w:left="353" w:right="0" w:firstLine="0"/>
        <w:jc w:val="left"/>
        <w:rPr>
          <w:sz w:val="16"/>
        </w:rPr>
      </w:pPr>
      <w:r>
        <w:rPr>
          <w:position w:val="8"/>
          <w:sz w:val="10"/>
        </w:rPr>
        <w:t>11 </w:t>
      </w:r>
      <w:r>
        <w:rPr>
          <w:sz w:val="16"/>
        </w:rPr>
        <w:t>Were any FinTech providers to become systemic in their own right, they could be brought into the regulatory perimeter; this could be under the existing statutory framework for designating systemic financial market infrastructure (FMIs), for example.</w:t>
      </w:r>
    </w:p>
    <w:p>
      <w:pPr>
        <w:spacing w:after="0"/>
        <w:jc w:val="left"/>
        <w:rPr>
          <w:sz w:val="16"/>
        </w:rPr>
        <w:sectPr>
          <w:footerReference w:type="default" r:id="rId18"/>
          <w:pgSz w:w="11910" w:h="16840"/>
          <w:pgMar w:footer="1338" w:header="0" w:top="1340" w:bottom="1520" w:left="780" w:right="1040"/>
        </w:sectPr>
      </w:pPr>
    </w:p>
    <w:p>
      <w:pPr>
        <w:pStyle w:val="Heading3"/>
        <w:spacing w:before="79"/>
        <w:rPr>
          <w:i/>
        </w:rPr>
      </w:pPr>
      <w:r>
        <w:rPr>
          <w:i/>
        </w:rPr>
        <w:t>The Right Hard Infrastructure</w:t>
      </w:r>
    </w:p>
    <w:p>
      <w:pPr>
        <w:pStyle w:val="BodyText"/>
        <w:spacing w:before="10"/>
        <w:rPr>
          <w:b/>
          <w:i/>
          <w:sz w:val="30"/>
        </w:rPr>
      </w:pPr>
    </w:p>
    <w:p>
      <w:pPr>
        <w:pStyle w:val="BodyText"/>
        <w:spacing w:line="357" w:lineRule="auto" w:before="1"/>
        <w:ind w:left="353" w:right="100"/>
      </w:pPr>
      <w:r>
        <w:rPr/>
        <w:t>A second, related example is how the Bank is working to develop the financial system’s hard infrastructure to allow innovation to thrive while keeping the system safe.</w:t>
      </w:r>
    </w:p>
    <w:p>
      <w:pPr>
        <w:pStyle w:val="BodyText"/>
        <w:spacing w:before="1"/>
        <w:rPr>
          <w:sz w:val="21"/>
        </w:rPr>
      </w:pPr>
    </w:p>
    <w:p>
      <w:pPr>
        <w:pStyle w:val="BodyText"/>
        <w:spacing w:line="360" w:lineRule="auto" w:before="1"/>
        <w:ind w:left="353"/>
      </w:pPr>
      <w:r>
        <w:rPr/>
        <w:t>Specifically, the Bank is widening access to some of its systems to include PSPs in order to boost both competition and system resilience.</w:t>
      </w:r>
    </w:p>
    <w:p>
      <w:pPr>
        <w:pStyle w:val="BodyText"/>
        <w:spacing w:before="11"/>
      </w:pPr>
    </w:p>
    <w:p>
      <w:pPr>
        <w:pStyle w:val="BodyText"/>
        <w:spacing w:line="360" w:lineRule="auto"/>
        <w:ind w:left="353" w:right="167"/>
      </w:pPr>
      <w:r>
        <w:rPr/>
        <w:t>The UK has led the world in innovation in the wider payments ecosystem. And we are committed to keeping pace with customer demands for payments that are seamless, reliable, cheap, and ubiquitous. Our challenge is how to satisfy these expectations while maintaining a resilient payment systems infrastructure.</w:t>
      </w:r>
    </w:p>
    <w:p>
      <w:pPr>
        <w:pStyle w:val="BodyText"/>
        <w:spacing w:before="9"/>
      </w:pPr>
    </w:p>
    <w:p>
      <w:pPr>
        <w:pStyle w:val="BodyText"/>
        <w:spacing w:line="362" w:lineRule="auto"/>
        <w:ind w:left="353" w:right="356"/>
      </w:pPr>
      <w:r>
        <w:rPr/>
        <w:t>That’s important because the Bank operates the UK’s high-value payment system ’RTGS’ which each day processes £1/2 trillion of payments on behalf of everyone from homeowners to global banks.</w:t>
      </w:r>
    </w:p>
    <w:p>
      <w:pPr>
        <w:pStyle w:val="BodyText"/>
        <w:spacing w:line="360" w:lineRule="auto"/>
        <w:ind w:left="353" w:right="979"/>
      </w:pPr>
      <w:r>
        <w:rPr/>
        <w:t>Understandably, we have an extremely low tolerance for any</w:t>
      </w:r>
      <w:r>
        <w:rPr>
          <w:spacing w:val="-41"/>
        </w:rPr>
        <w:t> </w:t>
      </w:r>
      <w:r>
        <w:rPr/>
        <w:t>threat to the integrity of the system’s “plumbing”.</w:t>
      </w:r>
    </w:p>
    <w:p>
      <w:pPr>
        <w:pStyle w:val="BodyText"/>
        <w:spacing w:before="6"/>
      </w:pPr>
    </w:p>
    <w:p>
      <w:pPr>
        <w:pStyle w:val="BodyText"/>
        <w:spacing w:line="360" w:lineRule="auto"/>
        <w:ind w:left="353" w:right="414"/>
      </w:pPr>
      <w:r>
        <w:rPr/>
        <w:t>Currently, only 52 institutions have settlement accounts in RTGS. Indirect users of the system typically access settlement via one of four agent banks. These indirect users include 1000 non-bank PSPs at the front-end of the financial services value chain. As they grow, some PSPs want to reduce their reliance on the systems, service levels, risk appetite and frankly goodwill of the very banks with whom they are competing.</w:t>
      </w:r>
    </w:p>
    <w:p>
      <w:pPr>
        <w:pStyle w:val="BodyText"/>
        <w:rPr>
          <w:sz w:val="21"/>
        </w:rPr>
      </w:pPr>
    </w:p>
    <w:p>
      <w:pPr>
        <w:pStyle w:val="BodyText"/>
        <w:spacing w:line="360" w:lineRule="auto"/>
        <w:ind w:left="353" w:right="360"/>
        <w:jc w:val="both"/>
      </w:pPr>
      <w:r>
        <w:rPr/>
        <w:t>The Bank has decided to widen access to RTGS to include non-bank PSPs in order to help them compete on a level playing field with banks.</w:t>
      </w:r>
      <w:r>
        <w:rPr>
          <w:vertAlign w:val="superscript"/>
        </w:rPr>
        <w:t>12</w:t>
      </w:r>
      <w:r>
        <w:rPr>
          <w:vertAlign w:val="baseline"/>
        </w:rPr>
        <w:t> The Bank of England is now working with the FCA and HMT to make this a reality, and we will issue our new blueprint for RTGS in early May.</w:t>
      </w:r>
    </w:p>
    <w:p>
      <w:pPr>
        <w:pStyle w:val="BodyText"/>
        <w:spacing w:before="9"/>
      </w:pPr>
    </w:p>
    <w:p>
      <w:pPr>
        <w:pStyle w:val="Heading3"/>
        <w:spacing w:before="1"/>
        <w:jc w:val="both"/>
        <w:rPr>
          <w:i/>
        </w:rPr>
      </w:pPr>
      <w:r>
        <w:rPr>
          <w:i/>
        </w:rPr>
        <w:t>Coordinated Developments in Hard and Soft Infrastructure</w:t>
      </w:r>
    </w:p>
    <w:p>
      <w:pPr>
        <w:pStyle w:val="BodyText"/>
        <w:spacing w:before="8"/>
        <w:rPr>
          <w:b/>
          <w:i/>
          <w:sz w:val="30"/>
        </w:rPr>
      </w:pPr>
    </w:p>
    <w:p>
      <w:pPr>
        <w:pStyle w:val="BodyText"/>
        <w:spacing w:line="360" w:lineRule="auto"/>
        <w:ind w:left="353" w:right="969"/>
      </w:pPr>
      <w:r>
        <w:rPr/>
        <w:t>My third example of the Bank’s efforts to realise FinTech’s promise is our work with industry to help coordinate advances in hard and soft infrastructure.</w:t>
      </w:r>
    </w:p>
    <w:p>
      <w:pPr>
        <w:pStyle w:val="BodyText"/>
        <w:spacing w:before="11"/>
      </w:pPr>
    </w:p>
    <w:p>
      <w:pPr>
        <w:pStyle w:val="BodyText"/>
        <w:spacing w:line="360" w:lineRule="auto"/>
        <w:ind w:left="353" w:right="437"/>
        <w:jc w:val="both"/>
      </w:pPr>
      <w:r>
        <w:rPr/>
        <w:t>New technologies could transform wholesale payments, clearing and settlement. In particular, distributed ledger technology could yield significant gains in the accuracy, efficiency and security of such processes, saving tens of billions of pounds of bank capital and significantly improving the resilience of the system.</w:t>
      </w:r>
      <w:r>
        <w:rPr>
          <w:vertAlign w:val="superscript"/>
        </w:rPr>
        <w:t>13</w:t>
      </w:r>
    </w:p>
    <w:p>
      <w:pPr>
        <w:pStyle w:val="BodyText"/>
        <w:spacing w:before="9"/>
      </w:pPr>
    </w:p>
    <w:p>
      <w:pPr>
        <w:pStyle w:val="BodyText"/>
        <w:spacing w:line="360" w:lineRule="auto" w:before="1"/>
        <w:ind w:left="353"/>
      </w:pPr>
      <w:r>
        <w:rPr/>
        <w:pict>
          <v:shape style="position:absolute;margin-left:56.664001pt;margin-top:58.659889pt;width:144.050pt;height:.1pt;mso-position-horizontal-relative:page;mso-position-vertical-relative:paragraph;z-index:-251648000;mso-wrap-distance-left:0;mso-wrap-distance-right:0" coordorigin="1133,1173" coordsize="2881,0" path="m1133,1173l4014,1173e" filled="false" stroked="true" strokeweight=".47998pt" strokecolor="#000000">
            <v:path arrowok="t"/>
            <v:stroke dashstyle="solid"/>
            <w10:wrap type="topAndBottom"/>
          </v:shape>
        </w:pict>
      </w:r>
      <w:r>
        <w:rPr/>
        <w:t>Securities settlement seems particularly ripe for innovation. A typical settlement chain involves many intermediaries, making it comparatively slow and keeping operational risks high. Industry has begun to work together to determine how distributed ledger technologies could be used to solve these issues at scale.</w:t>
      </w:r>
    </w:p>
    <w:p>
      <w:pPr>
        <w:spacing w:before="30"/>
        <w:ind w:left="353" w:right="710" w:firstLine="0"/>
        <w:jc w:val="left"/>
        <w:rPr>
          <w:sz w:val="16"/>
        </w:rPr>
      </w:pPr>
      <w:r>
        <w:rPr>
          <w:position w:val="8"/>
          <w:sz w:val="10"/>
        </w:rPr>
        <w:t>12 </w:t>
      </w:r>
      <w:r>
        <w:rPr>
          <w:sz w:val="16"/>
        </w:rPr>
        <w:t>See “Enabling the FinTech Transformation”, the speech Mark Carney intended to deliver at Mansion House on 16 June 2016. Available at: </w:t>
      </w:r>
      <w:hyperlink r:id="rId21">
        <w:r>
          <w:rPr>
            <w:sz w:val="16"/>
          </w:rPr>
          <w:t>http://www.bankofengland.co.uk/publications/Pages/speeches/2016/914.aspx.</w:t>
        </w:r>
      </w:hyperlink>
    </w:p>
    <w:p>
      <w:pPr>
        <w:spacing w:line="184" w:lineRule="exact" w:before="2"/>
        <w:ind w:left="353" w:right="455" w:firstLine="0"/>
        <w:jc w:val="left"/>
        <w:rPr>
          <w:sz w:val="16"/>
        </w:rPr>
      </w:pPr>
      <w:r>
        <w:rPr>
          <w:position w:val="8"/>
          <w:sz w:val="10"/>
        </w:rPr>
        <w:t>13 </w:t>
      </w:r>
      <w:r>
        <w:rPr>
          <w:sz w:val="16"/>
        </w:rPr>
        <w:t>Oliver Wyman and Santander estimated that distributed ledger technology could reduce banks’ infrastructure costs attributable to cross-border payments, securities trading and regulatory compliance by $15-20bn per annum by 2022. See: https://santanderinnoventures.com/fintech2/</w:t>
      </w:r>
    </w:p>
    <w:p>
      <w:pPr>
        <w:spacing w:after="0" w:line="184" w:lineRule="exact"/>
        <w:jc w:val="left"/>
        <w:rPr>
          <w:sz w:val="16"/>
        </w:rPr>
        <w:sectPr>
          <w:footerReference w:type="default" r:id="rId20"/>
          <w:pgSz w:w="11910" w:h="16840"/>
          <w:pgMar w:footer="1338" w:header="0" w:top="1340" w:bottom="1520" w:left="780" w:right="1040"/>
          <w:pgNumType w:start="7"/>
        </w:sectPr>
      </w:pPr>
    </w:p>
    <w:p>
      <w:pPr>
        <w:pStyle w:val="BodyText"/>
        <w:spacing w:line="360" w:lineRule="auto" w:before="79"/>
        <w:ind w:left="353" w:right="255"/>
      </w:pPr>
      <w:r>
        <w:rPr/>
        <w:t>The Bank is participating in several related initiatives. To help distinguish distributed ledger’s potential from its hype, we have completed our own Proof of Concept. We are a member of Hyperledger along with private market participants and tech firms.</w:t>
      </w:r>
      <w:r>
        <w:rPr>
          <w:vertAlign w:val="superscript"/>
        </w:rPr>
        <w:t>14</w:t>
      </w:r>
      <w:r>
        <w:rPr>
          <w:vertAlign w:val="baseline"/>
        </w:rPr>
        <w:t> And we will make our next generation RTGS compatible with settlement in a distributed ledger.</w:t>
      </w:r>
    </w:p>
    <w:p>
      <w:pPr>
        <w:pStyle w:val="BodyText"/>
        <w:spacing w:before="10"/>
      </w:pPr>
    </w:p>
    <w:p>
      <w:pPr>
        <w:pStyle w:val="BodyText"/>
        <w:spacing w:line="360" w:lineRule="auto"/>
        <w:ind w:left="353" w:right="245"/>
      </w:pPr>
      <w:r>
        <w:rPr/>
        <w:t>It is not clear, however, that that the only challenges are technological. Indeed, the FCA highlighted earlier this week that settlement times could also be cut using existing technologies.</w:t>
      </w:r>
      <w:r>
        <w:rPr>
          <w:vertAlign w:val="superscript"/>
        </w:rPr>
        <w:t>15</w:t>
      </w:r>
      <w:r>
        <w:rPr>
          <w:vertAlign w:val="baseline"/>
        </w:rPr>
        <w:t> This requires market participants to change their collective practices as it takes more than one intermediary in a chain to compress settlement times.</w:t>
      </w:r>
    </w:p>
    <w:p>
      <w:pPr>
        <w:pStyle w:val="BodyText"/>
        <w:spacing w:before="10"/>
      </w:pPr>
    </w:p>
    <w:p>
      <w:pPr>
        <w:pStyle w:val="Heading3"/>
        <w:rPr>
          <w:i/>
        </w:rPr>
      </w:pPr>
      <w:r>
        <w:rPr>
          <w:i/>
        </w:rPr>
        <w:t>Conclusion</w:t>
      </w:r>
    </w:p>
    <w:p>
      <w:pPr>
        <w:pStyle w:val="BodyText"/>
        <w:spacing w:before="11"/>
        <w:rPr>
          <w:b/>
          <w:i/>
          <w:sz w:val="30"/>
        </w:rPr>
      </w:pPr>
    </w:p>
    <w:p>
      <w:pPr>
        <w:pStyle w:val="BodyText"/>
        <w:spacing w:line="357" w:lineRule="auto"/>
        <w:ind w:left="353" w:right="178"/>
      </w:pPr>
      <w:r>
        <w:rPr/>
        <w:t>FinTech’s promise springs from its potential to unbundle banking into its core functions of settling payments, performing maturity transformation, sharing risk and allocating capital.</w:t>
      </w:r>
    </w:p>
    <w:p>
      <w:pPr>
        <w:pStyle w:val="BodyText"/>
        <w:spacing w:before="2"/>
        <w:rPr>
          <w:sz w:val="21"/>
        </w:rPr>
      </w:pPr>
    </w:p>
    <w:p>
      <w:pPr>
        <w:pStyle w:val="BodyText"/>
        <w:spacing w:line="360" w:lineRule="auto"/>
        <w:ind w:left="353" w:right="133"/>
      </w:pPr>
      <w:r>
        <w:rPr/>
        <w:t>This possibility is being realised by new entrants – payment service providers, aggregators and robo advisors, peer-to-peer lenders, and innovative trading platforms. And it is being influenced by incumbents who are adopting new technologies to reinforce the economies of scale and scope of their business models.</w:t>
      </w:r>
    </w:p>
    <w:p>
      <w:pPr>
        <w:pStyle w:val="BodyText"/>
        <w:spacing w:before="10"/>
      </w:pPr>
    </w:p>
    <w:p>
      <w:pPr>
        <w:pStyle w:val="BodyText"/>
        <w:spacing w:line="360" w:lineRule="auto"/>
        <w:ind w:left="353" w:right="278"/>
      </w:pPr>
      <w:r>
        <w:rPr/>
        <w:t>FinTech could deliver significant benefits to households and businesses across this country and across the world. FinTech can widen access to financial services and bring new sources of credit. It can connect customers better with their finances and empower them more in the process. And new technologies can deliver faster service, greater choice and keener pricing.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2"/>
        </w:rPr>
      </w:pPr>
      <w:r>
        <w:rPr/>
        <w:pict>
          <v:shape style="position:absolute;margin-left:56.664001pt;margin-top:15.166797pt;width:144.050pt;height:.1pt;mso-position-horizontal-relative:page;mso-position-vertical-relative:paragraph;z-index:-251646976;mso-wrap-distance-left:0;mso-wrap-distance-right:0" coordorigin="1133,303" coordsize="2881,0" path="m1133,303l4014,303e" filled="false" stroked="true" strokeweight=".47998pt" strokecolor="#000000">
            <v:path arrowok="t"/>
            <v:stroke dashstyle="solid"/>
            <w10:wrap type="topAndBottom"/>
          </v:shape>
        </w:pict>
      </w:r>
    </w:p>
    <w:p>
      <w:pPr>
        <w:spacing w:before="30"/>
        <w:ind w:left="353" w:right="325" w:firstLine="0"/>
        <w:jc w:val="left"/>
        <w:rPr>
          <w:sz w:val="16"/>
        </w:rPr>
      </w:pPr>
      <w:r>
        <w:rPr>
          <w:position w:val="8"/>
          <w:sz w:val="10"/>
        </w:rPr>
        <w:t>14 </w:t>
      </w:r>
      <w:r>
        <w:rPr>
          <w:sz w:val="16"/>
        </w:rPr>
        <w:t>Hyperledger is an open source collaborative effort intended to advance cross-industry blockchain technologies. It is a global collaboration which includes leaders in finance, banking, IoT, supply chain, manufacturing and technology. For more information see: https://</w:t>
      </w:r>
      <w:hyperlink r:id="rId23">
        <w:r>
          <w:rPr>
            <w:sz w:val="16"/>
          </w:rPr>
          <w:t>www.hyperledger.org/</w:t>
        </w:r>
      </w:hyperlink>
    </w:p>
    <w:p>
      <w:pPr>
        <w:spacing w:line="184" w:lineRule="exact" w:before="2"/>
        <w:ind w:left="353" w:right="738" w:firstLine="0"/>
        <w:jc w:val="left"/>
        <w:rPr>
          <w:sz w:val="16"/>
        </w:rPr>
      </w:pPr>
      <w:r>
        <w:rPr>
          <w:position w:val="8"/>
          <w:sz w:val="10"/>
        </w:rPr>
        <w:t>15 </w:t>
      </w:r>
      <w:r>
        <w:rPr>
          <w:sz w:val="16"/>
        </w:rPr>
        <w:t>See FCA Discussion Paper on Distributed Ledger Technology (April 2017) at: https://</w:t>
      </w:r>
      <w:hyperlink r:id="rId24">
        <w:r>
          <w:rPr>
            <w:sz w:val="16"/>
          </w:rPr>
          <w:t>www.fca.org.uk/publications/discussion-</w:t>
        </w:r>
      </w:hyperlink>
      <w:r>
        <w:rPr>
          <w:sz w:val="16"/>
        </w:rPr>
        <w:t> papers/dp17-3-discussion-paper-distributed-ledger-technology</w:t>
      </w:r>
    </w:p>
    <w:p>
      <w:pPr>
        <w:spacing w:after="0" w:line="184" w:lineRule="exact"/>
        <w:jc w:val="left"/>
        <w:rPr>
          <w:sz w:val="16"/>
        </w:rPr>
        <w:sectPr>
          <w:footerReference w:type="default" r:id="rId22"/>
          <w:pgSz w:w="11910" w:h="16840"/>
          <w:pgMar w:footer="1338" w:header="0" w:top="1340" w:bottom="1520" w:left="780" w:right="1040"/>
          <w:pgNumType w:start="8"/>
        </w:sectPr>
      </w:pPr>
    </w:p>
    <w:p>
      <w:pPr>
        <w:pStyle w:val="Heading2"/>
        <w:spacing w:before="76"/>
      </w:pPr>
      <w:r>
        <w:rPr/>
        <w:t>Figure 3: The Promise of FinTech</w:t>
      </w:r>
    </w:p>
    <w:p>
      <w:pPr>
        <w:pStyle w:val="BodyText"/>
        <w:rPr>
          <w:b/>
          <w:sz w:val="28"/>
        </w:rPr>
      </w:pPr>
      <w:r>
        <w:rPr/>
        <w:drawing>
          <wp:anchor distT="0" distB="0" distL="0" distR="0" allowOverlap="1" layoutInCell="1" locked="0" behindDoc="0" simplePos="0" relativeHeight="12">
            <wp:simplePos x="0" y="0"/>
            <wp:positionH relativeFrom="page">
              <wp:posOffset>720090</wp:posOffset>
            </wp:positionH>
            <wp:positionV relativeFrom="paragraph">
              <wp:posOffset>229374</wp:posOffset>
            </wp:positionV>
            <wp:extent cx="5971384" cy="3206115"/>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25" cstate="print"/>
                    <a:stretch>
                      <a:fillRect/>
                    </a:stretch>
                  </pic:blipFill>
                  <pic:spPr>
                    <a:xfrm>
                      <a:off x="0" y="0"/>
                      <a:ext cx="5971384" cy="3206115"/>
                    </a:xfrm>
                    <a:prstGeom prst="rect">
                      <a:avLst/>
                    </a:prstGeom>
                  </pic:spPr>
                </pic:pic>
              </a:graphicData>
            </a:graphic>
          </wp:anchor>
        </w:drawing>
      </w:r>
    </w:p>
    <w:p>
      <w:pPr>
        <w:pStyle w:val="BodyText"/>
        <w:spacing w:before="8"/>
        <w:rPr>
          <w:b/>
          <w:sz w:val="24"/>
        </w:rPr>
      </w:pPr>
    </w:p>
    <w:p>
      <w:pPr>
        <w:pStyle w:val="BodyText"/>
        <w:spacing w:line="360" w:lineRule="auto"/>
        <w:ind w:left="353" w:right="412"/>
      </w:pPr>
      <w:r>
        <w:rPr/>
        <w:t>As it does, risks will evolve. Changes to customer loyalties could influence the stability of bank funding. New underwriting models could impact credit quality and even macroeconomic dynamics. New investing and risk management paradigms could affect market functioning.</w:t>
      </w:r>
    </w:p>
    <w:p>
      <w:pPr>
        <w:pStyle w:val="BodyText"/>
        <w:spacing w:before="9"/>
      </w:pPr>
    </w:p>
    <w:p>
      <w:pPr>
        <w:pStyle w:val="BodyText"/>
        <w:spacing w:line="360" w:lineRule="auto"/>
        <w:ind w:left="353" w:right="245"/>
      </w:pPr>
      <w:r>
        <w:rPr/>
        <w:t>At the same time, the resilience of the system could also be built, through greater diversity in provision of financial services as well as increased redundancy. A host of applications could reduce costs, improve capital efficiency and strengthen operational resilience.</w:t>
      </w:r>
    </w:p>
    <w:p>
      <w:pPr>
        <w:pStyle w:val="BodyText"/>
        <w:spacing w:before="1"/>
        <w:rPr>
          <w:sz w:val="21"/>
        </w:rPr>
      </w:pPr>
    </w:p>
    <w:p>
      <w:pPr>
        <w:pStyle w:val="BodyText"/>
        <w:spacing w:line="357" w:lineRule="auto"/>
        <w:ind w:left="353"/>
      </w:pPr>
      <w:r>
        <w:rPr/>
        <w:t>The challenge for policymakers is to ensure that FinTech develops in a way that maximises the opportunities and minimises the risks for society.</w:t>
      </w:r>
    </w:p>
    <w:p>
      <w:pPr>
        <w:pStyle w:val="BodyText"/>
        <w:spacing w:before="2"/>
        <w:rPr>
          <w:sz w:val="21"/>
        </w:rPr>
      </w:pPr>
    </w:p>
    <w:p>
      <w:pPr>
        <w:pStyle w:val="BodyText"/>
        <w:ind w:left="353"/>
      </w:pPr>
      <w:r>
        <w:rPr/>
        <w:t>We are ideally positioned to realise FinTech’s promise in the UK.</w:t>
      </w:r>
    </w:p>
    <w:p>
      <w:pPr>
        <w:pStyle w:val="BodyText"/>
        <w:spacing w:before="11"/>
        <w:rPr>
          <w:sz w:val="30"/>
        </w:rPr>
      </w:pPr>
    </w:p>
    <w:p>
      <w:pPr>
        <w:pStyle w:val="BodyText"/>
        <w:spacing w:line="360" w:lineRule="auto"/>
        <w:ind w:left="353"/>
      </w:pPr>
      <w:r>
        <w:rPr/>
        <w:t>The Bank will work with the market and other authorities to build the hard and soft infrastructure the system needs to support innovation and growth, consistent with the City’s best traditions.</w:t>
      </w:r>
    </w:p>
    <w:sectPr>
      <w:pgSz w:w="11910" w:h="16840"/>
      <w:pgMar w:header="0" w:footer="1338" w:top="1340" w:bottom="1520" w:left="7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64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16307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1620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61024" type="#_x0000_t202" filled="false" stroked="false">
          <v:textbox inset="0,0,0,0">
            <w:txbxContent>
              <w:p>
                <w:pPr>
                  <w:pStyle w:val="BodyText"/>
                  <w:spacing w:before="12"/>
                  <w:ind w:left="20"/>
                </w:pPr>
                <w:r>
                  <w:rPr>
                    <w:w w:val="99"/>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60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5897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1579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56928" type="#_x0000_t202" filled="false" stroked="false">
          <v:textbox inset="0,0,0,0">
            <w:txbxContent>
              <w:p>
                <w:pPr>
                  <w:pStyle w:val="BodyText"/>
                  <w:spacing w:before="12"/>
                  <w:ind w:left="20"/>
                </w:pPr>
                <w:r>
                  <w:rPr>
                    <w:w w:val="99"/>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559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5488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21538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52832"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518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5078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21497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48736"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477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4668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21456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44640"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43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425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323.4pt;height:13.15pt;mso-position-horizontal-relative:page;mso-position-vertical-relative:page;z-index:-2521415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40544" type="#_x0000_t202" filled="false" stroked="false">
          <v:textbox inset="0,0,0,0">
            <w:txbxContent>
              <w:p>
                <w:pPr>
                  <w:pStyle w:val="BodyText"/>
                  <w:spacing w:before="12"/>
                  <w:ind w:left="20"/>
                </w:pPr>
                <w:r>
                  <w:rPr>
                    <w:w w:val="99"/>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395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384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323.4pt;height:13.15pt;mso-position-horizontal-relative:page;mso-position-vertical-relative:page;z-index:-2521374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36448" type="#_x0000_t202" filled="false" stroked="false">
          <v:textbox inset="0,0,0,0">
            <w:txbxContent>
              <w:p>
                <w:pPr>
                  <w:pStyle w:val="BodyText"/>
                  <w:spacing w:before="12"/>
                  <w:ind w:left="20"/>
                </w:pPr>
                <w:r>
                  <w:rPr>
                    <w:w w:val="99"/>
                  </w:rPr>
                  <w:t>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66" w:hanging="356"/>
      </w:pPr>
      <w:rPr>
        <w:rFonts w:hint="default" w:ascii="Arial" w:hAnsi="Arial" w:eastAsia="Arial" w:cs="Arial"/>
        <w:w w:val="99"/>
        <w:sz w:val="20"/>
        <w:szCs w:val="20"/>
        <w:lang w:val="en-gb" w:eastAsia="en-gb" w:bidi="en-gb"/>
      </w:rPr>
    </w:lvl>
    <w:lvl w:ilvl="1">
      <w:start w:val="0"/>
      <w:numFmt w:val="bullet"/>
      <w:lvlText w:val="•"/>
      <w:lvlJc w:val="left"/>
      <w:pPr>
        <w:ind w:left="1962" w:hanging="356"/>
      </w:pPr>
      <w:rPr>
        <w:rFonts w:hint="default"/>
        <w:lang w:val="en-gb" w:eastAsia="en-gb" w:bidi="en-gb"/>
      </w:rPr>
    </w:lvl>
    <w:lvl w:ilvl="2">
      <w:start w:val="0"/>
      <w:numFmt w:val="bullet"/>
      <w:lvlText w:val="•"/>
      <w:lvlJc w:val="left"/>
      <w:pPr>
        <w:ind w:left="2865" w:hanging="356"/>
      </w:pPr>
      <w:rPr>
        <w:rFonts w:hint="default"/>
        <w:lang w:val="en-gb" w:eastAsia="en-gb" w:bidi="en-gb"/>
      </w:rPr>
    </w:lvl>
    <w:lvl w:ilvl="3">
      <w:start w:val="0"/>
      <w:numFmt w:val="bullet"/>
      <w:lvlText w:val="•"/>
      <w:lvlJc w:val="left"/>
      <w:pPr>
        <w:ind w:left="3767" w:hanging="356"/>
      </w:pPr>
      <w:rPr>
        <w:rFonts w:hint="default"/>
        <w:lang w:val="en-gb" w:eastAsia="en-gb" w:bidi="en-gb"/>
      </w:rPr>
    </w:lvl>
    <w:lvl w:ilvl="4">
      <w:start w:val="0"/>
      <w:numFmt w:val="bullet"/>
      <w:lvlText w:val="•"/>
      <w:lvlJc w:val="left"/>
      <w:pPr>
        <w:ind w:left="4670" w:hanging="356"/>
      </w:pPr>
      <w:rPr>
        <w:rFonts w:hint="default"/>
        <w:lang w:val="en-gb" w:eastAsia="en-gb" w:bidi="en-gb"/>
      </w:rPr>
    </w:lvl>
    <w:lvl w:ilvl="5">
      <w:start w:val="0"/>
      <w:numFmt w:val="bullet"/>
      <w:lvlText w:val="•"/>
      <w:lvlJc w:val="left"/>
      <w:pPr>
        <w:ind w:left="5573" w:hanging="356"/>
      </w:pPr>
      <w:rPr>
        <w:rFonts w:hint="default"/>
        <w:lang w:val="en-gb" w:eastAsia="en-gb" w:bidi="en-gb"/>
      </w:rPr>
    </w:lvl>
    <w:lvl w:ilvl="6">
      <w:start w:val="0"/>
      <w:numFmt w:val="bullet"/>
      <w:lvlText w:val="•"/>
      <w:lvlJc w:val="left"/>
      <w:pPr>
        <w:ind w:left="6475" w:hanging="356"/>
      </w:pPr>
      <w:rPr>
        <w:rFonts w:hint="default"/>
        <w:lang w:val="en-gb" w:eastAsia="en-gb" w:bidi="en-gb"/>
      </w:rPr>
    </w:lvl>
    <w:lvl w:ilvl="7">
      <w:start w:val="0"/>
      <w:numFmt w:val="bullet"/>
      <w:lvlText w:val="•"/>
      <w:lvlJc w:val="left"/>
      <w:pPr>
        <w:ind w:left="7378" w:hanging="356"/>
      </w:pPr>
      <w:rPr>
        <w:rFonts w:hint="default"/>
        <w:lang w:val="en-gb" w:eastAsia="en-gb" w:bidi="en-gb"/>
      </w:rPr>
    </w:lvl>
    <w:lvl w:ilvl="8">
      <w:start w:val="0"/>
      <w:numFmt w:val="bullet"/>
      <w:lvlText w:val="•"/>
      <w:lvlJc w:val="left"/>
      <w:pPr>
        <w:ind w:left="8281" w:hanging="35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5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353"/>
      <w:outlineLvl w:val="2"/>
    </w:pPr>
    <w:rPr>
      <w:rFonts w:ascii="Arial" w:hAnsi="Arial" w:eastAsia="Arial" w:cs="Arial"/>
      <w:b/>
      <w:bCs/>
      <w:sz w:val="20"/>
      <w:szCs w:val="20"/>
      <w:lang w:val="en-gb" w:eastAsia="en-gb" w:bidi="en-gb"/>
    </w:rPr>
  </w:style>
  <w:style w:styleId="Heading3" w:type="paragraph">
    <w:name w:val="Heading 3"/>
    <w:basedOn w:val="Normal"/>
    <w:uiPriority w:val="1"/>
    <w:qFormat/>
    <w:pPr>
      <w:ind w:left="353"/>
      <w:outlineLvl w:val="3"/>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1066" w:hanging="35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speeches" TargetMode="External"/><Relationship Id="rId7" Type="http://schemas.openxmlformats.org/officeDocument/2006/relationships/footer" Target="footer1.xml"/><Relationship Id="rId8" Type="http://schemas.openxmlformats.org/officeDocument/2006/relationships/hyperlink" Target="http://www.longfinance.net/global-financial-centre-index-19/992-gfci-19.html" TargetMode="External"/><Relationship Id="rId9" Type="http://schemas.openxmlformats.org/officeDocument/2006/relationships/hyperlink" Target="https://www.ey.com/uk/en/industries/financial-services/banking---capital-markets/ey-uk-fintech-on-the-cutting-edge" TargetMode="External"/><Relationship Id="rId10" Type="http://schemas.openxmlformats.org/officeDocument/2006/relationships/hyperlink" Target="http://www.bankofengland.co.uk/research/Pages/datasets/default.aspx"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www.bankofengland.co.uk/pra/nbsu/Pages/default.aspx" TargetMode="External"/><Relationship Id="rId14" Type="http://schemas.openxmlformats.org/officeDocument/2006/relationships/hyperlink" Target="http://www.bankofengland.co.uk/Pages/fintech/default.aspx" TargetMode="External"/><Relationship Id="rId15" Type="http://schemas.openxmlformats.org/officeDocument/2006/relationships/footer" Target="footer4.xml"/><Relationship Id="rId16" Type="http://schemas.openxmlformats.org/officeDocument/2006/relationships/image" Target="media/image2.png"/><Relationship Id="rId17" Type="http://schemas.openxmlformats.org/officeDocument/2006/relationships/hyperlink" Target="http://www.bankofengland.co.uk/publications/Pages/speeches/2017/956.aspx" TargetMode="External"/><Relationship Id="rId18" Type="http://schemas.openxmlformats.org/officeDocument/2006/relationships/footer" Target="footer5.xml"/><Relationship Id="rId19" Type="http://schemas.openxmlformats.org/officeDocument/2006/relationships/image" Target="media/image3.png"/><Relationship Id="rId20" Type="http://schemas.openxmlformats.org/officeDocument/2006/relationships/footer" Target="footer6.xml"/><Relationship Id="rId21" Type="http://schemas.openxmlformats.org/officeDocument/2006/relationships/hyperlink" Target="http://www.bankofengland.co.uk/publications/Pages/speeches/2016/914.aspx" TargetMode="External"/><Relationship Id="rId22" Type="http://schemas.openxmlformats.org/officeDocument/2006/relationships/footer" Target="footer7.xml"/><Relationship Id="rId23" Type="http://schemas.openxmlformats.org/officeDocument/2006/relationships/hyperlink" Target="http://www.hyperledger.org/" TargetMode="External"/><Relationship Id="rId24" Type="http://schemas.openxmlformats.org/officeDocument/2006/relationships/hyperlink" Target="http://www.fca.org.uk/publications/discussion-" TargetMode="External"/><Relationship Id="rId25" Type="http://schemas.openxmlformats.org/officeDocument/2006/relationships/image" Target="media/image4.png"/><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 at the International FinTech Conference 2017, London, on 12 April 2017</dc:subject>
  <dc:title>Speech by Mark Carney at the International FinTech Conference 2017, London, on 12 April 2017</dc:title>
  <dcterms:created xsi:type="dcterms:W3CDTF">2020-06-02T17:16:41Z</dcterms:created>
  <dcterms:modified xsi:type="dcterms:W3CDTF">2020-06-02T17:16:41Z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2018-09-24T00:00:00Z</vt:filetime>
  </property>
  <property fmtid="{D5CDD505-2E9C-101B-9397-08002B2CF9AE}" pid="3" name="LastSaved">
    <vt:filetime>2020-06-02T00:00:00Z</vt:filetime>
  </property>
</Properties>
</file>