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7"/>
        <w:rPr>
          <w:rFonts w:ascii="Times New Roman"/>
          <w:sz w:val="10"/>
        </w:rPr>
      </w:pPr>
    </w:p>
    <w:p>
      <w:pPr>
        <w:pStyle w:val="BodyText"/>
        <w:spacing w:line="30" w:lineRule="exact"/>
        <w:ind w:left="196"/>
        <w:rPr>
          <w:rFonts w:ascii="Times New Roman"/>
          <w:sz w:val="3"/>
        </w:rPr>
      </w:pPr>
      <w:r>
        <w:rPr>
          <w:rFonts w:ascii="Times New Roman"/>
          <w:position w:val="0"/>
          <w:sz w:val="3"/>
        </w:rPr>
        <w:pict>
          <v:group style="width:488.4pt;height:1.5pt;mso-position-horizontal-relative:char;mso-position-vertical-relative:line" coordorigin="0,0" coordsize="9768,30">
            <v:line style="position:absolute" from="0,15" to="7218,15" stroked="true" strokeweight="1.5pt" strokecolor="#000000">
              <v:stroke dashstyle="solid"/>
            </v:line>
            <v:rect style="position:absolute;left:7203;top:0;width:30;height:30" filled="true" fillcolor="#000000" stroked="false">
              <v:fill type="solid"/>
            </v:rect>
            <v:line style="position:absolute" from="7234,15" to="9768,15" stroked="true" strokeweight="1.5pt" strokecolor="#000000">
              <v:stroke dashstyle="solid"/>
            </v:line>
          </v:group>
        </w:pict>
      </w:r>
      <w:r>
        <w:rPr>
          <w:rFonts w:ascii="Times New Roman"/>
          <w:position w:val="0"/>
          <w:sz w:val="3"/>
        </w:rPr>
      </w:r>
    </w:p>
    <w:p>
      <w:pPr>
        <w:pStyle w:val="BodyText"/>
        <w:rPr>
          <w:rFonts w:ascii="Times New Roman"/>
        </w:rPr>
      </w:pPr>
    </w:p>
    <w:p>
      <w:pPr>
        <w:pStyle w:val="BodyText"/>
        <w:rPr>
          <w:rFonts w:ascii="Times New Roman"/>
        </w:rPr>
      </w:pPr>
    </w:p>
    <w:p>
      <w:pPr>
        <w:pStyle w:val="BodyText"/>
        <w:rPr>
          <w:rFonts w:ascii="Times New Roman"/>
        </w:rPr>
      </w:pPr>
    </w:p>
    <w:p>
      <w:pPr>
        <w:spacing w:before="220"/>
        <w:ind w:left="334" w:right="0" w:firstLine="0"/>
        <w:jc w:val="left"/>
        <w:rPr>
          <w:b/>
          <w:sz w:val="32"/>
        </w:rPr>
      </w:pPr>
      <w:r>
        <w:rPr>
          <w:b/>
          <w:color w:val="6A709F"/>
          <w:sz w:val="32"/>
        </w:rPr>
        <w:t>Climbing the Jobs Ladder</w:t>
      </w:r>
    </w:p>
    <w:p>
      <w:pPr>
        <w:pStyle w:val="BodyText"/>
        <w:rPr>
          <w:b/>
          <w:sz w:val="36"/>
        </w:rPr>
      </w:pPr>
    </w:p>
    <w:p>
      <w:pPr>
        <w:spacing w:before="275"/>
        <w:ind w:left="334" w:right="0" w:firstLine="0"/>
        <w:jc w:val="left"/>
        <w:rPr>
          <w:sz w:val="24"/>
        </w:rPr>
      </w:pPr>
      <w:r>
        <w:rPr>
          <w:sz w:val="24"/>
        </w:rPr>
        <w:t>Speech given</w:t>
      </w:r>
      <w:r>
        <w:rPr>
          <w:spacing w:val="-2"/>
          <w:sz w:val="24"/>
        </w:rPr>
        <w:t> </w:t>
      </w:r>
      <w:r>
        <w:rPr>
          <w:sz w:val="24"/>
        </w:rPr>
        <w:t>by</w:t>
      </w:r>
    </w:p>
    <w:p>
      <w:pPr>
        <w:pStyle w:val="BodyText"/>
        <w:rPr>
          <w:sz w:val="26"/>
        </w:rPr>
      </w:pPr>
    </w:p>
    <w:p>
      <w:pPr>
        <w:pStyle w:val="BodyText"/>
        <w:rPr>
          <w:sz w:val="22"/>
        </w:rPr>
      </w:pPr>
    </w:p>
    <w:p>
      <w:pPr>
        <w:spacing w:line="360" w:lineRule="auto" w:before="0"/>
        <w:ind w:left="334" w:right="7681" w:firstLine="0"/>
        <w:jc w:val="left"/>
        <w:rPr>
          <w:sz w:val="24"/>
        </w:rPr>
      </w:pPr>
      <w:r>
        <w:rPr>
          <w:sz w:val="24"/>
        </w:rPr>
        <w:t>Andrew G </w:t>
      </w:r>
      <w:r>
        <w:rPr>
          <w:spacing w:val="-4"/>
          <w:sz w:val="24"/>
        </w:rPr>
        <w:t>Haldane </w:t>
      </w:r>
      <w:r>
        <w:rPr>
          <w:sz w:val="24"/>
        </w:rPr>
        <w:t>Chief Economist Bank of</w:t>
      </w:r>
      <w:r>
        <w:rPr>
          <w:spacing w:val="-2"/>
          <w:sz w:val="24"/>
        </w:rPr>
        <w:t> </w:t>
      </w:r>
      <w:r>
        <w:rPr>
          <w:sz w:val="24"/>
        </w:rPr>
        <w:t>England</w:t>
      </w:r>
    </w:p>
    <w:p>
      <w:pPr>
        <w:pStyle w:val="BodyText"/>
        <w:rPr>
          <w:sz w:val="36"/>
        </w:rPr>
      </w:pPr>
    </w:p>
    <w:p>
      <w:pPr>
        <w:spacing w:line="360" w:lineRule="auto" w:before="0"/>
        <w:ind w:left="334" w:right="7508" w:firstLine="0"/>
        <w:jc w:val="left"/>
        <w:rPr>
          <w:sz w:val="24"/>
        </w:rPr>
      </w:pPr>
      <w:r>
        <w:rPr>
          <w:sz w:val="24"/>
        </w:rPr>
        <w:t>Glanford Park Stadium Scunthorpe</w:t>
      </w:r>
    </w:p>
    <w:p>
      <w:pPr>
        <w:spacing w:before="0"/>
        <w:ind w:left="334" w:right="0" w:firstLine="0"/>
        <w:jc w:val="left"/>
        <w:rPr>
          <w:sz w:val="24"/>
        </w:rPr>
      </w:pPr>
      <w:r>
        <w:rPr>
          <w:sz w:val="24"/>
        </w:rPr>
        <w:t>23 July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p>
      <w:pPr>
        <w:pStyle w:val="BodyText"/>
        <w:spacing w:line="276" w:lineRule="auto"/>
        <w:ind w:left="334" w:right="1197"/>
      </w:pPr>
      <w:r>
        <w:rPr/>
        <w:t>The views expressed here are not necessarily those of the Bank of England or the Monetary Policy Committee. I would like to thank Lena Anayi, Shiv Chowla and Doug Rendle for their help in preparing the text. I would like to thank Shaheen Bhikhu, Delma Essel, Rebecca Freeman,</w:t>
      </w:r>
    </w:p>
    <w:p>
      <w:pPr>
        <w:pStyle w:val="BodyText"/>
        <w:spacing w:line="276" w:lineRule="auto"/>
        <w:ind w:left="334" w:right="1242"/>
      </w:pPr>
      <w:r>
        <w:rPr/>
        <w:t>Tomas Key, Clare Macallan, Steve Machin, India Rimmer, Michael Saunders, Ali Schomberg, Joann Spadigam, Silvana Tenreyro, Anina Thiel, Jan Vlieghe and David Young for their comments and contributions.</w:t>
      </w:r>
    </w:p>
    <w:p>
      <w:pPr>
        <w:pStyle w:val="BodyText"/>
        <w:spacing w:before="11"/>
        <w:rPr>
          <w:sz w:val="22"/>
        </w:rPr>
      </w:pPr>
    </w:p>
    <w:p>
      <w:pPr>
        <w:pStyle w:val="BodyText"/>
        <w:spacing w:line="276" w:lineRule="auto"/>
        <w:ind w:left="334" w:right="943"/>
      </w:pPr>
      <w:r>
        <w:rPr/>
        <w:t>This work contains statistical data from ONS which is Crown Copyright. The use of the ONS statistical data in this work does not imply the endorsement of the ONS in relation to the interpretation or analysis of the statistical data. This work uses research datasets which may not exactly reproduce National Statistics aggregates.</w:t>
      </w:r>
    </w:p>
    <w:p>
      <w:pPr>
        <w:spacing w:after="0" w:line="276" w:lineRule="auto"/>
        <w:sectPr>
          <w:footerReference w:type="default" r:id="rId5"/>
          <w:type w:val="continuous"/>
          <w:pgSz w:w="11910" w:h="16840"/>
          <w:pgMar w:footer="1338" w:top="1180" w:bottom="1520" w:left="800" w:right="820"/>
        </w:sectPr>
      </w:pPr>
    </w:p>
    <w:p>
      <w:pPr>
        <w:pStyle w:val="BodyText"/>
        <w:spacing w:line="360" w:lineRule="auto" w:before="79"/>
        <w:ind w:left="334" w:right="319"/>
      </w:pPr>
      <w:r>
        <w:rPr/>
        <w:t>It is fantastic to be here at Glanford Park Stadium, home of Scunthorpe United Football Club. I remember as a boy learning about how Liverpool legends Kevin Keegan and Ray Clemence started their careers here.</w:t>
      </w:r>
    </w:p>
    <w:p>
      <w:pPr>
        <w:pStyle w:val="BodyText"/>
        <w:spacing w:line="360" w:lineRule="auto"/>
        <w:ind w:left="334" w:right="319"/>
      </w:pPr>
      <w:r>
        <w:rPr/>
        <w:t>Cricketing legend Sir Ian Botham started (and ended) his professional football career here too. A couple of weeks ago, my home town Guiseley entertained Scunthorpe in a pre-season friendly. Scunthorpe won 2–0.</w:t>
      </w:r>
    </w:p>
    <w:p>
      <w:pPr>
        <w:pStyle w:val="BodyText"/>
        <w:spacing w:before="11"/>
        <w:rPr>
          <w:sz w:val="29"/>
        </w:rPr>
      </w:pPr>
    </w:p>
    <w:p>
      <w:pPr>
        <w:pStyle w:val="BodyText"/>
        <w:spacing w:line="360" w:lineRule="auto"/>
        <w:ind w:left="334" w:right="452"/>
      </w:pPr>
      <w:r>
        <w:rPr/>
        <w:t>Off the football pitch, it has not been all wins for Scunthorpe recently. Problems at the British Steel plant in the town have put at risk the jobs of 5,000 workers and a further 20,000 in its supply chain.</w:t>
      </w:r>
      <w:r>
        <w:rPr>
          <w:position w:val="7"/>
          <w:sz w:val="13"/>
        </w:rPr>
        <w:t>1 </w:t>
      </w:r>
      <w:r>
        <w:rPr/>
        <w:t>Hopefully, a new buyer can be found and jobs in the town and beyond can be assured. This is the latest chapter in what has been a long and sometimes painful story for the UK steel industry recently. It has been a recurrent theme of my visits around the UK, including in Redcar and Port Talbot.</w:t>
      </w:r>
    </w:p>
    <w:p>
      <w:pPr>
        <w:pStyle w:val="BodyText"/>
        <w:spacing w:before="7"/>
        <w:rPr>
          <w:sz w:val="29"/>
        </w:rPr>
      </w:pPr>
    </w:p>
    <w:p>
      <w:pPr>
        <w:pStyle w:val="BodyText"/>
        <w:spacing w:line="360" w:lineRule="auto"/>
        <w:ind w:left="334" w:right="542"/>
      </w:pPr>
      <w:r>
        <w:rPr/>
        <w:t>The loss of signature industries can leave lasting social and economic scars – jobs lost, families disrupted, communities decimated. It is a pattern we see repeated across many industries in many advanced economies. It has been a key cause of the disaffection and disconnection felt by many and a potent polarising force in our politics, policies and societies. This polarisation is also a potent force shaping the fortunes of our economies, as I will go on to discuss.</w:t>
      </w:r>
    </w:p>
    <w:p>
      <w:pPr>
        <w:pStyle w:val="BodyText"/>
        <w:spacing w:before="7"/>
        <w:rPr>
          <w:sz w:val="29"/>
        </w:rPr>
      </w:pPr>
    </w:p>
    <w:p>
      <w:pPr>
        <w:pStyle w:val="BodyText"/>
        <w:spacing w:line="360" w:lineRule="auto"/>
        <w:ind w:left="334" w:right="388"/>
      </w:pPr>
      <w:r>
        <w:rPr/>
        <w:t>The travails of the steel industry lead me neatly to the issue I want to discuss today – jobs and pay. In the UK recently, this has been a good news/bad news story. The good news has been the new jobs created – the best jobs recovery in the UK since at least the Second World War. The bad news has been the subdued performance of pay over much of that period – the weakest pay performance the UK has experienced since at least the Boer</w:t>
      </w:r>
      <w:r>
        <w:rPr>
          <w:spacing w:val="-5"/>
        </w:rPr>
        <w:t> </w:t>
      </w:r>
      <w:r>
        <w:rPr/>
        <w:t>War.</w:t>
      </w:r>
    </w:p>
    <w:p>
      <w:pPr>
        <w:pStyle w:val="BodyText"/>
        <w:rPr>
          <w:sz w:val="22"/>
        </w:rPr>
      </w:pPr>
    </w:p>
    <w:p>
      <w:pPr>
        <w:pStyle w:val="BodyText"/>
        <w:spacing w:before="3"/>
        <w:rPr>
          <w:sz w:val="17"/>
        </w:rPr>
      </w:pPr>
    </w:p>
    <w:p>
      <w:pPr>
        <w:pStyle w:val="BodyText"/>
        <w:spacing w:line="355" w:lineRule="auto"/>
        <w:ind w:left="334" w:right="831"/>
      </w:pPr>
      <w:r>
        <w:rPr/>
        <w:t>I will first discuss recent developments in jobs and pay, before providing an account of them centred on movements up and down the jobs ladder. I will then turn to recent developments in the world and UK economies and their potential implications for monetary policy.</w:t>
      </w:r>
    </w:p>
    <w:p>
      <w:pPr>
        <w:pStyle w:val="BodyText"/>
        <w:spacing w:before="6"/>
        <w:rPr>
          <w:sz w:val="29"/>
        </w:rPr>
      </w:pPr>
    </w:p>
    <w:p>
      <w:pPr>
        <w:pStyle w:val="Heading1"/>
      </w:pPr>
      <w:r>
        <w:rPr/>
        <w:t>The Jobs Boom</w:t>
      </w:r>
    </w:p>
    <w:p>
      <w:pPr>
        <w:pStyle w:val="BodyText"/>
        <w:rPr>
          <w:b/>
          <w:sz w:val="22"/>
        </w:rPr>
      </w:pPr>
    </w:p>
    <w:p>
      <w:pPr>
        <w:pStyle w:val="BodyText"/>
        <w:spacing w:line="355" w:lineRule="auto" w:before="196"/>
        <w:ind w:left="334" w:right="319"/>
      </w:pPr>
      <w:r>
        <w:rPr/>
        <w:t>The past few years have been a jobs bonanza in the UK. Since 2012, 3.4 million net new jobs have been created. Table 1 compares job creation across previous periods of UK economic recovery. No economic recovery since the Second World War has seen as many new jobs created. This leaves the UK employment rate at its highest (61.5%) and the unemployment rate at its lowest (3.8%) in half a century (Charts 1 and 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6"/>
        </w:rPr>
      </w:pPr>
      <w:r>
        <w:rPr/>
        <w:pict>
          <v:shape style="position:absolute;margin-left:56.700001pt;margin-top:11.582374pt;width:144.050pt;height:.1pt;mso-position-horizontal-relative:page;mso-position-vertical-relative:paragraph;z-index:-251657216;mso-wrap-distance-left:0;mso-wrap-distance-right:0" coordorigin="1134,232" coordsize="2881,0" path="m1134,232l4014,232e" filled="false" stroked="true" strokeweight=".47998pt" strokecolor="#000000">
            <v:path arrowok="t"/>
            <v:stroke dashstyle="solid"/>
            <w10:wrap type="topAndBottom"/>
          </v:shape>
        </w:pict>
      </w:r>
    </w:p>
    <w:p>
      <w:pPr>
        <w:spacing w:before="51"/>
        <w:ind w:left="334" w:right="0" w:firstLine="0"/>
        <w:jc w:val="left"/>
        <w:rPr>
          <w:sz w:val="16"/>
        </w:rPr>
      </w:pPr>
      <w:r>
        <w:rPr>
          <w:position w:val="6"/>
          <w:sz w:val="10"/>
        </w:rPr>
        <w:t>1 </w:t>
      </w:r>
      <w:hyperlink r:id="rId8">
        <w:r>
          <w:rPr>
            <w:color w:val="0000FF"/>
            <w:sz w:val="16"/>
            <w:u w:val="single" w:color="0000FF"/>
          </w:rPr>
          <w:t>https://www.bbc.co.uk/news/business-48365241</w:t>
        </w:r>
      </w:hyperlink>
    </w:p>
    <w:p>
      <w:pPr>
        <w:spacing w:after="0"/>
        <w:jc w:val="left"/>
        <w:rPr>
          <w:sz w:val="16"/>
        </w:rPr>
        <w:sectPr>
          <w:footerReference w:type="default" r:id="rId7"/>
          <w:pgSz w:w="11910" w:h="16840"/>
          <w:pgMar w:footer="1338" w:header="0" w:top="1340" w:bottom="1520" w:left="800" w:right="820"/>
        </w:sect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5"/>
        <w:gridCol w:w="4983"/>
      </w:tblGrid>
      <w:tr>
        <w:trPr>
          <w:trHeight w:val="226" w:hRule="atLeast"/>
        </w:trPr>
        <w:tc>
          <w:tcPr>
            <w:tcW w:w="4895" w:type="dxa"/>
          </w:tcPr>
          <w:p>
            <w:pPr>
              <w:pStyle w:val="TableParagraph"/>
              <w:spacing w:line="207" w:lineRule="exact"/>
              <w:ind w:left="200"/>
              <w:rPr>
                <w:b/>
                <w:sz w:val="20"/>
              </w:rPr>
            </w:pPr>
            <w:r>
              <w:rPr>
                <w:b/>
                <w:sz w:val="20"/>
              </w:rPr>
              <w:t>Table 1: Job creation in different UK recoveries</w:t>
            </w:r>
          </w:p>
        </w:tc>
        <w:tc>
          <w:tcPr>
            <w:tcW w:w="4983" w:type="dxa"/>
          </w:tcPr>
          <w:p>
            <w:pPr>
              <w:pStyle w:val="TableParagraph"/>
              <w:rPr>
                <w:rFonts w:ascii="Times New Roman"/>
                <w:sz w:val="16"/>
              </w:rPr>
            </w:pPr>
          </w:p>
        </w:tc>
      </w:tr>
      <w:tr>
        <w:trPr>
          <w:trHeight w:val="222" w:hRule="atLeast"/>
        </w:trPr>
        <w:tc>
          <w:tcPr>
            <w:tcW w:w="4895" w:type="dxa"/>
          </w:tcPr>
          <w:p>
            <w:pPr>
              <w:pStyle w:val="TableParagraph"/>
              <w:spacing w:line="201" w:lineRule="exact"/>
              <w:ind w:left="1910" w:right="1694"/>
              <w:jc w:val="center"/>
              <w:rPr>
                <w:i/>
                <w:sz w:val="18"/>
              </w:rPr>
            </w:pPr>
            <w:r>
              <w:rPr>
                <w:i/>
                <w:sz w:val="18"/>
              </w:rPr>
              <w:t>Recovery dates</w:t>
            </w:r>
          </w:p>
        </w:tc>
        <w:tc>
          <w:tcPr>
            <w:tcW w:w="4983" w:type="dxa"/>
          </w:tcPr>
          <w:p>
            <w:pPr>
              <w:pStyle w:val="TableParagraph"/>
              <w:spacing w:line="201" w:lineRule="exact"/>
              <w:ind w:left="1692" w:right="1499"/>
              <w:jc w:val="center"/>
              <w:rPr>
                <w:i/>
                <w:sz w:val="18"/>
              </w:rPr>
            </w:pPr>
            <w:r>
              <w:rPr>
                <w:i/>
                <w:sz w:val="18"/>
              </w:rPr>
              <w:t>Job creation (millions)</w:t>
            </w:r>
          </w:p>
        </w:tc>
      </w:tr>
      <w:tr>
        <w:trPr>
          <w:trHeight w:val="237" w:hRule="atLeast"/>
        </w:trPr>
        <w:tc>
          <w:tcPr>
            <w:tcW w:w="4895" w:type="dxa"/>
          </w:tcPr>
          <w:p>
            <w:pPr>
              <w:pStyle w:val="TableParagraph"/>
              <w:spacing w:before="9"/>
              <w:ind w:left="200"/>
              <w:rPr>
                <w:sz w:val="18"/>
              </w:rPr>
            </w:pPr>
            <w:r>
              <w:rPr>
                <w:sz w:val="18"/>
              </w:rPr>
              <w:t>2011 Q4 - present</w:t>
            </w:r>
          </w:p>
        </w:tc>
        <w:tc>
          <w:tcPr>
            <w:tcW w:w="4983" w:type="dxa"/>
          </w:tcPr>
          <w:p>
            <w:pPr>
              <w:pStyle w:val="TableParagraph"/>
              <w:spacing w:before="9"/>
              <w:ind w:left="1692" w:right="1497"/>
              <w:jc w:val="center"/>
              <w:rPr>
                <w:sz w:val="18"/>
              </w:rPr>
            </w:pPr>
            <w:r>
              <w:rPr>
                <w:sz w:val="18"/>
              </w:rPr>
              <w:t>3.4</w:t>
            </w:r>
          </w:p>
        </w:tc>
      </w:tr>
      <w:tr>
        <w:trPr>
          <w:trHeight w:val="237" w:hRule="atLeast"/>
        </w:trPr>
        <w:tc>
          <w:tcPr>
            <w:tcW w:w="4895" w:type="dxa"/>
          </w:tcPr>
          <w:p>
            <w:pPr>
              <w:pStyle w:val="TableParagraph"/>
              <w:spacing w:before="9"/>
              <w:ind w:left="200"/>
              <w:rPr>
                <w:sz w:val="18"/>
              </w:rPr>
            </w:pPr>
            <w:r>
              <w:rPr>
                <w:sz w:val="18"/>
              </w:rPr>
              <w:t>1993 Q1 – 2003 Q2</w:t>
            </w:r>
          </w:p>
        </w:tc>
        <w:tc>
          <w:tcPr>
            <w:tcW w:w="4983" w:type="dxa"/>
          </w:tcPr>
          <w:p>
            <w:pPr>
              <w:pStyle w:val="TableParagraph"/>
              <w:spacing w:before="9"/>
              <w:ind w:left="1692" w:right="1497"/>
              <w:jc w:val="center"/>
              <w:rPr>
                <w:sz w:val="18"/>
              </w:rPr>
            </w:pPr>
            <w:r>
              <w:rPr>
                <w:sz w:val="18"/>
              </w:rPr>
              <w:t>2.9</w:t>
            </w:r>
          </w:p>
        </w:tc>
      </w:tr>
      <w:tr>
        <w:trPr>
          <w:trHeight w:val="238" w:hRule="atLeast"/>
        </w:trPr>
        <w:tc>
          <w:tcPr>
            <w:tcW w:w="4895" w:type="dxa"/>
          </w:tcPr>
          <w:p>
            <w:pPr>
              <w:pStyle w:val="TableParagraph"/>
              <w:spacing w:before="9"/>
              <w:ind w:left="200"/>
              <w:rPr>
                <w:sz w:val="18"/>
              </w:rPr>
            </w:pPr>
            <w:r>
              <w:rPr>
                <w:sz w:val="18"/>
              </w:rPr>
              <w:t>1984 Q2 – 1990 Q1</w:t>
            </w:r>
          </w:p>
        </w:tc>
        <w:tc>
          <w:tcPr>
            <w:tcW w:w="4983" w:type="dxa"/>
          </w:tcPr>
          <w:p>
            <w:pPr>
              <w:pStyle w:val="TableParagraph"/>
              <w:spacing w:before="9"/>
              <w:ind w:left="1692" w:right="1497"/>
              <w:jc w:val="center"/>
              <w:rPr>
                <w:sz w:val="18"/>
              </w:rPr>
            </w:pPr>
            <w:r>
              <w:rPr>
                <w:sz w:val="18"/>
              </w:rPr>
              <w:t>2.7</w:t>
            </w:r>
          </w:p>
        </w:tc>
      </w:tr>
      <w:tr>
        <w:trPr>
          <w:trHeight w:val="238" w:hRule="atLeast"/>
        </w:trPr>
        <w:tc>
          <w:tcPr>
            <w:tcW w:w="4895" w:type="dxa"/>
          </w:tcPr>
          <w:p>
            <w:pPr>
              <w:pStyle w:val="TableParagraph"/>
              <w:spacing w:before="9"/>
              <w:ind w:left="200"/>
              <w:rPr>
                <w:sz w:val="18"/>
              </w:rPr>
            </w:pPr>
            <w:r>
              <w:rPr>
                <w:sz w:val="18"/>
              </w:rPr>
              <w:t>1977 Q4 – 1979 Q2</w:t>
            </w:r>
          </w:p>
        </w:tc>
        <w:tc>
          <w:tcPr>
            <w:tcW w:w="4983" w:type="dxa"/>
          </w:tcPr>
          <w:p>
            <w:pPr>
              <w:pStyle w:val="TableParagraph"/>
              <w:spacing w:before="9"/>
              <w:ind w:left="1692" w:right="1497"/>
              <w:jc w:val="center"/>
              <w:rPr>
                <w:sz w:val="18"/>
              </w:rPr>
            </w:pPr>
            <w:r>
              <w:rPr>
                <w:sz w:val="18"/>
              </w:rPr>
              <w:t>0.3</w:t>
            </w:r>
          </w:p>
        </w:tc>
      </w:tr>
      <w:tr>
        <w:trPr>
          <w:trHeight w:val="237" w:hRule="atLeast"/>
        </w:trPr>
        <w:tc>
          <w:tcPr>
            <w:tcW w:w="4895" w:type="dxa"/>
          </w:tcPr>
          <w:p>
            <w:pPr>
              <w:pStyle w:val="TableParagraph"/>
              <w:spacing w:before="9"/>
              <w:ind w:left="200"/>
              <w:rPr>
                <w:sz w:val="18"/>
              </w:rPr>
            </w:pPr>
            <w:r>
              <w:rPr>
                <w:sz w:val="18"/>
              </w:rPr>
              <w:t>1972 Q1 – 1973 Q4</w:t>
            </w:r>
          </w:p>
        </w:tc>
        <w:tc>
          <w:tcPr>
            <w:tcW w:w="4983" w:type="dxa"/>
          </w:tcPr>
          <w:p>
            <w:pPr>
              <w:pStyle w:val="TableParagraph"/>
              <w:spacing w:before="9"/>
              <w:ind w:left="1692" w:right="1497"/>
              <w:jc w:val="center"/>
              <w:rPr>
                <w:sz w:val="18"/>
              </w:rPr>
            </w:pPr>
            <w:r>
              <w:rPr>
                <w:sz w:val="18"/>
              </w:rPr>
              <w:t>0.5</w:t>
            </w:r>
          </w:p>
        </w:tc>
      </w:tr>
      <w:tr>
        <w:trPr>
          <w:trHeight w:val="329" w:hRule="atLeast"/>
        </w:trPr>
        <w:tc>
          <w:tcPr>
            <w:tcW w:w="4895" w:type="dxa"/>
          </w:tcPr>
          <w:p>
            <w:pPr>
              <w:pStyle w:val="TableParagraph"/>
              <w:spacing w:before="9"/>
              <w:ind w:left="200"/>
              <w:rPr>
                <w:sz w:val="18"/>
              </w:rPr>
            </w:pPr>
            <w:r>
              <w:rPr>
                <w:sz w:val="18"/>
              </w:rPr>
              <w:t>1952 – 1955</w:t>
            </w:r>
          </w:p>
        </w:tc>
        <w:tc>
          <w:tcPr>
            <w:tcW w:w="4983" w:type="dxa"/>
          </w:tcPr>
          <w:p>
            <w:pPr>
              <w:pStyle w:val="TableParagraph"/>
              <w:spacing w:before="9"/>
              <w:ind w:left="1692" w:right="1497"/>
              <w:jc w:val="center"/>
              <w:rPr>
                <w:sz w:val="18"/>
              </w:rPr>
            </w:pPr>
            <w:r>
              <w:rPr>
                <w:sz w:val="18"/>
              </w:rPr>
              <w:t>0.7</w:t>
            </w:r>
          </w:p>
        </w:tc>
      </w:tr>
      <w:tr>
        <w:trPr>
          <w:trHeight w:val="886" w:hRule="atLeast"/>
        </w:trPr>
        <w:tc>
          <w:tcPr>
            <w:tcW w:w="9878" w:type="dxa"/>
            <w:gridSpan w:val="2"/>
          </w:tcPr>
          <w:p>
            <w:pPr>
              <w:pStyle w:val="TableParagraph"/>
              <w:spacing w:before="101"/>
              <w:ind w:left="200"/>
              <w:rPr>
                <w:sz w:val="16"/>
              </w:rPr>
            </w:pPr>
            <w:r>
              <w:rPr>
                <w:sz w:val="16"/>
              </w:rPr>
              <w:t>Sources: ONS and Bank of England Millennium of Data.</w:t>
            </w:r>
          </w:p>
          <w:p>
            <w:pPr>
              <w:pStyle w:val="TableParagraph"/>
              <w:spacing w:line="184" w:lineRule="exact" w:before="49"/>
              <w:ind w:left="200"/>
              <w:rPr>
                <w:sz w:val="16"/>
              </w:rPr>
            </w:pPr>
            <w:r>
              <w:rPr>
                <w:sz w:val="16"/>
              </w:rPr>
              <w:t>Notes: Data taken at quarterly frequency from 1970s and measure change in whole economy employment period during periods of sustained falling unemployment. Other definitions of recovery would of course suggest different amounts/periods of job creation, but it remains true that the current phase of job creation is high by historical standards.</w:t>
            </w:r>
          </w:p>
        </w:tc>
      </w:tr>
    </w:tbl>
    <w:p>
      <w:pPr>
        <w:pStyle w:val="BodyText"/>
      </w:pPr>
      <w:r>
        <w:rPr/>
        <w:pict>
          <v:group style="position:absolute;margin-left:67.324997pt;margin-top:285.734985pt;width:449.15pt;height:152.75pt;mso-position-horizontal-relative:page;mso-position-vertical-relative:page;z-index:-254545920" coordorigin="1346,5715" coordsize="8983,3055">
            <v:shape style="position:absolute;left:1354;top:5722;width:8966;height:3040" coordorigin="1354,5722" coordsize="8966,3040" path="m10319,8762l10319,5722m10259,8762l10319,8762m10259,8328l10319,8328m10259,7894l10319,7894m10259,7459l10319,7459m10259,7025l10319,7025m10259,6590l10319,6590m10259,6156l10319,6156m10259,5722l10319,5722m1354,8762l10319,8762m1354,8702l1354,8762m2096,8702l2096,8762m2838,8702l2838,8762m3580,8702l3580,8762m4322,8702l4322,8762m5064,8702l5064,8762m5806,8702l5806,8762m6547,8702l6547,8762m7290,8702l7290,8762m8032,8702l8032,8762m8773,8702l8773,8762m9516,8702l9516,8762m10258,8702l10258,8762e" filled="false" stroked="true" strokeweight=".75pt" strokecolor="#7e7e7e">
              <v:path arrowok="t"/>
              <v:stroke dashstyle="solid"/>
            </v:shape>
            <v:shape style="position:absolute;left:1392;top:6257;width:8920;height:1550" coordorigin="1393,6257" coordsize="8920,1550" path="m1393,6416l1408,6461,1423,6461,1439,6482,1454,6482,1470,6504,1486,6547,1501,6569,1517,6590,1531,6590,1547,6590,1562,6569,1578,6547,1594,6526,1609,6526,1625,6547,1640,6547,1656,6547,1670,6526,1686,6526,1702,6504,1717,6482,1733,6461,1748,6416,1764,6395,1780,6352,1794,6352,1810,6352,1825,6373,1919,6373,1933,6395,2027,6395,2042,6373,2057,6373,2072,6395,2088,6395,2104,6416,2119,6439,2135,6439,2150,6461,2166,6482,2180,6482,2196,6504,2212,6504,2227,6526,2243,6526,2258,6547,2274,6569,2290,6569,2305,6590,2320,6612,2335,6634,2351,6634,2366,6655,2382,6655,2398,6655,2413,6678,2429,6678,2443,6678,2459,6678,2474,6678,2490,6700,2506,6700,2521,6700,2537,6721,2552,6721,2568,6721,2582,6721,2598,6743,2614,6743,2629,6743,2645,6743,2660,6743,2676,6764,2692,6743,2706,6743,2722,6764,2737,6764,2753,6764,2768,6764,2784,6764,2800,6743,2815,6743,2831,6721,2845,6721,2939,6721,2954,6700,2969,6700,2984,6700,3000,6700,3016,6700,3031,6721,3047,6743,3062,6743,3078,6764,3092,6786,3108,6808,3124,6829,3139,6872,3155,6917,3170,6938,3186,6982,3202,7025,3217,7068,3232,7111,3247,7156,3263,7177,3278,7220,3294,7264,3310,7285,3325,7328,3341,7350,3355,7373,3371,7394,3386,7438,3402,7459,3418,7481,3433,7481,3449,7502,3464,7524,3480,7546,3494,7567,3510,7590,3526,7633,3541,7655,3557,7676,3572,7720,3588,7741,3604,7763,3618,7784,3634,7807,3649,7807,3665,7807,3680,7784,3696,7763,3712,7741,3727,7720,3743,7676,3757,7676,3773,7655,3788,7633,3804,7612,3820,7612,3835,7590,3851,7590,3866,7567,3881,7567,3896,7546,3912,7546,3928,7546,3943,7524,3959,7502,3974,7502,3990,7502,4004,7502,4020,7502,4036,7502,4051,7502,4067,7481,4159,7481,4175,7502,4190,7502,4206,7502,4222,7502,4237,7481,4253,7481,4267,7481,4283,7459,4298,7459,4314,7438,4330,7438,4345,7438,4361,7416,4376,7416,4392,7394,4406,7350,4422,7307,4438,7285,4453,7242,4469,7220,4484,7177,4500,7156,4516,7111,4530,7068,4546,7046,4561,7025,4577,7003,4592,6982,4608,6960,4624,6917,4639,6895,4655,6872,4669,6829,4685,6808,4700,6786,4716,6743,4732,6700,4747,6678,4763,6655,4778,6655,4793,6634,4808,6634,4824,6634,4840,6612,4855,6612,4871,6590,4886,6590,4902,6590,4918,6590,4932,6590,4948,6590,4963,6569,4979,6569,4994,6590,5010,6612,5026,6634,5041,6655,5056,6678,5071,6721,5087,6743,5102,6786,5118,6829,5134,6872,5149,6917,5165,6960,5179,7003,5195,7046,5210,7090,5226,7111,5242,7156,5257,7177,5273,7199,5288,7220,5304,7220,5318,7247,5334,7262,5350,7294,5365,7302,5381,7312,5396,7338,5412,7362,5428,7397,5442,7414,5458,7427,5473,7423,5489,7436,5504,7423,5520,7421,5536,7421,5551,7429,5567,7412,5581,7411,5597,7412,5612,7414,5628,7415,5644,7396,5659,7375,5675,7356,5690,7355,5705,7357,5720,7327,5736,7330,5752,7313,5767,7315,5783,7303,5798,7303,5814,7314,5830,7291,5844,7279,5860,7265,5875,7255,5891,7241,5906,7234,5922,7214,5938,7211,5953,7207,5968,7200,5983,7160,5999,7162,6014,7168,6030,7176,6046,7176,6061,7169,6077,7169,6091,7174,6107,7151,6122,7154,6138,7130,6154,7106,6169,7100,6185,7075,6200,7048,6216,7024,6230,7004,6246,6998,6262,6972,6277,6985,6293,6982,6308,6955,6324,6944,6340,6940,6354,6937,6370,6943,6385,6935,6401,6930,6416,6919,6432,6923,6448,6924,6463,6901,6479,6881,6493,6881,6509,6865,6524,6841,6540,6839,6556,6822,6571,6818,6587,6816,6602,6817,6617,6815,6632,6803,6648,6798,6664,6779,6679,6761,6695,6770,6710,6749,6726,6730,6742,6743,6756,6748,6772,6728,6787,6714,6803,6702,6818,6696,6834,6673,6850,6664,6865,6676,6880,6696,6895,6709,6911,6701,6926,6667,6942,6684,6958,6689,6973,6677,6989,6667,7003,6672,7019,6683,7034,6679,7050,6688,7066,6686,7081,6670,7097,6670,7112,6692,7128,6695,7142,6695,7158,6674,7174,6667,7189,6654,7205,6673,7220,6661,7236,6674,7252,6642,7266,6632,7282,6616,7297,6637,7313,6654,7328,6642,7344,6630,7360,6611,7375,6606,7391,6608,7405,6620,7421,6617,7436,6611,7452,6614,7468,6619,7483,6583,7499,6575,7514,6572,7529,6586,7544,6587,7560,6593,7576,6604,7591,6607,7607,6601,7622,6600,7638,6574,7654,6564,7668,6551,7684,6530,7699,6545,7715,6569,7730,6570,7746,6571,7762,6558,7777,6545,7792,6545,7807,6560,7823,6586,7838,6595,7854,6581,7870,6566,7885,6548,7901,6541,7916,6560,7931,6551,7946,6546,7962,6520,7978,6548,7993,6556,8009,6560,8024,6566,8040,6583,8054,6606,8070,6608,8086,6602,8101,6576,8117,6583,8132,6581,8148,6581,8164,6572,8178,6559,8194,6545,8209,6534,8225,6528,8240,6511,8256,6517,8272,6518,8287,6510,8303,6532,8317,6554,8333,6600,8348,6622,8364,6650,8380,6650,8395,6671,8411,6674,8426,6731,8441,6767,8456,6817,8472,6876,8488,6914,8503,6953,8519,6937,8534,6949,8550,6953,8566,6958,8580,6964,8596,6992,8611,7016,8627,7031,8642,7025,8658,6992,8674,6980,8689,6932,8704,6936,8719,6925,8735,6968,8750,6989,8766,6980,8782,6961,8797,6949,8813,6959,8828,6971,8843,6967,8858,6985,8874,7038,8890,7064,8905,7079,8921,7076,8936,7073,8952,7072,8966,7076,8982,7068,8998,7044,9013,7033,9029,7009,9044,6972,9060,6946,9076,6937,9090,6953,9106,6965,9121,6928,9137,6908,9152,6923,9168,6961,9184,6958,9199,6946,9215,6962,9229,6936,9245,6918,9260,6913,9276,6887,9292,6846,9307,6821,9323,6833,9338,6826,9353,6764,9368,6756,9384,6718,9400,6683,9415,6707,9431,6716,9446,6689,9462,6678,9478,6680,9492,6688,9508,6656,9523,6640,9539,6599,9554,6593,9570,6613,9586,6652,9601,6637,9616,6613,9631,6608,9647,6570,9662,6535,9678,6511,9694,6509,9709,6516,9725,6518,9740,6520,9755,6515,9770,6479,9786,6473,9802,6467,9817,6460,9833,6466,9848,6478,9864,6478,9878,6468,9894,6473,9910,6473,9925,6443,9941,6445,9956,6428,9972,6412,9988,6389,10002,6407,10018,6430,10033,6422,10049,6380,10064,6410,10080,6380,10096,6377,10111,6350,10127,6337,10141,6341,10157,6350,10172,6348,10188,6353,10204,6350,10219,6330,10235,6316,10250,6299,10265,6257,10280,6259,10296,6275,10312,6260e" filled="false" stroked="true" strokeweight="1.75pt" strokecolor="#244060">
              <v:path arrowok="t"/>
              <v:stroke dashstyle="solid"/>
            </v:shape>
            <w10:wrap type="none"/>
          </v:group>
        </w:pict>
      </w:r>
      <w:r>
        <w:rPr/>
        <w:pict>
          <v:group style="position:absolute;margin-left:67.213997pt;margin-top:534.844971pt;width:451.25pt;height:163.35pt;mso-position-horizontal-relative:page;mso-position-vertical-relative:page;z-index:-254544896" coordorigin="1344,10697" coordsize="9025,3267">
            <v:shape style="position:absolute;left:1354;top:10704;width:9005;height:3252" coordorigin="1354,10704" coordsize="9005,3252" path="m10359,13956l10359,10704m10299,13956l10359,13956m10299,13492l10359,13492m10299,13027l10359,13027m10299,12563l10359,12563m10299,12098l10359,12098m10299,11634l10359,11634m10299,11168l10359,11168m10299,10704l10359,10704m1354,13956l10359,13956m1354,13896l1354,13956m2102,13896l2102,13956m2850,13896l2850,13956m3598,13896l3598,13956m4345,13896l4345,13956m5093,13896l5093,13956m5840,13896l5840,13956m6589,13896l6589,13956m7337,13896l7337,13956m8084,13896l8084,13956m8832,13896l8832,13956m9580,13896l9580,13956m10328,13896l10328,13956e" filled="false" stroked="true" strokeweight=".75pt" strokecolor="#7e7e7e">
              <v:path arrowok="t"/>
              <v:stroke dashstyle="solid"/>
            </v:shape>
            <v:shape style="position:absolute;left:1361;top:11192;width:8990;height:1975" coordorigin="1362,11192" coordsize="8990,1975" path="m1362,13074l1378,13050,1393,13027,1409,13004,1424,13004,1440,12980,1456,12980,1471,12958,1487,12935,1502,12935,1518,12911,1534,12911,1549,12911,1565,12911,1580,12911,1596,12935,1612,12935,1627,12958,1643,12958,1658,12980,1673,12980,1688,12980,1704,13004,1720,13027,1735,13050,1751,13074,1766,13074,1782,13097,1798,13097,1813,13120,1829,13120,1844,13144,1860,13144,1876,13167,1891,13167,1907,13144,1922,13120,1938,13120,1954,13120,1969,13120,1985,13120,2000,13097,2016,13097,2032,13097,2047,13097,2063,13097,2078,13074,2094,13050,2110,13027,2125,13004,2141,12980,2156,12958,2172,12911,2188,12888,2203,12865,2219,12841,2234,12818,2250,12794,2266,12772,2281,12749,2297,12725,2312,12725,2328,12702,2344,12702,2359,12702,2375,12702,2390,12679,2531,12679,2546,12655,2562,12655,2576,12632,2592,12632,2608,12632,2623,12632,2639,12632,2654,12655,2670,12655,2686,12655,2701,12655,2717,12655,2732,12679,2748,12679,2764,12679,2779,12679,2795,12702,2810,12702,2826,12725,2842,12725,2857,12702,2873,12725,2888,12725,2904,12725,2920,12725,2935,12725,2951,12702,2966,12702,2982,12702,2998,12679,3013,12655,3029,12632,3044,12610,3060,12563,3076,12540,3091,12493,3107,12446,3122,12377,3138,12307,3154,12238,3169,12168,3185,12098,3200,12029,3216,11959,3232,11890,3247,11843,3263,11773,3278,11726,3294,11704,3310,11680,3325,11657,3341,11634,3356,11610,3372,11587,3388,11564,3403,11540,3419,11540,3434,11518,3450,11518,3466,11494,3481,11494,3496,11471,3511,11448,3527,11424,3542,11401,3558,11378,3574,11354,3589,11354,3605,11332,3620,11332,3636,11332,3652,11309,3667,11285,3683,11285,3698,11285,3714,11262,3730,11262,3745,11239,3761,11239,3776,11215,3792,11215,3808,11192,3823,11192,3839,11192,3854,11215,3870,11215,3886,11239,3901,11239,3917,11239,3932,11262,3948,11262,3964,11285,3979,11285,3995,11309,4010,11309,4026,11309,4042,11332,4057,11332,4073,11332,4213,11332,4229,11309,4244,11309,4260,11309,4276,11332,4291,11332,4307,11332,4322,11354,4338,11354,4354,11378,4369,11401,4385,11424,4400,11471,4415,11494,4430,11540,4446,11587,4462,11634,4477,11657,4493,11704,4508,11749,4524,11773,4540,11819,4555,11866,4571,11890,4586,11935,4602,11959,4618,11982,4633,12005,4649,12029,4664,12052,4680,12098,4696,12121,4711,12168,4727,12191,4742,12238,4758,12260,4774,12284,4789,12284,4805,12307,4820,12307,4836,12307,4852,12330,4867,12330,4883,12330,4898,12354,4914,12354,4930,12354,4945,12354,4961,12354,4976,12354,4992,12330,5008,12307,5023,12284,5039,12260,5054,12215,5070,12191,5086,12144,5101,12098,5117,12052,5132,11982,5148,11935,5164,11912,5179,11866,5195,11819,5210,11796,5226,11773,5242,11749,5257,11749,5273,11726,5288,11704,5304,11680,5320,11672,5334,11683,5350,11659,5365,11648,5381,11648,5396,11617,5412,11578,5428,11548,5443,11507,5459,11474,5474,11490,5490,11498,5506,11528,5521,11544,5537,11548,5552,11561,5568,11576,5584,11575,5599,11580,5615,11575,5630,11575,5646,11614,5662,11646,5677,11677,5693,11692,5708,11701,5724,11730,5740,11741,5755,11783,5771,11806,5802,11874,5849,11897,5864,11905,5880,11920,5896,11944,5911,11942,5927,11953,5942,11947,5958,11956,5974,11970,5989,12028,6005,12010,6020,12024,6036,12043,6052,12030,6067,12034,6083,12038,6098,12058,6114,12084,6130,12084,6176,12134,6208,12216,6223,12256,6238,12283,6253,12288,6269,12289,6284,12263,6300,12310,6316,12367,6331,12401,6347,12419,6362,12437,6378,12469,6394,12475,6409,12478,6425,12491,6440,12500,6456,12497,6472,12493,6487,12491,6503,12506,6518,12512,6534,12526,6550,12529,6565,12512,6581,12510,6596,12522,6612,12527,6628,12538,6643,12552,6659,12569,6674,12584,6690,12589,6706,12600,6721,12599,6737,12607,6752,12594,6768,12607,6784,12611,6799,12634,6815,12647,6830,12679,6846,12718,6862,12736,6877,12721,6893,12702,6908,12726,6924,12742,6940,12757,6955,12748,6971,12774,6986,12792,7002,12816,7018,12788,7033,12785,7049,12776,7064,12773,7080,12774,7096,12770,7111,12752,7127,12752,7142,12761,7157,12756,7172,12752,7188,12739,7204,12758,7219,12751,7235,12744,7250,12724,7266,12742,7282,12754,7297,12768,7313,12793,7328,12766,7344,12756,7360,12768,7375,12794,7391,12809,7406,12780,7422,12781,7438,12784,7453,12806,7469,12816,7484,12820,7500,12834,7516,12840,7531,12842,7547,12839,7562,12842,7578,12840,7594,12851,7609,12864,7625,12869,7640,12872,7656,12869,7672,12858,7687,12858,7703,12845,7718,12868,7734,12864,7750,12853,7765,12852,7781,12864,7796,12869,7812,12857,7828,12811,7843,12782,7859,12761,7874,12775,7890,12752,7906,12740,7921,12721,7937,12698,7952,12685,7968,12678,7984,12686,7999,12683,8015,12684,8030,12697,8046,12678,8062,12677,8076,12672,8092,12676,8107,12685,8123,12704,8138,12714,8154,12724,8170,12725,8185,12722,8201,12739,8216,12739,8232,12758,8248,12754,8263,12752,8279,12752,8294,12722,8310,12754,8326,12714,8341,12682,8357,12630,8372,12596,8388,12570,8404,12524,8419,12481,8435,12444,8450,12390,8466,12313,8482,12266,8497,12193,8513,12152,8528,12128,8544,12128,8560,12133,8575,12128,8591,12149,8606,12151,8622,12161,8638,12116,8653,12096,8669,12109,8684,12116,8700,12132,8716,12140,8731,12149,8747,12155,8762,12122,8778,12128,8794,12130,8809,12119,8825,12144,8840,12150,8856,12164,8872,12139,8887,12112,8903,12095,8918,12056,8934,12020,8950,12012,8965,11989,8981,12006,8995,12017,9011,12031,9026,12049,9042,12058,9058,12079,9073,12100,9089,12089,9104,12124,9120,12131,9136,12132,9151,12140,9167,12142,9182,12139,9198,12103,9214,12134,9229,12146,9245,12155,9260,12156,9276,12174,9292,12168,9307,12187,9323,12245,9338,12290,9354,12280,9370,12293,9385,12356,9401,12388,9416,12426,9432,12463,9448,12496,9463,12529,9479,12558,9494,12568,9510,12574,9526,12593,9541,12632,9557,12643,9572,12660,9588,12671,9604,12678,9619,12652,9635,12654,9650,12674,9666,12704,9682,12721,9697,12755,9713,12776,9728,12776,9744,12779,9760,12769,9775,12779,9791,12793,9806,12809,9822,12814,9838,12820,9853,12799,9869,12833,9884,12835,9899,12842,9914,12854,9930,12863,9946,12878,9961,12896,9977,12901,9992,12924,10008,12929,10024,12949,10039,12952,10055,12965,10070,12971,10086,12964,10102,12946,10117,12956,10133,12978,10148,12982,10164,12983,10180,12989,10195,13019,10211,13022,10226,13019,10242,13010,10258,13014,10273,13018,10289,13024,10304,13043,10320,13040,10336,13069,10351,13067e" filled="false" stroked="true" strokeweight="1.75pt" strokecolor="#0f243e">
              <v:path arrowok="t"/>
              <v:stroke dashstyle="solid"/>
            </v:shape>
            <w10:wrap type="none"/>
          </v:group>
        </w:pict>
      </w:r>
    </w:p>
    <w:p>
      <w:pPr>
        <w:pStyle w:val="BodyText"/>
        <w:spacing w:before="6"/>
        <w:rPr>
          <w:sz w:val="19"/>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82"/>
      </w:tblGrid>
      <w:tr>
        <w:trPr>
          <w:trHeight w:val="358" w:hRule="atLeast"/>
        </w:trPr>
        <w:tc>
          <w:tcPr>
            <w:tcW w:w="9982" w:type="dxa"/>
          </w:tcPr>
          <w:p>
            <w:pPr>
              <w:pStyle w:val="TableParagraph"/>
              <w:spacing w:line="224" w:lineRule="exact"/>
              <w:ind w:left="200"/>
              <w:rPr>
                <w:b/>
                <w:sz w:val="20"/>
              </w:rPr>
            </w:pPr>
            <w:r>
              <w:rPr>
                <w:b/>
                <w:sz w:val="20"/>
              </w:rPr>
              <w:t>Chart 1: UK employment rate</w:t>
            </w:r>
          </w:p>
        </w:tc>
      </w:tr>
      <w:tr>
        <w:trPr>
          <w:trHeight w:val="3947" w:hRule="atLeast"/>
        </w:trPr>
        <w:tc>
          <w:tcPr>
            <w:tcW w:w="9982" w:type="dxa"/>
          </w:tcPr>
          <w:p>
            <w:pPr>
              <w:pStyle w:val="TableParagraph"/>
              <w:spacing w:before="129"/>
              <w:ind w:left="8339"/>
              <w:rPr>
                <w:sz w:val="20"/>
              </w:rPr>
            </w:pPr>
            <w:r>
              <w:rPr>
                <w:color w:val="7E7E7E"/>
                <w:sz w:val="20"/>
              </w:rPr>
              <w:t>Per cent</w:t>
            </w:r>
          </w:p>
          <w:p>
            <w:pPr>
              <w:pStyle w:val="TableParagraph"/>
              <w:spacing w:before="13"/>
              <w:ind w:left="9558"/>
              <w:rPr>
                <w:sz w:val="20"/>
              </w:rPr>
            </w:pPr>
            <w:r>
              <w:rPr>
                <w:color w:val="585858"/>
                <w:sz w:val="20"/>
              </w:rPr>
              <w:t>64</w:t>
            </w:r>
          </w:p>
          <w:p>
            <w:pPr>
              <w:pStyle w:val="TableParagraph"/>
              <w:spacing w:before="9"/>
              <w:rPr>
                <w:sz w:val="17"/>
              </w:rPr>
            </w:pPr>
          </w:p>
          <w:p>
            <w:pPr>
              <w:pStyle w:val="TableParagraph"/>
              <w:ind w:left="9558"/>
              <w:rPr>
                <w:sz w:val="20"/>
              </w:rPr>
            </w:pPr>
            <w:r>
              <w:rPr>
                <w:color w:val="585858"/>
                <w:sz w:val="20"/>
              </w:rPr>
              <w:t>62</w:t>
            </w:r>
          </w:p>
          <w:p>
            <w:pPr>
              <w:pStyle w:val="TableParagraph"/>
              <w:spacing w:before="8"/>
              <w:rPr>
                <w:sz w:val="17"/>
              </w:rPr>
            </w:pPr>
          </w:p>
          <w:p>
            <w:pPr>
              <w:pStyle w:val="TableParagraph"/>
              <w:spacing w:before="1"/>
              <w:ind w:left="9558"/>
              <w:rPr>
                <w:sz w:val="20"/>
              </w:rPr>
            </w:pPr>
            <w:r>
              <w:rPr>
                <w:color w:val="585858"/>
                <w:sz w:val="20"/>
              </w:rPr>
              <w:t>60</w:t>
            </w:r>
          </w:p>
          <w:p>
            <w:pPr>
              <w:pStyle w:val="TableParagraph"/>
              <w:spacing w:before="8"/>
              <w:rPr>
                <w:sz w:val="17"/>
              </w:rPr>
            </w:pPr>
          </w:p>
          <w:p>
            <w:pPr>
              <w:pStyle w:val="TableParagraph"/>
              <w:spacing w:before="1"/>
              <w:ind w:left="9558"/>
              <w:rPr>
                <w:sz w:val="20"/>
              </w:rPr>
            </w:pPr>
            <w:r>
              <w:rPr>
                <w:color w:val="585858"/>
                <w:sz w:val="20"/>
              </w:rPr>
              <w:t>58</w:t>
            </w:r>
          </w:p>
          <w:p>
            <w:pPr>
              <w:pStyle w:val="TableParagraph"/>
              <w:spacing w:before="8"/>
              <w:rPr>
                <w:sz w:val="17"/>
              </w:rPr>
            </w:pPr>
          </w:p>
          <w:p>
            <w:pPr>
              <w:pStyle w:val="TableParagraph"/>
              <w:ind w:left="9558"/>
              <w:rPr>
                <w:sz w:val="20"/>
              </w:rPr>
            </w:pPr>
            <w:r>
              <w:rPr>
                <w:color w:val="585858"/>
                <w:sz w:val="20"/>
              </w:rPr>
              <w:t>56</w:t>
            </w:r>
          </w:p>
          <w:p>
            <w:pPr>
              <w:pStyle w:val="TableParagraph"/>
              <w:spacing w:before="9"/>
              <w:rPr>
                <w:sz w:val="17"/>
              </w:rPr>
            </w:pPr>
          </w:p>
          <w:p>
            <w:pPr>
              <w:pStyle w:val="TableParagraph"/>
              <w:ind w:left="9558"/>
              <w:rPr>
                <w:sz w:val="20"/>
              </w:rPr>
            </w:pPr>
            <w:r>
              <w:rPr>
                <w:color w:val="585858"/>
                <w:sz w:val="20"/>
              </w:rPr>
              <w:t>54</w:t>
            </w:r>
          </w:p>
          <w:p>
            <w:pPr>
              <w:pStyle w:val="TableParagraph"/>
              <w:spacing w:before="9"/>
              <w:rPr>
                <w:sz w:val="17"/>
              </w:rPr>
            </w:pPr>
          </w:p>
          <w:p>
            <w:pPr>
              <w:pStyle w:val="TableParagraph"/>
              <w:ind w:left="9558"/>
              <w:rPr>
                <w:sz w:val="20"/>
              </w:rPr>
            </w:pPr>
            <w:r>
              <w:rPr>
                <w:color w:val="585858"/>
                <w:sz w:val="20"/>
              </w:rPr>
              <w:t>52</w:t>
            </w:r>
          </w:p>
          <w:p>
            <w:pPr>
              <w:pStyle w:val="TableParagraph"/>
              <w:spacing w:before="8"/>
              <w:rPr>
                <w:sz w:val="17"/>
              </w:rPr>
            </w:pPr>
          </w:p>
          <w:p>
            <w:pPr>
              <w:pStyle w:val="TableParagraph"/>
              <w:spacing w:before="1"/>
              <w:ind w:left="9558"/>
              <w:rPr>
                <w:sz w:val="20"/>
              </w:rPr>
            </w:pPr>
            <w:r>
              <w:rPr>
                <w:color w:val="585858"/>
                <w:sz w:val="20"/>
              </w:rPr>
              <w:t>50</w:t>
            </w:r>
          </w:p>
          <w:p>
            <w:pPr>
              <w:pStyle w:val="TableParagraph"/>
              <w:tabs>
                <w:tab w:pos="947" w:val="left" w:leader="none"/>
                <w:tab w:pos="1689" w:val="left" w:leader="none"/>
                <w:tab w:pos="2431" w:val="left" w:leader="none"/>
                <w:tab w:pos="3173" w:val="left" w:leader="none"/>
                <w:tab w:pos="3915" w:val="left" w:leader="none"/>
                <w:tab w:pos="4657" w:val="left" w:leader="none"/>
                <w:tab w:pos="5399" w:val="left" w:leader="none"/>
                <w:tab w:pos="6141" w:val="left" w:leader="none"/>
                <w:tab w:pos="6883" w:val="left" w:leader="none"/>
                <w:tab w:pos="7625" w:val="left" w:leader="none"/>
                <w:tab w:pos="8367" w:val="left" w:leader="none"/>
                <w:tab w:pos="9110" w:val="left" w:leader="none"/>
              </w:tabs>
              <w:spacing w:before="8"/>
              <w:ind w:left="205"/>
              <w:rPr>
                <w:sz w:val="20"/>
              </w:rPr>
            </w:pPr>
            <w:r>
              <w:rPr>
                <w:color w:val="7E7E7E"/>
                <w:sz w:val="20"/>
              </w:rPr>
              <w:t>1971</w:t>
              <w:tab/>
              <w:t>1975</w:t>
              <w:tab/>
              <w:t>1979</w:t>
              <w:tab/>
              <w:t>1983</w:t>
              <w:tab/>
              <w:t>1987</w:t>
              <w:tab/>
              <w:t>1991</w:t>
              <w:tab/>
              <w:t>1995</w:t>
              <w:tab/>
              <w:t>1999</w:t>
              <w:tab/>
              <w:t>2003</w:t>
              <w:tab/>
              <w:t>2007</w:t>
              <w:tab/>
              <w:t>2011</w:t>
              <w:tab/>
              <w:t>2015</w:t>
              <w:tab/>
              <w:t>2019</w:t>
            </w:r>
          </w:p>
        </w:tc>
      </w:tr>
      <w:tr>
        <w:trPr>
          <w:trHeight w:val="474" w:hRule="atLeast"/>
        </w:trPr>
        <w:tc>
          <w:tcPr>
            <w:tcW w:w="9982" w:type="dxa"/>
          </w:tcPr>
          <w:p>
            <w:pPr>
              <w:pStyle w:val="TableParagraph"/>
              <w:spacing w:before="61"/>
              <w:ind w:left="200"/>
              <w:rPr>
                <w:sz w:val="16"/>
              </w:rPr>
            </w:pPr>
            <w:r>
              <w:rPr>
                <w:sz w:val="16"/>
              </w:rPr>
              <w:t>Sources: ONS.</w:t>
            </w:r>
          </w:p>
          <w:p>
            <w:pPr>
              <w:pStyle w:val="TableParagraph"/>
              <w:spacing w:line="164" w:lineRule="exact" w:before="45"/>
              <w:ind w:left="200"/>
              <w:rPr>
                <w:sz w:val="16"/>
              </w:rPr>
            </w:pPr>
            <w:r>
              <w:rPr>
                <w:sz w:val="16"/>
              </w:rPr>
              <w:t>Notes: 16+ employment rate.</w:t>
            </w:r>
          </w:p>
        </w:tc>
      </w:tr>
    </w:tbl>
    <w:p>
      <w:pPr>
        <w:pStyle w:val="BodyText"/>
      </w:pPr>
    </w:p>
    <w:p>
      <w:pPr>
        <w:pStyle w:val="BodyText"/>
        <w:spacing w:before="2"/>
        <w:rPr>
          <w:sz w:val="22"/>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22"/>
      </w:tblGrid>
      <w:tr>
        <w:trPr>
          <w:trHeight w:val="263" w:hRule="atLeast"/>
        </w:trPr>
        <w:tc>
          <w:tcPr>
            <w:tcW w:w="10022" w:type="dxa"/>
          </w:tcPr>
          <w:p>
            <w:pPr>
              <w:pStyle w:val="TableParagraph"/>
              <w:spacing w:line="224" w:lineRule="exact"/>
              <w:ind w:left="200"/>
              <w:rPr>
                <w:b/>
                <w:sz w:val="20"/>
              </w:rPr>
            </w:pPr>
            <w:r>
              <w:rPr>
                <w:b/>
                <w:sz w:val="20"/>
              </w:rPr>
              <w:t>Chart 2: UK unemployment rate</w:t>
            </w:r>
          </w:p>
        </w:tc>
      </w:tr>
      <w:tr>
        <w:trPr>
          <w:trHeight w:val="3992" w:hRule="atLeast"/>
        </w:trPr>
        <w:tc>
          <w:tcPr>
            <w:tcW w:w="10022" w:type="dxa"/>
          </w:tcPr>
          <w:p>
            <w:pPr>
              <w:pStyle w:val="TableParagraph"/>
              <w:spacing w:line="191" w:lineRule="exact" w:before="33"/>
              <w:ind w:left="8226"/>
              <w:rPr>
                <w:sz w:val="20"/>
              </w:rPr>
            </w:pPr>
            <w:r>
              <w:rPr>
                <w:color w:val="7E7E7E"/>
                <w:sz w:val="20"/>
              </w:rPr>
              <w:t>Per cent</w:t>
            </w:r>
          </w:p>
          <w:p>
            <w:pPr>
              <w:pStyle w:val="TableParagraph"/>
              <w:spacing w:line="191" w:lineRule="exact"/>
              <w:ind w:left="9598"/>
              <w:rPr>
                <w:sz w:val="20"/>
              </w:rPr>
            </w:pPr>
            <w:r>
              <w:rPr>
                <w:color w:val="7E7E7E"/>
                <w:sz w:val="20"/>
              </w:rPr>
              <w:t>14</w:t>
            </w:r>
          </w:p>
          <w:p>
            <w:pPr>
              <w:pStyle w:val="TableParagraph"/>
              <w:spacing w:before="4"/>
              <w:rPr>
                <w:sz w:val="20"/>
              </w:rPr>
            </w:pPr>
          </w:p>
          <w:p>
            <w:pPr>
              <w:pStyle w:val="TableParagraph"/>
              <w:ind w:left="9598"/>
              <w:rPr>
                <w:sz w:val="20"/>
              </w:rPr>
            </w:pPr>
            <w:r>
              <w:rPr>
                <w:color w:val="7E7E7E"/>
                <w:sz w:val="20"/>
              </w:rPr>
              <w:t>12</w:t>
            </w:r>
          </w:p>
          <w:p>
            <w:pPr>
              <w:pStyle w:val="TableParagraph"/>
              <w:spacing w:before="5"/>
              <w:rPr>
                <w:sz w:val="20"/>
              </w:rPr>
            </w:pPr>
          </w:p>
          <w:p>
            <w:pPr>
              <w:pStyle w:val="TableParagraph"/>
              <w:ind w:left="9598"/>
              <w:rPr>
                <w:sz w:val="20"/>
              </w:rPr>
            </w:pPr>
            <w:r>
              <w:rPr>
                <w:color w:val="7E7E7E"/>
                <w:sz w:val="20"/>
              </w:rPr>
              <w:t>10</w:t>
            </w:r>
          </w:p>
          <w:p>
            <w:pPr>
              <w:pStyle w:val="TableParagraph"/>
              <w:spacing w:before="5"/>
              <w:rPr>
                <w:sz w:val="20"/>
              </w:rPr>
            </w:pPr>
          </w:p>
          <w:p>
            <w:pPr>
              <w:pStyle w:val="TableParagraph"/>
              <w:ind w:left="9598"/>
              <w:rPr>
                <w:sz w:val="20"/>
              </w:rPr>
            </w:pPr>
            <w:r>
              <w:rPr>
                <w:color w:val="7E7E7E"/>
                <w:w w:val="100"/>
                <w:sz w:val="20"/>
              </w:rPr>
              <w:t>8</w:t>
            </w:r>
          </w:p>
          <w:p>
            <w:pPr>
              <w:pStyle w:val="TableParagraph"/>
              <w:spacing w:before="4"/>
              <w:rPr>
                <w:sz w:val="20"/>
              </w:rPr>
            </w:pPr>
          </w:p>
          <w:p>
            <w:pPr>
              <w:pStyle w:val="TableParagraph"/>
              <w:spacing w:before="1"/>
              <w:ind w:left="9598"/>
              <w:rPr>
                <w:sz w:val="20"/>
              </w:rPr>
            </w:pPr>
            <w:r>
              <w:rPr>
                <w:color w:val="7E7E7E"/>
                <w:w w:val="100"/>
                <w:sz w:val="20"/>
              </w:rPr>
              <w:t>6</w:t>
            </w:r>
          </w:p>
          <w:p>
            <w:pPr>
              <w:pStyle w:val="TableParagraph"/>
              <w:spacing w:before="4"/>
              <w:rPr>
                <w:sz w:val="20"/>
              </w:rPr>
            </w:pPr>
          </w:p>
          <w:p>
            <w:pPr>
              <w:pStyle w:val="TableParagraph"/>
              <w:ind w:left="9598"/>
              <w:rPr>
                <w:sz w:val="20"/>
              </w:rPr>
            </w:pPr>
            <w:r>
              <w:rPr>
                <w:color w:val="7E7E7E"/>
                <w:w w:val="100"/>
                <w:sz w:val="20"/>
              </w:rPr>
              <w:t>4</w:t>
            </w:r>
          </w:p>
          <w:p>
            <w:pPr>
              <w:pStyle w:val="TableParagraph"/>
              <w:spacing w:before="5"/>
              <w:rPr>
                <w:sz w:val="20"/>
              </w:rPr>
            </w:pPr>
          </w:p>
          <w:p>
            <w:pPr>
              <w:pStyle w:val="TableParagraph"/>
              <w:ind w:left="9598"/>
              <w:rPr>
                <w:sz w:val="20"/>
              </w:rPr>
            </w:pPr>
            <w:r>
              <w:rPr>
                <w:color w:val="7E7E7E"/>
                <w:w w:val="100"/>
                <w:sz w:val="20"/>
              </w:rPr>
              <w:t>2</w:t>
            </w:r>
          </w:p>
          <w:p>
            <w:pPr>
              <w:pStyle w:val="TableParagraph"/>
              <w:spacing w:before="4"/>
              <w:rPr>
                <w:sz w:val="20"/>
              </w:rPr>
            </w:pPr>
          </w:p>
          <w:p>
            <w:pPr>
              <w:pStyle w:val="TableParagraph"/>
              <w:spacing w:before="1"/>
              <w:ind w:right="310"/>
              <w:jc w:val="right"/>
              <w:rPr>
                <w:sz w:val="20"/>
              </w:rPr>
            </w:pPr>
            <w:r>
              <w:rPr>
                <w:color w:val="7E7E7E"/>
                <w:w w:val="100"/>
                <w:sz w:val="20"/>
              </w:rPr>
              <w:t>0</w:t>
            </w:r>
          </w:p>
          <w:p>
            <w:pPr>
              <w:pStyle w:val="TableParagraph"/>
              <w:tabs>
                <w:tab w:pos="747" w:val="left" w:leader="none"/>
                <w:tab w:pos="1495" w:val="left" w:leader="none"/>
                <w:tab w:pos="2243" w:val="left" w:leader="none"/>
                <w:tab w:pos="2991" w:val="left" w:leader="none"/>
                <w:tab w:pos="3739" w:val="left" w:leader="none"/>
                <w:tab w:pos="4487" w:val="left" w:leader="none"/>
                <w:tab w:pos="5235" w:val="left" w:leader="none"/>
                <w:tab w:pos="5983" w:val="left" w:leader="none"/>
                <w:tab w:pos="6731" w:val="left" w:leader="none"/>
                <w:tab w:pos="7479" w:val="left" w:leader="none"/>
                <w:tab w:pos="8226" w:val="left" w:leader="none"/>
                <w:tab w:pos="8974" w:val="left" w:leader="none"/>
              </w:tabs>
              <w:spacing w:before="8"/>
              <w:ind w:right="394"/>
              <w:jc w:val="right"/>
              <w:rPr>
                <w:sz w:val="20"/>
              </w:rPr>
            </w:pPr>
            <w:r>
              <w:rPr>
                <w:color w:val="7E7E7E"/>
                <w:sz w:val="20"/>
              </w:rPr>
              <w:t>1971</w:t>
              <w:tab/>
              <w:t>1975</w:t>
              <w:tab/>
              <w:t>1979</w:t>
              <w:tab/>
              <w:t>1983</w:t>
              <w:tab/>
              <w:t>1987</w:t>
              <w:tab/>
              <w:t>1991</w:t>
              <w:tab/>
              <w:t>1995</w:t>
              <w:tab/>
              <w:t>1999</w:t>
              <w:tab/>
              <w:t>2003</w:t>
              <w:tab/>
              <w:t>2007</w:t>
              <w:tab/>
              <w:t>2011</w:t>
              <w:tab/>
              <w:t>2015</w:t>
              <w:tab/>
            </w:r>
            <w:r>
              <w:rPr>
                <w:color w:val="7E7E7E"/>
                <w:spacing w:val="-1"/>
                <w:sz w:val="20"/>
              </w:rPr>
              <w:t>2019</w:t>
            </w:r>
          </w:p>
        </w:tc>
      </w:tr>
      <w:tr>
        <w:trPr>
          <w:trHeight w:val="494" w:hRule="atLeast"/>
        </w:trPr>
        <w:tc>
          <w:tcPr>
            <w:tcW w:w="10022" w:type="dxa"/>
          </w:tcPr>
          <w:p>
            <w:pPr>
              <w:pStyle w:val="TableParagraph"/>
              <w:spacing w:before="81"/>
              <w:ind w:left="200"/>
              <w:rPr>
                <w:sz w:val="16"/>
              </w:rPr>
            </w:pPr>
            <w:r>
              <w:rPr>
                <w:sz w:val="16"/>
              </w:rPr>
              <w:t>Sources: ONS.</w:t>
            </w:r>
          </w:p>
          <w:p>
            <w:pPr>
              <w:pStyle w:val="TableParagraph"/>
              <w:spacing w:line="164" w:lineRule="exact" w:before="46"/>
              <w:ind w:left="200"/>
              <w:rPr>
                <w:sz w:val="16"/>
              </w:rPr>
            </w:pPr>
            <w:r>
              <w:rPr>
                <w:sz w:val="16"/>
              </w:rPr>
              <w:t>Notes: 16+ unemployment rate.</w:t>
            </w:r>
          </w:p>
        </w:tc>
      </w:tr>
    </w:tbl>
    <w:p>
      <w:pPr>
        <w:spacing w:after="0" w:line="164" w:lineRule="exact"/>
        <w:rPr>
          <w:sz w:val="16"/>
        </w:rPr>
        <w:sectPr>
          <w:footerReference w:type="default" r:id="rId9"/>
          <w:pgSz w:w="11910" w:h="16840"/>
          <w:pgMar w:footer="1333" w:header="0" w:top="1540" w:bottom="1520" w:left="800" w:right="820"/>
        </w:sectPr>
      </w:pPr>
    </w:p>
    <w:p>
      <w:pPr>
        <w:pStyle w:val="BodyText"/>
        <w:spacing w:line="355" w:lineRule="auto" w:before="69"/>
        <w:ind w:left="334" w:right="319"/>
      </w:pPr>
      <w:r>
        <w:rPr/>
        <w:pict>
          <v:group style="position:absolute;margin-left:118.105003pt;margin-top:141.79985pt;width:400.45pt;height:195.95pt;mso-position-horizontal-relative:page;mso-position-vertical-relative:paragraph;z-index:-254542848" coordorigin="2362,2836" coordsize="8009,3919">
            <v:line style="position:absolute" from="2370,6656" to="9560,6656" stroked="true" strokeweight="3.54pt" strokecolor="#0f243e">
              <v:stroke dashstyle="solid"/>
            </v:line>
            <v:rect style="position:absolute;left:2369;top:6620;width:7191;height:71" filled="false" stroked="true" strokeweight=".75pt" strokecolor="#4f81bc">
              <v:stroke dashstyle="solid"/>
            </v:rect>
            <v:line style="position:absolute" from="2370,6747" to="10370,6747" stroked="true" strokeweight=".75pt" strokecolor="#7e7e7e">
              <v:stroke dashstyle="solid"/>
            </v:line>
            <v:line style="position:absolute" from="2370,6330" to="9074,6330" stroked="true" strokeweight="3.6pt" strokecolor="#0f243e">
              <v:stroke dashstyle="solid"/>
            </v:line>
            <v:rect style="position:absolute;left:2369;top:6293;width:6705;height:72" filled="false" stroked="true" strokeweight=".75pt" strokecolor="#4f81bc">
              <v:stroke dashstyle="solid"/>
            </v:rect>
            <v:line style="position:absolute" from="2370,6003" to="8063,6003" stroked="true" strokeweight="3.6pt" strokecolor="#0f243e">
              <v:stroke dashstyle="solid"/>
            </v:line>
            <v:rect style="position:absolute;left:2369;top:5967;width:5694;height:72" filled="false" stroked="true" strokeweight=".75pt" strokecolor="#4f81bc">
              <v:stroke dashstyle="solid"/>
            </v:rect>
            <v:line style="position:absolute" from="2370,5678" to="7008,5678" stroked="true" strokeweight="3.6pt" strokecolor="#0f243e">
              <v:stroke dashstyle="solid"/>
            </v:line>
            <v:rect style="position:absolute;left:2369;top:5642;width:4639;height:72" filled="false" stroked="true" strokeweight=".75pt" strokecolor="#4f81bc">
              <v:stroke dashstyle="solid"/>
            </v:rect>
            <v:line style="position:absolute" from="2370,5352" to="7925,5352" stroked="true" strokeweight="3.6pt" strokecolor="#0f243e">
              <v:stroke dashstyle="solid"/>
            </v:line>
            <v:rect style="position:absolute;left:2369;top:5315;width:5556;height:72" filled="false" stroked="true" strokeweight=".75pt" strokecolor="#4f81bc">
              <v:stroke dashstyle="solid"/>
            </v:rect>
            <v:line style="position:absolute" from="2370,5026" to="7122,5026" stroked="true" strokeweight="3.54pt" strokecolor="#0f243e">
              <v:stroke dashstyle="solid"/>
            </v:line>
            <v:rect style="position:absolute;left:2369;top:4990;width:4753;height:71" filled="false" stroked="true" strokeweight=".75pt" strokecolor="#4f81bc">
              <v:stroke dashstyle="solid"/>
            </v:rect>
            <v:line style="position:absolute" from="2370,4700" to="9392,4700" stroked="true" strokeweight="3.6pt" strokecolor="#0f243e">
              <v:stroke dashstyle="solid"/>
            </v:line>
            <v:rect style="position:absolute;left:2369;top:4664;width:7023;height:72" filled="false" stroked="true" strokeweight=".75pt" strokecolor="#4f81bc">
              <v:stroke dashstyle="solid"/>
            </v:rect>
            <v:line style="position:absolute" from="2370,4374" to="6774,4374" stroked="true" strokeweight="3.6pt" strokecolor="#0f243e">
              <v:stroke dashstyle="solid"/>
            </v:line>
            <v:rect style="position:absolute;left:2369;top:4337;width:4405;height:72" filled="false" stroked="true" strokeweight=".75pt" strokecolor="#4f81bc">
              <v:stroke dashstyle="solid"/>
            </v:rect>
            <v:line style="position:absolute" from="2370,4049" to="6916,4049" stroked="true" strokeweight="3.6pt" strokecolor="#0f243e">
              <v:stroke dashstyle="solid"/>
            </v:line>
            <v:rect style="position:absolute;left:2369;top:4012;width:4546;height:72" filled="false" stroked="true" strokeweight=".75pt" strokecolor="#4f81bc">
              <v:stroke dashstyle="solid"/>
            </v:rect>
            <v:line style="position:absolute" from="2370,3722" to="8507,3722" stroked="true" strokeweight="3.6pt" strokecolor="#0f243e">
              <v:stroke dashstyle="solid"/>
            </v:line>
            <v:rect style="position:absolute;left:2369;top:3686;width:6138;height:72" filled="false" stroked="true" strokeweight=".75pt" strokecolor="#4f81bc">
              <v:stroke dashstyle="solid"/>
            </v:rect>
            <v:line style="position:absolute" from="2370,3396" to="8657,3396" stroked="true" strokeweight="3.54pt" strokecolor="#0f243e">
              <v:stroke dashstyle="solid"/>
            </v:line>
            <v:rect style="position:absolute;left:2369;top:3361;width:6288;height:71" filled="false" stroked="true" strokeweight=".75pt" strokecolor="#4f81bc">
              <v:stroke dashstyle="solid"/>
            </v:rect>
            <v:line style="position:absolute" from="2370,3071" to="8263,3071" stroked="true" strokeweight="3.6pt" strokecolor="#0f243e">
              <v:stroke dashstyle="solid"/>
            </v:line>
            <v:rect style="position:absolute;left:2369;top:3034;width:5894;height:72" filled="false" stroked="true" strokeweight=".75pt" strokecolor="#4f81bc">
              <v:stroke dashstyle="solid"/>
            </v:rect>
            <v:line style="position:absolute" from="2370,6747" to="2370,2836" stroked="true" strokeweight=".75pt" strokecolor="#7e7e7e">
              <v:stroke dashstyle="solid"/>
            </v:line>
            <w10:wrap type="none"/>
          </v:group>
        </w:pict>
      </w:r>
      <w:r>
        <w:rPr/>
        <w:t>This jobs bonanza has had a broad geographic base. Since 2012, unemployment has fallen by at least 4 percentage points in all corners of the UK (Chart 3). Unemployment here in Scunthorpe has also fallen significantly from its peak of over 11% during the financial crisis but, at around 7 ½%, remains well above the national average.</w:t>
      </w:r>
    </w:p>
    <w:p>
      <w:pPr>
        <w:pStyle w:val="BodyText"/>
      </w:pPr>
    </w:p>
    <w:p>
      <w:pPr>
        <w:pStyle w:val="BodyText"/>
        <w:spacing w:before="1" w:after="1"/>
        <w:rPr>
          <w:sz w:val="10"/>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88"/>
      </w:tblGrid>
      <w:tr>
        <w:trPr>
          <w:trHeight w:val="362" w:hRule="atLeast"/>
        </w:trPr>
        <w:tc>
          <w:tcPr>
            <w:tcW w:w="9688" w:type="dxa"/>
          </w:tcPr>
          <w:p>
            <w:pPr>
              <w:pStyle w:val="TableParagraph"/>
              <w:spacing w:line="224" w:lineRule="exact"/>
              <w:ind w:left="200"/>
              <w:rPr>
                <w:b/>
                <w:sz w:val="20"/>
              </w:rPr>
            </w:pPr>
            <w:r>
              <w:rPr>
                <w:b/>
                <w:sz w:val="20"/>
              </w:rPr>
              <w:t>Chart 3: Fall in UK unemployment by region (latest vs. post-crisis peak)</w:t>
            </w:r>
          </w:p>
        </w:tc>
      </w:tr>
      <w:tr>
        <w:trPr>
          <w:trHeight w:val="5511" w:hRule="atLeast"/>
        </w:trPr>
        <w:tc>
          <w:tcPr>
            <w:tcW w:w="9688" w:type="dxa"/>
          </w:tcPr>
          <w:p>
            <w:pPr>
              <w:pStyle w:val="TableParagraph"/>
              <w:spacing w:before="132"/>
              <w:ind w:left="565"/>
              <w:rPr>
                <w:sz w:val="20"/>
              </w:rPr>
            </w:pPr>
            <w:r>
              <w:rPr>
                <w:color w:val="7E7E7E"/>
                <w:sz w:val="20"/>
              </w:rPr>
              <w:t>Region</w:t>
            </w:r>
          </w:p>
          <w:p>
            <w:pPr>
              <w:pStyle w:val="TableParagraph"/>
              <w:spacing w:before="6"/>
              <w:rPr>
                <w:sz w:val="32"/>
              </w:rPr>
            </w:pPr>
          </w:p>
          <w:p>
            <w:pPr>
              <w:pStyle w:val="TableParagraph"/>
              <w:ind w:left="1063"/>
              <w:rPr>
                <w:sz w:val="20"/>
              </w:rPr>
            </w:pPr>
            <w:r>
              <w:rPr>
                <w:color w:val="585858"/>
                <w:sz w:val="20"/>
              </w:rPr>
              <w:t>NI</w:t>
            </w:r>
          </w:p>
          <w:p>
            <w:pPr>
              <w:pStyle w:val="TableParagraph"/>
              <w:spacing w:line="340" w:lineRule="auto" w:before="95"/>
              <w:ind w:left="707" w:right="8422" w:hanging="223"/>
              <w:jc w:val="right"/>
              <w:rPr>
                <w:sz w:val="20"/>
              </w:rPr>
            </w:pPr>
            <w:r>
              <w:rPr>
                <w:color w:val="585858"/>
                <w:spacing w:val="-1"/>
                <w:sz w:val="20"/>
              </w:rPr>
              <w:t>Scotland Wales</w:t>
            </w:r>
          </w:p>
          <w:p>
            <w:pPr>
              <w:pStyle w:val="TableParagraph"/>
              <w:spacing w:line="340" w:lineRule="auto"/>
              <w:ind w:left="996" w:right="8405" w:hanging="56"/>
              <w:rPr>
                <w:sz w:val="20"/>
              </w:rPr>
            </w:pPr>
            <w:r>
              <w:rPr>
                <w:color w:val="585858"/>
                <w:sz w:val="20"/>
              </w:rPr>
              <w:t>SW SE</w:t>
            </w:r>
          </w:p>
          <w:p>
            <w:pPr>
              <w:pStyle w:val="TableParagraph"/>
              <w:spacing w:line="229" w:lineRule="exact"/>
              <w:ind w:right="8422"/>
              <w:jc w:val="right"/>
              <w:rPr>
                <w:sz w:val="20"/>
              </w:rPr>
            </w:pPr>
            <w:r>
              <w:rPr>
                <w:color w:val="585858"/>
                <w:spacing w:val="-1"/>
                <w:sz w:val="20"/>
              </w:rPr>
              <w:t>London</w:t>
            </w:r>
          </w:p>
          <w:p>
            <w:pPr>
              <w:pStyle w:val="TableParagraph"/>
              <w:spacing w:line="340" w:lineRule="auto" w:before="95"/>
              <w:ind w:left="597" w:right="8422" w:firstLine="266"/>
              <w:jc w:val="right"/>
              <w:rPr>
                <w:sz w:val="20"/>
              </w:rPr>
            </w:pPr>
            <w:r>
              <w:rPr>
                <w:color w:val="585858"/>
                <w:spacing w:val="-1"/>
                <w:sz w:val="20"/>
              </w:rPr>
              <w:t>East </w:t>
            </w:r>
            <w:r>
              <w:rPr>
                <w:color w:val="585858"/>
                <w:sz w:val="20"/>
              </w:rPr>
              <w:t>W</w:t>
            </w:r>
            <w:r>
              <w:rPr>
                <w:color w:val="585858"/>
                <w:spacing w:val="2"/>
                <w:sz w:val="20"/>
              </w:rPr>
              <w:t> </w:t>
            </w:r>
            <w:r>
              <w:rPr>
                <w:color w:val="585858"/>
                <w:spacing w:val="-5"/>
                <w:sz w:val="20"/>
              </w:rPr>
              <w:t>Mids</w:t>
            </w:r>
            <w:r>
              <w:rPr>
                <w:color w:val="585858"/>
                <w:w w:val="100"/>
                <w:sz w:val="20"/>
              </w:rPr>
              <w:t> </w:t>
            </w:r>
            <w:r>
              <w:rPr>
                <w:color w:val="585858"/>
                <w:sz w:val="20"/>
              </w:rPr>
              <w:t>E</w:t>
            </w:r>
            <w:r>
              <w:rPr>
                <w:color w:val="585858"/>
                <w:spacing w:val="-1"/>
                <w:sz w:val="20"/>
              </w:rPr>
              <w:t> </w:t>
            </w:r>
            <w:r>
              <w:rPr>
                <w:color w:val="585858"/>
                <w:sz w:val="20"/>
              </w:rPr>
              <w:t>Mids</w:t>
            </w:r>
            <w:r>
              <w:rPr>
                <w:color w:val="585858"/>
                <w:w w:val="100"/>
                <w:sz w:val="20"/>
              </w:rPr>
              <w:t> </w:t>
            </w:r>
            <w:r>
              <w:rPr>
                <w:color w:val="585858"/>
                <w:spacing w:val="-1"/>
                <w:sz w:val="20"/>
              </w:rPr>
              <w:t>Y&amp;H</w:t>
            </w:r>
            <w:r>
              <w:rPr>
                <w:color w:val="585858"/>
                <w:spacing w:val="-1"/>
                <w:w w:val="100"/>
                <w:sz w:val="20"/>
              </w:rPr>
              <w:t> </w:t>
            </w:r>
            <w:r>
              <w:rPr>
                <w:color w:val="585858"/>
                <w:spacing w:val="-1"/>
                <w:sz w:val="20"/>
              </w:rPr>
              <w:t>NW</w:t>
            </w:r>
          </w:p>
          <w:p>
            <w:pPr>
              <w:pStyle w:val="TableParagraph"/>
              <w:spacing w:line="227" w:lineRule="exact"/>
              <w:ind w:right="8423"/>
              <w:jc w:val="right"/>
              <w:rPr>
                <w:sz w:val="20"/>
              </w:rPr>
            </w:pPr>
            <w:r>
              <w:rPr>
                <w:color w:val="585858"/>
                <w:spacing w:val="-1"/>
                <w:sz w:val="20"/>
              </w:rPr>
              <w:t>NE</w:t>
            </w:r>
          </w:p>
          <w:p>
            <w:pPr>
              <w:pStyle w:val="TableParagraph"/>
              <w:tabs>
                <w:tab w:pos="2528" w:val="left" w:leader="none"/>
                <w:tab w:pos="3671" w:val="left" w:leader="none"/>
                <w:tab w:pos="4815" w:val="left" w:leader="none"/>
                <w:tab w:pos="5958" w:val="left" w:leader="none"/>
                <w:tab w:pos="7101" w:val="left" w:leader="none"/>
                <w:tab w:pos="8244" w:val="left" w:leader="none"/>
                <w:tab w:pos="9387" w:val="left" w:leader="none"/>
              </w:tabs>
              <w:spacing w:before="160"/>
              <w:ind w:left="1386"/>
              <w:rPr>
                <w:sz w:val="18"/>
              </w:rPr>
            </w:pPr>
            <w:r>
              <w:rPr>
                <w:color w:val="585858"/>
                <w:sz w:val="18"/>
              </w:rPr>
              <w:t>0</w:t>
              <w:tab/>
              <w:t>1</w:t>
              <w:tab/>
              <w:t>2</w:t>
              <w:tab/>
              <w:t>3</w:t>
              <w:tab/>
              <w:t>4</w:t>
              <w:tab/>
              <w:t>5</w:t>
              <w:tab/>
              <w:t>6</w:t>
              <w:tab/>
              <w:t>7</w:t>
            </w:r>
          </w:p>
          <w:p>
            <w:pPr>
              <w:pStyle w:val="TableParagraph"/>
              <w:spacing w:before="5"/>
              <w:rPr>
                <w:sz w:val="16"/>
              </w:rPr>
            </w:pPr>
          </w:p>
          <w:p>
            <w:pPr>
              <w:pStyle w:val="TableParagraph"/>
              <w:ind w:left="4281" w:right="3754"/>
              <w:jc w:val="center"/>
              <w:rPr>
                <w:sz w:val="20"/>
              </w:rPr>
            </w:pPr>
            <w:r>
              <w:rPr>
                <w:color w:val="7E7E7E"/>
                <w:sz w:val="20"/>
              </w:rPr>
              <w:t>Percentage points</w:t>
            </w:r>
          </w:p>
        </w:tc>
      </w:tr>
      <w:tr>
        <w:trPr>
          <w:trHeight w:val="628" w:hRule="atLeast"/>
        </w:trPr>
        <w:tc>
          <w:tcPr>
            <w:tcW w:w="9688" w:type="dxa"/>
          </w:tcPr>
          <w:p>
            <w:pPr>
              <w:pStyle w:val="TableParagraph"/>
              <w:spacing w:before="7"/>
              <w:rPr>
                <w:sz w:val="14"/>
              </w:rPr>
            </w:pPr>
          </w:p>
          <w:p>
            <w:pPr>
              <w:pStyle w:val="TableParagraph"/>
              <w:ind w:left="200"/>
              <w:rPr>
                <w:sz w:val="16"/>
              </w:rPr>
            </w:pPr>
            <w:r>
              <w:rPr>
                <w:sz w:val="16"/>
              </w:rPr>
              <w:t>Sources: ONS and Bank of England calculations.</w:t>
            </w:r>
          </w:p>
          <w:p>
            <w:pPr>
              <w:pStyle w:val="TableParagraph"/>
              <w:spacing w:line="164" w:lineRule="exact" w:before="92"/>
              <w:ind w:left="200"/>
              <w:rPr>
                <w:sz w:val="16"/>
              </w:rPr>
            </w:pPr>
            <w:r>
              <w:rPr>
                <w:sz w:val="16"/>
              </w:rPr>
              <w:t>Notes: Data for NUTS1 regions. Changes between post-crisis peak and latest data in Labour Force Statistics.</w:t>
            </w:r>
          </w:p>
        </w:tc>
      </w:tr>
    </w:tbl>
    <w:p>
      <w:pPr>
        <w:pStyle w:val="BodyText"/>
      </w:pPr>
    </w:p>
    <w:p>
      <w:pPr>
        <w:pStyle w:val="BodyText"/>
        <w:spacing w:before="2"/>
        <w:rPr>
          <w:sz w:val="19"/>
        </w:rPr>
      </w:pPr>
    </w:p>
    <w:p>
      <w:pPr>
        <w:pStyle w:val="BodyText"/>
        <w:spacing w:line="355" w:lineRule="auto"/>
        <w:ind w:left="334" w:right="319"/>
      </w:pPr>
      <w:r>
        <w:rPr/>
        <w:t>A high quantity of new jobs is no guarantee of </w:t>
      </w:r>
      <w:r>
        <w:rPr>
          <w:i/>
        </w:rPr>
        <w:t>quality</w:t>
      </w:r>
      <w:r>
        <w:rPr/>
        <w:t>. Yet recent job creation has also been encouraging on that front. Of the jobs created since 2012, over 2.7 million or around 80% have been full-time. Around half (over 1.7 million) have been taken by women. Employment rates among the youngest (aged 16-24) and oldest (aged 55+) have both risen strongly, by around four to five percentage points, respectively.</w:t>
      </w:r>
    </w:p>
    <w:p>
      <w:pPr>
        <w:pStyle w:val="BodyText"/>
        <w:spacing w:before="4"/>
        <w:rPr>
          <w:sz w:val="29"/>
        </w:rPr>
      </w:pPr>
    </w:p>
    <w:p>
      <w:pPr>
        <w:pStyle w:val="BodyText"/>
        <w:spacing w:line="352" w:lineRule="auto"/>
        <w:ind w:left="334" w:right="388"/>
        <w:rPr>
          <w:sz w:val="13"/>
        </w:rPr>
      </w:pPr>
      <w:r>
        <w:rPr/>
        <w:t>The jobs bonanza has been fairly broadly-based across the occupational spectrum too (Chart 4). Unusually, all of the main categories of occupation have seen a rise in employment rates since 2012. As elsewhere, this boost has been largest at the higher-skill (such as managers and directors) and lower-skill (such as elementary occupations) ends of the occupational spectrum, with the mid-skilled benefitting</w:t>
      </w:r>
      <w:r>
        <w:rPr>
          <w:spacing w:val="-10"/>
        </w:rPr>
        <w:t> </w:t>
      </w:r>
      <w:r>
        <w:rPr/>
        <w:t>least.</w:t>
      </w:r>
      <w:r>
        <w:rPr>
          <w:position w:val="7"/>
          <w:sz w:val="13"/>
        </w:rPr>
        <w:t>2</w:t>
      </w:r>
    </w:p>
    <w:p>
      <w:pPr>
        <w:pStyle w:val="BodyText"/>
      </w:pPr>
    </w:p>
    <w:p>
      <w:pPr>
        <w:pStyle w:val="BodyText"/>
      </w:pPr>
    </w:p>
    <w:p>
      <w:pPr>
        <w:pStyle w:val="BodyText"/>
      </w:pPr>
    </w:p>
    <w:p>
      <w:pPr>
        <w:pStyle w:val="BodyText"/>
      </w:pPr>
    </w:p>
    <w:p>
      <w:pPr>
        <w:pStyle w:val="BodyText"/>
      </w:pPr>
    </w:p>
    <w:p>
      <w:pPr>
        <w:pStyle w:val="BodyText"/>
        <w:spacing w:before="4"/>
        <w:rPr>
          <w:sz w:val="22"/>
        </w:rPr>
      </w:pPr>
      <w:r>
        <w:rPr/>
        <w:pict>
          <v:shape style="position:absolute;margin-left:56.700001pt;margin-top:15.071621pt;width:144.050pt;height:.1pt;mso-position-horizontal-relative:page;mso-position-vertical-relative:paragraph;z-index:-251654144;mso-wrap-distance-left:0;mso-wrap-distance-right:0" coordorigin="1134,301" coordsize="2881,0" path="m1134,301l4014,301e" filled="false" stroked="true" strokeweight=".47998pt" strokecolor="#000000">
            <v:path arrowok="t"/>
            <v:stroke dashstyle="solid"/>
            <w10:wrap type="topAndBottom"/>
          </v:shape>
        </w:pict>
      </w:r>
    </w:p>
    <w:p>
      <w:pPr>
        <w:spacing w:before="51"/>
        <w:ind w:left="334" w:right="0" w:firstLine="0"/>
        <w:jc w:val="left"/>
        <w:rPr>
          <w:sz w:val="16"/>
        </w:rPr>
      </w:pPr>
      <w:r>
        <w:rPr>
          <w:position w:val="6"/>
          <w:sz w:val="10"/>
        </w:rPr>
        <w:t>2 </w:t>
      </w:r>
      <w:r>
        <w:rPr>
          <w:sz w:val="16"/>
        </w:rPr>
        <w:t>For example, Haldane (2018), Autor (2014) and Autor (2017).</w:t>
      </w:r>
    </w:p>
    <w:p>
      <w:pPr>
        <w:spacing w:after="0"/>
        <w:jc w:val="left"/>
        <w:rPr>
          <w:sz w:val="16"/>
        </w:rPr>
        <w:sectPr>
          <w:footerReference w:type="default" r:id="rId10"/>
          <w:pgSz w:w="11910" w:h="16840"/>
          <w:pgMar w:footer="1333" w:header="0" w:top="1460" w:bottom="1520" w:left="800" w:right="820"/>
          <w:pgNumType w:start="4"/>
        </w:sect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11"/>
      </w:tblGrid>
      <w:tr>
        <w:trPr>
          <w:trHeight w:val="324" w:hRule="atLeast"/>
        </w:trPr>
        <w:tc>
          <w:tcPr>
            <w:tcW w:w="10011" w:type="dxa"/>
          </w:tcPr>
          <w:p>
            <w:pPr>
              <w:pStyle w:val="TableParagraph"/>
              <w:spacing w:line="220" w:lineRule="exact"/>
              <w:ind w:left="200"/>
              <w:rPr>
                <w:b/>
                <w:sz w:val="20"/>
              </w:rPr>
            </w:pPr>
            <w:r>
              <w:rPr>
                <w:b/>
                <w:sz w:val="20"/>
              </w:rPr>
              <w:t>Chart 4: Change in UK employment by profession</w:t>
            </w:r>
          </w:p>
        </w:tc>
      </w:tr>
      <w:tr>
        <w:trPr>
          <w:trHeight w:val="5674" w:hRule="atLeast"/>
        </w:trPr>
        <w:tc>
          <w:tcPr>
            <w:tcW w:w="10011" w:type="dxa"/>
          </w:tcPr>
          <w:p>
            <w:pPr>
              <w:pStyle w:val="TableParagraph"/>
              <w:spacing w:line="224" w:lineRule="exact" w:before="91"/>
              <w:ind w:left="3984"/>
              <w:rPr>
                <w:sz w:val="20"/>
              </w:rPr>
            </w:pPr>
            <w:r>
              <w:rPr>
                <w:color w:val="808080"/>
                <w:sz w:val="20"/>
              </w:rPr>
              <w:t>Percentage change in employment between 2011 and 2018</w:t>
            </w:r>
          </w:p>
          <w:p>
            <w:pPr>
              <w:pStyle w:val="TableParagraph"/>
              <w:spacing w:line="224" w:lineRule="exact"/>
              <w:ind w:left="9588"/>
              <w:rPr>
                <w:sz w:val="20"/>
              </w:rPr>
            </w:pPr>
            <w:r>
              <w:rPr>
                <w:color w:val="7E7E7E"/>
                <w:sz w:val="20"/>
              </w:rPr>
              <w:t>25</w:t>
            </w:r>
          </w:p>
          <w:p>
            <w:pPr>
              <w:pStyle w:val="TableParagraph"/>
              <w:rPr>
                <w:sz w:val="22"/>
              </w:rPr>
            </w:pPr>
          </w:p>
          <w:p>
            <w:pPr>
              <w:pStyle w:val="TableParagraph"/>
              <w:spacing w:before="9"/>
              <w:rPr>
                <w:sz w:val="32"/>
              </w:rPr>
            </w:pPr>
          </w:p>
          <w:p>
            <w:pPr>
              <w:pStyle w:val="TableParagraph"/>
              <w:spacing w:before="1"/>
              <w:ind w:left="9588"/>
              <w:rPr>
                <w:sz w:val="20"/>
              </w:rPr>
            </w:pPr>
            <w:r>
              <w:rPr>
                <w:color w:val="7E7E7E"/>
                <w:sz w:val="20"/>
              </w:rPr>
              <w:t>20</w:t>
            </w:r>
          </w:p>
          <w:p>
            <w:pPr>
              <w:pStyle w:val="TableParagraph"/>
              <w:rPr>
                <w:sz w:val="22"/>
              </w:rPr>
            </w:pPr>
          </w:p>
          <w:p>
            <w:pPr>
              <w:pStyle w:val="TableParagraph"/>
              <w:spacing w:before="9"/>
              <w:rPr>
                <w:sz w:val="32"/>
              </w:rPr>
            </w:pPr>
          </w:p>
          <w:p>
            <w:pPr>
              <w:pStyle w:val="TableParagraph"/>
              <w:ind w:left="9588"/>
              <w:rPr>
                <w:sz w:val="20"/>
              </w:rPr>
            </w:pPr>
            <w:r>
              <w:rPr>
                <w:color w:val="7E7E7E"/>
                <w:sz w:val="20"/>
              </w:rPr>
              <w:t>15</w:t>
            </w:r>
          </w:p>
          <w:p>
            <w:pPr>
              <w:pStyle w:val="TableParagraph"/>
              <w:rPr>
                <w:sz w:val="22"/>
              </w:rPr>
            </w:pPr>
          </w:p>
          <w:p>
            <w:pPr>
              <w:pStyle w:val="TableParagraph"/>
              <w:spacing w:before="9"/>
              <w:rPr>
                <w:sz w:val="32"/>
              </w:rPr>
            </w:pPr>
          </w:p>
          <w:p>
            <w:pPr>
              <w:pStyle w:val="TableParagraph"/>
              <w:spacing w:before="1"/>
              <w:ind w:left="9588"/>
              <w:rPr>
                <w:sz w:val="20"/>
              </w:rPr>
            </w:pPr>
            <w:r>
              <w:rPr>
                <w:color w:val="7E7E7E"/>
                <w:sz w:val="20"/>
              </w:rPr>
              <w:t>10</w:t>
            </w:r>
          </w:p>
          <w:p>
            <w:pPr>
              <w:pStyle w:val="TableParagraph"/>
              <w:rPr>
                <w:sz w:val="22"/>
              </w:rPr>
            </w:pPr>
          </w:p>
          <w:p>
            <w:pPr>
              <w:pStyle w:val="TableParagraph"/>
              <w:spacing w:before="9"/>
              <w:rPr>
                <w:sz w:val="32"/>
              </w:rPr>
            </w:pPr>
          </w:p>
          <w:p>
            <w:pPr>
              <w:pStyle w:val="TableParagraph"/>
              <w:ind w:left="9588"/>
              <w:rPr>
                <w:sz w:val="20"/>
              </w:rPr>
            </w:pPr>
            <w:r>
              <w:rPr>
                <w:color w:val="7E7E7E"/>
                <w:w w:val="100"/>
                <w:sz w:val="20"/>
              </w:rPr>
              <w:t>5</w:t>
            </w:r>
          </w:p>
          <w:p>
            <w:pPr>
              <w:pStyle w:val="TableParagraph"/>
              <w:rPr>
                <w:sz w:val="22"/>
              </w:rPr>
            </w:pPr>
          </w:p>
          <w:p>
            <w:pPr>
              <w:pStyle w:val="TableParagraph"/>
              <w:spacing w:before="9"/>
              <w:rPr>
                <w:sz w:val="32"/>
              </w:rPr>
            </w:pPr>
          </w:p>
          <w:p>
            <w:pPr>
              <w:pStyle w:val="TableParagraph"/>
              <w:spacing w:line="223" w:lineRule="exact" w:before="1"/>
              <w:ind w:left="9588"/>
              <w:rPr>
                <w:sz w:val="20"/>
              </w:rPr>
            </w:pPr>
            <w:r>
              <w:rPr>
                <w:color w:val="7E7E7E"/>
                <w:w w:val="100"/>
                <w:sz w:val="20"/>
              </w:rPr>
              <w:t>0</w:t>
            </w:r>
          </w:p>
          <w:p>
            <w:pPr>
              <w:pStyle w:val="TableParagraph"/>
              <w:tabs>
                <w:tab w:pos="2456" w:val="left" w:leader="none"/>
                <w:tab w:pos="3687" w:val="left" w:leader="none"/>
                <w:tab w:pos="4393" w:val="left" w:leader="none"/>
                <w:tab w:pos="5597" w:val="left" w:leader="none"/>
                <w:tab w:pos="6516" w:val="left" w:leader="none"/>
                <w:tab w:pos="7551" w:val="left" w:leader="none"/>
                <w:tab w:pos="8462" w:val="left" w:leader="none"/>
                <w:tab w:pos="8502" w:val="left" w:leader="none"/>
              </w:tabs>
              <w:ind w:left="293" w:right="657" w:firstLine="97"/>
              <w:rPr>
                <w:sz w:val="16"/>
              </w:rPr>
            </w:pPr>
            <w:r>
              <w:rPr>
                <w:color w:val="585858"/>
                <w:sz w:val="16"/>
              </w:rPr>
              <w:t>Managers,   </w:t>
            </w:r>
            <w:r>
              <w:rPr>
                <w:color w:val="585858"/>
                <w:spacing w:val="19"/>
                <w:sz w:val="16"/>
              </w:rPr>
              <w:t> </w:t>
            </w:r>
            <w:r>
              <w:rPr>
                <w:color w:val="585858"/>
                <w:sz w:val="16"/>
              </w:rPr>
              <w:t>Professional</w:t>
              <w:tab/>
              <w:t>Associate  </w:t>
            </w:r>
            <w:r>
              <w:rPr>
                <w:color w:val="585858"/>
                <w:spacing w:val="34"/>
                <w:sz w:val="16"/>
              </w:rPr>
              <w:t> </w:t>
            </w:r>
            <w:r>
              <w:rPr>
                <w:color w:val="585858"/>
                <w:sz w:val="16"/>
              </w:rPr>
              <w:t>AdministrativeSkilled</w:t>
            </w:r>
            <w:r>
              <w:rPr>
                <w:color w:val="585858"/>
                <w:spacing w:val="-2"/>
                <w:sz w:val="16"/>
              </w:rPr>
              <w:t> </w:t>
            </w:r>
            <w:r>
              <w:rPr>
                <w:color w:val="585858"/>
                <w:sz w:val="16"/>
              </w:rPr>
              <w:t>Trades</w:t>
              <w:tab/>
              <w:t>Caring,</w:t>
              <w:tab/>
              <w:t>Sales and</w:t>
              <w:tab/>
              <w:t>Process,</w:t>
              <w:tab/>
              <w:tab/>
              <w:t>Elementary Directors and  Occupations   Prof.</w:t>
            </w:r>
            <w:r>
              <w:rPr>
                <w:color w:val="585858"/>
                <w:spacing w:val="-3"/>
                <w:sz w:val="16"/>
              </w:rPr>
              <w:t> </w:t>
            </w:r>
            <w:r>
              <w:rPr>
                <w:color w:val="585858"/>
                <w:sz w:val="16"/>
              </w:rPr>
              <w:t>&amp;</w:t>
            </w:r>
            <w:r>
              <w:rPr>
                <w:color w:val="585858"/>
                <w:spacing w:val="-1"/>
                <w:sz w:val="16"/>
              </w:rPr>
              <w:t> </w:t>
            </w:r>
            <w:r>
              <w:rPr>
                <w:color w:val="585858"/>
                <w:sz w:val="16"/>
              </w:rPr>
              <w:t>Tech</w:t>
              <w:tab/>
              <w:t>and</w:t>
              <w:tab/>
              <w:t>Occupations  </w:t>
            </w:r>
            <w:r>
              <w:rPr>
                <w:color w:val="585858"/>
                <w:spacing w:val="18"/>
                <w:sz w:val="16"/>
              </w:rPr>
              <w:t> </w:t>
            </w:r>
            <w:r>
              <w:rPr>
                <w:color w:val="585858"/>
                <w:sz w:val="16"/>
              </w:rPr>
              <w:t>Leisure</w:t>
            </w:r>
            <w:r>
              <w:rPr>
                <w:color w:val="585858"/>
                <w:spacing w:val="-1"/>
                <w:sz w:val="16"/>
              </w:rPr>
              <w:t> </w:t>
            </w:r>
            <w:r>
              <w:rPr>
                <w:color w:val="585858"/>
                <w:sz w:val="16"/>
              </w:rPr>
              <w:t>and</w:t>
              <w:tab/>
              <w:t>Customer</w:t>
              <w:tab/>
              <w:t>Plant</w:t>
            </w:r>
            <w:r>
              <w:rPr>
                <w:color w:val="585858"/>
                <w:spacing w:val="-2"/>
                <w:sz w:val="16"/>
              </w:rPr>
              <w:t> </w:t>
            </w:r>
            <w:r>
              <w:rPr>
                <w:color w:val="585858"/>
                <w:sz w:val="16"/>
              </w:rPr>
              <w:t>and</w:t>
              <w:tab/>
            </w:r>
            <w:r>
              <w:rPr>
                <w:color w:val="585858"/>
                <w:spacing w:val="-1"/>
                <w:sz w:val="16"/>
              </w:rPr>
              <w:t>Occupations</w:t>
            </w:r>
          </w:p>
          <w:p>
            <w:pPr>
              <w:pStyle w:val="TableParagraph"/>
              <w:tabs>
                <w:tab w:pos="2358" w:val="left" w:leader="none"/>
                <w:tab w:pos="3375" w:val="left" w:leader="none"/>
                <w:tab w:pos="5365" w:val="left" w:leader="none"/>
                <w:tab w:pos="6427" w:val="left" w:leader="none"/>
                <w:tab w:pos="6605" w:val="left" w:leader="none"/>
                <w:tab w:pos="7587" w:val="left" w:leader="none"/>
              </w:tabs>
              <w:ind w:left="484" w:right="1733" w:firstLine="53"/>
              <w:rPr>
                <w:sz w:val="16"/>
              </w:rPr>
            </w:pPr>
            <w:r>
              <w:rPr>
                <w:color w:val="585858"/>
                <w:sz w:val="16"/>
              </w:rPr>
              <w:t>Senior</w:t>
              <w:tab/>
              <w:t>Occupations   </w:t>
            </w:r>
            <w:r>
              <w:rPr>
                <w:color w:val="585858"/>
                <w:spacing w:val="9"/>
                <w:sz w:val="16"/>
              </w:rPr>
              <w:t> </w:t>
            </w:r>
            <w:r>
              <w:rPr>
                <w:color w:val="585858"/>
                <w:sz w:val="16"/>
              </w:rPr>
              <w:t>Secretarial</w:t>
              <w:tab/>
              <w:t>Other</w:t>
            </w:r>
            <w:r>
              <w:rPr>
                <w:color w:val="585858"/>
                <w:spacing w:val="-2"/>
                <w:sz w:val="16"/>
              </w:rPr>
              <w:t> </w:t>
            </w:r>
            <w:r>
              <w:rPr>
                <w:color w:val="585858"/>
                <w:sz w:val="16"/>
              </w:rPr>
              <w:t>Service</w:t>
              <w:tab/>
              <w:tab/>
              <w:t>Service</w:t>
              <w:tab/>
              <w:t>Machine Officials</w:t>
              <w:tab/>
              <w:tab/>
              <w:t>Occupations</w:t>
              <w:tab/>
              <w:tab/>
              <w:t>Occupations</w:t>
            </w:r>
            <w:r>
              <w:rPr>
                <w:color w:val="585858"/>
                <w:spacing w:val="18"/>
                <w:sz w:val="16"/>
              </w:rPr>
              <w:t> </w:t>
            </w:r>
            <w:r>
              <w:rPr>
                <w:color w:val="585858"/>
                <w:spacing w:val="-3"/>
                <w:sz w:val="16"/>
              </w:rPr>
              <w:t>Operatives</w:t>
            </w:r>
          </w:p>
        </w:tc>
      </w:tr>
      <w:tr>
        <w:trPr>
          <w:trHeight w:val="516" w:hRule="atLeast"/>
        </w:trPr>
        <w:tc>
          <w:tcPr>
            <w:tcW w:w="10011" w:type="dxa"/>
          </w:tcPr>
          <w:p>
            <w:pPr>
              <w:pStyle w:val="TableParagraph"/>
              <w:spacing w:before="99"/>
              <w:ind w:left="200"/>
              <w:rPr>
                <w:sz w:val="16"/>
              </w:rPr>
            </w:pPr>
            <w:r>
              <w:rPr>
                <w:sz w:val="16"/>
              </w:rPr>
              <w:t>Sources: ONS and Bank of England calculations.</w:t>
            </w:r>
          </w:p>
          <w:p>
            <w:pPr>
              <w:pStyle w:val="TableParagraph"/>
              <w:spacing w:line="167" w:lineRule="exact" w:before="46"/>
              <w:ind w:left="200"/>
              <w:rPr>
                <w:sz w:val="16"/>
              </w:rPr>
            </w:pPr>
            <w:r>
              <w:rPr>
                <w:sz w:val="16"/>
              </w:rPr>
              <w:t>Notes: Ordering defined by ONS 1-digit SOC 2012 classification.</w:t>
            </w:r>
          </w:p>
        </w:tc>
      </w:tr>
    </w:tbl>
    <w:p>
      <w:pPr>
        <w:pStyle w:val="BodyText"/>
        <w:spacing w:before="1"/>
        <w:rPr>
          <w:sz w:val="15"/>
        </w:rPr>
      </w:pPr>
    </w:p>
    <w:p>
      <w:pPr>
        <w:pStyle w:val="BodyText"/>
        <w:spacing w:line="355" w:lineRule="auto" w:before="94"/>
        <w:ind w:left="334" w:right="319"/>
      </w:pPr>
      <w:r>
        <w:rPr/>
        <w:pict>
          <v:group style="position:absolute;margin-left:59.715pt;margin-top:-296.955109pt;width:458.1pt;height:215.85pt;mso-position-horizontal-relative:page;mso-position-vertical-relative:paragraph;z-index:-254540800" coordorigin="1194,-5939" coordsize="9162,4317">
            <v:shape style="position:absolute;left:1543;top:-5014;width:8457;height:3384" coordorigin="1543,-5014" coordsize="8457,3384" path="m1862,-5014l1543,-5014,1543,-1630,1862,-1630,1862,-5014m2880,-4764l2561,-4764,2561,-1630,2880,-1630,2880,-4764m3896,-4698l3577,-4698,3577,-1630,3896,-1630,3896,-4698m4914,-1786l4595,-1786,4595,-1630,4914,-1630,4914,-1786m5930,-2070l5612,-2070,5612,-1630,5930,-1630,5930,-2070m6948,-3378l6629,-3378,6629,-1630,6948,-1630,6948,-3378m7966,-2003l7646,-2003,7646,-1630,7966,-1630,7966,-2003m8982,-3113l8663,-3113,8663,-1630,8982,-1630,8982,-3113m10000,-2281l9680,-2281,9680,-1630,10000,-1630,10000,-2281e" filled="true" fillcolor="#4f81bc" stroked="false">
              <v:path arrowok="t"/>
              <v:fill type="solid"/>
            </v:shape>
            <v:shape style="position:absolute;left:10288;top:-5932;width:61;height:4302" coordorigin="10288,-5932" coordsize="61,4302" path="m10348,-1630l10348,-5932m10288,-1630l10348,-1630m10288,-2490l10348,-2490m10288,-3350l10348,-3350m10288,-4211l10348,-4211m10288,-5071l10348,-5071m10288,-5932l10348,-5932e" filled="false" stroked="true" strokeweight=".75pt" strokecolor="#a6a6a6">
              <v:path arrowok="t"/>
              <v:stroke dashstyle="solid"/>
            </v:shape>
            <v:line style="position:absolute" from="1194,-1630" to="10348,-1630" stroked="true" strokeweight=".75pt" strokecolor="#d9d9d9">
              <v:stroke dashstyle="solid"/>
            </v:line>
            <w10:wrap type="none"/>
          </v:group>
        </w:pict>
      </w:r>
      <w:r>
        <w:rPr/>
        <w:t>Despite a slowing economy, this large and evenly-distributed jobs bonanza has continued apace. The stock of available job vacancies – a measure of aggregate demand for workers – currently stands at around 830,000, close to its all-time high. After seven years of continuously creating jobs, and continuously falling unemployment, the UK labour market remains in rude health.</w:t>
      </w:r>
    </w:p>
    <w:p>
      <w:pPr>
        <w:pStyle w:val="BodyText"/>
        <w:spacing w:before="5"/>
        <w:rPr>
          <w:sz w:val="29"/>
        </w:rPr>
      </w:pPr>
    </w:p>
    <w:p>
      <w:pPr>
        <w:pStyle w:val="BodyText"/>
        <w:spacing w:line="352" w:lineRule="auto"/>
        <w:ind w:left="334" w:right="319"/>
      </w:pPr>
      <w:r>
        <w:rPr/>
        <w:t>It also appears to be tight. One way of gauging that comes from comparing the stock of vacancies (V) in the economy (aggregate labour demand) with the stock of people seeking work (U, aggregate spare labour supply). Chart 5 plots two measures of the V/U ratio in the UK.</w:t>
      </w:r>
      <w:r>
        <w:rPr>
          <w:position w:val="7"/>
          <w:sz w:val="13"/>
        </w:rPr>
        <w:t>3 </w:t>
      </w:r>
      <w:r>
        <w:rPr/>
        <w:t>They are at their highest since the 1960s. Both ratios also well in excess of 100%, suggesting demand for labour exceeds available supply.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1"/>
        </w:rPr>
      </w:pPr>
      <w:r>
        <w:rPr/>
        <w:pict>
          <v:shape style="position:absolute;margin-left:56.700001pt;margin-top:8.725469pt;width:144.050pt;height:.1pt;mso-position-horizontal-relative:page;mso-position-vertical-relative:paragraph;z-index:-251652096;mso-wrap-distance-left:0;mso-wrap-distance-right:0" coordorigin="1134,175" coordsize="2881,0" path="m1134,175l4014,175e" filled="false" stroked="true" strokeweight=".47998pt" strokecolor="#000000">
            <v:path arrowok="t"/>
            <v:stroke dashstyle="solid"/>
            <w10:wrap type="topAndBottom"/>
          </v:shape>
        </w:pict>
      </w:r>
    </w:p>
    <w:p>
      <w:pPr>
        <w:spacing w:before="51"/>
        <w:ind w:left="334" w:right="452" w:firstLine="0"/>
        <w:jc w:val="left"/>
        <w:rPr>
          <w:sz w:val="16"/>
        </w:rPr>
      </w:pPr>
      <w:r>
        <w:rPr>
          <w:position w:val="6"/>
          <w:sz w:val="10"/>
        </w:rPr>
        <w:t>3 </w:t>
      </w:r>
      <w:r>
        <w:rPr>
          <w:sz w:val="16"/>
        </w:rPr>
        <w:t>The broader measure is the vacancy-effective searcher ratio, where effective searchers are a weighted average of the employed, unemployed and non-participants. The weights on the employed and non-participants are their job finding probabilities relative to the job finding probability of the unemployed. The unemployed therefore have a weight of one.</w:t>
      </w:r>
    </w:p>
    <w:p>
      <w:pPr>
        <w:spacing w:after="0"/>
        <w:jc w:val="left"/>
        <w:rPr>
          <w:sz w:val="16"/>
        </w:rPr>
        <w:sectPr>
          <w:footerReference w:type="default" r:id="rId11"/>
          <w:pgSz w:w="11910" w:h="16840"/>
          <w:pgMar w:footer="1338" w:header="0" w:top="1540" w:bottom="1520" w:left="800" w:right="820"/>
          <w:pgNumType w:start="5"/>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4"/>
      </w:tblGrid>
      <w:tr>
        <w:trPr>
          <w:trHeight w:val="314" w:hRule="atLeast"/>
        </w:trPr>
        <w:tc>
          <w:tcPr>
            <w:tcW w:w="10034" w:type="dxa"/>
          </w:tcPr>
          <w:p>
            <w:pPr>
              <w:pStyle w:val="TableParagraph"/>
              <w:spacing w:line="220" w:lineRule="exact"/>
              <w:ind w:left="223"/>
              <w:rPr>
                <w:b/>
                <w:sz w:val="20"/>
              </w:rPr>
            </w:pPr>
            <w:r>
              <w:rPr>
                <w:b/>
                <w:sz w:val="20"/>
              </w:rPr>
              <w:t>Chart 5: Vacancy to unemployment ratio</w:t>
            </w:r>
          </w:p>
        </w:tc>
      </w:tr>
      <w:tr>
        <w:trPr>
          <w:trHeight w:val="5813" w:hRule="atLeast"/>
        </w:trPr>
        <w:tc>
          <w:tcPr>
            <w:tcW w:w="10034" w:type="dxa"/>
          </w:tcPr>
          <w:p>
            <w:pPr>
              <w:pStyle w:val="TableParagraph"/>
              <w:spacing w:line="209" w:lineRule="exact" w:before="81"/>
              <w:ind w:left="7612"/>
              <w:rPr>
                <w:sz w:val="20"/>
              </w:rPr>
            </w:pPr>
            <w:r>
              <w:rPr>
                <w:color w:val="7E7E7E"/>
                <w:sz w:val="20"/>
              </w:rPr>
              <w:t>Ratio, percent</w:t>
            </w:r>
          </w:p>
          <w:p>
            <w:pPr>
              <w:pStyle w:val="TableParagraph"/>
              <w:spacing w:line="209" w:lineRule="exact"/>
              <w:ind w:left="9500"/>
              <w:rPr>
                <w:sz w:val="20"/>
              </w:rPr>
            </w:pPr>
            <w:r>
              <w:rPr>
                <w:color w:val="585858"/>
                <w:sz w:val="20"/>
              </w:rPr>
              <w:t>160</w:t>
            </w:r>
          </w:p>
          <w:p>
            <w:pPr>
              <w:pStyle w:val="TableParagraph"/>
              <w:spacing w:before="5"/>
              <w:rPr>
                <w:sz w:val="28"/>
              </w:rPr>
            </w:pPr>
          </w:p>
          <w:p>
            <w:pPr>
              <w:pStyle w:val="TableParagraph"/>
              <w:ind w:left="9500"/>
              <w:rPr>
                <w:sz w:val="20"/>
              </w:rPr>
            </w:pPr>
            <w:r>
              <w:rPr>
                <w:color w:val="585858"/>
                <w:sz w:val="20"/>
              </w:rPr>
              <w:t>140</w:t>
            </w:r>
          </w:p>
          <w:p>
            <w:pPr>
              <w:pStyle w:val="TableParagraph"/>
              <w:spacing w:before="6"/>
              <w:rPr>
                <w:sz w:val="28"/>
              </w:rPr>
            </w:pPr>
          </w:p>
          <w:p>
            <w:pPr>
              <w:pStyle w:val="TableParagraph"/>
              <w:ind w:left="9500"/>
              <w:rPr>
                <w:sz w:val="20"/>
              </w:rPr>
            </w:pPr>
            <w:r>
              <w:rPr>
                <w:color w:val="585858"/>
                <w:sz w:val="20"/>
              </w:rPr>
              <w:t>120</w:t>
            </w:r>
          </w:p>
          <w:p>
            <w:pPr>
              <w:pStyle w:val="TableParagraph"/>
              <w:spacing w:before="5"/>
              <w:rPr>
                <w:sz w:val="28"/>
              </w:rPr>
            </w:pPr>
          </w:p>
          <w:p>
            <w:pPr>
              <w:pStyle w:val="TableParagraph"/>
              <w:spacing w:before="1"/>
              <w:ind w:left="9500"/>
              <w:rPr>
                <w:sz w:val="20"/>
              </w:rPr>
            </w:pPr>
            <w:r>
              <w:rPr>
                <w:color w:val="585858"/>
                <w:sz w:val="20"/>
              </w:rPr>
              <w:t>100</w:t>
            </w:r>
          </w:p>
          <w:p>
            <w:pPr>
              <w:pStyle w:val="TableParagraph"/>
              <w:spacing w:before="5"/>
              <w:rPr>
                <w:sz w:val="28"/>
              </w:rPr>
            </w:pPr>
          </w:p>
          <w:p>
            <w:pPr>
              <w:pStyle w:val="TableParagraph"/>
              <w:ind w:left="9500"/>
              <w:rPr>
                <w:sz w:val="20"/>
              </w:rPr>
            </w:pPr>
            <w:r>
              <w:rPr>
                <w:color w:val="585858"/>
                <w:sz w:val="20"/>
              </w:rPr>
              <w:t>80</w:t>
            </w:r>
          </w:p>
          <w:p>
            <w:pPr>
              <w:pStyle w:val="TableParagraph"/>
              <w:spacing w:before="5"/>
              <w:rPr>
                <w:sz w:val="28"/>
              </w:rPr>
            </w:pPr>
          </w:p>
          <w:p>
            <w:pPr>
              <w:pStyle w:val="TableParagraph"/>
              <w:ind w:left="9500"/>
              <w:rPr>
                <w:sz w:val="20"/>
              </w:rPr>
            </w:pPr>
            <w:r>
              <w:rPr>
                <w:color w:val="585858"/>
                <w:sz w:val="20"/>
              </w:rPr>
              <w:t>60</w:t>
            </w:r>
          </w:p>
          <w:p>
            <w:pPr>
              <w:pStyle w:val="TableParagraph"/>
              <w:spacing w:before="6"/>
              <w:rPr>
                <w:sz w:val="28"/>
              </w:rPr>
            </w:pPr>
          </w:p>
          <w:p>
            <w:pPr>
              <w:pStyle w:val="TableParagraph"/>
              <w:ind w:left="9500"/>
              <w:rPr>
                <w:sz w:val="20"/>
              </w:rPr>
            </w:pPr>
            <w:r>
              <w:rPr>
                <w:color w:val="585858"/>
                <w:sz w:val="20"/>
              </w:rPr>
              <w:t>40</w:t>
            </w:r>
          </w:p>
          <w:p>
            <w:pPr>
              <w:pStyle w:val="TableParagraph"/>
              <w:spacing w:before="5"/>
              <w:rPr>
                <w:sz w:val="28"/>
              </w:rPr>
            </w:pPr>
          </w:p>
          <w:p>
            <w:pPr>
              <w:pStyle w:val="TableParagraph"/>
              <w:spacing w:before="1"/>
              <w:ind w:left="9500"/>
              <w:rPr>
                <w:sz w:val="20"/>
              </w:rPr>
            </w:pPr>
            <w:r>
              <w:rPr>
                <w:color w:val="585858"/>
                <w:sz w:val="20"/>
              </w:rPr>
              <w:t>20</w:t>
            </w:r>
          </w:p>
          <w:p>
            <w:pPr>
              <w:pStyle w:val="TableParagraph"/>
              <w:spacing w:before="5"/>
              <w:rPr>
                <w:sz w:val="28"/>
              </w:rPr>
            </w:pPr>
          </w:p>
          <w:p>
            <w:pPr>
              <w:pStyle w:val="TableParagraph"/>
              <w:ind w:left="9500"/>
              <w:rPr>
                <w:sz w:val="20"/>
              </w:rPr>
            </w:pPr>
            <w:r>
              <w:rPr>
                <w:color w:val="585858"/>
                <w:w w:val="100"/>
                <w:sz w:val="20"/>
              </w:rPr>
              <w:t>0</w:t>
            </w:r>
          </w:p>
          <w:p>
            <w:pPr>
              <w:pStyle w:val="TableParagraph"/>
              <w:tabs>
                <w:tab w:pos="1245" w:val="left" w:leader="none"/>
                <w:tab w:pos="2290" w:val="left" w:leader="none"/>
                <w:tab w:pos="3335" w:val="left" w:leader="none"/>
                <w:tab w:pos="4380" w:val="left" w:leader="none"/>
                <w:tab w:pos="5425" w:val="left" w:leader="none"/>
                <w:tab w:pos="6471" w:val="left" w:leader="none"/>
                <w:tab w:pos="7515" w:val="left" w:leader="none"/>
                <w:tab w:pos="8561" w:val="left" w:leader="none"/>
              </w:tabs>
              <w:spacing w:before="9"/>
              <w:ind w:left="200"/>
              <w:rPr>
                <w:sz w:val="20"/>
              </w:rPr>
            </w:pPr>
            <w:r>
              <w:rPr>
                <w:color w:val="585858"/>
                <w:sz w:val="20"/>
              </w:rPr>
              <w:t>2002</w:t>
              <w:tab/>
              <w:t>2004</w:t>
              <w:tab/>
              <w:t>2006</w:t>
              <w:tab/>
              <w:t>2008</w:t>
              <w:tab/>
              <w:t>2010</w:t>
              <w:tab/>
              <w:t>2012</w:t>
              <w:tab/>
              <w:t>2014</w:t>
              <w:tab/>
              <w:t>2016</w:t>
              <w:tab/>
              <w:t>2018</w:t>
            </w:r>
          </w:p>
          <w:p>
            <w:pPr>
              <w:pStyle w:val="TableParagraph"/>
              <w:spacing w:before="4"/>
              <w:rPr>
                <w:sz w:val="18"/>
              </w:rPr>
            </w:pPr>
          </w:p>
          <w:p>
            <w:pPr>
              <w:pStyle w:val="TableParagraph"/>
              <w:tabs>
                <w:tab w:pos="5618" w:val="left" w:leader="none"/>
              </w:tabs>
              <w:ind w:left="2084"/>
              <w:rPr>
                <w:sz w:val="20"/>
              </w:rPr>
            </w:pPr>
            <w:r>
              <w:rPr>
                <w:color w:val="585858"/>
                <w:sz w:val="20"/>
              </w:rPr>
              <w:t>Vacancy-Unemployment</w:t>
            </w:r>
            <w:r>
              <w:rPr>
                <w:color w:val="585858"/>
                <w:spacing w:val="-1"/>
                <w:sz w:val="20"/>
              </w:rPr>
              <w:t> </w:t>
            </w:r>
            <w:r>
              <w:rPr>
                <w:color w:val="585858"/>
                <w:sz w:val="20"/>
              </w:rPr>
              <w:t>ratio</w:t>
              <w:tab/>
              <w:t>Vacancy-Effective searcher</w:t>
            </w:r>
            <w:r>
              <w:rPr>
                <w:color w:val="585858"/>
                <w:spacing w:val="-1"/>
                <w:sz w:val="20"/>
              </w:rPr>
              <w:t> </w:t>
            </w:r>
            <w:r>
              <w:rPr>
                <w:color w:val="585858"/>
                <w:sz w:val="20"/>
              </w:rPr>
              <w:t>ratio</w:t>
            </w:r>
          </w:p>
        </w:tc>
      </w:tr>
      <w:tr>
        <w:trPr>
          <w:trHeight w:val="350" w:hRule="atLeast"/>
        </w:trPr>
        <w:tc>
          <w:tcPr>
            <w:tcW w:w="10034" w:type="dxa"/>
          </w:tcPr>
          <w:p>
            <w:pPr>
              <w:pStyle w:val="TableParagraph"/>
              <w:spacing w:before="2"/>
              <w:rPr>
                <w:sz w:val="14"/>
              </w:rPr>
            </w:pPr>
          </w:p>
          <w:p>
            <w:pPr>
              <w:pStyle w:val="TableParagraph"/>
              <w:spacing w:line="167" w:lineRule="exact"/>
              <w:ind w:left="223"/>
              <w:rPr>
                <w:sz w:val="16"/>
              </w:rPr>
            </w:pPr>
            <w:r>
              <w:rPr>
                <w:sz w:val="16"/>
              </w:rPr>
              <w:t>Sources: ONS and Bank of England calculations.</w:t>
            </w:r>
          </w:p>
        </w:tc>
      </w:tr>
    </w:tbl>
    <w:p>
      <w:pPr>
        <w:pStyle w:val="BodyText"/>
      </w:pPr>
      <w:r>
        <w:rPr/>
        <w:pict>
          <v:group style="position:absolute;margin-left:65.165001pt;margin-top:112.85498pt;width:447.1pt;height:223.75pt;mso-position-horizontal-relative:page;mso-position-vertical-relative:page;z-index:-254539776" coordorigin="1303,2257" coordsize="8942,4475">
            <v:shape style="position:absolute;left:10177;top:2264;width:61;height:4460" coordorigin="10177,2265" coordsize="61,4460" path="m10237,6725l10237,2265m10177,6725l10237,6725m10177,6167l10237,6167m10177,5610l10237,5610m10177,5052l10237,5052m10177,4495l10237,4495m10177,3937l10237,3937m10177,3379l10237,3379m10177,2822l10237,2822m10177,2265l10237,2265e" filled="false" stroked="true" strokeweight=".75pt" strokecolor="#a6a6a6">
              <v:path arrowok="t"/>
              <v:stroke dashstyle="solid"/>
            </v:shape>
            <v:shape style="position:absolute;left:1310;top:6664;width:8927;height:61" coordorigin="1311,6664" coordsize="8927,61" path="m1311,6725l10237,6725m1311,6664l1311,6725m2356,6664l2356,6725m3401,6664l3401,6725m4446,6664l4446,6725m5491,6664l5491,6725m6536,6664l6536,6725m7582,6664l7582,6725m8626,6664l8626,6725m9671,6664l9671,6725e" filled="false" stroked="true" strokeweight=".75pt" strokecolor="#d9d9d9">
              <v:path arrowok="t"/>
              <v:stroke dashstyle="solid"/>
            </v:shape>
            <v:shape style="position:absolute;left:1332;top:2560;width:8884;height:3005" coordorigin="1333,2560" coordsize="8884,3005" path="m1333,4020l1463,4003,1594,4060,1724,4128,1855,4133,1986,4188,2117,4031,2246,3970,2377,3877,2508,3742,2639,3688,2770,3569,2900,3708,3031,3696,3162,3822,3292,3894,3422,4176,3553,4213,3684,4291,3815,4284,3946,4207,4076,4135,4206,3977,4337,3937,4468,3824,4598,4012,4729,4278,4860,4813,4991,5196,5120,5429,5251,5524,5382,5500,5513,5471,5644,5442,5774,5495,5905,5419,6035,5440,6166,5484,6296,5500,6427,5554,6558,5565,6689,5522,6820,5462,6949,5404,7080,5405,7211,5322,7342,5268,7472,5177,7603,4969,7734,4730,7864,4508,7994,4301,8125,4102,8256,4056,8387,4060,8518,3880,8648,3752,8778,3762,8909,3676,9040,3601,9170,3472,9301,3292,9432,3150,9563,2885,9692,2984,9823,2777,9954,2605,10085,2579,10216,2560e" filled="false" stroked="true" strokeweight="1.75pt" strokecolor="#4f81bc">
              <v:path arrowok="t"/>
              <v:stroke dashstyle="solid"/>
            </v:shape>
            <v:shape style="position:absolute;left:1332;top:3406;width:8884;height:1826" coordorigin="1333,3406" coordsize="8884,1826" path="m1333,4178l1463,4110,1594,4151,1724,4120,1855,4282,1986,4234,2117,4355,2246,4134,2377,4086,2508,4024,2639,4062,2770,4079,2900,3929,3031,3961,3162,3865,3292,4266,3422,4376,3553,4418,3684,4199,3815,4357,3946,4246,4076,4231,4206,4111,4337,3937,4468,3964,4598,4129,4729,4441,4860,4681,4991,5009,5120,5083,5251,5078,5382,5098,5513,5232,5644,5034,5774,5094,5905,5075,6035,5046,6166,5123,6296,5082,6427,5195,6558,5119,6689,5173,6820,5054,6949,4974,7080,5014,7211,4950,7342,4818,7472,4835,7603,4664,7734,4452,7864,4342,7994,4128,8125,4057,8256,4075,8387,3934,8518,3820,8648,3910,8778,3924,8909,3950,9040,3716,9170,3661,9301,3725,9432,3606,9563,3842,9692,3569,9823,3590,9954,3618,10085,3488,10216,3406e" filled="false" stroked="true" strokeweight="1.75pt" strokecolor="#c0504d">
              <v:path arrowok="t"/>
              <v:stroke dashstyle="solid"/>
            </v:shape>
            <w10:wrap type="none"/>
          </v:group>
        </w:pict>
      </w:r>
    </w:p>
    <w:p>
      <w:pPr>
        <w:pStyle w:val="BodyText"/>
      </w:pPr>
    </w:p>
    <w:p>
      <w:pPr>
        <w:pStyle w:val="BodyText"/>
        <w:spacing w:before="3"/>
      </w:pPr>
    </w:p>
    <w:p>
      <w:pPr>
        <w:pStyle w:val="BodyText"/>
        <w:spacing w:line="355" w:lineRule="auto" w:before="94"/>
        <w:ind w:left="334" w:right="422"/>
      </w:pPr>
      <w:r>
        <w:rPr/>
        <w:pict>
          <v:line style="position:absolute;mso-position-horizontal-relative:page;mso-position-vertical-relative:paragraph;z-index:-254538752" from="128.509995pt,-66.280121pt" to="147.709995pt,-66.280121pt" stroked="true" strokeweight="1.75pt" strokecolor="#4f81bc">
            <v:stroke dashstyle="solid"/>
            <w10:wrap type="none"/>
          </v:line>
        </w:pict>
      </w:r>
      <w:r>
        <w:rPr/>
        <w:pict>
          <v:line style="position:absolute;mso-position-horizontal-relative:page;mso-position-vertical-relative:paragraph;z-index:-254537728" from="305.200012pt,-66.280121pt" to="324.400012pt,-66.280121pt" stroked="true" strokeweight="1.75pt" strokecolor="#c0504d">
            <v:stroke dashstyle="solid"/>
            <w10:wrap type="none"/>
          </v:line>
        </w:pict>
      </w:r>
      <w:r>
        <w:rPr/>
        <w:t>Other evidence confirms that picture. The UK unemployment rate (3.8%) is below the Bank’s estimate of its long-run equilibrium rate (or NAIRU) of 4 ¼%. In business surveys, a majority of companies point to acute skills shortages across a range of professions and industries. When I asked on a recent visit to Northern Ireland about businesses’ top three concerns, the answer was revealing: skills, skills and skills.</w:t>
      </w:r>
    </w:p>
    <w:p>
      <w:pPr>
        <w:pStyle w:val="BodyText"/>
        <w:spacing w:before="4"/>
        <w:rPr>
          <w:sz w:val="29"/>
        </w:rPr>
      </w:pPr>
    </w:p>
    <w:p>
      <w:pPr>
        <w:pStyle w:val="BodyText"/>
        <w:spacing w:line="352" w:lineRule="auto"/>
        <w:ind w:left="334" w:right="319"/>
      </w:pPr>
      <w:r>
        <w:rPr/>
        <w:t>Surveys of workers tell a similar tale. Households’ outlook for their financial situation is currently in line with historical averages and well above troughs in previous economic downturns (Chart 6). It is easy to be blasé and to forget just how big a societal shift this represents. Job insecurity was the scourge of the latter part of the 20</w:t>
      </w:r>
      <w:r>
        <w:rPr>
          <w:position w:val="7"/>
          <w:sz w:val="13"/>
        </w:rPr>
        <w:t>th </w:t>
      </w:r>
      <w:r>
        <w:rPr/>
        <w:t>century. During the 21</w:t>
      </w:r>
      <w:r>
        <w:rPr>
          <w:position w:val="7"/>
          <w:sz w:val="13"/>
        </w:rPr>
        <w:t>st</w:t>
      </w:r>
      <w:r>
        <w:rPr/>
        <w:t>, and in particular over recent years, that scourge appears finally and thankfully to have lifted.</w:t>
      </w:r>
    </w:p>
    <w:p>
      <w:pPr>
        <w:spacing w:after="0" w:line="352" w:lineRule="auto"/>
        <w:sectPr>
          <w:pgSz w:w="11910" w:h="16840"/>
          <w:pgMar w:header="0" w:footer="1338" w:top="1540" w:bottom="1520" w:left="800" w:right="820"/>
        </w:sect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52"/>
      </w:tblGrid>
      <w:tr>
        <w:trPr>
          <w:trHeight w:val="310" w:hRule="atLeast"/>
        </w:trPr>
        <w:tc>
          <w:tcPr>
            <w:tcW w:w="9952" w:type="dxa"/>
          </w:tcPr>
          <w:p>
            <w:pPr>
              <w:pStyle w:val="TableParagraph"/>
              <w:spacing w:line="220" w:lineRule="exact"/>
              <w:ind w:left="200"/>
              <w:rPr>
                <w:b/>
                <w:sz w:val="20"/>
              </w:rPr>
            </w:pPr>
            <w:r>
              <w:rPr>
                <w:b/>
                <w:sz w:val="20"/>
              </w:rPr>
              <w:t>Chart 6: Household financial position</w:t>
            </w:r>
          </w:p>
        </w:tc>
      </w:tr>
      <w:tr>
        <w:trPr>
          <w:trHeight w:val="3606" w:hRule="atLeast"/>
        </w:trPr>
        <w:tc>
          <w:tcPr>
            <w:tcW w:w="9952" w:type="dxa"/>
          </w:tcPr>
          <w:p>
            <w:pPr>
              <w:pStyle w:val="TableParagraph"/>
              <w:spacing w:before="77"/>
              <w:ind w:left="7540"/>
              <w:rPr>
                <w:sz w:val="20"/>
              </w:rPr>
            </w:pPr>
            <w:r>
              <w:rPr>
                <w:color w:val="7E7E7E"/>
                <w:sz w:val="20"/>
              </w:rPr>
              <w:t>Net balance</w:t>
            </w:r>
          </w:p>
          <w:p>
            <w:pPr>
              <w:pStyle w:val="TableParagraph"/>
              <w:spacing w:before="110"/>
              <w:ind w:left="9330"/>
              <w:rPr>
                <w:sz w:val="20"/>
              </w:rPr>
            </w:pPr>
            <w:r>
              <w:rPr>
                <w:color w:val="585858"/>
                <w:sz w:val="20"/>
              </w:rPr>
              <w:t>20</w:t>
            </w:r>
          </w:p>
          <w:p>
            <w:pPr>
              <w:pStyle w:val="TableParagraph"/>
              <w:spacing w:before="65"/>
              <w:ind w:left="9330"/>
              <w:rPr>
                <w:sz w:val="20"/>
              </w:rPr>
            </w:pPr>
            <w:r>
              <w:rPr>
                <w:color w:val="585858"/>
                <w:sz w:val="20"/>
              </w:rPr>
              <w:t>15</w:t>
            </w:r>
          </w:p>
          <w:p>
            <w:pPr>
              <w:pStyle w:val="TableParagraph"/>
              <w:spacing w:before="64"/>
              <w:ind w:left="9330"/>
              <w:rPr>
                <w:sz w:val="20"/>
              </w:rPr>
            </w:pPr>
            <w:r>
              <w:rPr>
                <w:color w:val="585858"/>
                <w:sz w:val="20"/>
              </w:rPr>
              <w:t>10</w:t>
            </w:r>
          </w:p>
          <w:p>
            <w:pPr>
              <w:pStyle w:val="TableParagraph"/>
              <w:spacing w:before="65"/>
              <w:ind w:left="9330"/>
              <w:rPr>
                <w:sz w:val="20"/>
              </w:rPr>
            </w:pPr>
            <w:r>
              <w:rPr>
                <w:color w:val="585858"/>
                <w:w w:val="100"/>
                <w:sz w:val="20"/>
              </w:rPr>
              <w:t>5</w:t>
            </w:r>
          </w:p>
          <w:p>
            <w:pPr>
              <w:pStyle w:val="TableParagraph"/>
              <w:spacing w:before="64"/>
              <w:ind w:left="9330"/>
              <w:rPr>
                <w:sz w:val="20"/>
              </w:rPr>
            </w:pPr>
            <w:r>
              <w:rPr>
                <w:color w:val="585858"/>
                <w:w w:val="100"/>
                <w:sz w:val="20"/>
              </w:rPr>
              <w:t>0</w:t>
            </w:r>
          </w:p>
          <w:p>
            <w:pPr>
              <w:pStyle w:val="TableParagraph"/>
              <w:spacing w:before="65"/>
              <w:ind w:left="9330"/>
              <w:rPr>
                <w:sz w:val="20"/>
              </w:rPr>
            </w:pPr>
            <w:r>
              <w:rPr>
                <w:color w:val="585858"/>
                <w:sz w:val="20"/>
              </w:rPr>
              <w:t>-5</w:t>
            </w:r>
          </w:p>
          <w:p>
            <w:pPr>
              <w:pStyle w:val="TableParagraph"/>
              <w:spacing w:before="64"/>
              <w:ind w:left="9330"/>
              <w:rPr>
                <w:sz w:val="20"/>
              </w:rPr>
            </w:pPr>
            <w:r>
              <w:rPr>
                <w:color w:val="585858"/>
                <w:sz w:val="20"/>
              </w:rPr>
              <w:t>-10</w:t>
            </w:r>
          </w:p>
          <w:p>
            <w:pPr>
              <w:pStyle w:val="TableParagraph"/>
              <w:spacing w:before="65"/>
              <w:ind w:left="9330"/>
              <w:rPr>
                <w:sz w:val="20"/>
              </w:rPr>
            </w:pPr>
            <w:r>
              <w:rPr>
                <w:color w:val="585858"/>
                <w:sz w:val="20"/>
              </w:rPr>
              <w:t>-15</w:t>
            </w:r>
          </w:p>
          <w:p>
            <w:pPr>
              <w:pStyle w:val="TableParagraph"/>
              <w:spacing w:before="64"/>
              <w:ind w:left="9330"/>
              <w:rPr>
                <w:sz w:val="20"/>
              </w:rPr>
            </w:pPr>
            <w:r>
              <w:rPr>
                <w:color w:val="585858"/>
                <w:sz w:val="20"/>
              </w:rPr>
              <w:t>-20</w:t>
            </w:r>
          </w:p>
          <w:p>
            <w:pPr>
              <w:pStyle w:val="TableParagraph"/>
              <w:spacing w:before="65"/>
              <w:ind w:left="9330"/>
              <w:rPr>
                <w:sz w:val="20"/>
              </w:rPr>
            </w:pPr>
            <w:r>
              <w:rPr>
                <w:color w:val="585858"/>
                <w:sz w:val="20"/>
              </w:rPr>
              <w:t>-25</w:t>
            </w:r>
          </w:p>
          <w:p>
            <w:pPr>
              <w:pStyle w:val="TableParagraph"/>
              <w:tabs>
                <w:tab w:pos="967" w:val="left" w:leader="none"/>
                <w:tab w:pos="1727" w:val="left" w:leader="none"/>
                <w:tab w:pos="2487" w:val="left" w:leader="none"/>
                <w:tab w:pos="3247" w:val="left" w:leader="none"/>
                <w:tab w:pos="4007" w:val="left" w:leader="none"/>
                <w:tab w:pos="4767" w:val="left" w:leader="none"/>
                <w:tab w:pos="5527" w:val="left" w:leader="none"/>
                <w:tab w:pos="6286" w:val="left" w:leader="none"/>
                <w:tab w:pos="7046" w:val="left" w:leader="none"/>
                <w:tab w:pos="7806" w:val="left" w:leader="none"/>
                <w:tab w:pos="8566" w:val="left" w:leader="none"/>
              </w:tabs>
              <w:spacing w:before="9"/>
              <w:ind w:left="208"/>
              <w:rPr>
                <w:sz w:val="20"/>
              </w:rPr>
            </w:pPr>
            <w:r>
              <w:rPr>
                <w:color w:val="585858"/>
                <w:sz w:val="20"/>
              </w:rPr>
              <w:t>1985</w:t>
              <w:tab/>
              <w:t>1988</w:t>
              <w:tab/>
              <w:t>1991</w:t>
              <w:tab/>
              <w:t>1994</w:t>
              <w:tab/>
              <w:t>1997</w:t>
              <w:tab/>
              <w:t>2000</w:t>
              <w:tab/>
              <w:t>2003</w:t>
              <w:tab/>
              <w:t>2006</w:t>
              <w:tab/>
              <w:t>2009</w:t>
              <w:tab/>
              <w:t>2012</w:t>
              <w:tab/>
              <w:t>2015</w:t>
              <w:tab/>
              <w:t>2018</w:t>
            </w:r>
          </w:p>
        </w:tc>
      </w:tr>
      <w:tr>
        <w:trPr>
          <w:trHeight w:val="657" w:hRule="atLeast"/>
        </w:trPr>
        <w:tc>
          <w:tcPr>
            <w:tcW w:w="9952" w:type="dxa"/>
          </w:tcPr>
          <w:p>
            <w:pPr>
              <w:pStyle w:val="TableParagraph"/>
              <w:spacing w:before="57"/>
              <w:ind w:left="200"/>
              <w:rPr>
                <w:sz w:val="16"/>
              </w:rPr>
            </w:pPr>
            <w:r>
              <w:rPr>
                <w:sz w:val="16"/>
              </w:rPr>
              <w:t>Sources: GfK and Bank of England calculations.</w:t>
            </w:r>
          </w:p>
          <w:p>
            <w:pPr>
              <w:pStyle w:val="TableParagraph"/>
              <w:spacing w:line="184" w:lineRule="exact" w:before="49"/>
              <w:ind w:left="200"/>
              <w:rPr>
                <w:sz w:val="16"/>
              </w:rPr>
            </w:pPr>
            <w:r>
              <w:rPr>
                <w:sz w:val="16"/>
              </w:rPr>
              <w:t>Notes: Question in survey asks, “How do you expect the financial position of your household to change over the next 12 months?” Net balance refers to proportion of respondents expecting improvement minus proportion expecting worsening.</w:t>
            </w:r>
          </w:p>
        </w:tc>
      </w:tr>
    </w:tbl>
    <w:p>
      <w:pPr>
        <w:pStyle w:val="BodyText"/>
      </w:pPr>
    </w:p>
    <w:p>
      <w:pPr>
        <w:pStyle w:val="BodyText"/>
        <w:spacing w:before="11"/>
        <w:rPr>
          <w:sz w:val="18"/>
        </w:rPr>
      </w:pPr>
    </w:p>
    <w:p>
      <w:pPr>
        <w:pStyle w:val="Heading1"/>
        <w:jc w:val="both"/>
      </w:pPr>
      <w:r>
        <w:rPr/>
        <w:pict>
          <v:group style="position:absolute;margin-left:67.324997pt;margin-top:-208.975113pt;width:437.6pt;height:133.3pt;mso-position-horizontal-relative:page;mso-position-vertical-relative:paragraph;z-index:-254536704" coordorigin="1346,-4180" coordsize="8752,2666">
            <v:shape style="position:absolute;left:10030;top:-4172;width:61;height:2651" coordorigin="10031,-4172" coordsize="61,2651" path="m10091,-1521l10091,-4172m10031,-1521l10091,-1521m10031,-1816l10091,-1816m10031,-2111l10091,-2111m10031,-2405l10091,-2405m10031,-2699l10091,-2699m10031,-2994l10091,-2994m10031,-3288l10091,-3288m10031,-3583l10091,-3583m10031,-3877l10091,-3877m10031,-4172l10091,-4172e" filled="false" stroked="true" strokeweight=".75pt" strokecolor="#bebebe">
              <v:path arrowok="t"/>
              <v:stroke dashstyle="solid"/>
            </v:shape>
            <v:shape style="position:absolute;left:1354;top:-3055;width:8737;height:61" coordorigin="1354,-3054" coordsize="8737,61" path="m1354,-2994l10091,-2994m1354,-3054l1354,-2994m2113,-3054l2113,-2994m2874,-3054l2874,-2994m3634,-3054l3634,-2994m4393,-3054l4393,-2994m5153,-3054l5153,-2994m5912,-3054l5912,-2994m6672,-3054l6672,-2994m7432,-3054l7432,-2994m8191,-3054l8191,-2994m8951,-3054l8951,-2994m9711,-3054l9711,-2994e" filled="false" stroked="true" strokeweight=".75pt" strokecolor="#d9d9d9">
              <v:path arrowok="t"/>
              <v:stroke dashstyle="solid"/>
            </v:shape>
            <v:shape style="position:absolute;left:1364;top:-3907;width:8716;height:2257" coordorigin="1365,-3907" coordsize="8716,2257" path="m1365,-2864l1386,-2688,1406,-2682,1428,-2617,1448,-2516,1470,-2581,1492,-2676,1512,-2581,1534,-2717,1554,-2858,1576,-2770,1597,-2929,1618,-2753,1639,-2711,1660,-2682,1681,-2794,1703,-2812,1723,-2846,1745,-2970,1765,-2876,1787,-2893,1807,-2947,1829,-2976,1850,-2988,1871,-2958,1892,-3271,1913,-3330,1934,-3412,1956,-3377,1976,-3371,1998,-3148,2018,-3318,2040,-3188,2060,-3235,2082,-3065,2104,-3077,2124,-3158,2146,-3118,2166,-3142,2188,-2970,2209,-3094,2230,-3100,2251,-3106,2272,-3100,2293,-3035,2315,-2905,2335,-3158,2357,-2818,2377,-2676,2399,-2623,2419,-2558,2441,-2482,2462,-2688,2483,-2364,2504,-2393,2525,-2516,2546,-2623,2568,-2016,2588,-2186,2610,-2240,2630,-2393,2652,-2299,2672,-1651,2694,-1981,2716,-2087,2736,-2204,2758,-2257,2778,-2281,2800,-2216,2821,-2534,2842,-2375,2863,-2893,2884,-2494,2905,-2605,2927,-3035,2947,-3041,2969,-2846,2989,-2893,3011,-2917,3031,-2806,3053,-3083,3074,-3259,3095,-3071,3116,-3018,3137,-3006,3158,-3158,3180,-3330,3200,-3448,3222,-3342,3242,-3053,3264,-2917,3284,-2699,3306,-2546,3328,-2464,3348,-2364,3370,-2452,3390,-2828,3412,-2652,3433,-2747,3454,-2504,3475,-2741,3496,-2494,3517,-2581,3539,-2688,3559,-2640,3581,-2411,3601,-2411,3623,-2128,3643,-2346,3665,-2140,3686,-2004,3707,-1763,3728,-1804,3749,-2186,3770,-2210,3792,-2446,3812,-2393,3834,-2552,3854,-2688,3876,-2204,3896,-2504,3918,-2599,3940,-2605,3960,-2605,3982,-2411,4002,-2970,4024,-2994,4045,-2947,4066,-2958,4087,-3142,4108,-3053,4129,-3124,4151,-3130,4171,-3059,4193,-3118,4213,-3176,4235,-3088,4255,-2970,4277,-2994,4298,-3083,4319,-3136,4340,-3041,4361,-3235,4382,-3124,4404,-3106,4424,-3436,4446,-3277,4466,-3253,4488,-3330,4508,-3253,4530,-3152,4552,-3100,4572,-3259,4594,-3347,4614,-3136,4636,-3324,4657,-3182,4678,-3188,4699,-3277,4720,-3371,4741,-3395,4763,-3229,4783,-3148,4805,-3047,4825,-3241,4847,-3217,4867,-3324,4889,-3430,4910,-3395,4931,-3500,4952,-3530,4973,-3482,4994,-3530,5016,-3436,5036,-3482,5058,-3577,5078,-3395,5100,-3436,5120,-3383,5142,-3630,5164,-3530,5184,-3524,5206,-3271,5226,-3430,5248,-3472,5269,-3466,5290,-3494,5311,-3577,5332,-3206,5353,-3547,5375,-3536,5395,-3636,5417,-3559,5437,-3553,5459,-3630,5479,-3719,5501,-3530,5522,-3618,5543,-3748,5564,-3683,5585,-3642,5606,-3442,5628,-3571,5648,-3731,5670,-3725,5690,-3719,5712,-3742,5732,-3695,5754,-3719,5776,-3630,5796,-3689,5818,-3695,5838,-3907,5860,-3796,5881,-3812,5902,-3648,5923,-3571,5944,-3476,5965,-3482,5987,-3565,6007,-3530,6029,-3624,6049,-3630,6071,-3476,6091,-3654,6113,-3488,6134,-3506,6155,-3466,6176,-3476,6197,-3430,6218,-3601,6240,-3583,6260,-3472,6282,-3466,6302,-3460,6324,-3430,6344,-3389,6366,-3536,6388,-3589,6408,-3454,6430,-3571,6450,-3559,6472,-3654,6493,-3583,6514,-3553,6535,-3547,6556,-3606,6577,-3636,6599,-3559,6619,-3472,6641,-3482,6661,-3472,6683,-3518,6703,-3677,6725,-3436,6746,-3754,6767,-3612,6788,-3719,6809,-3589,6830,-3606,6852,-3559,6872,-3719,6894,-3624,6914,-3660,6936,-3494,6958,-3583,6978,-3601,7000,-3547,7020,-3660,7042,-3654,7062,-3660,7084,-3630,7105,-3683,7126,-3731,7147,-3547,7168,-3547,7189,-3407,7211,-3347,7231,-3318,7253,-2982,7273,-2824,7295,-2504,7315,-2051,7337,-2322,7358,-2370,7379,-2281,7400,-2393,7421,-2387,7442,-2140,7464,-2370,7484,-2540,7506,-2623,7526,-2800,7548,-2899,7570,-2994,7590,-2941,7612,-3229,7632,-3306,7654,-3300,7674,-3223,7696,-3347,7717,-3377,7738,-3282,7759,-3176,7780,-2947,7801,-3018,7823,-2911,7843,-2970,7865,-2764,7885,-2864,7907,-2634,7927,-2611,7949,-2393,7970,-2358,7991,-2346,8012,-2140,8033,-2682,8054,-2494,8076,-2470,8096,-2399,8118,-2340,8138,-2293,8160,-2340,8182,-2364,8202,-2516,8224,-2528,8244,-2358,8266,-2299,8286,-2387,8308,-2435,8329,-2658,8350,-2494,8371,-2494,8392,-2216,8413,-2540,8435,-2575,8455,-2634,8477,-2504,8497,-2634,8519,-2682,8539,-2623,8561,-2587,8582,-3059,8603,-3000,8624,-3047,8645,-2911,8666,-2824,8688,-2899,8708,-3182,8730,-3194,8750,-3277,8772,-3395,8794,-3288,8814,-3223,8836,-3170,8856,-3282,8878,-3077,8898,-3265,8920,-3188,8941,-3158,8962,-3282,8983,-3247,9004,-3342,9025,-3418,9047,-3077,9067,-3312,9089,-3300,9109,-3347,9131,-3312,9151,-3395,9173,-3389,9194,-3559,9215,-3482,9236,-3383,9257,-3442,9278,-3389,9300,-3359,9320,-3476,9342,-2994,9362,-3194,9384,-3353,9406,-3389,9426,-3223,9448,-3212,9468,-3294,9490,-3124,9510,-3071,9532,-3088,9553,-3194,9574,-3023,9595,-3170,9616,-3194,9637,-3164,9659,-3206,9679,-3206,9701,-3176,9721,-3241,9743,-3229,9763,-3454,9785,-3223,9806,-3442,9827,-3365,9848,-3482,9869,-3418,9890,-3300,9912,-3271,9932,-3300,9954,-3065,9974,-3018,9996,-3059,10018,-3018,10038,-3000,10060,-3200,10080,-3130e" filled="false" stroked="true" strokeweight="1.75pt" strokecolor="#0d0d0d">
              <v:path arrowok="t"/>
              <v:stroke dashstyle="solid"/>
            </v:shape>
            <w10:wrap type="none"/>
          </v:group>
        </w:pict>
      </w:r>
      <w:r>
        <w:rPr/>
        <w:t>The Pay Bust</w:t>
      </w:r>
    </w:p>
    <w:p>
      <w:pPr>
        <w:pStyle w:val="BodyText"/>
        <w:rPr>
          <w:b/>
          <w:sz w:val="22"/>
        </w:rPr>
      </w:pPr>
    </w:p>
    <w:p>
      <w:pPr>
        <w:pStyle w:val="BodyText"/>
        <w:spacing w:line="355" w:lineRule="auto" w:before="196"/>
        <w:ind w:left="334" w:right="522"/>
        <w:jc w:val="both"/>
      </w:pPr>
      <w:r>
        <w:rPr/>
        <w:t>A tight labour market is usually a recipe for rising pay. Yet until recently, there was little sign of pay picking up closer to rates seen before the crisis. Chart 7 plots inflation-adjusted pay in the UK over the past</w:t>
      </w:r>
    </w:p>
    <w:p>
      <w:pPr>
        <w:pStyle w:val="BodyText"/>
        <w:spacing w:line="355" w:lineRule="auto"/>
        <w:ind w:left="334" w:right="420"/>
        <w:jc w:val="both"/>
      </w:pPr>
      <w:r>
        <w:rPr/>
        <w:t>70 years. For the first 60 of those years, real pay growth grew steadily at over 2 ¼% on average each year. Over the past 10 years, real pay growth has averaged </w:t>
      </w:r>
      <w:r>
        <w:rPr>
          <w:i/>
        </w:rPr>
        <w:t>minus </w:t>
      </w:r>
      <w:r>
        <w:rPr/>
        <w:t>0.4% – a “lost decade” for the average worker.</w:t>
      </w:r>
    </w:p>
    <w:p>
      <w:pPr>
        <w:pStyle w:val="BodyText"/>
        <w:spacing w:before="5"/>
        <w:rPr>
          <w:sz w:val="29"/>
        </w:rPr>
      </w:pPr>
    </w:p>
    <w:p>
      <w:pPr>
        <w:pStyle w:val="BodyText"/>
        <w:spacing w:line="352" w:lineRule="auto"/>
        <w:ind w:left="334" w:right="333"/>
        <w:jc w:val="both"/>
      </w:pPr>
      <w:r>
        <w:rPr/>
        <w:pict>
          <v:group style="position:absolute;margin-left:78.459pt;margin-top:100.094879pt;width:431.85pt;height:147.5pt;mso-position-horizontal-relative:page;mso-position-vertical-relative:paragraph;z-index:-254535680" coordorigin="1569,2002" coordsize="8637,2950">
            <v:shape style="position:absolute;left:1586;top:2009;width:8602;height:2935" coordorigin="1587,2009" coordsize="8602,2935" path="m10188,4944l10188,2009m10128,4944l10188,4944m10128,4455l10188,4455m10128,3966l10188,3966m10128,3477l10188,3477m10128,2988l10188,2988m10128,2498l10188,2498m10128,2009l10188,2009m1587,4944l10188,4944m1587,4883l1587,4944m2219,4883l2219,4944m2851,4883l2851,4944m3484,4883l3484,4944m4116,4883l4116,4944m4750,4883l4750,4944m5382,4883l5382,4944m6014,4883l6014,4944m6647,4883l6647,4944m7279,4883l7279,4944m7912,4883l7912,4944m8544,4883l8544,4944m9176,4883l9176,4944m9809,4883l9809,4944e" filled="false" stroked="true" strokeweight=".75pt" strokecolor="#7e7e7e">
              <v:path arrowok="t"/>
              <v:stroke dashstyle="solid"/>
            </v:shape>
            <v:shape style="position:absolute;left:1586;top:2498;width:8602;height:1830" coordorigin="1587,2498" coordsize="8602,1830" path="m1587,4318l1714,4315,1840,4328,1966,4315,2093,4288,2219,4267,2346,4248,2472,4237,2599,4233,2725,4218,2851,4182,2978,4154,3104,4160,3232,4143,3358,4104,3484,4090,3611,4064,3737,4056,3864,4017,3990,4002,4116,3951,4243,3931,4369,3884,4496,3837,4622,3817,4750,3782,4876,3775,5002,3836,5129,3778,5255,3738,5382,3678,5508,3667,5634,3651,5761,3612,5887,3589,6014,3543,6140,3481,6266,3416,6394,3343,6520,3284,6647,3238,6773,3235,6900,3207,7026,3198,7152,3170,7279,3160,7405,3141,7532,3097,7658,3032,7784,2967,7912,2893,8038,2814,8165,2773,8291,2733,8417,2667,8544,2611,8670,2558,8797,2498,8923,2499,9050,2553,9176,2580,9302,2629,9430,2662,9556,2695,9683,2704,9809,2652,9935,2612,10062,2619,10188,2610e" filled="false" stroked="true" strokeweight="1.75pt" strokecolor="#001f5f">
              <v:path arrowok="t"/>
              <v:stroke dashstyle="solid"/>
            </v:shape>
            <w10:wrap type="none"/>
          </v:group>
        </w:pict>
      </w:r>
      <w:r>
        <w:rPr/>
        <w:t>Despite some recovery recently, that leaves the inflation-adjusted pay of the average UK worker still over 5% lower today than it was just prior to the crisis. You have to go back to the 19</w:t>
      </w:r>
      <w:r>
        <w:rPr>
          <w:position w:val="7"/>
          <w:sz w:val="13"/>
        </w:rPr>
        <w:t>th </w:t>
      </w:r>
      <w:r>
        <w:rPr/>
        <w:t>century to find a similar period of stasis in UK living standards. The UK’s jobs bonanza has been accompanied by a pay disaster.</w:t>
      </w:r>
    </w:p>
    <w:p>
      <w:pPr>
        <w:pStyle w:val="BodyText"/>
      </w:pPr>
    </w:p>
    <w:p>
      <w:pPr>
        <w:pStyle w:val="BodyText"/>
        <w:spacing w:before="4" w:after="1"/>
        <w:rPr>
          <w:sz w:val="10"/>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61"/>
      </w:tblGrid>
      <w:tr>
        <w:trPr>
          <w:trHeight w:val="263" w:hRule="atLeast"/>
        </w:trPr>
        <w:tc>
          <w:tcPr>
            <w:tcW w:w="9961" w:type="dxa"/>
          </w:tcPr>
          <w:p>
            <w:pPr>
              <w:pStyle w:val="TableParagraph"/>
              <w:spacing w:line="224" w:lineRule="exact"/>
              <w:ind w:left="200"/>
              <w:rPr>
                <w:b/>
                <w:sz w:val="20"/>
              </w:rPr>
            </w:pPr>
            <w:r>
              <w:rPr>
                <w:b/>
                <w:sz w:val="20"/>
              </w:rPr>
              <w:t>Chart 7: Real pay</w:t>
            </w:r>
          </w:p>
        </w:tc>
      </w:tr>
      <w:tr>
        <w:trPr>
          <w:trHeight w:val="3688" w:hRule="atLeast"/>
        </w:trPr>
        <w:tc>
          <w:tcPr>
            <w:tcW w:w="9961" w:type="dxa"/>
          </w:tcPr>
          <w:p>
            <w:pPr>
              <w:pStyle w:val="TableParagraph"/>
              <w:spacing w:line="226" w:lineRule="exact" w:before="33"/>
              <w:ind w:left="7233"/>
              <w:rPr>
                <w:sz w:val="20"/>
              </w:rPr>
            </w:pPr>
            <w:r>
              <w:rPr>
                <w:color w:val="7E7E7E"/>
                <w:sz w:val="20"/>
              </w:rPr>
              <w:t>Index, 2007 = 100</w:t>
            </w:r>
          </w:p>
          <w:p>
            <w:pPr>
              <w:pStyle w:val="TableParagraph"/>
              <w:spacing w:line="226" w:lineRule="exact"/>
              <w:ind w:left="9427"/>
              <w:rPr>
                <w:sz w:val="20"/>
              </w:rPr>
            </w:pPr>
            <w:r>
              <w:rPr>
                <w:color w:val="7E7E7E"/>
                <w:sz w:val="20"/>
              </w:rPr>
              <w:t>120</w:t>
            </w:r>
          </w:p>
          <w:p>
            <w:pPr>
              <w:pStyle w:val="TableParagraph"/>
              <w:spacing w:before="6"/>
              <w:rPr>
                <w:sz w:val="22"/>
              </w:rPr>
            </w:pPr>
          </w:p>
          <w:p>
            <w:pPr>
              <w:pStyle w:val="TableParagraph"/>
              <w:ind w:left="9427"/>
              <w:rPr>
                <w:sz w:val="20"/>
              </w:rPr>
            </w:pPr>
            <w:r>
              <w:rPr>
                <w:color w:val="7E7E7E"/>
                <w:sz w:val="20"/>
              </w:rPr>
              <w:t>100</w:t>
            </w:r>
          </w:p>
          <w:p>
            <w:pPr>
              <w:pStyle w:val="TableParagraph"/>
              <w:spacing w:before="6"/>
              <w:rPr>
                <w:sz w:val="22"/>
              </w:rPr>
            </w:pPr>
          </w:p>
          <w:p>
            <w:pPr>
              <w:pStyle w:val="TableParagraph"/>
              <w:ind w:left="9427"/>
              <w:rPr>
                <w:sz w:val="20"/>
              </w:rPr>
            </w:pPr>
            <w:r>
              <w:rPr>
                <w:color w:val="7E7E7E"/>
                <w:sz w:val="20"/>
              </w:rPr>
              <w:t>80</w:t>
            </w:r>
          </w:p>
          <w:p>
            <w:pPr>
              <w:pStyle w:val="TableParagraph"/>
              <w:spacing w:before="6"/>
              <w:rPr>
                <w:sz w:val="22"/>
              </w:rPr>
            </w:pPr>
          </w:p>
          <w:p>
            <w:pPr>
              <w:pStyle w:val="TableParagraph"/>
              <w:spacing w:before="1"/>
              <w:ind w:left="9427"/>
              <w:rPr>
                <w:sz w:val="20"/>
              </w:rPr>
            </w:pPr>
            <w:r>
              <w:rPr>
                <w:color w:val="7E7E7E"/>
                <w:sz w:val="20"/>
              </w:rPr>
              <w:t>60</w:t>
            </w:r>
          </w:p>
          <w:p>
            <w:pPr>
              <w:pStyle w:val="TableParagraph"/>
              <w:spacing w:before="6"/>
              <w:rPr>
                <w:sz w:val="22"/>
              </w:rPr>
            </w:pPr>
          </w:p>
          <w:p>
            <w:pPr>
              <w:pStyle w:val="TableParagraph"/>
              <w:ind w:left="9427"/>
              <w:rPr>
                <w:sz w:val="20"/>
              </w:rPr>
            </w:pPr>
            <w:r>
              <w:rPr>
                <w:color w:val="7E7E7E"/>
                <w:sz w:val="20"/>
              </w:rPr>
              <w:t>40</w:t>
            </w:r>
          </w:p>
          <w:p>
            <w:pPr>
              <w:pStyle w:val="TableParagraph"/>
              <w:spacing w:before="5"/>
              <w:rPr>
                <w:sz w:val="22"/>
              </w:rPr>
            </w:pPr>
          </w:p>
          <w:p>
            <w:pPr>
              <w:pStyle w:val="TableParagraph"/>
              <w:spacing w:before="1"/>
              <w:ind w:left="9427"/>
              <w:rPr>
                <w:sz w:val="20"/>
              </w:rPr>
            </w:pPr>
            <w:r>
              <w:rPr>
                <w:color w:val="7E7E7E"/>
                <w:sz w:val="20"/>
              </w:rPr>
              <w:t>20</w:t>
            </w:r>
          </w:p>
          <w:p>
            <w:pPr>
              <w:pStyle w:val="TableParagraph"/>
              <w:spacing w:before="6"/>
              <w:rPr>
                <w:sz w:val="22"/>
              </w:rPr>
            </w:pPr>
          </w:p>
          <w:p>
            <w:pPr>
              <w:pStyle w:val="TableParagraph"/>
              <w:ind w:left="9427"/>
              <w:rPr>
                <w:sz w:val="20"/>
              </w:rPr>
            </w:pPr>
            <w:r>
              <w:rPr>
                <w:color w:val="7E7E7E"/>
                <w:w w:val="100"/>
                <w:sz w:val="20"/>
              </w:rPr>
              <w:t>0</w:t>
            </w:r>
          </w:p>
          <w:p>
            <w:pPr>
              <w:pStyle w:val="TableParagraph"/>
              <w:spacing w:before="8"/>
              <w:ind w:left="430"/>
              <w:rPr>
                <w:sz w:val="20"/>
              </w:rPr>
            </w:pPr>
            <w:r>
              <w:rPr>
                <w:color w:val="7E7E7E"/>
                <w:sz w:val="20"/>
              </w:rPr>
              <w:t>1950 1955 1960 1965 1970 1975 1980 1985 1990 1995 2000 2005 2010 2015</w:t>
            </w:r>
          </w:p>
        </w:tc>
      </w:tr>
      <w:tr>
        <w:trPr>
          <w:trHeight w:val="623" w:hRule="atLeast"/>
        </w:trPr>
        <w:tc>
          <w:tcPr>
            <w:tcW w:w="9961" w:type="dxa"/>
          </w:tcPr>
          <w:p>
            <w:pPr>
              <w:pStyle w:val="TableParagraph"/>
              <w:spacing w:before="25"/>
              <w:ind w:left="200"/>
              <w:rPr>
                <w:sz w:val="16"/>
              </w:rPr>
            </w:pPr>
            <w:r>
              <w:rPr>
                <w:sz w:val="16"/>
              </w:rPr>
              <w:t>Sources: ONS, Bank of England Millennium of Data and Bank of England calculations.</w:t>
            </w:r>
          </w:p>
          <w:p>
            <w:pPr>
              <w:pStyle w:val="TableParagraph"/>
              <w:spacing w:line="184" w:lineRule="exact" w:before="49"/>
              <w:ind w:left="200" w:right="24"/>
              <w:rPr>
                <w:sz w:val="16"/>
              </w:rPr>
            </w:pPr>
            <w:r>
              <w:rPr>
                <w:sz w:val="16"/>
              </w:rPr>
              <w:t>Notes: Data at annual frequency using AWE deflated by CPI. Prior to AWE and CPI we use AEI and RPI, respectively, to extend the series backwards.</w:t>
            </w:r>
          </w:p>
        </w:tc>
      </w:tr>
    </w:tbl>
    <w:p>
      <w:pPr>
        <w:spacing w:after="0" w:line="184" w:lineRule="exact"/>
        <w:rPr>
          <w:sz w:val="16"/>
        </w:rPr>
        <w:sectPr>
          <w:pgSz w:w="11910" w:h="16840"/>
          <w:pgMar w:header="0" w:footer="1338" w:top="1540" w:bottom="1520" w:left="800" w:right="820"/>
        </w:sectPr>
      </w:pPr>
    </w:p>
    <w:p>
      <w:pPr>
        <w:pStyle w:val="BodyText"/>
        <w:spacing w:line="355" w:lineRule="auto" w:before="69"/>
        <w:ind w:left="334" w:right="319"/>
      </w:pPr>
      <w:r>
        <w:rPr/>
        <w:t>These falls in real pay have been widely spread geographically. Chart 8 compares average real wage rises across UK regions in the ten years either side of the global financial crisis. In the ten years prior to the crisis, all regions experienced annual rises in real pay, averaging between 1.3% (Wales) and 2.2% (London).</w:t>
      </w:r>
    </w:p>
    <w:p>
      <w:pPr>
        <w:pStyle w:val="BodyText"/>
        <w:spacing w:line="229" w:lineRule="exact"/>
        <w:ind w:left="334"/>
      </w:pPr>
      <w:r>
        <w:rPr/>
        <w:pict>
          <v:group style="position:absolute;margin-left:75.158997pt;margin-top:79.77919pt;width:424pt;height:124.85pt;mso-position-horizontal-relative:page;mso-position-vertical-relative:paragraph;z-index:-254533632" coordorigin="1503,1596" coordsize="8480,2497">
            <v:rect style="position:absolute;left:1676;top:2228;width:159;height:926" filled="true" fillcolor="#4f81bc" stroked="false">
              <v:fill type="solid"/>
            </v:rect>
            <v:rect style="position:absolute;left:1878;top:3154;width:159;height:228" filled="true" fillcolor="#c0504d" stroked="false">
              <v:fill type="solid"/>
            </v:rect>
            <v:rect style="position:absolute;left:2382;top:2068;width:159;height:1086" filled="true" fillcolor="#4f81bc" stroked="false">
              <v:fill type="solid"/>
            </v:rect>
            <v:rect style="position:absolute;left:2583;top:3154;width:159;height:414" filled="true" fillcolor="#c0504d" stroked="false">
              <v:fill type="solid"/>
            </v:rect>
            <v:rect style="position:absolute;left:3088;top:1906;width:159;height:1248" filled="true" fillcolor="#4f81bc" stroked="false">
              <v:fill type="solid"/>
            </v:rect>
            <v:rect style="position:absolute;left:3289;top:3154;width:159;height:392" filled="true" fillcolor="#c0504d" stroked="false">
              <v:fill type="solid"/>
            </v:rect>
            <v:rect style="position:absolute;left:3794;top:2165;width:159;height:989" filled="true" fillcolor="#4f81bc" stroked="false">
              <v:fill type="solid"/>
            </v:rect>
            <v:rect style="position:absolute;left:3996;top:3154;width:158;height:551" filled="true" fillcolor="#c0504d" stroked="false">
              <v:fill type="solid"/>
            </v:rect>
            <v:rect style="position:absolute;left:4500;top:2164;width:159;height:990" filled="true" fillcolor="#4f81bc" stroked="false">
              <v:fill type="solid"/>
            </v:rect>
            <v:rect style="position:absolute;left:4701;top:3154;width:159;height:165" filled="true" fillcolor="#c0504d" stroked="false">
              <v:fill type="solid"/>
            </v:rect>
            <v:rect style="position:absolute;left:5206;top:2248;width:159;height:906" filled="true" fillcolor="#4f81bc" stroked="false">
              <v:fill type="solid"/>
            </v:rect>
            <v:rect style="position:absolute;left:5407;top:3154;width:159;height:261" filled="true" fillcolor="#c0504d" stroked="false">
              <v:fill type="solid"/>
            </v:rect>
            <v:rect style="position:absolute;left:5912;top:1789;width:159;height:1365" filled="true" fillcolor="#4f81bc" stroked="false">
              <v:fill type="solid"/>
            </v:rect>
            <v:rect style="position:absolute;left:6114;top:3154;width:158;height:513" filled="true" fillcolor="#c0504d" stroked="false">
              <v:fill type="solid"/>
            </v:rect>
            <v:rect style="position:absolute;left:6618;top:1957;width:159;height:1197" filled="true" fillcolor="#4f81bc" stroked="false">
              <v:fill type="solid"/>
            </v:rect>
            <v:rect style="position:absolute;left:6819;top:3154;width:159;height:413" filled="true" fillcolor="#c0504d" stroked="false">
              <v:fill type="solid"/>
            </v:rect>
            <v:rect style="position:absolute;left:7324;top:1882;width:159;height:1272" filled="true" fillcolor="#4f81bc" stroked="false">
              <v:fill type="solid"/>
            </v:rect>
            <v:rect style="position:absolute;left:7525;top:3154;width:159;height:408" filled="true" fillcolor="#c0504d" stroked="false">
              <v:fill type="solid"/>
            </v:rect>
            <v:rect style="position:absolute;left:8030;top:2372;width:159;height:782" filled="true" fillcolor="#4f81bc" stroked="false">
              <v:fill type="solid"/>
            </v:rect>
            <v:rect style="position:absolute;left:8230;top:3154;width:159;height:179" filled="true" fillcolor="#c0504d" stroked="false">
              <v:fill type="solid"/>
            </v:rect>
            <v:rect style="position:absolute;left:8736;top:1921;width:159;height:1233" filled="true" fillcolor="#4f81bc" stroked="false">
              <v:fill type="solid"/>
            </v:rect>
            <v:rect style="position:absolute;left:8937;top:3154;width:159;height:196" filled="true" fillcolor="#c0504d" stroked="false">
              <v:fill type="solid"/>
            </v:rect>
            <v:rect style="position:absolute;left:9442;top:2062;width:158;height:1092" filled="true" fillcolor="#4f81bc" stroked="false">
              <v:fill type="solid"/>
            </v:rect>
            <v:line style="position:absolute" from="9643,3203" to="9802,3203" stroked="true" strokeweight="4.860pt" strokecolor="#c0504d">
              <v:stroke dashstyle="solid"/>
            </v:line>
            <v:shape style="position:absolute;left:9914;top:1603;width:61;height:2482" coordorigin="9915,1603" coordsize="61,2482" path="m9975,4084l9975,1603m9915,4084l9975,4084m9915,3774l9975,3774m9915,3464l9975,3464m9915,3154l9975,3154m9915,2843l9975,2843m9915,2534l9975,2534m9915,2223l9975,2223m9915,1913l9975,1913m9915,1603l9975,1603e" filled="false" stroked="true" strokeweight=".75pt" strokecolor="#7e7e7e">
              <v:path arrowok="t"/>
              <v:stroke dashstyle="solid"/>
            </v:shape>
            <v:line style="position:absolute" from="1503,3154" to="9975,3154" stroked="true" strokeweight=".75pt" strokecolor="#d9d9d9">
              <v:stroke dashstyle="solid"/>
            </v:line>
            <w10:wrap type="none"/>
          </v:group>
        </w:pict>
      </w:r>
      <w:r>
        <w:rPr/>
        <w:pict>
          <v:rect style="position:absolute;margin-left:128.220001pt;margin-top:64.925491pt;width:5.0287pt;height:5.0287pt;mso-position-horizontal-relative:page;mso-position-vertical-relative:paragraph;z-index:-254530560" filled="true" fillcolor="#4f81bc" stroked="false">
            <v:fill type="solid"/>
            <w10:wrap type="none"/>
          </v:rect>
        </w:pict>
      </w:r>
      <w:r>
        <w:rPr/>
        <w:pict>
          <v:rect style="position:absolute;margin-left:199.520004pt;margin-top:64.925491pt;width:5.0287pt;height:5.0287pt;mso-position-horizontal-relative:page;mso-position-vertical-relative:paragraph;z-index:-254529536" filled="true" fillcolor="#c0504d" stroked="false">
            <v:fill type="solid"/>
            <w10:wrap type="none"/>
          </v:rect>
        </w:pict>
      </w:r>
      <w:r>
        <w:rPr/>
        <w:t>These pay rises were roughly in line with pre-crisis economic growth rates.</w:t>
      </w:r>
    </w:p>
    <w:p>
      <w:pPr>
        <w:pStyle w:val="BodyText"/>
      </w:pPr>
    </w:p>
    <w:p>
      <w:pPr>
        <w:pStyle w:val="BodyText"/>
        <w:spacing w:before="9" w:after="1"/>
        <w:rPr>
          <w:sz w:val="19"/>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60"/>
      </w:tblGrid>
      <w:tr>
        <w:trPr>
          <w:trHeight w:val="345" w:hRule="atLeast"/>
        </w:trPr>
        <w:tc>
          <w:tcPr>
            <w:tcW w:w="9760" w:type="dxa"/>
          </w:tcPr>
          <w:p>
            <w:pPr>
              <w:pStyle w:val="TableParagraph"/>
              <w:spacing w:line="224" w:lineRule="exact"/>
              <w:ind w:left="200"/>
              <w:rPr>
                <w:b/>
                <w:sz w:val="20"/>
              </w:rPr>
            </w:pPr>
            <w:r>
              <w:rPr>
                <w:b/>
                <w:sz w:val="20"/>
              </w:rPr>
              <w:t>Chart 8: Real pay by region</w:t>
            </w:r>
          </w:p>
        </w:tc>
      </w:tr>
      <w:tr>
        <w:trPr>
          <w:trHeight w:val="3898" w:hRule="atLeast"/>
        </w:trPr>
        <w:tc>
          <w:tcPr>
            <w:tcW w:w="9760" w:type="dxa"/>
          </w:tcPr>
          <w:p>
            <w:pPr>
              <w:pStyle w:val="TableParagraph"/>
              <w:tabs>
                <w:tab w:pos="3200" w:val="left" w:leader="none"/>
                <w:tab w:pos="5423" w:val="left" w:leader="none"/>
              </w:tabs>
              <w:spacing w:before="115"/>
              <w:ind w:left="1774"/>
              <w:rPr>
                <w:sz w:val="20"/>
              </w:rPr>
            </w:pPr>
            <w:r>
              <w:rPr>
                <w:color w:val="7E7E7E"/>
                <w:position w:val="-7"/>
                <w:sz w:val="20"/>
              </w:rPr>
              <w:t>1998-2007</w:t>
              <w:tab/>
              <w:t>2009-2018</w:t>
              <w:tab/>
            </w:r>
            <w:r>
              <w:rPr>
                <w:color w:val="7E7E7E"/>
                <w:sz w:val="20"/>
              </w:rPr>
              <w:t>Average annual real pay growth (per</w:t>
            </w:r>
            <w:r>
              <w:rPr>
                <w:color w:val="7E7E7E"/>
                <w:spacing w:val="-10"/>
                <w:sz w:val="20"/>
              </w:rPr>
              <w:t> </w:t>
            </w:r>
            <w:r>
              <w:rPr>
                <w:color w:val="7E7E7E"/>
                <w:sz w:val="20"/>
              </w:rPr>
              <w:t>cent)</w:t>
            </w:r>
          </w:p>
          <w:p>
            <w:pPr>
              <w:pStyle w:val="TableParagraph"/>
              <w:spacing w:before="21"/>
              <w:ind w:left="9214"/>
              <w:rPr>
                <w:sz w:val="20"/>
              </w:rPr>
            </w:pPr>
            <w:r>
              <w:rPr>
                <w:color w:val="7E7E7E"/>
                <w:sz w:val="20"/>
              </w:rPr>
              <w:t>2.5</w:t>
            </w:r>
          </w:p>
          <w:p>
            <w:pPr>
              <w:pStyle w:val="TableParagraph"/>
              <w:spacing w:before="81"/>
              <w:ind w:left="9214"/>
              <w:rPr>
                <w:sz w:val="20"/>
              </w:rPr>
            </w:pPr>
            <w:r>
              <w:rPr>
                <w:color w:val="7E7E7E"/>
                <w:w w:val="100"/>
                <w:sz w:val="20"/>
              </w:rPr>
              <w:t>2</w:t>
            </w:r>
          </w:p>
          <w:p>
            <w:pPr>
              <w:pStyle w:val="TableParagraph"/>
              <w:spacing w:before="80"/>
              <w:ind w:left="9214"/>
              <w:rPr>
                <w:sz w:val="20"/>
              </w:rPr>
            </w:pPr>
            <w:r>
              <w:rPr>
                <w:color w:val="7E7E7E"/>
                <w:sz w:val="20"/>
              </w:rPr>
              <w:t>1.5</w:t>
            </w:r>
          </w:p>
          <w:p>
            <w:pPr>
              <w:pStyle w:val="TableParagraph"/>
              <w:spacing w:before="80"/>
              <w:ind w:left="9214"/>
              <w:rPr>
                <w:sz w:val="20"/>
              </w:rPr>
            </w:pPr>
            <w:r>
              <w:rPr>
                <w:color w:val="7E7E7E"/>
                <w:w w:val="100"/>
                <w:sz w:val="20"/>
              </w:rPr>
              <w:t>1</w:t>
            </w:r>
          </w:p>
          <w:p>
            <w:pPr>
              <w:pStyle w:val="TableParagraph"/>
              <w:spacing w:before="80"/>
              <w:ind w:left="9214"/>
              <w:rPr>
                <w:sz w:val="20"/>
              </w:rPr>
            </w:pPr>
            <w:r>
              <w:rPr>
                <w:color w:val="7E7E7E"/>
                <w:sz w:val="20"/>
              </w:rPr>
              <w:t>0.5</w:t>
            </w:r>
          </w:p>
          <w:p>
            <w:pPr>
              <w:pStyle w:val="TableParagraph"/>
              <w:spacing w:before="81"/>
              <w:ind w:left="9214"/>
              <w:rPr>
                <w:sz w:val="20"/>
              </w:rPr>
            </w:pPr>
            <w:r>
              <w:rPr>
                <w:color w:val="7E7E7E"/>
                <w:w w:val="100"/>
                <w:sz w:val="20"/>
              </w:rPr>
              <w:t>0</w:t>
            </w:r>
          </w:p>
          <w:p>
            <w:pPr>
              <w:pStyle w:val="TableParagraph"/>
              <w:spacing w:before="80"/>
              <w:ind w:left="9214"/>
              <w:rPr>
                <w:sz w:val="20"/>
              </w:rPr>
            </w:pPr>
            <w:r>
              <w:rPr>
                <w:color w:val="7E7E7E"/>
                <w:sz w:val="20"/>
              </w:rPr>
              <w:t>-0.5</w:t>
            </w:r>
          </w:p>
          <w:p>
            <w:pPr>
              <w:pStyle w:val="TableParagraph"/>
              <w:spacing w:before="80"/>
              <w:ind w:left="9214"/>
              <w:rPr>
                <w:sz w:val="20"/>
              </w:rPr>
            </w:pPr>
            <w:r>
              <w:rPr>
                <w:color w:val="7E7E7E"/>
                <w:sz w:val="20"/>
              </w:rPr>
              <w:t>-1</w:t>
            </w:r>
          </w:p>
          <w:p>
            <w:pPr>
              <w:pStyle w:val="TableParagraph"/>
              <w:spacing w:before="80"/>
              <w:ind w:left="9214"/>
              <w:rPr>
                <w:sz w:val="20"/>
              </w:rPr>
            </w:pPr>
            <w:r>
              <w:rPr>
                <w:color w:val="7E7E7E"/>
                <w:sz w:val="20"/>
              </w:rPr>
              <w:t>-1.5</w:t>
            </w:r>
          </w:p>
          <w:p>
            <w:pPr>
              <w:pStyle w:val="TableParagraph"/>
              <w:spacing w:before="7"/>
              <w:rPr>
                <w:sz w:val="3"/>
              </w:rPr>
            </w:pPr>
          </w:p>
          <w:p>
            <w:pPr>
              <w:pStyle w:val="TableParagraph"/>
              <w:tabs>
                <w:tab w:pos="6877" w:val="left" w:leader="none"/>
              </w:tabs>
              <w:ind w:left="4696"/>
              <w:rPr>
                <w:sz w:val="20"/>
              </w:rPr>
            </w:pPr>
            <w:r>
              <w:rPr>
                <w:sz w:val="20"/>
              </w:rPr>
              <w:drawing>
                <wp:inline distT="0" distB="0" distL="0" distR="0">
                  <wp:extent cx="1195167" cy="443388"/>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1195167" cy="443388"/>
                          </a:xfrm>
                          <a:prstGeom prst="rect">
                            <a:avLst/>
                          </a:prstGeom>
                        </pic:spPr>
                      </pic:pic>
                    </a:graphicData>
                  </a:graphic>
                </wp:inline>
              </w:drawing>
            </w:r>
            <w:r>
              <w:rPr>
                <w:sz w:val="20"/>
              </w:rPr>
            </w:r>
            <w:r>
              <w:rPr>
                <w:sz w:val="20"/>
              </w:rPr>
              <w:tab/>
            </w:r>
            <w:r>
              <w:rPr>
                <w:position w:val="29"/>
                <w:sz w:val="20"/>
              </w:rPr>
              <w:pict>
                <v:group style="width:21.4pt;height:18.8pt;mso-position-horizontal-relative:char;mso-position-vertical-relative:line" coordorigin="0,0" coordsize="428,376">
                  <v:shape style="position:absolute;left:0;top:0;width:428;height:376" coordorigin="0,0" coordsize="428,376" path="m12,298l0,310,115,376,128,364,124,358,108,358,101,354,94,348,86,344,12,298xm66,244l51,258,96,338,101,346,108,358,124,358,77,276,75,272,73,268,69,262,97,262,66,244xm97,262l69,262,71,264,172,320,183,310,179,302,165,302,156,296,146,290,136,284,125,278,97,262xm117,194l105,206,149,278,155,288,160,296,165,302,179,302,117,194xm231,180l207,180,211,182,216,186,216,188,217,188,219,190,216,196,210,204,203,214,199,218,196,222,194,226,192,230,190,236,189,238,189,246,192,254,194,256,203,266,209,268,224,268,231,264,243,252,215,252,212,250,207,246,206,244,204,238,205,236,206,234,207,230,209,226,213,222,220,212,225,204,227,198,249,198,231,180xm249,198l227,198,231,202,236,208,240,212,241,216,243,220,243,226,240,236,237,240,233,246,228,250,224,252,243,252,246,248,251,236,253,230,253,222,269,222,275,216,271,216,268,214,261,210,255,204,249,198xm211,164l199,164,195,166,190,170,184,172,173,184,169,190,163,202,162,208,164,218,166,224,169,228,182,220,178,214,177,208,178,204,178,200,181,194,192,184,198,180,231,180,229,178,224,174,221,170,215,166,211,164xm269,222l253,222,257,226,260,228,264,228,269,222xm209,102l197,112,289,204,300,192,209,102xm319,68l295,68,285,72,276,80,267,90,263,100,264,124,270,136,281,146,291,158,303,164,326,164,336,158,347,148,310,148,302,144,295,138,304,128,286,128,281,122,278,116,278,102,281,96,286,90,291,84,298,82,338,82,330,74,319,68xm354,100l341,110,344,116,345,122,343,132,341,136,331,146,325,148,347,148,354,142,358,134,361,116,359,108,354,100xm338,82l306,82,311,84,317,86,323,90,286,128,304,128,344,88,342,86,341,86,338,82xm373,76l364,90,380,98,396,96,405,90,413,82,383,82,378,80,373,76xm426,44l406,44,412,50,413,54,412,62,409,68,404,72,399,78,389,82,413,82,419,76,422,72,425,66,427,60,427,54,426,48,426,44xm368,0l364,2,353,6,347,10,339,18,336,22,334,26,332,30,331,34,329,40,330,44,332,52,334,56,340,62,344,64,348,64,353,66,357,66,366,62,374,58,384,52,388,50,354,50,350,48,348,48,347,46,344,44,343,40,344,36,344,34,347,28,352,24,361,16,381,16,387,8,382,4,377,2,368,0xm402,26l394,30,389,30,382,34,372,40,361,46,359,48,356,48,354,50,388,50,392,48,397,46,399,44,426,44,425,42,423,38,415,30,411,28,402,26xm381,16l374,16,378,20,381,16xe" filled="true" fillcolor="#7e7e7e" stroked="false">
                    <v:path arrowok="t"/>
                    <v:fill type="solid"/>
                  </v:shape>
                </v:group>
              </w:pict>
            </w:r>
            <w:r>
              <w:rPr>
                <w:position w:val="29"/>
                <w:sz w:val="20"/>
              </w:rPr>
            </w:r>
          </w:p>
        </w:tc>
      </w:tr>
      <w:tr>
        <w:trPr>
          <w:trHeight w:val="1254" w:hRule="atLeast"/>
        </w:trPr>
        <w:tc>
          <w:tcPr>
            <w:tcW w:w="9760" w:type="dxa"/>
          </w:tcPr>
          <w:p>
            <w:pPr>
              <w:pStyle w:val="TableParagraph"/>
              <w:rPr>
                <w:sz w:val="18"/>
              </w:rPr>
            </w:pPr>
          </w:p>
          <w:p>
            <w:pPr>
              <w:pStyle w:val="TableParagraph"/>
              <w:rPr>
                <w:sz w:val="18"/>
              </w:rPr>
            </w:pPr>
          </w:p>
          <w:p>
            <w:pPr>
              <w:pStyle w:val="TableParagraph"/>
              <w:spacing w:before="1"/>
              <w:rPr>
                <w:sz w:val="25"/>
              </w:rPr>
            </w:pPr>
          </w:p>
          <w:p>
            <w:pPr>
              <w:pStyle w:val="TableParagraph"/>
              <w:ind w:left="200"/>
              <w:rPr>
                <w:sz w:val="16"/>
              </w:rPr>
            </w:pPr>
            <w:r>
              <w:rPr>
                <w:sz w:val="16"/>
              </w:rPr>
              <w:t>Sources: ONS and Bank of England calculations.</w:t>
            </w:r>
          </w:p>
          <w:p>
            <w:pPr>
              <w:pStyle w:val="TableParagraph"/>
              <w:rPr>
                <w:sz w:val="16"/>
              </w:rPr>
            </w:pPr>
          </w:p>
          <w:p>
            <w:pPr>
              <w:pStyle w:val="TableParagraph"/>
              <w:spacing w:line="164" w:lineRule="exact"/>
              <w:ind w:left="200"/>
              <w:rPr>
                <w:sz w:val="16"/>
              </w:rPr>
            </w:pPr>
            <w:r>
              <w:rPr>
                <w:sz w:val="16"/>
              </w:rPr>
              <w:t>Notes: Data at annual frequency using median gross weekly pay in ASHE deflated by CPI. Regional calculations at NUTS1 level.</w:t>
            </w:r>
          </w:p>
        </w:tc>
      </w:tr>
    </w:tbl>
    <w:p>
      <w:pPr>
        <w:pStyle w:val="BodyText"/>
      </w:pPr>
    </w:p>
    <w:p>
      <w:pPr>
        <w:pStyle w:val="BodyText"/>
        <w:spacing w:before="2"/>
        <w:rPr>
          <w:sz w:val="19"/>
        </w:rPr>
      </w:pPr>
    </w:p>
    <w:p>
      <w:pPr>
        <w:pStyle w:val="BodyText"/>
        <w:spacing w:line="355" w:lineRule="auto"/>
        <w:ind w:left="334" w:right="319"/>
      </w:pPr>
      <w:r>
        <w:rPr/>
        <w:drawing>
          <wp:anchor distT="0" distB="0" distL="0" distR="0" allowOverlap="1" layoutInCell="1" locked="0" behindDoc="1" simplePos="0" relativeHeight="248783872">
            <wp:simplePos x="0" y="0"/>
            <wp:positionH relativeFrom="page">
              <wp:posOffset>773328</wp:posOffset>
            </wp:positionH>
            <wp:positionV relativeFrom="paragraph">
              <wp:posOffset>-1545210</wp:posOffset>
            </wp:positionV>
            <wp:extent cx="2664365" cy="752475"/>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3" cstate="print"/>
                    <a:stretch>
                      <a:fillRect/>
                    </a:stretch>
                  </pic:blipFill>
                  <pic:spPr>
                    <a:xfrm>
                      <a:off x="0" y="0"/>
                      <a:ext cx="2664365" cy="752475"/>
                    </a:xfrm>
                    <a:prstGeom prst="rect">
                      <a:avLst/>
                    </a:prstGeom>
                  </pic:spPr>
                </pic:pic>
              </a:graphicData>
            </a:graphic>
          </wp:anchor>
        </w:drawing>
      </w:r>
      <w:r>
        <w:rPr/>
        <w:drawing>
          <wp:anchor distT="0" distB="0" distL="0" distR="0" allowOverlap="1" layoutInCell="1" locked="0" behindDoc="1" simplePos="0" relativeHeight="248784896">
            <wp:simplePos x="0" y="0"/>
            <wp:positionH relativeFrom="page">
              <wp:posOffset>5331586</wp:posOffset>
            </wp:positionH>
            <wp:positionV relativeFrom="paragraph">
              <wp:posOffset>-1548766</wp:posOffset>
            </wp:positionV>
            <wp:extent cx="800157" cy="628650"/>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4" cstate="print"/>
                    <a:stretch>
                      <a:fillRect/>
                    </a:stretch>
                  </pic:blipFill>
                  <pic:spPr>
                    <a:xfrm>
                      <a:off x="0" y="0"/>
                      <a:ext cx="800157" cy="628650"/>
                    </a:xfrm>
                    <a:prstGeom prst="rect">
                      <a:avLst/>
                    </a:prstGeom>
                  </pic:spPr>
                </pic:pic>
              </a:graphicData>
            </a:graphic>
          </wp:anchor>
        </w:drawing>
      </w:r>
      <w:r>
        <w:rPr/>
        <w:t>Over the past decade, average growth rates of real pay in every UK region have fallen into negative territory and well below average GDP growth rates in the economy over the same period (1.3%). The worst-affected regions have been the East Midlands and London. Scunthorpe has been towards the lower end of this pack, with real pay falling by, on average, 0.8% per year over the past decade.</w:t>
      </w:r>
    </w:p>
    <w:p>
      <w:pPr>
        <w:pStyle w:val="BodyText"/>
        <w:spacing w:before="4"/>
        <w:rPr>
          <w:sz w:val="29"/>
        </w:rPr>
      </w:pPr>
    </w:p>
    <w:p>
      <w:pPr>
        <w:pStyle w:val="BodyText"/>
        <w:spacing w:line="355" w:lineRule="auto"/>
        <w:ind w:left="334" w:right="319"/>
      </w:pPr>
      <w:r>
        <w:rPr/>
        <w:t>The distribution of real pay rises across the wage distribution tells a nuanced story (Chart 9). In the decade prior to the crisis, real pay growth was fairly evenly distributed. The one exception was the top two wage deciles, where real pay growth averaged 2 ¼% – 0.5 percentage points higher than in the lower deciles.</w:t>
      </w:r>
    </w:p>
    <w:p>
      <w:pPr>
        <w:pStyle w:val="BodyText"/>
        <w:spacing w:before="6"/>
        <w:rPr>
          <w:sz w:val="29"/>
        </w:rPr>
      </w:pPr>
    </w:p>
    <w:p>
      <w:pPr>
        <w:pStyle w:val="BodyText"/>
        <w:spacing w:line="355" w:lineRule="auto"/>
        <w:ind w:left="334" w:right="388"/>
      </w:pPr>
      <w:r>
        <w:rPr/>
        <w:t>The global financial crisis (2008-11) saw a sharp and significant amplification of these pre-crisis trends. The distribution of real pay rises fell below zero for all income groups. But while for the top two income deciles real pay shrank by </w:t>
      </w:r>
      <w:r>
        <w:rPr>
          <w:i/>
        </w:rPr>
        <w:t>only </w:t>
      </w:r>
      <w:r>
        <w:rPr/>
        <w:t>2%, for the bottom two deciles it fell by 4%. This widened pre-existing wage inequalities. For the poor, this really was a Great Recession.</w:t>
      </w:r>
    </w:p>
    <w:p>
      <w:pPr>
        <w:spacing w:after="0" w:line="355" w:lineRule="auto"/>
        <w:sectPr>
          <w:pgSz w:w="11910" w:h="16840"/>
          <w:pgMar w:header="0" w:footer="1338" w:top="1460" w:bottom="1520" w:left="800" w:right="820"/>
        </w:sect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29"/>
      </w:tblGrid>
      <w:tr>
        <w:trPr>
          <w:trHeight w:val="347" w:hRule="atLeast"/>
        </w:trPr>
        <w:tc>
          <w:tcPr>
            <w:tcW w:w="9729" w:type="dxa"/>
          </w:tcPr>
          <w:p>
            <w:pPr>
              <w:pStyle w:val="TableParagraph"/>
              <w:spacing w:line="220" w:lineRule="exact"/>
              <w:ind w:left="200"/>
              <w:rPr>
                <w:b/>
                <w:sz w:val="20"/>
              </w:rPr>
            </w:pPr>
            <w:r>
              <w:rPr>
                <w:b/>
                <w:sz w:val="20"/>
              </w:rPr>
              <w:t>Chart 9: Real pay growth along the pay distribution</w:t>
            </w:r>
          </w:p>
        </w:tc>
      </w:tr>
      <w:tr>
        <w:trPr>
          <w:trHeight w:val="4685" w:hRule="atLeast"/>
        </w:trPr>
        <w:tc>
          <w:tcPr>
            <w:tcW w:w="9729" w:type="dxa"/>
          </w:tcPr>
          <w:p>
            <w:pPr>
              <w:pStyle w:val="TableParagraph"/>
              <w:spacing w:before="113"/>
              <w:ind w:left="5295"/>
              <w:rPr>
                <w:sz w:val="20"/>
              </w:rPr>
            </w:pPr>
            <w:r>
              <w:rPr>
                <w:color w:val="7E7E7E"/>
                <w:sz w:val="20"/>
              </w:rPr>
              <w:t>Average annual real wage growth (per cent)</w:t>
            </w:r>
          </w:p>
          <w:p>
            <w:pPr>
              <w:pStyle w:val="TableParagraph"/>
              <w:spacing w:before="141"/>
              <w:ind w:left="9349"/>
              <w:rPr>
                <w:sz w:val="20"/>
              </w:rPr>
            </w:pPr>
            <w:r>
              <w:rPr>
                <w:color w:val="7E7E7E"/>
                <w:w w:val="100"/>
                <w:sz w:val="20"/>
              </w:rPr>
              <w:t>4</w:t>
            </w:r>
          </w:p>
          <w:p>
            <w:pPr>
              <w:pStyle w:val="TableParagraph"/>
              <w:spacing w:before="8"/>
              <w:rPr>
                <w:sz w:val="22"/>
              </w:rPr>
            </w:pPr>
          </w:p>
          <w:p>
            <w:pPr>
              <w:pStyle w:val="TableParagraph"/>
              <w:ind w:left="9349"/>
              <w:rPr>
                <w:sz w:val="20"/>
              </w:rPr>
            </w:pPr>
            <w:r>
              <w:rPr>
                <w:color w:val="7E7E7E"/>
                <w:w w:val="100"/>
                <w:sz w:val="20"/>
              </w:rPr>
              <w:t>2</w:t>
            </w:r>
          </w:p>
          <w:p>
            <w:pPr>
              <w:pStyle w:val="TableParagraph"/>
              <w:spacing w:before="8"/>
              <w:rPr>
                <w:sz w:val="22"/>
              </w:rPr>
            </w:pPr>
          </w:p>
          <w:p>
            <w:pPr>
              <w:pStyle w:val="TableParagraph"/>
              <w:ind w:left="9349"/>
              <w:rPr>
                <w:sz w:val="20"/>
              </w:rPr>
            </w:pPr>
            <w:r>
              <w:rPr>
                <w:color w:val="7E7E7E"/>
                <w:w w:val="100"/>
                <w:sz w:val="20"/>
              </w:rPr>
              <w:t>0</w:t>
            </w:r>
          </w:p>
          <w:p>
            <w:pPr>
              <w:pStyle w:val="TableParagraph"/>
              <w:spacing w:before="8"/>
              <w:rPr>
                <w:sz w:val="22"/>
              </w:rPr>
            </w:pPr>
          </w:p>
          <w:p>
            <w:pPr>
              <w:pStyle w:val="TableParagraph"/>
              <w:ind w:left="9349"/>
              <w:rPr>
                <w:sz w:val="20"/>
              </w:rPr>
            </w:pPr>
            <w:r>
              <w:rPr>
                <w:color w:val="7E7E7E"/>
                <w:sz w:val="20"/>
              </w:rPr>
              <w:t>-2</w:t>
            </w:r>
          </w:p>
          <w:p>
            <w:pPr>
              <w:pStyle w:val="TableParagraph"/>
              <w:spacing w:before="7"/>
              <w:rPr>
                <w:sz w:val="22"/>
              </w:rPr>
            </w:pPr>
          </w:p>
          <w:p>
            <w:pPr>
              <w:pStyle w:val="TableParagraph"/>
              <w:spacing w:before="1"/>
              <w:ind w:left="9349"/>
              <w:rPr>
                <w:sz w:val="20"/>
              </w:rPr>
            </w:pPr>
            <w:r>
              <w:rPr>
                <w:color w:val="7E7E7E"/>
                <w:sz w:val="20"/>
              </w:rPr>
              <w:t>-4</w:t>
            </w:r>
          </w:p>
          <w:p>
            <w:pPr>
              <w:pStyle w:val="TableParagraph"/>
              <w:spacing w:before="7"/>
              <w:rPr>
                <w:sz w:val="22"/>
              </w:rPr>
            </w:pPr>
          </w:p>
          <w:p>
            <w:pPr>
              <w:pStyle w:val="TableParagraph"/>
              <w:ind w:left="9349"/>
              <w:rPr>
                <w:sz w:val="20"/>
              </w:rPr>
            </w:pPr>
            <w:r>
              <w:rPr>
                <w:color w:val="7E7E7E"/>
                <w:sz w:val="20"/>
              </w:rPr>
              <w:t>-6</w:t>
            </w:r>
          </w:p>
          <w:p>
            <w:pPr>
              <w:pStyle w:val="TableParagraph"/>
              <w:spacing w:before="8"/>
              <w:rPr>
                <w:sz w:val="22"/>
              </w:rPr>
            </w:pPr>
          </w:p>
          <w:p>
            <w:pPr>
              <w:pStyle w:val="TableParagraph"/>
              <w:ind w:left="9349"/>
              <w:rPr>
                <w:sz w:val="20"/>
              </w:rPr>
            </w:pPr>
            <w:r>
              <w:rPr>
                <w:color w:val="7E7E7E"/>
                <w:sz w:val="20"/>
              </w:rPr>
              <w:t>-8</w:t>
            </w:r>
          </w:p>
          <w:p>
            <w:pPr>
              <w:pStyle w:val="TableParagraph"/>
              <w:tabs>
                <w:tab w:pos="726" w:val="left" w:leader="none"/>
              </w:tabs>
              <w:spacing w:before="9"/>
              <w:ind w:left="361"/>
              <w:jc w:val="center"/>
              <w:rPr>
                <w:sz w:val="20"/>
              </w:rPr>
            </w:pPr>
            <w:r>
              <w:rPr>
                <w:color w:val="7E7E7E"/>
                <w:sz w:val="20"/>
              </w:rPr>
              <w:t>5</w:t>
              <w:tab/>
              <w:t>10</w:t>
            </w:r>
            <w:r>
              <w:rPr>
                <w:color w:val="7E7E7E"/>
                <w:spacing w:val="30"/>
                <w:sz w:val="20"/>
              </w:rPr>
              <w:t> </w:t>
            </w:r>
            <w:r>
              <w:rPr>
                <w:color w:val="7E7E7E"/>
                <w:sz w:val="20"/>
              </w:rPr>
              <w:t>15</w:t>
            </w:r>
            <w:r>
              <w:rPr>
                <w:color w:val="7E7E7E"/>
                <w:spacing w:val="30"/>
                <w:sz w:val="20"/>
              </w:rPr>
              <w:t> </w:t>
            </w:r>
            <w:r>
              <w:rPr>
                <w:color w:val="7E7E7E"/>
                <w:sz w:val="20"/>
              </w:rPr>
              <w:t>20</w:t>
            </w:r>
            <w:r>
              <w:rPr>
                <w:color w:val="7E7E7E"/>
                <w:spacing w:val="31"/>
                <w:sz w:val="20"/>
              </w:rPr>
              <w:t> </w:t>
            </w:r>
            <w:r>
              <w:rPr>
                <w:color w:val="7E7E7E"/>
                <w:sz w:val="20"/>
              </w:rPr>
              <w:t>25</w:t>
            </w:r>
            <w:r>
              <w:rPr>
                <w:color w:val="7E7E7E"/>
                <w:spacing w:val="30"/>
                <w:sz w:val="20"/>
              </w:rPr>
              <w:t> </w:t>
            </w:r>
            <w:r>
              <w:rPr>
                <w:color w:val="7E7E7E"/>
                <w:sz w:val="20"/>
              </w:rPr>
              <w:t>30</w:t>
            </w:r>
            <w:r>
              <w:rPr>
                <w:color w:val="7E7E7E"/>
                <w:spacing w:val="31"/>
                <w:sz w:val="20"/>
              </w:rPr>
              <w:t> </w:t>
            </w:r>
            <w:r>
              <w:rPr>
                <w:color w:val="7E7E7E"/>
                <w:sz w:val="20"/>
              </w:rPr>
              <w:t>35</w:t>
            </w:r>
            <w:r>
              <w:rPr>
                <w:color w:val="7E7E7E"/>
                <w:spacing w:val="31"/>
                <w:sz w:val="20"/>
              </w:rPr>
              <w:t> </w:t>
            </w:r>
            <w:r>
              <w:rPr>
                <w:color w:val="7E7E7E"/>
                <w:sz w:val="20"/>
              </w:rPr>
              <w:t>40</w:t>
            </w:r>
            <w:r>
              <w:rPr>
                <w:color w:val="7E7E7E"/>
                <w:spacing w:val="30"/>
                <w:sz w:val="20"/>
              </w:rPr>
              <w:t> </w:t>
            </w:r>
            <w:r>
              <w:rPr>
                <w:color w:val="7E7E7E"/>
                <w:sz w:val="20"/>
              </w:rPr>
              <w:t>45</w:t>
            </w:r>
            <w:r>
              <w:rPr>
                <w:color w:val="7E7E7E"/>
                <w:spacing w:val="31"/>
                <w:sz w:val="20"/>
              </w:rPr>
              <w:t> </w:t>
            </w:r>
            <w:r>
              <w:rPr>
                <w:color w:val="7E7E7E"/>
                <w:sz w:val="20"/>
              </w:rPr>
              <w:t>50</w:t>
            </w:r>
            <w:r>
              <w:rPr>
                <w:color w:val="7E7E7E"/>
                <w:spacing w:val="30"/>
                <w:sz w:val="20"/>
              </w:rPr>
              <w:t> </w:t>
            </w:r>
            <w:r>
              <w:rPr>
                <w:color w:val="7E7E7E"/>
                <w:sz w:val="20"/>
              </w:rPr>
              <w:t>55</w:t>
            </w:r>
            <w:r>
              <w:rPr>
                <w:color w:val="7E7E7E"/>
                <w:spacing w:val="30"/>
                <w:sz w:val="20"/>
              </w:rPr>
              <w:t> </w:t>
            </w:r>
            <w:r>
              <w:rPr>
                <w:color w:val="7E7E7E"/>
                <w:sz w:val="20"/>
              </w:rPr>
              <w:t>60</w:t>
            </w:r>
            <w:r>
              <w:rPr>
                <w:color w:val="7E7E7E"/>
                <w:spacing w:val="31"/>
                <w:sz w:val="20"/>
              </w:rPr>
              <w:t> </w:t>
            </w:r>
            <w:r>
              <w:rPr>
                <w:color w:val="7E7E7E"/>
                <w:sz w:val="20"/>
              </w:rPr>
              <w:t>65</w:t>
            </w:r>
            <w:r>
              <w:rPr>
                <w:color w:val="7E7E7E"/>
                <w:spacing w:val="30"/>
                <w:sz w:val="20"/>
              </w:rPr>
              <w:t> </w:t>
            </w:r>
            <w:r>
              <w:rPr>
                <w:color w:val="7E7E7E"/>
                <w:sz w:val="20"/>
              </w:rPr>
              <w:t>70</w:t>
            </w:r>
            <w:r>
              <w:rPr>
                <w:color w:val="7E7E7E"/>
                <w:spacing w:val="31"/>
                <w:sz w:val="20"/>
              </w:rPr>
              <w:t> </w:t>
            </w:r>
            <w:r>
              <w:rPr>
                <w:color w:val="7E7E7E"/>
                <w:sz w:val="20"/>
              </w:rPr>
              <w:t>75</w:t>
            </w:r>
            <w:r>
              <w:rPr>
                <w:color w:val="7E7E7E"/>
                <w:spacing w:val="30"/>
                <w:sz w:val="20"/>
              </w:rPr>
              <w:t> </w:t>
            </w:r>
            <w:r>
              <w:rPr>
                <w:color w:val="7E7E7E"/>
                <w:sz w:val="20"/>
              </w:rPr>
              <w:t>80</w:t>
            </w:r>
            <w:r>
              <w:rPr>
                <w:color w:val="7E7E7E"/>
                <w:spacing w:val="31"/>
                <w:sz w:val="20"/>
              </w:rPr>
              <w:t> </w:t>
            </w:r>
            <w:r>
              <w:rPr>
                <w:color w:val="7E7E7E"/>
                <w:sz w:val="20"/>
              </w:rPr>
              <w:t>85</w:t>
            </w:r>
            <w:r>
              <w:rPr>
                <w:color w:val="7E7E7E"/>
                <w:spacing w:val="31"/>
                <w:sz w:val="20"/>
              </w:rPr>
              <w:t> </w:t>
            </w:r>
            <w:r>
              <w:rPr>
                <w:color w:val="7E7E7E"/>
                <w:sz w:val="20"/>
              </w:rPr>
              <w:t>90</w:t>
            </w:r>
            <w:r>
              <w:rPr>
                <w:color w:val="7E7E7E"/>
                <w:spacing w:val="30"/>
                <w:sz w:val="20"/>
              </w:rPr>
              <w:t> </w:t>
            </w:r>
            <w:r>
              <w:rPr>
                <w:color w:val="7E7E7E"/>
                <w:sz w:val="20"/>
              </w:rPr>
              <w:t>95</w:t>
            </w:r>
          </w:p>
          <w:p>
            <w:pPr>
              <w:pStyle w:val="TableParagraph"/>
              <w:tabs>
                <w:tab w:pos="4026" w:val="left" w:leader="none"/>
                <w:tab w:pos="5975" w:val="left" w:leader="none"/>
                <w:tab w:pos="8791" w:val="right" w:leader="none"/>
              </w:tabs>
              <w:spacing w:before="368"/>
              <w:ind w:left="1744"/>
              <w:rPr>
                <w:sz w:val="20"/>
              </w:rPr>
            </w:pPr>
            <w:r>
              <w:rPr>
                <w:color w:val="7E7E7E"/>
                <w:sz w:val="20"/>
              </w:rPr>
              <w:t>Pre-crisis</w:t>
            </w:r>
            <w:r>
              <w:rPr>
                <w:color w:val="7E7E7E"/>
                <w:spacing w:val="-2"/>
                <w:sz w:val="20"/>
              </w:rPr>
              <w:t> </w:t>
            </w:r>
            <w:r>
              <w:rPr>
                <w:color w:val="7E7E7E"/>
                <w:sz w:val="20"/>
              </w:rPr>
              <w:t>(97-08)</w:t>
              <w:tab/>
              <w:t>Crisis (08-11)</w:t>
              <w:tab/>
              <w:t>Post-crisis (11-17)</w:t>
              <w:tab/>
              <w:t>2018</w:t>
            </w:r>
          </w:p>
        </w:tc>
      </w:tr>
      <w:tr>
        <w:trPr>
          <w:trHeight w:val="593" w:hRule="atLeast"/>
        </w:trPr>
        <w:tc>
          <w:tcPr>
            <w:tcW w:w="9729" w:type="dxa"/>
          </w:tcPr>
          <w:p>
            <w:pPr>
              <w:pStyle w:val="TableParagraph"/>
              <w:spacing w:before="4"/>
              <w:rPr>
                <w:sz w:val="15"/>
              </w:rPr>
            </w:pPr>
          </w:p>
          <w:p>
            <w:pPr>
              <w:pStyle w:val="TableParagraph"/>
              <w:ind w:left="200"/>
              <w:rPr>
                <w:sz w:val="16"/>
              </w:rPr>
            </w:pPr>
            <w:r>
              <w:rPr>
                <w:sz w:val="16"/>
              </w:rPr>
              <w:t>Sources: ONS ASHE and Bank of England calculations.</w:t>
            </w:r>
          </w:p>
          <w:p>
            <w:pPr>
              <w:pStyle w:val="TableParagraph"/>
              <w:spacing w:line="167" w:lineRule="exact" w:before="45"/>
              <w:ind w:left="200"/>
              <w:rPr>
                <w:sz w:val="16"/>
              </w:rPr>
            </w:pPr>
            <w:r>
              <w:rPr>
                <w:sz w:val="16"/>
              </w:rPr>
              <w:t>Notes: Data based on real weekly pay (using CPI as the deflator).</w:t>
            </w:r>
          </w:p>
        </w:tc>
      </w:tr>
    </w:tbl>
    <w:p>
      <w:pPr>
        <w:pStyle w:val="BodyText"/>
      </w:pPr>
      <w:r>
        <w:rPr/>
        <w:pict>
          <v:group style="position:absolute;margin-left:84.952003pt;margin-top:125.31498pt;width:420.95pt;height:148pt;mso-position-horizontal-relative:page;mso-position-vertical-relative:page;z-index:-254527488" coordorigin="1699,2506" coordsize="8419,2960">
            <v:shape style="position:absolute;left:1706;top:2513;width:8404;height:2945" coordorigin="1707,2514" coordsize="8404,2945" path="m10110,5458l10110,2514m10050,5458l10110,5458m10050,4968l10110,4968m10050,4477l10110,4477m10050,3986l10110,3986m10050,3496l10110,3496m10050,3005l10110,3005m10050,2514l10110,2514m1707,3495l10110,3495m1707,3495l1707,3556m2126,3495l2126,3556m2546,3495l2546,3556m2968,3495l2968,3556m3388,3495l3388,3556m3808,3495l3808,3556m4228,3495l4228,3556m4648,3495l4648,3556m5068,3495l5068,3556m5488,3495l5488,3556m5909,3495l5909,3556m6329,3495l6329,3556m6749,3495l6749,3556m7169,3495l7169,3556m7589,3495l7589,3556m8009,3495l8009,3556m8430,3495l8430,3556m8850,3495l8850,3556m9270,3495l9270,3556m9690,3495l9690,3556m10110,3495l10110,3556e" filled="false" stroked="true" strokeweight=".75pt" strokecolor="#858585">
              <v:path arrowok="t"/>
              <v:stroke dashstyle="solid"/>
            </v:shape>
            <v:shape style="position:absolute;left:1832;top:2754;width:8236;height:385" coordorigin="1833,2754" coordsize="8236,385" path="m1833,3139l1916,3050,2000,3023,2084,3056,2168,3048,2252,3030,2336,3012,2420,3062,2504,3072,2588,3086,2672,3104,2756,3098,2842,3094,2926,3085,3010,3079,3094,3076,3178,3074,3262,3076,3346,3065,3430,3062,3514,3066,3598,3059,3682,3070,3766,3086,3850,3079,3934,3091,4018,3095,4102,3094,4186,3091,4270,3096,4354,3098,4438,3100,4522,3104,4606,3106,4690,3102,4774,3101,4858,3106,4942,3106,5026,3101,5110,3101,5194,3086,5278,3089,5362,3097,5446,3091,5531,3096,5615,3094,5699,3086,5783,3085,5867,3092,5951,3091,6035,3091,6119,3094,6203,3088,6287,3080,6371,3082,6455,3073,6539,3072,6623,3064,6707,3065,6791,3061,6875,3060,6959,3061,7043,3067,7127,3062,7211,3065,7295,3053,7379,3048,7463,3046,7547,3046,7631,3043,7715,3042,7799,3028,7883,3040,7967,3030,8051,3020,8135,3014,8219,3017,8304,3011,8388,3007,8472,3001,8556,3007,8640,3004,8724,2990,8808,2988,8892,2990,8976,2969,9060,2975,9144,2970,9228,2957,9312,2945,9396,2933,9480,2917,9564,2908,9648,2892,9732,2858,9816,2833,9900,2807,9984,2773,10068,2754e" filled="false" stroked="true" strokeweight="1.75pt" strokecolor="#497dba">
              <v:path arrowok="t"/>
              <v:stroke dashstyle="solid"/>
            </v:shape>
            <v:shape style="position:absolute;left:1832;top:3762;width:8236;height:1487" coordorigin="1833,3762" coordsize="8236,1487" path="m1833,5249l1916,4846,2000,4793,2084,4614,2168,4454,2252,4342,2336,4213,2420,4298,2504,4302,2588,4298,2672,4375,2756,4415,2842,4432,2926,4466,3010,4430,3094,4405,3178,4354,3262,4348,3346,4342,3430,4307,3514,4270,3598,4226,3682,4175,3766,4152,3850,4201,3934,4158,4018,4141,4102,4158,4186,4156,4270,4126,4354,4140,4438,4133,4522,4099,4606,4096,4690,4079,4774,4078,4858,4062,4942,4062,5026,4078,5110,4085,5194,4082,5278,4105,5362,4084,5446,4096,5531,4084,5615,4084,5699,4085,5783,4099,5867,4078,5951,4057,6035,4055,6119,4051,6203,4084,6287,4063,6371,4043,6455,4067,6539,4057,6623,4096,6707,4058,6791,4033,6875,4068,6959,4045,7043,4038,7127,4037,7211,4030,7295,4050,7379,4061,7463,4049,7547,4030,7631,4036,7715,4073,7799,4062,7883,4021,7967,4036,8051,4040,8135,4019,8219,3986,8304,4006,8388,4016,8472,4012,8556,3997,8640,3998,8724,3997,8808,3976,8892,3983,8976,4006,9060,3970,9144,3949,9228,3955,9312,3977,9396,3946,9480,3946,9564,3932,9648,3967,9732,3961,9816,3962,9900,3929,9984,3968,10068,3762e" filled="false" stroked="true" strokeweight="1.75pt" strokecolor="#bd4a47">
              <v:path arrowok="t"/>
              <v:stroke dashstyle="solid"/>
            </v:shape>
            <v:shape style="position:absolute;left:1832;top:3036;width:8236;height:733" coordorigin="1833,3036" coordsize="8236,733" path="m1833,3221l1916,3112,2000,3114,2084,3044,2168,3072,2252,3103,2336,3058,2420,3041,2504,3048,2588,3037,2672,3036,2756,3131,2842,3113,2926,3144,3010,3181,3094,3212,3178,3222,3262,3234,3346,3257,3430,3276,3514,3278,3598,3283,3682,3271,3766,3247,3850,3235,3934,3258,4018,3264,4102,3293,4186,3307,4270,3328,4354,3330,4438,3336,4522,3353,4606,3352,4690,3388,4774,3385,4858,3400,4942,3406,5026,3401,5110,3401,5194,3426,5278,3409,5362,3404,5446,3415,5531,3413,5615,3425,5699,3420,5783,3422,5867,3437,5951,3446,6035,3443,6119,3452,6203,3444,6287,3469,6371,3484,6455,3478,6539,3494,6623,3479,6707,3498,6791,3504,6875,3500,6959,3506,7043,3500,7127,3505,7211,3508,7295,3521,7379,3515,7463,3521,7547,3528,7631,3522,7715,3509,7799,3511,7883,3512,7967,3521,8051,3527,8135,3539,8219,3553,8304,3528,8388,3540,8472,3536,8556,3557,8640,3538,8724,3544,8808,3558,8892,3536,8976,3552,9060,3538,9144,3551,9228,3535,9312,3546,9396,3551,9480,3544,9564,3552,9648,3557,9732,3570,9816,3593,9900,3638,9984,3641,10068,3769e" filled="false" stroked="true" strokeweight="1.75pt" strokecolor="#97b853">
              <v:path arrowok="t"/>
              <v:stroke dashstyle="solid"/>
            </v:shape>
            <v:shape style="position:absolute;left:1832;top:2691;width:8236;height:2366" coordorigin="1833,2691" coordsize="8236,2366" path="m1833,5057l1916,4252,2000,4067,2084,4044,2168,4100,2252,3990,2336,3941,2420,3764,2504,4001,2588,3972,2672,3827,2756,3938,2842,4031,2926,3750,3010,3964,3094,3860,3178,3851,3262,3798,3346,3834,3430,3793,3514,3751,3598,3686,3682,3679,3766,3670,3850,3583,3934,3541,4018,3530,4102,3432,4186,3452,4270,3461,4354,3469,4438,3440,4522,3523,4606,3551,4690,3382,4774,3462,4858,3395,4942,3353,5026,3496,5110,3481,5194,3356,5278,3475,5362,3450,5446,3377,5531,3479,5615,3396,5699,3499,5783,3474,5867,3382,5951,3474,6035,3486,6119,3366,6203,3530,6287,3419,6371,3408,6455,3454,6539,3338,6623,3401,6707,3362,6791,3422,6875,3407,6959,3392,7043,3365,7127,3545,7211,3487,7295,3416,7379,3398,7463,3412,7547,3372,7631,3478,7715,3427,7799,3407,7883,3469,7967,3474,8051,3504,8135,3406,8219,3378,8304,3491,8388,3306,8472,3440,8556,3283,8640,3382,8724,3372,8808,3268,8892,3410,8976,3328,9060,3354,9144,3364,9228,3420,9312,3264,9396,3200,9480,3323,9564,3341,9648,3136,9732,3109,9816,3034,9900,2917,9984,2876,10068,2691e" filled="false" stroked="true" strokeweight="1.75pt" strokecolor="#46aac5">
              <v:path arrowok="t"/>
              <v:stroke dashstyle="solid"/>
            </v:shape>
            <w10:wrap type="none"/>
          </v:group>
        </w:pict>
      </w:r>
    </w:p>
    <w:p>
      <w:pPr>
        <w:pStyle w:val="BodyText"/>
        <w:spacing w:before="10"/>
        <w:rPr>
          <w:sz w:val="18"/>
        </w:rPr>
      </w:pPr>
    </w:p>
    <w:p>
      <w:pPr>
        <w:pStyle w:val="BodyText"/>
        <w:spacing w:line="355" w:lineRule="auto"/>
        <w:ind w:left="334" w:right="319"/>
      </w:pPr>
      <w:r>
        <w:rPr/>
        <w:pict>
          <v:line style="position:absolute;mso-position-horizontal-relative:page;mso-position-vertical-relative:paragraph;z-index:-254526464" from="112.650002pt,-66.830116pt" to="131.850002pt,-66.830116pt" stroked="true" strokeweight="1.75pt" strokecolor="#497dba">
            <v:stroke dashstyle="solid"/>
            <w10:wrap type="none"/>
          </v:line>
        </w:pict>
      </w:r>
      <w:r>
        <w:rPr/>
        <w:pict>
          <v:line style="position:absolute;mso-position-horizontal-relative:page;mso-position-vertical-relative:paragraph;z-index:-254525440" from="226.759995pt,-66.830116pt" to="245.959995pt,-66.830116pt" stroked="true" strokeweight="1.75pt" strokecolor="#bd4a47">
            <v:stroke dashstyle="solid"/>
            <w10:wrap type="none"/>
          </v:line>
        </w:pict>
      </w:r>
      <w:r>
        <w:rPr/>
        <w:pict>
          <v:line style="position:absolute;mso-position-horizontal-relative:page;mso-position-vertical-relative:paragraph;z-index:-254524416" from="324.200012pt,-66.830116pt" to="343.400012pt,-66.830116pt" stroked="true" strokeweight="1.75pt" strokecolor="#97b853">
            <v:stroke dashstyle="solid"/>
            <w10:wrap type="none"/>
          </v:line>
        </w:pict>
      </w:r>
      <w:r>
        <w:rPr/>
        <w:pict>
          <v:line style="position:absolute;mso-position-horizontal-relative:page;mso-position-vertical-relative:paragraph;z-index:-254523392" from="442.76001pt,-66.830116pt" to="461.96001pt,-66.830116pt" stroked="true" strokeweight="1.75pt" strokecolor="#46aac5">
            <v:stroke dashstyle="solid"/>
            <w10:wrap type="none"/>
          </v:line>
        </w:pict>
      </w:r>
      <w:r>
        <w:rPr/>
        <w:t>During the subsequent period of jobs recovery (2011-17), these distributional patterns went into reverse. Lower deciles of the wage distribution experienced real pay rises. For the bottom three deciles, these averaged around 1 ¼% per year. They came, at least in part, courtesy of the National Minimum and, subsequently, the National Living Wage. By contrast, real pay among the upper pay deciles continued to fall over this period. Wage inequalities began to shrink.</w:t>
      </w:r>
    </w:p>
    <w:p>
      <w:pPr>
        <w:pStyle w:val="BodyText"/>
        <w:spacing w:before="5"/>
        <w:rPr>
          <w:sz w:val="29"/>
        </w:rPr>
      </w:pPr>
    </w:p>
    <w:p>
      <w:pPr>
        <w:pStyle w:val="BodyText"/>
        <w:spacing w:line="355" w:lineRule="auto"/>
        <w:ind w:left="334" w:right="452"/>
      </w:pPr>
      <w:r>
        <w:rPr/>
        <w:t>Until, that is, 2018 when real pay of the bottom two wage deciles fell by a further 2%, partly reflecting the effects of sterling’s depreciation after the referendum which pushed up consumer prices faster than wages. The upper wage deciles appear largely to have been insulated from these pressures, with real pay rising by around 1% among the top two wage deciles.</w:t>
      </w:r>
    </w:p>
    <w:p>
      <w:pPr>
        <w:pStyle w:val="BodyText"/>
        <w:spacing w:before="5"/>
        <w:rPr>
          <w:sz w:val="29"/>
        </w:rPr>
      </w:pPr>
    </w:p>
    <w:p>
      <w:pPr>
        <w:pStyle w:val="BodyText"/>
        <w:spacing w:line="355" w:lineRule="auto"/>
        <w:ind w:left="334" w:right="351"/>
      </w:pPr>
      <w:r>
        <w:rPr/>
        <w:t>Comparing the past 10 years as a whole, real pay today is lower at every point along the wage distribution and, with the exception of the bottom decile, by broadly similar amounts of around 5% (Chart 10).  These real pay falls have been felt by both men and women, by the young, middle-aged and young, and by the low, medium and high-skilled. The lost decade of pay was an equal-opportunity</w:t>
      </w:r>
      <w:r>
        <w:rPr>
          <w:spacing w:val="-10"/>
        </w:rPr>
        <w:t> </w:t>
      </w:r>
      <w:r>
        <w:rPr/>
        <w:t>disaster.</w:t>
      </w:r>
    </w:p>
    <w:p>
      <w:pPr>
        <w:pStyle w:val="BodyText"/>
        <w:spacing w:before="4"/>
        <w:rPr>
          <w:sz w:val="29"/>
        </w:rPr>
      </w:pPr>
    </w:p>
    <w:p>
      <w:pPr>
        <w:pStyle w:val="BodyText"/>
        <w:spacing w:line="352" w:lineRule="auto" w:before="1"/>
        <w:ind w:left="334" w:right="622"/>
      </w:pPr>
      <w:r>
        <w:rPr/>
        <w:t>Alongside this period of stasis in real pay have been some important on-going shifts in the nature of work. There has been strong growth in Alternative Working Arrangements (AWA), such as self-employment, zero-hours contracts and agency work (Chart 11).</w:t>
      </w:r>
      <w:r>
        <w:rPr>
          <w:position w:val="7"/>
          <w:sz w:val="13"/>
        </w:rPr>
        <w:t>4 </w:t>
      </w:r>
      <w:r>
        <w:rPr/>
        <w:t>The number of self-employed, zero-hour contract and</w:t>
      </w:r>
    </w:p>
    <w:p>
      <w:pPr>
        <w:pStyle w:val="BodyText"/>
        <w:spacing w:before="2"/>
        <w:ind w:left="334"/>
      </w:pPr>
      <w:r>
        <w:rPr/>
        <w:t>agency workers in the workplace has increased by 1.1 million, 0.7 million and 0.6 million, respectively, over</w:t>
      </w:r>
    </w:p>
    <w:p>
      <w:pPr>
        <w:pStyle w:val="BodyText"/>
      </w:pPr>
    </w:p>
    <w:p>
      <w:pPr>
        <w:pStyle w:val="BodyText"/>
        <w:spacing w:before="4"/>
        <w:rPr>
          <w:sz w:val="10"/>
        </w:rPr>
      </w:pPr>
      <w:r>
        <w:rPr/>
        <w:pict>
          <v:shape style="position:absolute;margin-left:56.700001pt;margin-top:8.152207pt;width:144.050pt;height:.1pt;mso-position-horizontal-relative:page;mso-position-vertical-relative:paragraph;z-index:-251638784;mso-wrap-distance-left:0;mso-wrap-distance-right:0" coordorigin="1134,163" coordsize="2881,0" path="m1134,163l4014,163e" filled="false" stroked="true" strokeweight=".47998pt" strokecolor="#000000">
            <v:path arrowok="t"/>
            <v:stroke dashstyle="solid"/>
            <w10:wrap type="topAndBottom"/>
          </v:shape>
        </w:pict>
      </w:r>
    </w:p>
    <w:p>
      <w:pPr>
        <w:spacing w:before="51"/>
        <w:ind w:left="334" w:right="0" w:firstLine="0"/>
        <w:jc w:val="left"/>
        <w:rPr>
          <w:sz w:val="16"/>
        </w:rPr>
      </w:pPr>
      <w:r>
        <w:rPr>
          <w:position w:val="6"/>
          <w:sz w:val="10"/>
        </w:rPr>
        <w:t>4 </w:t>
      </w:r>
      <w:r>
        <w:rPr>
          <w:sz w:val="16"/>
        </w:rPr>
        <w:t>For example, Taylor (2017).</w:t>
      </w:r>
    </w:p>
    <w:p>
      <w:pPr>
        <w:spacing w:after="0"/>
        <w:jc w:val="left"/>
        <w:rPr>
          <w:sz w:val="16"/>
        </w:rPr>
        <w:sectPr>
          <w:pgSz w:w="11910" w:h="16840"/>
          <w:pgMar w:header="0" w:footer="1338" w:top="1540" w:bottom="1520" w:left="800" w:right="820"/>
        </w:sectPr>
      </w:pPr>
    </w:p>
    <w:p>
      <w:pPr>
        <w:pStyle w:val="BodyText"/>
        <w:spacing w:line="355" w:lineRule="auto" w:before="69"/>
        <w:ind w:left="334" w:right="1055"/>
      </w:pPr>
      <w:r>
        <w:rPr/>
        <w:pict>
          <v:group style="position:absolute;margin-left:76.878998pt;margin-top:88.614853pt;width:412.3pt;height:161.950pt;mso-position-horizontal-relative:page;mso-position-vertical-relative:paragraph;z-index:-254522368" coordorigin="1538,1772" coordsize="8246,3239">
            <v:shape style="position:absolute;left:1545;top:1779;width:8231;height:3224" coordorigin="1545,1780" coordsize="8231,3224" path="m9775,5003l9775,1780m9715,5003l9775,5003m9715,4466l9775,4466m9715,3929l9775,3929m9715,3391l9775,3391m9715,2855l9775,2855m9715,2317l9775,2317m9715,1780l9775,1780m1545,5003l9775,5003m1545,4943l1545,5003m2460,4943l2460,5003m3374,4943l3374,5003m4289,4943l4289,5003m5203,4943l5203,5003m6118,4943l6118,5003m7032,4943l7032,5003m7946,4943l7946,5003m8861,4943l8861,5003m9775,4943l9775,5003e" filled="false" stroked="true" strokeweight=".75pt" strokecolor="#d9d9d9">
              <v:path arrowok="t"/>
              <v:stroke dashstyle="solid"/>
            </v:shape>
            <v:shape style="position:absolute;left:2002;top:2129;width:7316;height:2481" coordorigin="2002,2129" coordsize="7316,2481" path="m2002,4610l2917,4316,3832,4099,4746,3906,5660,3698,6575,3452,7489,3155,8404,2775,9318,2129e" filled="false" stroked="true" strokeweight="1.75pt" strokecolor="#4f81bc">
              <v:path arrowok="t"/>
              <v:stroke dashstyle="solid"/>
            </v:shape>
            <v:shape style="position:absolute;left:2002;top:2303;width:7316;height:2310" coordorigin="2002,2304" coordsize="7316,2310" path="m2002,4613l2917,4356,3832,4129,4746,3957,5660,3768,6575,3549,7489,3281,8404,2931,9318,2304e" filled="false" stroked="true" strokeweight="1.75pt" strokecolor="#c0504d">
              <v:path arrowok="t"/>
              <v:stroke dashstyle="solid"/>
            </v:shape>
            <v:line style="position:absolute" from="2578,2276" to="2962,2276" stroked="true" strokeweight="1.75pt" strokecolor="#4f81bc">
              <v:stroke dashstyle="solid"/>
            </v:line>
            <v:line style="position:absolute" from="2578,2599" to="2962,2599" stroked="true" strokeweight="1.75pt" strokecolor="#c0504d">
              <v:stroke dashstyle="solid"/>
            </v:line>
            <w10:wrap type="none"/>
          </v:group>
        </w:pict>
      </w:r>
      <w:r>
        <w:rPr/>
        <w:pict>
          <v:group style="position:absolute;margin-left:90.362999pt;margin-top:434.154968pt;width:417.9pt;height:145.450pt;mso-position-horizontal-relative:page;mso-position-vertical-relative:page;z-index:-254521344" coordorigin="1807,8683" coordsize="8358,2909">
            <v:shape style="position:absolute;left:10091;top:8690;width:67;height:2894" coordorigin="10091,8691" coordsize="67,2894" path="m10158,11584l10158,8691m10091,11584l10158,11584m10091,11005l10158,11005m10091,10427l10158,10427m10091,9848l10158,9848m10091,9269l10158,9269m10091,8691l10158,8691e" filled="false" stroked="true" strokeweight=".75pt" strokecolor="#7e7e7e">
              <v:path arrowok="t"/>
              <v:stroke dashstyle="solid"/>
            </v:shape>
            <v:shape style="position:absolute;left:1814;top:11523;width:8343;height:61" coordorigin="1815,11524" coordsize="8343,61" path="m1815,11584l10158,11584m1815,11524l1815,11584m2729,11524l2729,11584m3643,11524l3643,11584m4558,11524l4558,11584m5472,11524l5472,11584m6386,11524l6386,11584m7301,11524l7301,11584m8215,11524l8215,11584m9128,11524l9128,11584m10043,11524l10043,11584e" filled="false" stroked="true" strokeweight=".75pt" strokecolor="#d9d9d9">
              <v:path arrowok="t"/>
              <v:stroke dashstyle="solid"/>
            </v:shape>
            <v:shape style="position:absolute;left:1833;top:8716;width:8305;height:972" coordorigin="1834,8717" coordsize="8305,972" path="m1834,9688l1872,9682,1910,9686,1948,9686,1986,9684,2024,9673,2063,9665,2100,9671,2138,9671,2177,9671,2215,9674,2252,9677,2291,9665,2329,9674,2368,9653,2405,9654,2443,9644,2482,9636,2520,9641,2557,9635,2596,9653,2634,9649,2672,9626,2710,9613,2748,9601,2786,9570,2825,9540,2862,9527,2900,9518,2939,9492,2977,9472,3014,9467,3053,9479,3091,9476,3130,9481,3167,9486,3205,9491,3244,9486,3282,9487,3319,9461,3358,9478,3396,9482,3433,9509,3472,9488,3510,9484,3548,9488,3586,9499,3624,9490,3662,9496,3701,9496,3738,9479,3776,9491,3815,9486,3853,9479,3890,9462,3929,9474,3967,9455,4006,9452,4043,9448,4081,9434,4120,9430,4158,9421,4195,9442,4234,9437,4272,9427,4310,9414,4348,9402,4386,9388,4424,9392,4463,9391,4500,9380,4538,9376,4577,9373,4615,9373,4652,9384,4691,9384,4729,9379,4768,9367,4805,9367,4843,9361,4882,9360,4920,9365,4957,9358,4996,9331,5034,9340,5072,9355,5110,9353,5148,9352,5186,9354,5225,9370,5262,9374,5300,9389,5339,9367,5377,9370,5414,9359,5453,9370,5491,9360,5528,9350,5567,9353,5605,9360,5644,9352,5681,9330,5719,9338,5758,9338,5796,9330,5833,9320,5872,9324,5910,9323,5948,9295,5986,9284,6024,9293,6062,9299,6101,9276,6138,9274,6176,9242,6215,9281,6253,9268,6290,9264,6329,9254,6367,9254,6406,9280,6443,9264,6481,9257,6520,9264,6558,9269,6595,9241,6634,9199,6672,9180,6710,9182,6748,9202,6786,9196,6824,9179,6863,9162,6900,9156,6938,9162,6977,9140,7015,9124,7052,9134,7091,9134,7129,9139,7168,9133,7205,9120,7243,9150,7282,9140,7320,9162,7357,9143,7396,9162,7434,9156,7472,9151,7510,9128,7548,9128,7586,9097,7625,9032,7662,9024,7700,8980,7739,8958,7776,8934,7814,8938,7853,8923,7891,8918,7928,8941,7967,8964,8005,8963,8044,8954,8081,8957,8119,8971,8158,8956,8196,8951,8233,8965,8272,8983,8310,8995,8348,8969,8386,8963,8424,8972,8462,8936,8501,8904,8538,8891,8576,8876,8615,8886,8653,8872,8690,8856,8729,8861,8767,8820,8806,8815,8843,8833,8881,8814,8920,8814,8958,8828,8995,8816,9034,8804,9072,8802,9110,8806,9148,8808,9186,8802,9224,8809,9263,8802,9300,8783,9338,8776,9377,8801,9415,8802,9452,8824,9491,8820,9529,8821,9568,8832,9605,8836,9643,8800,9682,8814,9720,8824,9757,8806,9796,8825,9834,8830,9871,8819,9910,8774,9948,8783,9986,8784,10024,8788,10062,8731,10100,8741,10138,8717e" filled="false" stroked="true" strokeweight="1.75pt" strokecolor="#4f81bc">
              <v:path arrowok="t"/>
              <v:stroke dashstyle="solid"/>
            </v:shape>
            <v:shape style="position:absolute;left:1833;top:10993;width:8305;height:412" coordorigin="1834,10993" coordsize="8305,412" path="m1834,11388l1872,11388,1910,11388,1948,11371,1986,11371,2024,11371,2063,11370,2100,11370,2138,11370,2177,11356,2215,11356,2252,11356,2291,11363,2329,11363,2368,11363,2405,11365,2443,11365,2482,11365,2520,11352,2557,11352,2596,11352,2634,11350,2672,11350,2710,11350,2748,11366,2786,11366,2825,11366,2862,11369,2900,11369,2939,11369,2977,11365,3014,11365,3053,11365,3091,11376,3130,11376,3167,11376,3205,11394,3244,11394,3282,11394,3319,11393,3358,11393,3396,11393,3433,11382,3472,11382,3510,11382,3548,11368,3586,11368,3624,11368,3662,11386,3701,11386,3738,11386,3776,11374,3815,11374,3853,11374,3890,11375,3929,11375,3967,11375,4006,11386,4043,11386,4081,11386,4120,11381,4158,11381,4195,11381,4234,11390,4272,11390,4310,11390,4348,11381,4386,11381,4424,11381,4463,11375,4500,11375,4538,11375,4577,11383,4615,11383,4652,11383,4691,11369,4729,11369,4768,11369,4805,11377,4843,11377,4882,11377,4920,11381,4957,11381,4996,11381,5034,11389,5072,11389,5110,11389,5148,11400,5186,11400,5225,11400,5262,11405,5300,11405,5339,11405,5377,11386,5414,11386,5453,11386,5491,11388,5528,11388,5567,11388,5605,11392,5644,11392,5681,11392,5719,11399,5910,11399,5948,11288,5986,11288,6024,11288,6062,11244,6101,11244,6138,11244,6176,11239,6215,11239,6253,11239,6290,11246,6329,11246,6367,11246,6406,11129,6443,11129,6481,11129,6520,11108,6710,11108,6748,11100,6786,11100,6824,11100,6863,11110,6900,11110,6938,11110,6977,11077,7015,11077,7052,11077,7091,11089,7129,11089,7168,11089,7205,11077,7243,11077,7282,11077,7320,11086,7357,11086,7396,11086,7434,11094,7472,11094,7510,11094,7548,11080,7586,11080,7625,11080,7662,11048,7700,11048,7739,11048,7776,11052,7967,11052,8005,11047,8044,11047,8081,11047,8119,11051,8158,11051,8196,11051,8233,11059,8272,11059,8310,11059,8348,11048,8386,11048,8424,11048,8462,11023,8501,11023,8538,11023,8576,11004,8615,11004,8653,11004,8690,10993,8729,10993,8767,10993,8806,10997,8843,10997,8881,10997,8920,11081,8958,11081,8995,11081,9034,11056,9072,11056,9110,11056,9148,11038,9338,11038,9377,11024,9415,11024,9452,11024,9491,11017,9529,11017,9568,11017,9605,11016,9643,11016,9682,11016,9720,11024,9757,11024,9796,11024,9834,11006,9871,11006,9910,11006,9948,11003,9986,11003,10024,11003,10062,11032,10100,11032,10138,11032e" filled="false" stroked="true" strokeweight="1.75pt" strokecolor="#c0504d">
              <v:path arrowok="t"/>
              <v:stroke dashstyle="solid"/>
            </v:shape>
            <v:shape style="position:absolute;left:1833;top:11059;width:8305;height:462" coordorigin="1834,11059" coordsize="8305,462" path="m1834,11454l1834,11454,2138,11454,2177,11482,2596,11482,2634,11494,3053,11494,3091,11512,3510,11512,3548,11521,3967,11521,4006,11515,4424,11515,4463,11498,4882,11498,4920,11488,5339,11488,5377,11501,5796,11501,5833,11474,6253,11474,6290,11486,6710,11486,6748,11474,7168,11474,7205,11438,7625,11438,7662,11245,7853,11245,7891,11222,8081,11222,8119,11179,8310,11179,8348,11152,8538,11152,8576,11119,8767,11119,8806,11060,8995,11060,9034,11059,9224,11059,9263,11072,9452,11072,9491,11063,9682,11063,9720,11132,9910,11132,9948,11095,9986,11095,10024,11095,10062,11095,10100,11095,10138,11095e" filled="false" stroked="true" strokeweight="1.75pt" strokecolor="#9bba58">
              <v:path arrowok="t"/>
              <v:stroke dashstyle="solid"/>
            </v:shape>
            <w10:wrap type="none"/>
          </v:group>
        </w:pict>
      </w:r>
      <w:r>
        <w:rPr/>
        <w:t>the past decade. There are now close to 1 million agency and zero-hours contract staff and 5 million self-employed.</w:t>
      </w:r>
    </w:p>
    <w:p>
      <w:pPr>
        <w:pStyle w:val="BodyText"/>
      </w:pPr>
    </w:p>
    <w:p>
      <w:pPr>
        <w:pStyle w:val="BodyText"/>
        <w:spacing w:before="1" w:after="1"/>
        <w:rPr>
          <w:sz w:val="10"/>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60"/>
      </w:tblGrid>
      <w:tr>
        <w:trPr>
          <w:trHeight w:val="288" w:hRule="atLeast"/>
        </w:trPr>
        <w:tc>
          <w:tcPr>
            <w:tcW w:w="9660" w:type="dxa"/>
          </w:tcPr>
          <w:p>
            <w:pPr>
              <w:pStyle w:val="TableParagraph"/>
              <w:spacing w:line="224" w:lineRule="exact"/>
              <w:ind w:left="200"/>
              <w:rPr>
                <w:b/>
                <w:sz w:val="20"/>
              </w:rPr>
            </w:pPr>
            <w:r>
              <w:rPr>
                <w:b/>
                <w:sz w:val="20"/>
              </w:rPr>
              <w:t>Chart 10: Real pay along the pay distribution</w:t>
            </w:r>
          </w:p>
        </w:tc>
      </w:tr>
      <w:tr>
        <w:trPr>
          <w:trHeight w:val="4013" w:hRule="atLeast"/>
        </w:trPr>
        <w:tc>
          <w:tcPr>
            <w:tcW w:w="9660" w:type="dxa"/>
          </w:tcPr>
          <w:p>
            <w:pPr>
              <w:pStyle w:val="TableParagraph"/>
              <w:spacing w:line="221" w:lineRule="exact" w:before="59"/>
              <w:ind w:left="4282"/>
              <w:rPr>
                <w:sz w:val="20"/>
              </w:rPr>
            </w:pPr>
            <w:r>
              <w:rPr>
                <w:color w:val="7E7E7E"/>
                <w:sz w:val="20"/>
              </w:rPr>
              <w:t>Gross average weekly earnings (2018 prices)</w:t>
            </w:r>
          </w:p>
          <w:p>
            <w:pPr>
              <w:pStyle w:val="TableParagraph"/>
              <w:spacing w:line="221" w:lineRule="exact"/>
              <w:ind w:left="9014"/>
              <w:rPr>
                <w:sz w:val="20"/>
              </w:rPr>
            </w:pPr>
            <w:r>
              <w:rPr>
                <w:color w:val="7E7E7E"/>
                <w:sz w:val="20"/>
              </w:rPr>
              <w:t>1200</w:t>
            </w:r>
          </w:p>
          <w:p>
            <w:pPr>
              <w:pStyle w:val="TableParagraph"/>
              <w:tabs>
                <w:tab w:pos="9459" w:val="right" w:leader="none"/>
              </w:tabs>
              <w:spacing w:before="266"/>
              <w:ind w:left="2069"/>
              <w:rPr>
                <w:sz w:val="20"/>
              </w:rPr>
            </w:pPr>
            <w:r>
              <w:rPr>
                <w:color w:val="585858"/>
                <w:sz w:val="20"/>
              </w:rPr>
              <w:t>2008</w:t>
            </w:r>
            <w:r>
              <w:rPr>
                <w:color w:val="585858"/>
                <w:spacing w:val="-1"/>
                <w:sz w:val="20"/>
              </w:rPr>
              <w:t> </w:t>
            </w:r>
            <w:r>
              <w:rPr>
                <w:color w:val="585858"/>
                <w:sz w:val="20"/>
              </w:rPr>
              <w:t>(2018</w:t>
            </w:r>
            <w:r>
              <w:rPr>
                <w:color w:val="585858"/>
                <w:spacing w:val="-1"/>
                <w:sz w:val="20"/>
              </w:rPr>
              <w:t> </w:t>
            </w:r>
            <w:r>
              <w:rPr>
                <w:color w:val="585858"/>
                <w:sz w:val="20"/>
              </w:rPr>
              <w:t>prices)</w:t>
              <w:tab/>
            </w:r>
            <w:r>
              <w:rPr>
                <w:color w:val="7E7E7E"/>
                <w:position w:val="-3"/>
                <w:sz w:val="20"/>
              </w:rPr>
              <w:t>1000</w:t>
            </w:r>
          </w:p>
          <w:p>
            <w:pPr>
              <w:pStyle w:val="TableParagraph"/>
              <w:spacing w:before="53"/>
              <w:ind w:left="2069"/>
              <w:rPr>
                <w:sz w:val="20"/>
              </w:rPr>
            </w:pPr>
            <w:r>
              <w:rPr>
                <w:color w:val="585858"/>
                <w:sz w:val="20"/>
              </w:rPr>
              <w:t>2018</w:t>
            </w:r>
          </w:p>
          <w:p>
            <w:pPr>
              <w:pStyle w:val="TableParagraph"/>
              <w:spacing w:before="25"/>
              <w:ind w:left="9014"/>
              <w:rPr>
                <w:sz w:val="20"/>
              </w:rPr>
            </w:pPr>
            <w:r>
              <w:rPr>
                <w:color w:val="7E7E7E"/>
                <w:sz w:val="20"/>
              </w:rPr>
              <w:t>800</w:t>
            </w:r>
          </w:p>
          <w:p>
            <w:pPr>
              <w:pStyle w:val="TableParagraph"/>
              <w:spacing w:before="8"/>
              <w:rPr>
                <w:sz w:val="26"/>
              </w:rPr>
            </w:pPr>
          </w:p>
          <w:p>
            <w:pPr>
              <w:pStyle w:val="TableParagraph"/>
              <w:spacing w:before="1"/>
              <w:ind w:left="9014"/>
              <w:rPr>
                <w:sz w:val="20"/>
              </w:rPr>
            </w:pPr>
            <w:r>
              <w:rPr>
                <w:color w:val="7E7E7E"/>
                <w:sz w:val="20"/>
              </w:rPr>
              <w:t>600</w:t>
            </w:r>
          </w:p>
          <w:p>
            <w:pPr>
              <w:pStyle w:val="TableParagraph"/>
              <w:spacing w:before="8"/>
              <w:rPr>
                <w:sz w:val="26"/>
              </w:rPr>
            </w:pPr>
          </w:p>
          <w:p>
            <w:pPr>
              <w:pStyle w:val="TableParagraph"/>
              <w:ind w:left="9014"/>
              <w:rPr>
                <w:sz w:val="20"/>
              </w:rPr>
            </w:pPr>
            <w:r>
              <w:rPr>
                <w:color w:val="7E7E7E"/>
                <w:sz w:val="20"/>
              </w:rPr>
              <w:t>400</w:t>
            </w:r>
          </w:p>
          <w:p>
            <w:pPr>
              <w:pStyle w:val="TableParagraph"/>
              <w:spacing w:before="8"/>
              <w:rPr>
                <w:sz w:val="26"/>
              </w:rPr>
            </w:pPr>
          </w:p>
          <w:p>
            <w:pPr>
              <w:pStyle w:val="TableParagraph"/>
              <w:spacing w:before="1"/>
              <w:ind w:left="9014"/>
              <w:rPr>
                <w:sz w:val="20"/>
              </w:rPr>
            </w:pPr>
            <w:r>
              <w:rPr>
                <w:color w:val="7E7E7E"/>
                <w:sz w:val="20"/>
              </w:rPr>
              <w:t>200</w:t>
            </w:r>
          </w:p>
          <w:p>
            <w:pPr>
              <w:pStyle w:val="TableParagraph"/>
              <w:spacing w:before="8"/>
              <w:rPr>
                <w:sz w:val="26"/>
              </w:rPr>
            </w:pPr>
          </w:p>
          <w:p>
            <w:pPr>
              <w:pStyle w:val="TableParagraph"/>
              <w:ind w:left="9014"/>
              <w:rPr>
                <w:sz w:val="20"/>
              </w:rPr>
            </w:pPr>
            <w:r>
              <w:rPr>
                <w:color w:val="7E7E7E"/>
                <w:w w:val="100"/>
                <w:sz w:val="20"/>
              </w:rPr>
              <w:t>0</w:t>
            </w:r>
          </w:p>
          <w:p>
            <w:pPr>
              <w:pStyle w:val="TableParagraph"/>
              <w:tabs>
                <w:tab w:pos="1871" w:val="left" w:leader="none"/>
                <w:tab w:pos="2786" w:val="left" w:leader="none"/>
                <w:tab w:pos="3701" w:val="left" w:leader="none"/>
                <w:tab w:pos="4615" w:val="left" w:leader="none"/>
                <w:tab w:pos="5530" w:val="left" w:leader="none"/>
                <w:tab w:pos="6444" w:val="left" w:leader="none"/>
                <w:tab w:pos="7359" w:val="left" w:leader="none"/>
                <w:tab w:pos="8273" w:val="left" w:leader="none"/>
              </w:tabs>
              <w:spacing w:before="8"/>
              <w:ind w:left="957"/>
              <w:rPr>
                <w:sz w:val="20"/>
              </w:rPr>
            </w:pPr>
            <w:r>
              <w:rPr>
                <w:color w:val="7E7E7E"/>
                <w:sz w:val="20"/>
              </w:rPr>
              <w:t>10</w:t>
              <w:tab/>
              <w:t>20</w:t>
              <w:tab/>
              <w:t>30</w:t>
              <w:tab/>
              <w:t>40</w:t>
              <w:tab/>
              <w:t>50</w:t>
              <w:tab/>
              <w:t>60</w:t>
              <w:tab/>
              <w:t>70</w:t>
              <w:tab/>
              <w:t>80</w:t>
              <w:tab/>
              <w:t>90</w:t>
            </w:r>
          </w:p>
        </w:tc>
      </w:tr>
      <w:tr>
        <w:trPr>
          <w:trHeight w:val="458" w:hRule="atLeast"/>
        </w:trPr>
        <w:tc>
          <w:tcPr>
            <w:tcW w:w="9660" w:type="dxa"/>
          </w:tcPr>
          <w:p>
            <w:pPr>
              <w:pStyle w:val="TableParagraph"/>
              <w:spacing w:before="45"/>
              <w:ind w:left="200"/>
              <w:rPr>
                <w:sz w:val="16"/>
              </w:rPr>
            </w:pPr>
            <w:r>
              <w:rPr>
                <w:sz w:val="16"/>
              </w:rPr>
              <w:t>Sources: ONS and Bank of England calculations.</w:t>
            </w:r>
          </w:p>
          <w:p>
            <w:pPr>
              <w:pStyle w:val="TableParagraph"/>
              <w:spacing w:line="164" w:lineRule="exact" w:before="45"/>
              <w:ind w:left="200"/>
              <w:rPr>
                <w:sz w:val="16"/>
              </w:rPr>
            </w:pPr>
            <w:r>
              <w:rPr>
                <w:sz w:val="16"/>
              </w:rPr>
              <w:t>Notes: Nominal pay data for 2008 translated into 2018 prices using CPI.</w:t>
            </w:r>
          </w:p>
        </w:tc>
      </w:tr>
    </w:tbl>
    <w:p>
      <w:pPr>
        <w:pStyle w:val="BodyText"/>
      </w:pPr>
    </w:p>
    <w:p>
      <w:pPr>
        <w:pStyle w:val="BodyText"/>
        <w:spacing w:before="2"/>
        <w:rPr>
          <w:sz w:val="22"/>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17"/>
      </w:tblGrid>
      <w:tr>
        <w:trPr>
          <w:trHeight w:val="326" w:hRule="atLeast"/>
        </w:trPr>
        <w:tc>
          <w:tcPr>
            <w:tcW w:w="9917" w:type="dxa"/>
          </w:tcPr>
          <w:p>
            <w:pPr>
              <w:pStyle w:val="TableParagraph"/>
              <w:spacing w:line="224" w:lineRule="exact"/>
              <w:ind w:left="200"/>
              <w:rPr>
                <w:b/>
                <w:sz w:val="20"/>
              </w:rPr>
            </w:pPr>
            <w:r>
              <w:rPr>
                <w:b/>
                <w:sz w:val="20"/>
              </w:rPr>
              <w:t>Chart 11: “Alternative work” arrangements</w:t>
            </w:r>
          </w:p>
        </w:tc>
      </w:tr>
      <w:tr>
        <w:trPr>
          <w:trHeight w:val="4293" w:hRule="atLeast"/>
        </w:trPr>
        <w:tc>
          <w:tcPr>
            <w:tcW w:w="9917" w:type="dxa"/>
          </w:tcPr>
          <w:p>
            <w:pPr>
              <w:pStyle w:val="TableParagraph"/>
              <w:spacing w:before="96"/>
              <w:ind w:left="3344"/>
              <w:rPr>
                <w:sz w:val="21"/>
              </w:rPr>
            </w:pPr>
            <w:r>
              <w:rPr>
                <w:color w:val="585858"/>
                <w:sz w:val="21"/>
              </w:rPr>
              <w:t>Number of people on different employment contracts , millions</w:t>
            </w:r>
          </w:p>
          <w:p>
            <w:pPr>
              <w:pStyle w:val="TableParagraph"/>
              <w:spacing w:before="68"/>
              <w:ind w:left="9414"/>
              <w:rPr>
                <w:sz w:val="22"/>
              </w:rPr>
            </w:pPr>
            <w:r>
              <w:rPr>
                <w:color w:val="585858"/>
                <w:w w:val="99"/>
                <w:sz w:val="22"/>
              </w:rPr>
              <w:t>5</w:t>
            </w:r>
          </w:p>
          <w:p>
            <w:pPr>
              <w:pStyle w:val="TableParagraph"/>
              <w:spacing w:before="4"/>
              <w:rPr>
                <w:sz w:val="28"/>
              </w:rPr>
            </w:pPr>
          </w:p>
          <w:p>
            <w:pPr>
              <w:pStyle w:val="TableParagraph"/>
              <w:ind w:left="9414"/>
              <w:rPr>
                <w:sz w:val="22"/>
              </w:rPr>
            </w:pPr>
            <w:r>
              <w:rPr>
                <w:color w:val="585858"/>
                <w:w w:val="99"/>
                <w:sz w:val="22"/>
              </w:rPr>
              <w:t>4</w:t>
            </w:r>
          </w:p>
          <w:p>
            <w:pPr>
              <w:pStyle w:val="TableParagraph"/>
              <w:spacing w:before="3"/>
              <w:rPr>
                <w:sz w:val="28"/>
              </w:rPr>
            </w:pPr>
          </w:p>
          <w:p>
            <w:pPr>
              <w:pStyle w:val="TableParagraph"/>
              <w:spacing w:before="1"/>
              <w:ind w:left="9414"/>
              <w:rPr>
                <w:sz w:val="22"/>
              </w:rPr>
            </w:pPr>
            <w:r>
              <w:rPr>
                <w:color w:val="585858"/>
                <w:w w:val="99"/>
                <w:sz w:val="22"/>
              </w:rPr>
              <w:t>3</w:t>
            </w:r>
          </w:p>
          <w:p>
            <w:pPr>
              <w:pStyle w:val="TableParagraph"/>
              <w:spacing w:before="3"/>
              <w:rPr>
                <w:sz w:val="28"/>
              </w:rPr>
            </w:pPr>
          </w:p>
          <w:p>
            <w:pPr>
              <w:pStyle w:val="TableParagraph"/>
              <w:ind w:left="9414"/>
              <w:rPr>
                <w:sz w:val="22"/>
              </w:rPr>
            </w:pPr>
            <w:r>
              <w:rPr>
                <w:color w:val="585858"/>
                <w:w w:val="99"/>
                <w:sz w:val="22"/>
              </w:rPr>
              <w:t>2</w:t>
            </w:r>
          </w:p>
          <w:p>
            <w:pPr>
              <w:pStyle w:val="TableParagraph"/>
              <w:spacing w:before="4"/>
              <w:rPr>
                <w:sz w:val="28"/>
              </w:rPr>
            </w:pPr>
          </w:p>
          <w:p>
            <w:pPr>
              <w:pStyle w:val="TableParagraph"/>
              <w:ind w:left="9414"/>
              <w:rPr>
                <w:sz w:val="22"/>
              </w:rPr>
            </w:pPr>
            <w:r>
              <w:rPr>
                <w:color w:val="585858"/>
                <w:w w:val="99"/>
                <w:sz w:val="22"/>
              </w:rPr>
              <w:t>1</w:t>
            </w:r>
          </w:p>
          <w:p>
            <w:pPr>
              <w:pStyle w:val="TableParagraph"/>
              <w:spacing w:before="4"/>
              <w:rPr>
                <w:sz w:val="28"/>
              </w:rPr>
            </w:pPr>
          </w:p>
          <w:p>
            <w:pPr>
              <w:pStyle w:val="TableParagraph"/>
              <w:spacing w:line="252" w:lineRule="exact"/>
              <w:ind w:left="9414"/>
              <w:rPr>
                <w:sz w:val="22"/>
              </w:rPr>
            </w:pPr>
            <w:r>
              <w:rPr>
                <w:color w:val="585858"/>
                <w:w w:val="99"/>
                <w:sz w:val="22"/>
              </w:rPr>
              <w:t>0</w:t>
            </w:r>
          </w:p>
          <w:p>
            <w:pPr>
              <w:pStyle w:val="TableParagraph"/>
              <w:tabs>
                <w:tab w:pos="1591" w:val="left" w:leader="none"/>
                <w:tab w:pos="2506" w:val="left" w:leader="none"/>
                <w:tab w:pos="3420" w:val="left" w:leader="none"/>
                <w:tab w:pos="4335" w:val="left" w:leader="none"/>
                <w:tab w:pos="5249" w:val="left" w:leader="none"/>
                <w:tab w:pos="6163" w:val="left" w:leader="none"/>
                <w:tab w:pos="7078" w:val="left" w:leader="none"/>
                <w:tab w:pos="7992" w:val="left" w:leader="none"/>
                <w:tab w:pos="8907" w:val="left" w:leader="none"/>
              </w:tabs>
              <w:spacing w:line="229" w:lineRule="exact"/>
              <w:ind w:left="677"/>
              <w:rPr>
                <w:sz w:val="20"/>
              </w:rPr>
            </w:pPr>
            <w:r>
              <w:rPr>
                <w:color w:val="585858"/>
                <w:sz w:val="20"/>
              </w:rPr>
              <w:t>2001</w:t>
              <w:tab/>
              <w:t>2003</w:t>
              <w:tab/>
              <w:t>2005</w:t>
              <w:tab/>
              <w:t>2007</w:t>
              <w:tab/>
              <w:t>2009</w:t>
              <w:tab/>
              <w:t>2011</w:t>
              <w:tab/>
              <w:t>2013</w:t>
              <w:tab/>
              <w:t>2015</w:t>
              <w:tab/>
              <w:t>2017</w:t>
              <w:tab/>
              <w:t>2019</w:t>
            </w:r>
          </w:p>
          <w:p>
            <w:pPr>
              <w:pStyle w:val="TableParagraph"/>
              <w:spacing w:before="3"/>
              <w:rPr>
                <w:sz w:val="17"/>
              </w:rPr>
            </w:pPr>
          </w:p>
          <w:p>
            <w:pPr>
              <w:pStyle w:val="TableParagraph"/>
              <w:tabs>
                <w:tab w:pos="2514" w:val="left" w:leader="none"/>
                <w:tab w:pos="4776" w:val="left" w:leader="none"/>
              </w:tabs>
              <w:ind w:left="408"/>
              <w:jc w:val="center"/>
              <w:rPr>
                <w:sz w:val="20"/>
              </w:rPr>
            </w:pPr>
            <w:r>
              <w:rPr>
                <w:color w:val="585858"/>
                <w:sz w:val="20"/>
              </w:rPr>
              <w:t>Self</w:t>
            </w:r>
            <w:r>
              <w:rPr>
                <w:color w:val="585858"/>
                <w:spacing w:val="-1"/>
                <w:sz w:val="20"/>
              </w:rPr>
              <w:t> </w:t>
            </w:r>
            <w:r>
              <w:rPr>
                <w:color w:val="585858"/>
                <w:sz w:val="20"/>
              </w:rPr>
              <w:t>employed</w:t>
              <w:tab/>
              <w:t>Agency</w:t>
            </w:r>
            <w:r>
              <w:rPr>
                <w:color w:val="585858"/>
                <w:spacing w:val="-1"/>
                <w:sz w:val="20"/>
              </w:rPr>
              <w:t> </w:t>
            </w:r>
            <w:r>
              <w:rPr>
                <w:color w:val="585858"/>
                <w:sz w:val="20"/>
              </w:rPr>
              <w:t>workers</w:t>
              <w:tab/>
              <w:t>In employment on a zero-hours</w:t>
            </w:r>
            <w:r>
              <w:rPr>
                <w:color w:val="585858"/>
                <w:spacing w:val="-2"/>
                <w:sz w:val="20"/>
              </w:rPr>
              <w:t> </w:t>
            </w:r>
            <w:r>
              <w:rPr>
                <w:color w:val="585858"/>
                <w:sz w:val="20"/>
              </w:rPr>
              <w:t>contract</w:t>
            </w:r>
          </w:p>
        </w:tc>
      </w:tr>
      <w:tr>
        <w:trPr>
          <w:trHeight w:val="1181" w:hRule="atLeast"/>
        </w:trPr>
        <w:tc>
          <w:tcPr>
            <w:tcW w:w="9917" w:type="dxa"/>
          </w:tcPr>
          <w:p>
            <w:pPr>
              <w:pStyle w:val="TableParagraph"/>
              <w:spacing w:before="78"/>
              <w:ind w:left="200"/>
              <w:rPr>
                <w:sz w:val="16"/>
              </w:rPr>
            </w:pPr>
            <w:r>
              <w:rPr>
                <w:sz w:val="16"/>
              </w:rPr>
              <w:t>Sources: ONS and Bank of England calculations.</w:t>
            </w:r>
          </w:p>
          <w:p>
            <w:pPr>
              <w:pStyle w:val="TableParagraph"/>
              <w:spacing w:before="11"/>
              <w:rPr>
                <w:sz w:val="15"/>
              </w:rPr>
            </w:pPr>
          </w:p>
          <w:p>
            <w:pPr>
              <w:pStyle w:val="TableParagraph"/>
              <w:ind w:left="200"/>
              <w:rPr>
                <w:sz w:val="16"/>
              </w:rPr>
            </w:pPr>
            <w:r>
              <w:rPr>
                <w:sz w:val="16"/>
              </w:rPr>
              <w:t>Notes: Agency workers calculated on a quarterly basis using LFS data on those reporting to work for, or receive payment from, an employment agency in their main or second job. Data on zero hour contracts is published annually up to 2012, and then bi-annually</w:t>
            </w:r>
          </w:p>
          <w:p>
            <w:pPr>
              <w:pStyle w:val="TableParagraph"/>
              <w:spacing w:line="184" w:lineRule="exact" w:before="3"/>
              <w:ind w:left="200"/>
              <w:rPr>
                <w:sz w:val="16"/>
              </w:rPr>
            </w:pPr>
            <w:r>
              <w:rPr>
                <w:sz w:val="16"/>
              </w:rPr>
              <w:t>from 2013. Zero hour contract and agency data are not seasonally adjusted. Some of the increase in the agency work and zero hours lines may reflect increased awareness and reporting.</w:t>
            </w:r>
          </w:p>
        </w:tc>
      </w:tr>
    </w:tbl>
    <w:p>
      <w:pPr>
        <w:pStyle w:val="BodyText"/>
      </w:pPr>
    </w:p>
    <w:p>
      <w:pPr>
        <w:pStyle w:val="BodyText"/>
        <w:spacing w:before="2"/>
        <w:rPr>
          <w:sz w:val="19"/>
        </w:rPr>
      </w:pPr>
    </w:p>
    <w:p>
      <w:pPr>
        <w:pStyle w:val="BodyText"/>
        <w:spacing w:line="355" w:lineRule="auto"/>
        <w:ind w:left="334" w:right="319"/>
      </w:pPr>
      <w:r>
        <w:rPr/>
        <w:pict>
          <v:line style="position:absolute;mso-position-horizontal-relative:page;mso-position-vertical-relative:paragraph;z-index:-254520320" from="86.023003pt,-91.180107pt" to="105.220003pt,-91.180107pt" stroked="true" strokeweight="1.75pt" strokecolor="#4f81bc">
            <v:stroke dashstyle="solid"/>
            <w10:wrap type="none"/>
          </v:line>
        </w:pict>
      </w:r>
      <w:r>
        <w:rPr/>
        <w:pict>
          <v:line style="position:absolute;mso-position-horizontal-relative:page;mso-position-vertical-relative:paragraph;z-index:-254519296" from="191.330002pt,-91.180107pt" to="210.530002pt,-91.180107pt" stroked="true" strokeweight="1.75pt" strokecolor="#c0504d">
            <v:stroke dashstyle="solid"/>
            <w10:wrap type="none"/>
          </v:line>
        </w:pict>
      </w:r>
      <w:r>
        <w:rPr/>
        <w:pict>
          <v:line style="position:absolute;mso-position-horizontal-relative:page;mso-position-vertical-relative:paragraph;z-index:-254518272" from="304.410004pt,-91.180107pt" to="323.610004pt,-91.180107pt" stroked="true" strokeweight="1.75pt" strokecolor="#9bba58">
            <v:stroke dashstyle="solid"/>
            <w10:wrap type="none"/>
          </v:line>
        </w:pict>
      </w:r>
      <w:r>
        <w:rPr/>
        <w:t>These structural shifts in the workplace are often called the “gig economy”. Their common denominator is greater working time flexibility in the jobs contract. For some, this increased flexibility has been welcome. In</w:t>
      </w:r>
    </w:p>
    <w:p>
      <w:pPr>
        <w:spacing w:after="0" w:line="355" w:lineRule="auto"/>
        <w:sectPr>
          <w:pgSz w:w="11910" w:h="16840"/>
          <w:pgMar w:header="0" w:footer="1338" w:top="1460" w:bottom="1520" w:left="800" w:right="820"/>
        </w:sectPr>
      </w:pPr>
    </w:p>
    <w:p>
      <w:pPr>
        <w:pStyle w:val="BodyText"/>
        <w:spacing w:line="350" w:lineRule="auto" w:before="69"/>
        <w:ind w:left="334" w:right="647"/>
        <w:rPr>
          <w:sz w:val="13"/>
        </w:rPr>
      </w:pPr>
      <w:r>
        <w:rPr/>
        <w:t>surveys, around 30% of workers says they have benefitted from this flexibility, particularly female workers (re-)entering the workforce and older workers tapering into retirement.</w:t>
      </w:r>
      <w:r>
        <w:rPr>
          <w:position w:val="7"/>
          <w:sz w:val="13"/>
        </w:rPr>
        <w:t>5</w:t>
      </w:r>
    </w:p>
    <w:p>
      <w:pPr>
        <w:pStyle w:val="BodyText"/>
        <w:spacing w:before="10"/>
        <w:rPr>
          <w:sz w:val="29"/>
        </w:rPr>
      </w:pPr>
    </w:p>
    <w:p>
      <w:pPr>
        <w:pStyle w:val="BodyText"/>
        <w:spacing w:line="352" w:lineRule="auto" w:before="1"/>
        <w:ind w:left="334" w:right="355"/>
        <w:rPr>
          <w:sz w:val="13"/>
        </w:rPr>
      </w:pPr>
      <w:r>
        <w:rPr/>
        <w:t>For others, though, these shifts in working arrangements have been a cause for concern. In surveys, around half to two-thirds of workers say they would prefer either to be working more hours or to have greater certainty around their hours.</w:t>
      </w:r>
      <w:r>
        <w:rPr>
          <w:position w:val="7"/>
          <w:sz w:val="13"/>
        </w:rPr>
        <w:t>6   </w:t>
      </w:r>
      <w:r>
        <w:rPr/>
        <w:t>For them, AWA are not welcome flexibility but unwelcome insecurity.  The TUC estimate that as many as 1 in 9 workers may be in work which is insecure in income</w:t>
      </w:r>
      <w:r>
        <w:rPr>
          <w:spacing w:val="-13"/>
        </w:rPr>
        <w:t> </w:t>
      </w:r>
      <w:r>
        <w:rPr/>
        <w:t>terms.</w:t>
      </w:r>
      <w:r>
        <w:rPr>
          <w:position w:val="7"/>
          <w:sz w:val="13"/>
        </w:rPr>
        <w:t>7</w:t>
      </w:r>
    </w:p>
    <w:p>
      <w:pPr>
        <w:pStyle w:val="BodyText"/>
        <w:spacing w:before="6"/>
        <w:rPr>
          <w:sz w:val="29"/>
        </w:rPr>
      </w:pPr>
    </w:p>
    <w:p>
      <w:pPr>
        <w:pStyle w:val="BodyText"/>
        <w:spacing w:line="352" w:lineRule="auto"/>
        <w:ind w:left="334" w:right="364"/>
        <w:rPr>
          <w:sz w:val="13"/>
        </w:rPr>
      </w:pPr>
      <w:r>
        <w:rPr/>
        <w:t>This income insecurity has been a key and recurrent theme in my recent discussions with charities, faith and community groups across the UK. For some, these income insecurities have been worsened by the introduction of Universal Credit. This has added time lags in payments to claimants, caused rising concerns about benefits sanctioning and has heightened uncertainties about eligibility for work criteria.</w:t>
      </w:r>
      <w:r>
        <w:rPr>
          <w:position w:val="7"/>
          <w:sz w:val="13"/>
        </w:rPr>
        <w:t>8</w:t>
      </w:r>
    </w:p>
    <w:p>
      <w:pPr>
        <w:pStyle w:val="BodyText"/>
        <w:spacing w:before="9"/>
        <w:rPr>
          <w:sz w:val="29"/>
        </w:rPr>
      </w:pPr>
    </w:p>
    <w:p>
      <w:pPr>
        <w:pStyle w:val="BodyText"/>
        <w:spacing w:line="352" w:lineRule="auto"/>
        <w:ind w:left="334" w:right="365"/>
      </w:pPr>
      <w:r>
        <w:rPr/>
        <w:t>Recent research by the Resolution Foundation has found that pay volatility in fact affects a significant number of UK workers, not just those on low pay or the gig economy.</w:t>
      </w:r>
      <w:r>
        <w:rPr>
          <w:position w:val="7"/>
          <w:sz w:val="13"/>
        </w:rPr>
        <w:t>9 </w:t>
      </w:r>
      <w:r>
        <w:rPr/>
        <w:t>Over 90% of those who remained with the same employer during 2016-17 experienced at least one month when their take-home pay varied by more than 5%. This pay volatility is more prevalent for those on lower earnings and among the</w:t>
      </w:r>
      <w:r>
        <w:rPr>
          <w:spacing w:val="-8"/>
        </w:rPr>
        <w:t> </w:t>
      </w:r>
      <w:r>
        <w:rPr/>
        <w:t>young.</w:t>
      </w:r>
    </w:p>
    <w:p>
      <w:pPr>
        <w:pStyle w:val="BodyText"/>
        <w:spacing w:before="3"/>
      </w:pPr>
    </w:p>
    <w:p>
      <w:pPr>
        <w:pStyle w:val="BodyText"/>
        <w:spacing w:line="360" w:lineRule="auto"/>
        <w:ind w:left="334" w:right="319"/>
      </w:pPr>
      <w:r>
        <w:rPr/>
        <w:pict>
          <v:group style="position:absolute;margin-left:68.956001pt;margin-top:143.044891pt;width:197.15pt;height:117.4pt;mso-position-horizontal-relative:page;mso-position-vertical-relative:paragraph;z-index:-254516224" coordorigin="1379,2861" coordsize="3943,2348">
            <v:shape style="position:absolute;left:5266;top:2868;width:49;height:2333" coordorigin="5266,2868" coordsize="49,2333" path="m5314,5201l5314,2868m5266,5201l5314,5201m5266,4812l5314,4812m5266,4423l5314,4423m5266,4034l5314,4034m5266,3646l5314,3646m5266,3257l5314,3257m5266,2868l5314,2868e" filled="false" stroked="true" strokeweight=".75pt" strokecolor="#a6a6a6">
              <v:path arrowok="t"/>
              <v:stroke dashstyle="solid"/>
            </v:shape>
            <v:line style="position:absolute" from="1379,5201" to="5314,5201" stroked="true" strokeweight=".75pt" strokecolor="#d9d9d9">
              <v:stroke dashstyle="solid"/>
            </v:line>
            <v:shape style="position:absolute;left:1558;top:3594;width:3578;height:391" coordorigin="1558,3595" coordsize="3578,391" path="m1558,3646l1915,3599,2274,3605,2632,3778,2989,3953,3347,3985,3704,3882,4062,3910,4420,3880,4777,3748,5136,3595e" filled="false" stroked="true" strokeweight="1.75pt" strokecolor="#4f81bc">
              <v:path arrowok="t"/>
              <v:stroke dashstyle="solid"/>
            </v:shape>
            <v:shape style="position:absolute;left:1558;top:3646;width:3578;height:1210" coordorigin="1558,3646" coordsize="3578,1210" path="m1558,3646l1915,3868,2274,4012,2632,4404,2989,4228,3347,4694,3704,4856,4062,4468,4420,4241,4777,4487,5136,4043e" filled="false" stroked="true" strokeweight="1.75pt" strokecolor="#c0504d">
              <v:path arrowok="t"/>
              <v:stroke dashstyle="solid"/>
            </v:shape>
            <v:shape style="position:absolute;left:1558;top:3646;width:3578;height:963" coordorigin="1558,3646" coordsize="3578,963" path="m1558,3646l1915,3768,2274,4189,2632,4373,2989,3994,3347,4087,3704,4609,4062,4189,4420,4176,4777,4014,5136,3799e" filled="false" stroked="true" strokeweight="1.75pt" strokecolor="#9bba58">
              <v:path arrowok="t"/>
              <v:stroke dashstyle="solid"/>
            </v:shape>
            <v:line style="position:absolute" from="1530,3085" to="1914,3085" stroked="true" strokeweight="1.75pt" strokecolor="#c0504d">
              <v:stroke dashstyle="solid"/>
            </v:line>
            <v:line style="position:absolute" from="1530,3403" to="1914,3403" stroked="true" strokeweight="1.75pt" strokecolor="#9bba58">
              <v:stroke dashstyle="solid"/>
            </v:line>
            <w10:wrap type="none"/>
          </v:group>
        </w:pict>
      </w:r>
      <w:r>
        <w:rPr/>
        <w:pict>
          <v:line style="position:absolute;mso-position-horizontal-relative:page;mso-position-vertical-relative:paragraph;z-index:-254515200" from="76.501999pt,138.319885pt" to="95.701999pt,138.319885pt" stroked="true" strokeweight="1.75pt" strokecolor="#4f81bc">
            <v:stroke dashstyle="solid"/>
            <w10:wrap type="none"/>
          </v:line>
        </w:pict>
      </w:r>
      <w:r>
        <w:rPr/>
        <w:pict>
          <v:group style="position:absolute;margin-left:314.184998pt;margin-top:148.134888pt;width:202.75pt;height:105.75pt;mso-position-horizontal-relative:page;mso-position-vertical-relative:paragraph;z-index:-254514176" coordorigin="6284,2963" coordsize="4055,2115">
            <v:shape style="position:absolute;left:10282;top:3018;width:49;height:2052" coordorigin="10282,3018" coordsize="49,2052" path="m10330,5070l10330,3018m10282,5070l10330,5070m10282,4777l10330,4777m10282,4483l10330,4483m10282,4190l10330,4190m10282,3898l10330,3898m10282,3605l10330,3605m10282,3311l10330,3311m10282,3018l10330,3018e" filled="false" stroked="true" strokeweight=".75pt" strokecolor="#a6a6a6">
              <v:path arrowok="t"/>
              <v:stroke dashstyle="solid"/>
            </v:shape>
            <v:shape style="position:absolute;left:6291;top:5021;width:4040;height:49" coordorigin="6291,5022" coordsize="4040,49" path="m6291,5070l10330,5070m6291,5022l6291,5070m6529,5022l6529,5070m6767,5022l6767,5070m7004,5022l7004,5070m7242,5022l7242,5070m7480,5022l7480,5070m7717,5022l7717,5070m7955,5022l7955,5070m8192,5022l8192,5070m8430,5022l8430,5070m8668,5022l8668,5070m8905,5022l8905,5070m9143,5022l9143,5070m9380,5022l9380,5070m9618,5022l9618,5070m9856,5022l9856,5070m10093,5022l10093,5070m10330,5022l10330,5070e" filled="false" stroked="true" strokeweight=".75pt" strokecolor="#d9d9d9">
              <v:path arrowok="t"/>
              <v:stroke dashstyle="solid"/>
            </v:shape>
            <v:shape style="position:absolute;left:6350;top:3666;width:3921;height:340" coordorigin="6351,3666" coordsize="3921,340" path="m6351,3905l6469,3816,6588,3794,6707,3822,6826,3803,6944,3851,7063,3880,7182,3833,7301,3804,7420,3802,7538,3718,7657,3782,7776,3672,7895,3727,8014,3746,8132,3895,8251,3666,8370,3772,8489,3876,8608,3920,8726,3925,8845,3918,8964,3876,9083,3982,9202,4006,9320,3976,9439,3974,9558,3977,9677,3931,9796,3914,9914,3896,10033,3912,10152,3920,10271,3824e" filled="false" stroked="true" strokeweight="1.75pt" strokecolor="#4f81bc">
              <v:path arrowok="t"/>
              <v:stroke dashstyle="solid"/>
            </v:shape>
            <v:shape style="position:absolute;left:6350;top:2980;width:3921;height:536" coordorigin="6351,2980" coordsize="3921,536" path="m6351,3516l6469,3503,6588,3479,6707,3480,6826,3418,6944,3409,7063,3395,7182,3366,7301,3367,7420,3347,7538,3325,7657,3317,7776,3331,7895,3286,8014,3290,8132,3284,8251,3316,8370,3338,8489,3390,8608,3404,8726,3407,8845,3379,8964,3385,9083,3392,9202,3388,9320,3386,9439,3356,9558,3364,9677,3353,9796,3372,9914,3344,10033,3340,10152,3307,10271,3283m6381,2980l6765,2980e" filled="false" stroked="true" strokeweight="1.75pt" strokecolor="#c0504d">
              <v:path arrowok="t"/>
              <v:stroke dashstyle="solid"/>
            </v:shape>
            <w10:wrap type="none"/>
          </v:group>
        </w:pict>
      </w:r>
      <w:r>
        <w:rPr/>
        <w:t>Income volatility appears to have significant welfare costs for workers. A recent study found the average worker would be willing to sacrifice a fifth of their wage to avoid a variable work schedule set by their employer.</w:t>
      </w:r>
      <w:r>
        <w:rPr>
          <w:position w:val="7"/>
          <w:sz w:val="13"/>
        </w:rPr>
        <w:t>10 </w:t>
      </w:r>
      <w:r>
        <w:rPr/>
        <w:t>In practice, gig workers tend to be paid less not more. Pay of self-employed and zero-hours contract workers lies significantly below employed and permanent contract counterparts (Chart 12). This is a malign coincidence of lower </w:t>
      </w:r>
      <w:r>
        <w:rPr>
          <w:i/>
        </w:rPr>
        <w:t>and </w:t>
      </w:r>
      <w:r>
        <w:rPr/>
        <w:t>less certain income.</w:t>
      </w:r>
    </w:p>
    <w:p>
      <w:pPr>
        <w:pStyle w:val="BodyText"/>
        <w:spacing w:before="10"/>
        <w:rPr>
          <w:sz w:val="9"/>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12"/>
        <w:gridCol w:w="4903"/>
      </w:tblGrid>
      <w:tr>
        <w:trPr>
          <w:trHeight w:val="338" w:hRule="atLeast"/>
        </w:trPr>
        <w:tc>
          <w:tcPr>
            <w:tcW w:w="5012" w:type="dxa"/>
          </w:tcPr>
          <w:p>
            <w:pPr>
              <w:pStyle w:val="TableParagraph"/>
              <w:spacing w:line="224" w:lineRule="exact"/>
              <w:ind w:left="200"/>
              <w:rPr>
                <w:b/>
                <w:sz w:val="20"/>
              </w:rPr>
            </w:pPr>
            <w:r>
              <w:rPr>
                <w:b/>
                <w:sz w:val="20"/>
              </w:rPr>
              <w:t>Chart 12: Pay for alternative work</w:t>
            </w:r>
          </w:p>
        </w:tc>
        <w:tc>
          <w:tcPr>
            <w:tcW w:w="4903" w:type="dxa"/>
          </w:tcPr>
          <w:p>
            <w:pPr>
              <w:pStyle w:val="TableParagraph"/>
              <w:rPr>
                <w:rFonts w:ascii="Times New Roman"/>
                <w:sz w:val="18"/>
              </w:rPr>
            </w:pPr>
          </w:p>
        </w:tc>
      </w:tr>
      <w:tr>
        <w:trPr>
          <w:trHeight w:val="3278" w:hRule="atLeast"/>
        </w:trPr>
        <w:tc>
          <w:tcPr>
            <w:tcW w:w="5012" w:type="dxa"/>
          </w:tcPr>
          <w:p>
            <w:pPr>
              <w:pStyle w:val="TableParagraph"/>
              <w:spacing w:before="109"/>
              <w:ind w:left="2491" w:right="450"/>
              <w:rPr>
                <w:sz w:val="16"/>
              </w:rPr>
            </w:pPr>
            <w:r>
              <w:rPr>
                <w:color w:val="7E7E7E"/>
                <w:sz w:val="16"/>
              </w:rPr>
              <w:t>Median real weekly income (2018 prices), 2007/08 = 100</w:t>
            </w:r>
          </w:p>
          <w:p>
            <w:pPr>
              <w:pStyle w:val="TableParagraph"/>
              <w:tabs>
                <w:tab w:pos="4785" w:val="right" w:leader="none"/>
              </w:tabs>
              <w:spacing w:before="10"/>
              <w:ind w:left="1020"/>
              <w:rPr>
                <w:sz w:val="16"/>
              </w:rPr>
            </w:pPr>
            <w:r>
              <w:rPr>
                <w:color w:val="585858"/>
                <w:sz w:val="16"/>
              </w:rPr>
              <w:t>Employees</w:t>
              <w:tab/>
            </w:r>
            <w:r>
              <w:rPr>
                <w:color w:val="585858"/>
                <w:position w:val="-9"/>
                <w:sz w:val="16"/>
              </w:rPr>
              <w:t>120</w:t>
            </w:r>
          </w:p>
          <w:p>
            <w:pPr>
              <w:pStyle w:val="TableParagraph"/>
              <w:spacing w:line="178" w:lineRule="exact" w:before="34"/>
              <w:ind w:left="1020"/>
              <w:rPr>
                <w:sz w:val="16"/>
              </w:rPr>
            </w:pPr>
            <w:r>
              <w:rPr>
                <w:color w:val="585858"/>
                <w:sz w:val="16"/>
              </w:rPr>
              <w:t>Self-employed without workers</w:t>
            </w:r>
          </w:p>
          <w:p>
            <w:pPr>
              <w:pStyle w:val="TableParagraph"/>
              <w:spacing w:line="159" w:lineRule="exact"/>
              <w:ind w:left="4518"/>
              <w:rPr>
                <w:sz w:val="16"/>
              </w:rPr>
            </w:pPr>
            <w:r>
              <w:rPr>
                <w:color w:val="585858"/>
                <w:sz w:val="16"/>
              </w:rPr>
              <w:t>110</w:t>
            </w:r>
          </w:p>
          <w:p>
            <w:pPr>
              <w:pStyle w:val="TableParagraph"/>
              <w:spacing w:line="165" w:lineRule="exact"/>
              <w:ind w:left="1020"/>
              <w:rPr>
                <w:sz w:val="16"/>
              </w:rPr>
            </w:pPr>
            <w:r>
              <w:rPr>
                <w:color w:val="585858"/>
                <w:sz w:val="16"/>
              </w:rPr>
              <w:t>Self-employed with workers</w:t>
            </w:r>
          </w:p>
          <w:p>
            <w:pPr>
              <w:pStyle w:val="TableParagraph"/>
              <w:spacing w:before="59"/>
              <w:ind w:left="4518"/>
              <w:rPr>
                <w:sz w:val="16"/>
              </w:rPr>
            </w:pPr>
            <w:r>
              <w:rPr>
                <w:color w:val="585858"/>
                <w:sz w:val="16"/>
              </w:rPr>
              <w:t>100</w:t>
            </w:r>
          </w:p>
          <w:p>
            <w:pPr>
              <w:pStyle w:val="TableParagraph"/>
              <w:spacing w:before="9"/>
              <w:rPr>
                <w:sz w:val="17"/>
              </w:rPr>
            </w:pPr>
          </w:p>
          <w:p>
            <w:pPr>
              <w:pStyle w:val="TableParagraph"/>
              <w:ind w:left="4518"/>
              <w:rPr>
                <w:sz w:val="16"/>
              </w:rPr>
            </w:pPr>
            <w:r>
              <w:rPr>
                <w:color w:val="585858"/>
                <w:sz w:val="16"/>
              </w:rPr>
              <w:t>90</w:t>
            </w:r>
          </w:p>
          <w:p>
            <w:pPr>
              <w:pStyle w:val="TableParagraph"/>
              <w:spacing w:before="10"/>
              <w:rPr>
                <w:sz w:val="17"/>
              </w:rPr>
            </w:pPr>
          </w:p>
          <w:p>
            <w:pPr>
              <w:pStyle w:val="TableParagraph"/>
              <w:ind w:left="4518"/>
              <w:rPr>
                <w:sz w:val="16"/>
              </w:rPr>
            </w:pPr>
            <w:r>
              <w:rPr>
                <w:color w:val="585858"/>
                <w:sz w:val="16"/>
              </w:rPr>
              <w:t>80</w:t>
            </w:r>
          </w:p>
          <w:p>
            <w:pPr>
              <w:pStyle w:val="TableParagraph"/>
              <w:spacing w:before="9"/>
              <w:rPr>
                <w:sz w:val="17"/>
              </w:rPr>
            </w:pPr>
          </w:p>
          <w:p>
            <w:pPr>
              <w:pStyle w:val="TableParagraph"/>
              <w:ind w:left="4518"/>
              <w:rPr>
                <w:sz w:val="16"/>
              </w:rPr>
            </w:pPr>
            <w:r>
              <w:rPr>
                <w:color w:val="585858"/>
                <w:sz w:val="16"/>
              </w:rPr>
              <w:t>70</w:t>
            </w:r>
          </w:p>
          <w:p>
            <w:pPr>
              <w:pStyle w:val="TableParagraph"/>
              <w:spacing w:before="10"/>
              <w:rPr>
                <w:sz w:val="17"/>
              </w:rPr>
            </w:pPr>
          </w:p>
          <w:p>
            <w:pPr>
              <w:pStyle w:val="TableParagraph"/>
              <w:spacing w:line="182" w:lineRule="exact"/>
              <w:ind w:left="4518"/>
              <w:rPr>
                <w:sz w:val="16"/>
              </w:rPr>
            </w:pPr>
            <w:r>
              <w:rPr>
                <w:color w:val="585858"/>
                <w:sz w:val="16"/>
              </w:rPr>
              <w:t>60</w:t>
            </w:r>
          </w:p>
          <w:p>
            <w:pPr>
              <w:pStyle w:val="TableParagraph"/>
              <w:spacing w:line="155" w:lineRule="exact"/>
              <w:ind w:left="289"/>
              <w:rPr>
                <w:sz w:val="14"/>
              </w:rPr>
            </w:pPr>
            <w:r>
              <w:rPr>
                <w:color w:val="585858"/>
                <w:sz w:val="14"/>
              </w:rPr>
              <w:t>2007-2008 2009-2010 2011-2012 2013-2014 2015-2016 2017-2018</w:t>
            </w:r>
          </w:p>
        </w:tc>
        <w:tc>
          <w:tcPr>
            <w:tcW w:w="4903" w:type="dxa"/>
          </w:tcPr>
          <w:p>
            <w:pPr>
              <w:pStyle w:val="TableParagraph"/>
              <w:spacing w:line="183" w:lineRule="exact" w:before="119"/>
              <w:ind w:left="3268"/>
              <w:rPr>
                <w:sz w:val="16"/>
              </w:rPr>
            </w:pPr>
            <w:r>
              <w:rPr>
                <w:color w:val="7E7E7E"/>
                <w:sz w:val="16"/>
              </w:rPr>
              <w:t>Median real</w:t>
            </w:r>
          </w:p>
          <w:p>
            <w:pPr>
              <w:pStyle w:val="TableParagraph"/>
              <w:tabs>
                <w:tab w:pos="422" w:val="left" w:leader="none"/>
                <w:tab w:pos="2833" w:val="left" w:leader="none"/>
              </w:tabs>
              <w:spacing w:line="209" w:lineRule="exact"/>
              <w:ind w:right="257"/>
              <w:jc w:val="center"/>
              <w:rPr>
                <w:sz w:val="16"/>
              </w:rPr>
            </w:pPr>
            <w:r>
              <w:rPr>
                <w:color w:val="7E7E7E"/>
                <w:w w:val="99"/>
                <w:position w:val="6"/>
                <w:sz w:val="16"/>
                <w:u w:val="thick" w:color="4F81BC"/>
              </w:rPr>
              <w:t> </w:t>
            </w:r>
            <w:r>
              <w:rPr>
                <w:color w:val="7E7E7E"/>
                <w:position w:val="6"/>
                <w:sz w:val="16"/>
                <w:u w:val="thick" w:color="4F81BC"/>
              </w:rPr>
              <w:tab/>
            </w:r>
            <w:r>
              <w:rPr>
                <w:color w:val="585858"/>
                <w:sz w:val="16"/>
              </w:rPr>
              <w:t>Zero Hour</w:t>
            </w:r>
            <w:r>
              <w:rPr>
                <w:color w:val="585858"/>
                <w:spacing w:val="-5"/>
                <w:sz w:val="16"/>
              </w:rPr>
              <w:t> </w:t>
            </w:r>
            <w:r>
              <w:rPr>
                <w:color w:val="585858"/>
                <w:sz w:val="16"/>
              </w:rPr>
              <w:t>Contract</w:t>
            </w:r>
            <w:r>
              <w:rPr>
                <w:color w:val="585858"/>
                <w:spacing w:val="-2"/>
                <w:sz w:val="16"/>
              </w:rPr>
              <w:t> </w:t>
            </w:r>
            <w:r>
              <w:rPr>
                <w:color w:val="585858"/>
                <w:sz w:val="16"/>
              </w:rPr>
              <w:t>Workers</w:t>
              <w:tab/>
            </w:r>
            <w:r>
              <w:rPr>
                <w:color w:val="7E7E7E"/>
                <w:position w:val="5"/>
                <w:sz w:val="16"/>
              </w:rPr>
              <w:t>hourly</w:t>
            </w:r>
            <w:r>
              <w:rPr>
                <w:color w:val="7E7E7E"/>
                <w:spacing w:val="-4"/>
                <w:position w:val="5"/>
                <w:sz w:val="16"/>
              </w:rPr>
              <w:t> </w:t>
            </w:r>
            <w:r>
              <w:rPr>
                <w:color w:val="7E7E7E"/>
                <w:position w:val="5"/>
                <w:sz w:val="16"/>
              </w:rPr>
              <w:t>wages</w:t>
            </w:r>
          </w:p>
          <w:p>
            <w:pPr>
              <w:pStyle w:val="TableParagraph"/>
              <w:spacing w:line="161" w:lineRule="exact"/>
              <w:ind w:left="3268"/>
              <w:rPr>
                <w:sz w:val="16"/>
              </w:rPr>
            </w:pPr>
            <w:r>
              <w:rPr>
                <w:color w:val="7E7E7E"/>
                <w:sz w:val="16"/>
              </w:rPr>
              <w:t>(2018</w:t>
            </w:r>
            <w:r>
              <w:rPr>
                <w:color w:val="7E7E7E"/>
                <w:spacing w:val="-3"/>
                <w:sz w:val="16"/>
              </w:rPr>
              <w:t> </w:t>
            </w:r>
            <w:r>
              <w:rPr>
                <w:color w:val="7E7E7E"/>
                <w:sz w:val="16"/>
              </w:rPr>
              <w:t>prices)</w:t>
            </w:r>
          </w:p>
          <w:p>
            <w:pPr>
              <w:pStyle w:val="TableParagraph"/>
              <w:tabs>
                <w:tab w:pos="4700" w:val="right" w:leader="none"/>
              </w:tabs>
              <w:spacing w:before="29"/>
              <w:ind w:left="860"/>
              <w:rPr>
                <w:sz w:val="16"/>
              </w:rPr>
            </w:pPr>
            <w:r>
              <w:rPr>
                <w:color w:val="585858"/>
                <w:sz w:val="16"/>
              </w:rPr>
              <w:t>All</w:t>
            </w:r>
            <w:r>
              <w:rPr>
                <w:color w:val="585858"/>
                <w:spacing w:val="-2"/>
                <w:sz w:val="16"/>
              </w:rPr>
              <w:t> </w:t>
            </w:r>
            <w:r>
              <w:rPr>
                <w:color w:val="585858"/>
                <w:sz w:val="16"/>
              </w:rPr>
              <w:t>Workers</w:t>
              <w:tab/>
            </w:r>
            <w:r>
              <w:rPr>
                <w:color w:val="585858"/>
                <w:position w:val="-3"/>
                <w:sz w:val="16"/>
              </w:rPr>
              <w:t>14</w:t>
            </w:r>
          </w:p>
          <w:p>
            <w:pPr>
              <w:pStyle w:val="TableParagraph"/>
              <w:spacing w:before="107"/>
              <w:ind w:left="4523"/>
              <w:rPr>
                <w:sz w:val="16"/>
              </w:rPr>
            </w:pPr>
            <w:r>
              <w:rPr>
                <w:color w:val="585858"/>
                <w:sz w:val="16"/>
              </w:rPr>
              <w:t>12</w:t>
            </w:r>
          </w:p>
          <w:p>
            <w:pPr>
              <w:pStyle w:val="TableParagraph"/>
              <w:spacing w:before="109"/>
              <w:ind w:left="4523"/>
              <w:rPr>
                <w:sz w:val="16"/>
              </w:rPr>
            </w:pPr>
            <w:r>
              <w:rPr>
                <w:color w:val="585858"/>
                <w:sz w:val="16"/>
              </w:rPr>
              <w:t>10</w:t>
            </w:r>
          </w:p>
          <w:p>
            <w:pPr>
              <w:pStyle w:val="TableParagraph"/>
              <w:spacing w:before="109"/>
              <w:ind w:left="4523"/>
              <w:rPr>
                <w:sz w:val="16"/>
              </w:rPr>
            </w:pPr>
            <w:r>
              <w:rPr>
                <w:color w:val="585858"/>
                <w:w w:val="99"/>
                <w:sz w:val="16"/>
              </w:rPr>
              <w:t>8</w:t>
            </w:r>
          </w:p>
          <w:p>
            <w:pPr>
              <w:pStyle w:val="TableParagraph"/>
              <w:spacing w:before="110"/>
              <w:ind w:left="4523"/>
              <w:rPr>
                <w:sz w:val="16"/>
              </w:rPr>
            </w:pPr>
            <w:r>
              <w:rPr>
                <w:color w:val="585858"/>
                <w:w w:val="99"/>
                <w:sz w:val="16"/>
              </w:rPr>
              <w:t>6</w:t>
            </w:r>
          </w:p>
          <w:p>
            <w:pPr>
              <w:pStyle w:val="TableParagraph"/>
              <w:spacing w:before="109"/>
              <w:ind w:left="4523"/>
              <w:rPr>
                <w:sz w:val="16"/>
              </w:rPr>
            </w:pPr>
            <w:r>
              <w:rPr>
                <w:color w:val="585858"/>
                <w:w w:val="99"/>
                <w:sz w:val="16"/>
              </w:rPr>
              <w:t>4</w:t>
            </w:r>
          </w:p>
          <w:p>
            <w:pPr>
              <w:pStyle w:val="TableParagraph"/>
              <w:spacing w:before="109"/>
              <w:ind w:left="4523"/>
              <w:rPr>
                <w:sz w:val="16"/>
              </w:rPr>
            </w:pPr>
            <w:r>
              <w:rPr>
                <w:color w:val="585858"/>
                <w:w w:val="99"/>
                <w:sz w:val="16"/>
              </w:rPr>
              <w:t>2</w:t>
            </w:r>
          </w:p>
          <w:p>
            <w:pPr>
              <w:pStyle w:val="TableParagraph"/>
              <w:spacing w:before="109"/>
              <w:ind w:left="4523"/>
              <w:rPr>
                <w:sz w:val="16"/>
              </w:rPr>
            </w:pPr>
            <w:r>
              <w:rPr>
                <w:color w:val="585858"/>
                <w:w w:val="99"/>
                <w:sz w:val="16"/>
              </w:rPr>
              <w:t>0</w:t>
            </w:r>
          </w:p>
          <w:p>
            <w:pPr>
              <w:pStyle w:val="TableParagraph"/>
              <w:spacing w:before="7"/>
              <w:ind w:right="287"/>
              <w:jc w:val="center"/>
              <w:rPr>
                <w:sz w:val="16"/>
              </w:rPr>
            </w:pPr>
            <w:r>
              <w:rPr>
                <w:color w:val="585858"/>
                <w:sz w:val="16"/>
              </w:rPr>
              <w:t>2002 2004 2006 2008 2010 2012 2014 2016 2018</w:t>
            </w:r>
          </w:p>
        </w:tc>
      </w:tr>
      <w:tr>
        <w:trPr>
          <w:trHeight w:val="379" w:hRule="atLeast"/>
        </w:trPr>
        <w:tc>
          <w:tcPr>
            <w:tcW w:w="9915" w:type="dxa"/>
            <w:gridSpan w:val="2"/>
          </w:tcPr>
          <w:p>
            <w:pPr>
              <w:pStyle w:val="TableParagraph"/>
              <w:spacing w:line="180" w:lineRule="atLeast" w:before="10"/>
              <w:ind w:left="200" w:right="120"/>
              <w:rPr>
                <w:sz w:val="16"/>
              </w:rPr>
            </w:pPr>
            <w:r>
              <w:rPr>
                <w:sz w:val="16"/>
              </w:rPr>
              <w:t>Sources: ONS and Bank of England calculations. With thanks to Steve Machin and Rui Costa at the CEP for kindly providing the data for these charts.</w:t>
            </w:r>
          </w:p>
        </w:tc>
      </w:tr>
    </w:tbl>
    <w:p>
      <w:pPr>
        <w:pStyle w:val="BodyText"/>
        <w:spacing w:before="9"/>
        <w:rPr>
          <w:sz w:val="14"/>
        </w:rPr>
      </w:pPr>
      <w:r>
        <w:rPr/>
        <w:pict>
          <v:shape style="position:absolute;margin-left:56.700001pt;margin-top:10.728936pt;width:144.050pt;height:.1pt;mso-position-horizontal-relative:page;mso-position-vertical-relative:paragraph;z-index:-251627520;mso-wrap-distance-left:0;mso-wrap-distance-right:0" coordorigin="1134,215" coordsize="2881,0" path="m1134,215l4014,215e" filled="false" stroked="true" strokeweight=".47998pt" strokecolor="#000000">
            <v:path arrowok="t"/>
            <v:stroke dashstyle="solid"/>
            <w10:wrap type="topAndBottom"/>
          </v:shape>
        </w:pict>
      </w:r>
    </w:p>
    <w:p>
      <w:pPr>
        <w:spacing w:line="186" w:lineRule="exact" w:before="51"/>
        <w:ind w:left="334" w:right="0" w:firstLine="0"/>
        <w:jc w:val="left"/>
        <w:rPr>
          <w:sz w:val="16"/>
        </w:rPr>
      </w:pPr>
      <w:r>
        <w:rPr>
          <w:position w:val="6"/>
          <w:sz w:val="10"/>
        </w:rPr>
        <w:t>5 </w:t>
      </w:r>
      <w:r>
        <w:rPr>
          <w:sz w:val="16"/>
        </w:rPr>
        <w:t>Datta, Giupponi and Machin (2018).</w:t>
      </w:r>
    </w:p>
    <w:p>
      <w:pPr>
        <w:spacing w:before="0"/>
        <w:ind w:left="334" w:right="1029" w:firstLine="0"/>
        <w:jc w:val="left"/>
        <w:rPr>
          <w:sz w:val="16"/>
        </w:rPr>
      </w:pPr>
      <w:r>
        <w:rPr>
          <w:position w:val="6"/>
          <w:sz w:val="10"/>
        </w:rPr>
        <w:t>6 </w:t>
      </w:r>
      <w:r>
        <w:rPr>
          <w:sz w:val="16"/>
        </w:rPr>
        <w:t>For example, Datta, Giupponi and Machin (2018) and </w:t>
      </w:r>
      <w:hyperlink r:id="rId15">
        <w:r>
          <w:rPr>
            <w:color w:val="0000FF"/>
            <w:sz w:val="16"/>
            <w:u w:val="single" w:color="0000FF"/>
          </w:rPr>
          <w:t>https://www.tuc.org.uk/news/two-thirds-zero-hours-workers-want-jobs-</w:t>
        </w:r>
      </w:hyperlink>
      <w:r>
        <w:rPr>
          <w:color w:val="0000FF"/>
          <w:sz w:val="16"/>
        </w:rPr>
        <w:t> </w:t>
      </w:r>
      <w:hyperlink r:id="rId15">
        <w:r>
          <w:rPr>
            <w:color w:val="0000FF"/>
            <w:sz w:val="16"/>
            <w:u w:val="single" w:color="0000FF"/>
          </w:rPr>
          <w:t>guaranteed-hours-tuc-polling-reveals</w:t>
        </w:r>
      </w:hyperlink>
    </w:p>
    <w:p>
      <w:pPr>
        <w:spacing w:line="182" w:lineRule="exact" w:before="0"/>
        <w:ind w:left="334" w:right="0" w:firstLine="0"/>
        <w:jc w:val="left"/>
        <w:rPr>
          <w:sz w:val="16"/>
        </w:rPr>
      </w:pPr>
      <w:r>
        <w:rPr>
          <w:position w:val="6"/>
          <w:sz w:val="10"/>
        </w:rPr>
        <w:t>7 </w:t>
      </w:r>
      <w:hyperlink r:id="rId16">
        <w:r>
          <w:rPr>
            <w:color w:val="0000FF"/>
            <w:sz w:val="16"/>
            <w:u w:val="single" w:color="0000FF"/>
          </w:rPr>
          <w:t>https://www.tuc.org.uk/news/1-9-workers-are-insecure-jobs-says-tuc</w:t>
        </w:r>
      </w:hyperlink>
    </w:p>
    <w:p>
      <w:pPr>
        <w:spacing w:line="184" w:lineRule="exact" w:before="0"/>
        <w:ind w:left="334" w:right="0" w:firstLine="0"/>
        <w:jc w:val="left"/>
        <w:rPr>
          <w:sz w:val="16"/>
        </w:rPr>
      </w:pPr>
      <w:r>
        <w:rPr>
          <w:position w:val="6"/>
          <w:sz w:val="10"/>
        </w:rPr>
        <w:t>8 </w:t>
      </w:r>
      <w:hyperlink r:id="rId17">
        <w:r>
          <w:rPr>
            <w:color w:val="0000FF"/>
            <w:sz w:val="16"/>
            <w:u w:val="single" w:color="0000FF"/>
          </w:rPr>
          <w:t>https://www.bankofengland.co.uk/events/2018/november/townhall-blog-scotland-november-2018</w:t>
        </w:r>
      </w:hyperlink>
    </w:p>
    <w:p>
      <w:pPr>
        <w:spacing w:line="184" w:lineRule="exact" w:before="0"/>
        <w:ind w:left="334" w:right="0" w:firstLine="0"/>
        <w:jc w:val="left"/>
        <w:rPr>
          <w:sz w:val="16"/>
        </w:rPr>
      </w:pPr>
      <w:r>
        <w:rPr>
          <w:position w:val="6"/>
          <w:sz w:val="10"/>
        </w:rPr>
        <w:t>9 </w:t>
      </w:r>
      <w:r>
        <w:rPr>
          <w:sz w:val="16"/>
        </w:rPr>
        <w:t>Tomlinson (2018).</w:t>
      </w:r>
    </w:p>
    <w:p>
      <w:pPr>
        <w:spacing w:line="186" w:lineRule="exact" w:before="0"/>
        <w:ind w:left="334" w:right="0" w:firstLine="0"/>
        <w:jc w:val="left"/>
        <w:rPr>
          <w:sz w:val="16"/>
        </w:rPr>
      </w:pPr>
      <w:r>
        <w:rPr>
          <w:position w:val="6"/>
          <w:sz w:val="10"/>
        </w:rPr>
        <w:t>10 </w:t>
      </w:r>
      <w:r>
        <w:rPr>
          <w:sz w:val="16"/>
        </w:rPr>
        <w:t>Mas and Pallais (2017).</w:t>
      </w:r>
    </w:p>
    <w:p>
      <w:pPr>
        <w:spacing w:after="0" w:line="186" w:lineRule="exact"/>
        <w:jc w:val="left"/>
        <w:rPr>
          <w:sz w:val="16"/>
        </w:rPr>
        <w:sectPr>
          <w:pgSz w:w="11910" w:h="16840"/>
          <w:pgMar w:header="0" w:footer="1338" w:top="1460" w:bottom="1520" w:left="800" w:right="820"/>
        </w:sectPr>
      </w:pPr>
    </w:p>
    <w:p>
      <w:pPr>
        <w:pStyle w:val="BodyText"/>
        <w:spacing w:line="355" w:lineRule="auto" w:before="69"/>
        <w:ind w:left="334" w:right="541"/>
      </w:pPr>
      <w:r>
        <w:rPr/>
        <w:t>These changes in the nature of work are likely to have contributed to the recent weakness of pay. The creation of larger numbers of, on average, lower paid jobs will have had a direct, dampening effect on pay. And income insecurity and the lack of unionisation among gig workers may also have lowered their pay bargaining power.</w:t>
      </w:r>
    </w:p>
    <w:p>
      <w:pPr>
        <w:pStyle w:val="BodyText"/>
        <w:spacing w:before="6"/>
        <w:rPr>
          <w:sz w:val="29"/>
        </w:rPr>
      </w:pPr>
    </w:p>
    <w:p>
      <w:pPr>
        <w:pStyle w:val="BodyText"/>
        <w:spacing w:line="352" w:lineRule="auto"/>
        <w:ind w:left="334" w:right="452"/>
      </w:pPr>
      <w:r>
        <w:rPr/>
        <w:t>Summing up, then, a jobs boom has reduced the scourge of </w:t>
      </w:r>
      <w:r>
        <w:rPr>
          <w:i/>
        </w:rPr>
        <w:t>job </w:t>
      </w:r>
      <w:r>
        <w:rPr/>
        <w:t>insecurity that troubled workers in the past. But in its place has emerged a different scourge – static or lower pay and rising </w:t>
      </w:r>
      <w:r>
        <w:rPr>
          <w:i/>
        </w:rPr>
        <w:t>income </w:t>
      </w:r>
      <w:r>
        <w:rPr/>
        <w:t>insecurity. Job insecurity at the end of the 20</w:t>
      </w:r>
      <w:r>
        <w:rPr>
          <w:position w:val="7"/>
          <w:sz w:val="13"/>
        </w:rPr>
        <w:t>th </w:t>
      </w:r>
      <w:r>
        <w:rPr/>
        <w:t>century has given way to income insecurity at the start of the 21</w:t>
      </w:r>
      <w:r>
        <w:rPr>
          <w:position w:val="7"/>
          <w:sz w:val="13"/>
        </w:rPr>
        <w:t>st</w:t>
      </w:r>
      <w:r>
        <w:rPr/>
        <w:t>. This insecurity is an important part of the explanation for recent patterns in jobs and pay.</w:t>
      </w:r>
    </w:p>
    <w:p>
      <w:pPr>
        <w:pStyle w:val="BodyText"/>
        <w:spacing w:before="10"/>
        <w:rPr>
          <w:sz w:val="29"/>
        </w:rPr>
      </w:pPr>
    </w:p>
    <w:p>
      <w:pPr>
        <w:pStyle w:val="Heading1"/>
      </w:pPr>
      <w:r>
        <w:rPr/>
        <w:t>The Jobs Ladder</w:t>
      </w:r>
    </w:p>
    <w:p>
      <w:pPr>
        <w:pStyle w:val="BodyText"/>
        <w:rPr>
          <w:b/>
          <w:sz w:val="22"/>
        </w:rPr>
      </w:pPr>
    </w:p>
    <w:p>
      <w:pPr>
        <w:pStyle w:val="BodyText"/>
        <w:spacing w:line="352" w:lineRule="auto" w:before="196"/>
        <w:ind w:left="334" w:right="453"/>
        <w:rPr>
          <w:sz w:val="13"/>
        </w:rPr>
      </w:pPr>
      <w:r>
        <w:rPr/>
        <w:t>The framework most often used by macro-economists to explain pay and jobs is the Phillips curve – the negative relationship between pay growth and the </w:t>
      </w:r>
      <w:r>
        <w:rPr>
          <w:i/>
        </w:rPr>
        <w:t>stock </w:t>
      </w:r>
      <w:r>
        <w:rPr/>
        <w:t>of unemployment.</w:t>
      </w:r>
      <w:r>
        <w:rPr>
          <w:position w:val="7"/>
          <w:sz w:val="13"/>
        </w:rPr>
        <w:t>11 </w:t>
      </w:r>
      <w:r>
        <w:rPr/>
        <w:t>Despite reports of its demise, there is still reasonably clear empirical evidence of a Phillips curve in labour market data, once allowance is made for a possible downwards shift in the NAIRU and/or slope of the Phillips curve.</w:t>
      </w:r>
      <w:r>
        <w:rPr>
          <w:position w:val="7"/>
          <w:sz w:val="13"/>
        </w:rPr>
        <w:t>12</w:t>
      </w:r>
    </w:p>
    <w:p>
      <w:pPr>
        <w:pStyle w:val="BodyText"/>
        <w:spacing w:before="6"/>
        <w:rPr>
          <w:sz w:val="29"/>
        </w:rPr>
      </w:pPr>
    </w:p>
    <w:p>
      <w:pPr>
        <w:pStyle w:val="BodyText"/>
        <w:spacing w:line="352" w:lineRule="auto"/>
        <w:ind w:left="334" w:right="452"/>
        <w:rPr>
          <w:sz w:val="13"/>
        </w:rPr>
      </w:pPr>
      <w:r>
        <w:rPr/>
        <w:t>An alternative, complementary, lens on the labour market comes from looking at </w:t>
      </w:r>
      <w:r>
        <w:rPr>
          <w:i/>
        </w:rPr>
        <w:t>flows </w:t>
      </w:r>
      <w:r>
        <w:rPr/>
        <w:t>of workers between jobs, rather than stocks of unemployed. There is a large literature studying the process by which people search for work and are matched into jobs.</w:t>
      </w:r>
      <w:r>
        <w:rPr>
          <w:position w:val="7"/>
          <w:sz w:val="13"/>
        </w:rPr>
        <w:t>13 </w:t>
      </w:r>
      <w:r>
        <w:rPr/>
        <w:t>There is empirical evidence that job-to-job flows – the velocity of circulation in the labour market – can play a significant role in explaining wage growth.</w:t>
      </w:r>
      <w:r>
        <w:rPr>
          <w:position w:val="7"/>
          <w:sz w:val="13"/>
        </w:rPr>
        <w:t>14</w:t>
      </w:r>
    </w:p>
    <w:p>
      <w:pPr>
        <w:pStyle w:val="BodyText"/>
        <w:spacing w:before="5"/>
        <w:rPr>
          <w:sz w:val="29"/>
        </w:rPr>
      </w:pPr>
    </w:p>
    <w:p>
      <w:pPr>
        <w:pStyle w:val="BodyText"/>
        <w:spacing w:line="352" w:lineRule="auto"/>
        <w:ind w:left="334" w:right="388"/>
        <w:rPr>
          <w:sz w:val="13"/>
        </w:rPr>
      </w:pPr>
      <w:r>
        <w:rPr/>
        <w:t>When studying labour market flows, a “jobs ladder” pattern of behaviour has often been found. In a growing economy, workers move between jobs by climbing a ladder of opportunities based on job characteristics such as relative rates of pay and firm productivity. The tighter the jobs market, the harder it is for companies to fill vacancies, the greater their incentive to offer workers higher-paid positions and the stronger the incentives among workers to move into these positions.</w:t>
      </w:r>
      <w:r>
        <w:rPr>
          <w:position w:val="7"/>
          <w:sz w:val="13"/>
        </w:rPr>
        <w:t>15,16</w:t>
      </w:r>
    </w:p>
    <w:p>
      <w:pPr>
        <w:pStyle w:val="BodyText"/>
        <w:spacing w:before="1"/>
        <w:rPr>
          <w:sz w:val="30"/>
        </w:rPr>
      </w:pPr>
    </w:p>
    <w:p>
      <w:pPr>
        <w:pStyle w:val="BodyText"/>
        <w:spacing w:line="352" w:lineRule="auto"/>
        <w:ind w:left="334" w:right="319"/>
        <w:rPr>
          <w:sz w:val="13"/>
        </w:rPr>
      </w:pPr>
      <w:r>
        <w:rPr/>
        <w:t>More productive firms are better able to offer higher rates of pay. This means more productive firms are also the ones most likely to expand, as they bid-away workers with higher pay offers. Less productive firms, by contrast, are unable to pay-up and are more likely lose workers and shrink. As workers climb the pay and productivity ladder, we would thus expect to see simultaneously higher levels of job moves, and higher rates of pay and productivity growth.</w:t>
      </w:r>
      <w:r>
        <w:rPr>
          <w:position w:val="7"/>
          <w:sz w:val="13"/>
        </w:rPr>
        <w:t>17</w:t>
      </w:r>
    </w:p>
    <w:p>
      <w:pPr>
        <w:pStyle w:val="BodyText"/>
      </w:pPr>
    </w:p>
    <w:p>
      <w:pPr>
        <w:pStyle w:val="BodyText"/>
      </w:pPr>
    </w:p>
    <w:p>
      <w:pPr>
        <w:pStyle w:val="BodyText"/>
        <w:spacing w:before="11"/>
        <w:rPr>
          <w:sz w:val="29"/>
        </w:rPr>
      </w:pPr>
      <w:r>
        <w:rPr/>
        <w:pict>
          <v:shape style="position:absolute;margin-left:56.700001pt;margin-top:19.429218pt;width:144.050pt;height:.1pt;mso-position-horizontal-relative:page;mso-position-vertical-relative:paragraph;z-index:-251623424;mso-wrap-distance-left:0;mso-wrap-distance-right:0" coordorigin="1134,389" coordsize="2881,0" path="m1134,389l4014,389e" filled="false" stroked="true" strokeweight=".47998pt" strokecolor="#000000">
            <v:path arrowok="t"/>
            <v:stroke dashstyle="solid"/>
            <w10:wrap type="topAndBottom"/>
          </v:shape>
        </w:pict>
      </w:r>
    </w:p>
    <w:p>
      <w:pPr>
        <w:spacing w:line="186" w:lineRule="exact" w:before="51"/>
        <w:ind w:left="334" w:right="0" w:firstLine="0"/>
        <w:jc w:val="left"/>
        <w:rPr>
          <w:sz w:val="16"/>
        </w:rPr>
      </w:pPr>
      <w:r>
        <w:rPr>
          <w:position w:val="6"/>
          <w:sz w:val="10"/>
        </w:rPr>
        <w:t>11 </w:t>
      </w:r>
      <w:r>
        <w:rPr>
          <w:sz w:val="16"/>
        </w:rPr>
        <w:t>Phillips (1953).</w:t>
      </w:r>
    </w:p>
    <w:p>
      <w:pPr>
        <w:spacing w:line="184" w:lineRule="exact" w:before="0"/>
        <w:ind w:left="334" w:right="0" w:firstLine="0"/>
        <w:jc w:val="left"/>
        <w:rPr>
          <w:sz w:val="16"/>
        </w:rPr>
      </w:pPr>
      <w:r>
        <w:rPr>
          <w:position w:val="6"/>
          <w:sz w:val="10"/>
        </w:rPr>
        <w:t>12   </w:t>
      </w:r>
      <w:r>
        <w:rPr>
          <w:sz w:val="16"/>
        </w:rPr>
        <w:t>For example, Broadbent</w:t>
      </w:r>
      <w:r>
        <w:rPr>
          <w:spacing w:val="-4"/>
          <w:sz w:val="16"/>
        </w:rPr>
        <w:t> </w:t>
      </w:r>
      <w:r>
        <w:rPr>
          <w:sz w:val="16"/>
        </w:rPr>
        <w:t>(2017).</w:t>
      </w:r>
    </w:p>
    <w:p>
      <w:pPr>
        <w:spacing w:line="184" w:lineRule="exact" w:before="0"/>
        <w:ind w:left="334" w:right="0" w:firstLine="0"/>
        <w:jc w:val="left"/>
        <w:rPr>
          <w:sz w:val="16"/>
        </w:rPr>
      </w:pPr>
      <w:r>
        <w:rPr>
          <w:position w:val="6"/>
          <w:sz w:val="10"/>
        </w:rPr>
        <w:t>13   </w:t>
      </w:r>
      <w:r>
        <w:rPr>
          <w:sz w:val="16"/>
        </w:rPr>
        <w:t>For example, Pissarides</w:t>
      </w:r>
      <w:r>
        <w:rPr>
          <w:spacing w:val="-3"/>
          <w:sz w:val="16"/>
        </w:rPr>
        <w:t> </w:t>
      </w:r>
      <w:r>
        <w:rPr>
          <w:sz w:val="16"/>
        </w:rPr>
        <w:t>(2000).</w:t>
      </w:r>
    </w:p>
    <w:p>
      <w:pPr>
        <w:spacing w:line="184" w:lineRule="exact" w:before="0"/>
        <w:ind w:left="334" w:right="0" w:firstLine="0"/>
        <w:jc w:val="left"/>
        <w:rPr>
          <w:sz w:val="16"/>
        </w:rPr>
      </w:pPr>
      <w:r>
        <w:rPr>
          <w:position w:val="6"/>
          <w:sz w:val="10"/>
        </w:rPr>
        <w:t>14 </w:t>
      </w:r>
      <w:r>
        <w:rPr>
          <w:sz w:val="16"/>
        </w:rPr>
        <w:t>Melosi and Faccini (2019).</w:t>
      </w:r>
    </w:p>
    <w:p>
      <w:pPr>
        <w:spacing w:line="184" w:lineRule="exact" w:before="0"/>
        <w:ind w:left="334" w:right="0" w:firstLine="0"/>
        <w:jc w:val="left"/>
        <w:rPr>
          <w:sz w:val="16"/>
        </w:rPr>
      </w:pPr>
      <w:r>
        <w:rPr>
          <w:position w:val="6"/>
          <w:sz w:val="10"/>
        </w:rPr>
        <w:t>15 </w:t>
      </w:r>
      <w:r>
        <w:rPr>
          <w:sz w:val="16"/>
        </w:rPr>
        <w:t>Moscarini and Postel-Vinay (2016) and Moscarini and Postel-Vinay (2018).</w:t>
      </w:r>
    </w:p>
    <w:p>
      <w:pPr>
        <w:spacing w:line="184" w:lineRule="exact" w:before="0"/>
        <w:ind w:left="334" w:right="0" w:firstLine="0"/>
        <w:jc w:val="left"/>
        <w:rPr>
          <w:sz w:val="16"/>
        </w:rPr>
      </w:pPr>
      <w:r>
        <w:rPr>
          <w:position w:val="6"/>
          <w:sz w:val="10"/>
        </w:rPr>
        <w:t>16 </w:t>
      </w:r>
      <w:r>
        <w:rPr>
          <w:sz w:val="16"/>
        </w:rPr>
        <w:t>Abel, Tenreyro and Thwaites (2018) discuss the role of monopsony power in the labour market.</w:t>
      </w:r>
    </w:p>
    <w:p>
      <w:pPr>
        <w:spacing w:line="186" w:lineRule="exact" w:before="0"/>
        <w:ind w:left="334" w:right="0" w:firstLine="0"/>
        <w:jc w:val="left"/>
        <w:rPr>
          <w:sz w:val="16"/>
        </w:rPr>
      </w:pPr>
      <w:r>
        <w:rPr>
          <w:position w:val="6"/>
          <w:sz w:val="10"/>
        </w:rPr>
        <w:t>17 </w:t>
      </w:r>
      <w:r>
        <w:rPr>
          <w:sz w:val="16"/>
        </w:rPr>
        <w:t>Moscarini and Postel-Vinay (2016) and Moscarini and Postel-Vinay (2018).</w:t>
      </w:r>
    </w:p>
    <w:p>
      <w:pPr>
        <w:spacing w:after="0" w:line="186" w:lineRule="exact"/>
        <w:jc w:val="left"/>
        <w:rPr>
          <w:sz w:val="16"/>
        </w:rPr>
        <w:sectPr>
          <w:footerReference w:type="default" r:id="rId18"/>
          <w:pgSz w:w="11910" w:h="16840"/>
          <w:pgMar w:footer="1338" w:header="0" w:top="1460" w:bottom="1520" w:left="800" w:right="820"/>
          <w:pgNumType w:start="12"/>
        </w:sectPr>
      </w:pPr>
    </w:p>
    <w:p>
      <w:pPr>
        <w:pStyle w:val="BodyText"/>
        <w:spacing w:line="355" w:lineRule="auto" w:before="69"/>
        <w:ind w:left="334" w:right="473"/>
      </w:pPr>
      <w:r>
        <w:rPr/>
        <w:t>The reverse is true during a slowdown. Then, rates of hiring fall and rates of job transition slow. Workers are either forced off the jobs ladder entirely (“unemployment”) or, in coordination with employers, the labour market outcome results in them moving to a lower rung of the pay and productivity ladder</w:t>
      </w:r>
    </w:p>
    <w:p>
      <w:pPr>
        <w:pStyle w:val="BodyText"/>
        <w:spacing w:line="355" w:lineRule="auto"/>
        <w:ind w:left="334" w:right="319"/>
      </w:pPr>
      <w:r>
        <w:rPr/>
        <w:t>(“under-employment”). Lower-productivity firms expand while higher-productivity firms shrink. The result is slower rates of job move and lower rates of pay and productivity growth.</w:t>
      </w:r>
    </w:p>
    <w:p>
      <w:pPr>
        <w:pStyle w:val="BodyText"/>
        <w:spacing w:before="5"/>
        <w:rPr>
          <w:sz w:val="29"/>
        </w:rPr>
      </w:pPr>
    </w:p>
    <w:p>
      <w:pPr>
        <w:pStyle w:val="BodyText"/>
        <w:spacing w:line="355" w:lineRule="auto"/>
        <w:ind w:left="334" w:right="319"/>
      </w:pPr>
      <w:r>
        <w:rPr/>
        <w:t>One of the attractions of this approach is that it explains the velocity of circulation in the labour market, pay and productivity growth as a single, simultaneous process as workers traverse the jobs ladder. We do not need to rely on unexplained shocks to productivity to explain pay. Rather, it is behaviour by companies and workers which generates simultaneous movements in pay and productivity.</w:t>
      </w:r>
    </w:p>
    <w:p>
      <w:pPr>
        <w:pStyle w:val="BodyText"/>
        <w:spacing w:before="5"/>
        <w:rPr>
          <w:sz w:val="29"/>
        </w:rPr>
      </w:pPr>
    </w:p>
    <w:p>
      <w:pPr>
        <w:pStyle w:val="BodyText"/>
        <w:spacing w:line="355" w:lineRule="auto"/>
        <w:ind w:left="334" w:right="388"/>
      </w:pPr>
      <w:r>
        <w:rPr/>
        <w:pict>
          <v:group style="position:absolute;margin-left:73.021004pt;margin-top:107.20488pt;width:425.4pt;height:185.85pt;mso-position-horizontal-relative:page;mso-position-vertical-relative:paragraph;z-index:-254511104" coordorigin="1460,2144" coordsize="8508,3717">
            <v:shape style="position:absolute;left:1467;top:2151;width:8493;height:3702" coordorigin="1468,2152" coordsize="8493,3702" path="m9961,5853l9961,2152m9900,5853l9961,5853m9900,5442l9961,5442m9900,5030l9961,5030m9900,4620l9961,4620m9900,4208l9961,4208m9900,3797l9961,3797m9900,3385l9961,3385m9900,2975l9961,2975m9900,2563l9961,2563m9900,2152l9961,2152m1468,5853l9961,5853m1468,5793l1468,5853m2060,5793l2060,5853m2653,5793l2653,5853m3246,5793l3246,5853m3838,5793l3838,5853m4430,5793l4430,5853m5023,5793l5023,5853m5616,5793l5616,5853m6208,5793l6208,5853m6800,5793l6800,5853m7393,5793l7393,5853m7986,5793l7986,5853m8578,5793l8578,5853m9170,5793l9170,5853m9763,5793l9763,5853e" filled="false" stroked="true" strokeweight=".75pt" strokecolor="#d9d9d9">
              <v:path arrowok="t"/>
              <v:stroke dashstyle="solid"/>
            </v:shape>
            <v:shape style="position:absolute;left:1566;top:2678;width:8296;height:2018" coordorigin="1567,2678" coordsize="8296,2018" path="m1567,2678l1764,2828,1962,2844,2159,3037,2357,3252,2555,3544,2752,3756,2950,4085,3146,4216,3344,4152,3541,3973,3739,3806,3937,3407,4134,2838,4332,2743,4529,2930,4727,3793,4925,3959,5122,3758,5320,3692,5516,3575,5714,3787,5912,3187,6109,3426,6307,3703,6504,3629,6702,3600,6899,3659,7097,3858,7295,3622,7492,3983,7690,4001,7886,4010,8084,3923,8282,4696,8479,4417,8677,4218,8874,4244,9072,4204,9270,3982,9467,3941,9665,3629,9862,3619e" filled="false" stroked="true" strokeweight="1.75pt" strokecolor="#c0504d">
              <v:path arrowok="t"/>
              <v:stroke dashstyle="solid"/>
            </v:shape>
            <w10:wrap type="none"/>
          </v:group>
        </w:pict>
      </w:r>
      <w:r>
        <w:rPr/>
        <w:t>So how useful is this framework when characterising recent behaviour in the UK labour market? At a high level, this story fits the UK facts. Chart 13 plots job-to-job flows in the UK over recent decades. It displays a pro-cyclical pattern, with job moves picking up during a recovery and falling during a recession. From their low point in 2010, job-to-job flows in the UK have picked up as the labour market has tightened.</w:t>
      </w:r>
    </w:p>
    <w:p>
      <w:pPr>
        <w:pStyle w:val="BodyText"/>
      </w:pPr>
    </w:p>
    <w:p>
      <w:pPr>
        <w:pStyle w:val="BodyText"/>
        <w:spacing w:after="1"/>
        <w:rPr>
          <w:sz w:val="10"/>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00"/>
      </w:tblGrid>
      <w:tr>
        <w:trPr>
          <w:trHeight w:val="275" w:hRule="atLeast"/>
        </w:trPr>
        <w:tc>
          <w:tcPr>
            <w:tcW w:w="9800" w:type="dxa"/>
          </w:tcPr>
          <w:p>
            <w:pPr>
              <w:pStyle w:val="TableParagraph"/>
              <w:spacing w:line="224" w:lineRule="exact"/>
              <w:ind w:left="200"/>
              <w:rPr>
                <w:b/>
                <w:sz w:val="20"/>
              </w:rPr>
            </w:pPr>
            <w:r>
              <w:rPr>
                <w:b/>
                <w:sz w:val="20"/>
              </w:rPr>
              <w:t>Chart 13: Job-to-job flows</w:t>
            </w:r>
          </w:p>
        </w:tc>
      </w:tr>
      <w:tr>
        <w:trPr>
          <w:trHeight w:val="4289" w:hRule="atLeast"/>
        </w:trPr>
        <w:tc>
          <w:tcPr>
            <w:tcW w:w="9800" w:type="dxa"/>
          </w:tcPr>
          <w:p>
            <w:pPr>
              <w:pStyle w:val="TableParagraph"/>
              <w:spacing w:before="45"/>
              <w:ind w:left="9200"/>
              <w:rPr>
                <w:sz w:val="20"/>
              </w:rPr>
            </w:pPr>
            <w:r>
              <w:rPr>
                <w:color w:val="7E7E7E"/>
                <w:sz w:val="20"/>
              </w:rPr>
              <w:t>18%</w:t>
            </w:r>
          </w:p>
          <w:p>
            <w:pPr>
              <w:pStyle w:val="TableParagraph"/>
              <w:spacing w:before="182"/>
              <w:ind w:left="9200"/>
              <w:rPr>
                <w:sz w:val="20"/>
              </w:rPr>
            </w:pPr>
            <w:r>
              <w:rPr>
                <w:color w:val="7E7E7E"/>
                <w:sz w:val="20"/>
              </w:rPr>
              <w:t>16%</w:t>
            </w:r>
          </w:p>
          <w:p>
            <w:pPr>
              <w:pStyle w:val="TableParagraph"/>
              <w:spacing w:before="181"/>
              <w:ind w:left="9200"/>
              <w:rPr>
                <w:sz w:val="20"/>
              </w:rPr>
            </w:pPr>
            <w:r>
              <w:rPr>
                <w:color w:val="7E7E7E"/>
                <w:sz w:val="20"/>
              </w:rPr>
              <w:t>14%</w:t>
            </w:r>
          </w:p>
          <w:p>
            <w:pPr>
              <w:pStyle w:val="TableParagraph"/>
              <w:spacing w:before="181"/>
              <w:ind w:left="9200"/>
              <w:rPr>
                <w:sz w:val="20"/>
              </w:rPr>
            </w:pPr>
            <w:r>
              <w:rPr>
                <w:color w:val="7E7E7E"/>
                <w:sz w:val="20"/>
              </w:rPr>
              <w:t>12%</w:t>
            </w:r>
          </w:p>
          <w:p>
            <w:pPr>
              <w:pStyle w:val="TableParagraph"/>
              <w:spacing w:before="182"/>
              <w:ind w:left="9200"/>
              <w:rPr>
                <w:sz w:val="20"/>
              </w:rPr>
            </w:pPr>
            <w:r>
              <w:rPr>
                <w:color w:val="7E7E7E"/>
                <w:sz w:val="20"/>
              </w:rPr>
              <w:t>10%</w:t>
            </w:r>
          </w:p>
          <w:p>
            <w:pPr>
              <w:pStyle w:val="TableParagraph"/>
              <w:spacing w:before="181"/>
              <w:ind w:left="9200"/>
              <w:rPr>
                <w:sz w:val="20"/>
              </w:rPr>
            </w:pPr>
            <w:r>
              <w:rPr>
                <w:color w:val="7E7E7E"/>
                <w:sz w:val="20"/>
              </w:rPr>
              <w:t>8%</w:t>
            </w:r>
          </w:p>
          <w:p>
            <w:pPr>
              <w:pStyle w:val="TableParagraph"/>
              <w:spacing w:before="181"/>
              <w:ind w:left="9200"/>
              <w:rPr>
                <w:sz w:val="20"/>
              </w:rPr>
            </w:pPr>
            <w:r>
              <w:rPr>
                <w:color w:val="7E7E7E"/>
                <w:sz w:val="20"/>
              </w:rPr>
              <w:t>6%</w:t>
            </w:r>
          </w:p>
          <w:p>
            <w:pPr>
              <w:pStyle w:val="TableParagraph"/>
              <w:spacing w:before="182"/>
              <w:ind w:left="9200"/>
              <w:rPr>
                <w:sz w:val="20"/>
              </w:rPr>
            </w:pPr>
            <w:r>
              <w:rPr>
                <w:color w:val="7E7E7E"/>
                <w:sz w:val="20"/>
              </w:rPr>
              <w:t>4%</w:t>
            </w:r>
          </w:p>
          <w:p>
            <w:pPr>
              <w:pStyle w:val="TableParagraph"/>
              <w:spacing w:before="181"/>
              <w:ind w:left="9200"/>
              <w:rPr>
                <w:sz w:val="20"/>
              </w:rPr>
            </w:pPr>
            <w:r>
              <w:rPr>
                <w:color w:val="7E7E7E"/>
                <w:sz w:val="20"/>
              </w:rPr>
              <w:t>2%</w:t>
            </w:r>
          </w:p>
          <w:p>
            <w:pPr>
              <w:pStyle w:val="TableParagraph"/>
              <w:spacing w:before="182"/>
              <w:ind w:left="9200"/>
              <w:rPr>
                <w:sz w:val="20"/>
              </w:rPr>
            </w:pPr>
            <w:r>
              <w:rPr>
                <w:color w:val="7E7E7E"/>
                <w:sz w:val="20"/>
              </w:rPr>
              <w:t>0%</w:t>
            </w:r>
          </w:p>
          <w:p>
            <w:pPr>
              <w:pStyle w:val="TableParagraph"/>
              <w:spacing w:before="8"/>
              <w:ind w:left="410"/>
              <w:rPr>
                <w:sz w:val="20"/>
              </w:rPr>
            </w:pPr>
            <w:r>
              <w:rPr>
                <w:color w:val="7E7E7E"/>
                <w:sz w:val="20"/>
              </w:rPr>
              <w:t>1976 1979 1982 1985 1988 1991 1994 1997 2000 2003 2006 2009 2012 2015 2018</w:t>
            </w:r>
          </w:p>
        </w:tc>
      </w:tr>
      <w:tr>
        <w:trPr>
          <w:trHeight w:val="252" w:hRule="atLeast"/>
        </w:trPr>
        <w:tc>
          <w:tcPr>
            <w:tcW w:w="9800" w:type="dxa"/>
          </w:tcPr>
          <w:p>
            <w:pPr>
              <w:pStyle w:val="TableParagraph"/>
              <w:spacing w:line="164" w:lineRule="exact" w:before="68"/>
              <w:ind w:left="200"/>
              <w:rPr>
                <w:sz w:val="16"/>
              </w:rPr>
            </w:pPr>
            <w:r>
              <w:rPr>
                <w:sz w:val="16"/>
              </w:rPr>
              <w:t>Sources: ONS ASHE and Bank of England calculations.</w:t>
            </w:r>
          </w:p>
        </w:tc>
      </w:tr>
    </w:tbl>
    <w:p>
      <w:pPr>
        <w:pStyle w:val="BodyText"/>
      </w:pPr>
    </w:p>
    <w:p>
      <w:pPr>
        <w:pStyle w:val="BodyText"/>
        <w:rPr>
          <w:sz w:val="19"/>
        </w:rPr>
      </w:pPr>
    </w:p>
    <w:p>
      <w:pPr>
        <w:pStyle w:val="BodyText"/>
        <w:spacing w:line="352" w:lineRule="auto" w:before="1"/>
        <w:ind w:left="334" w:right="409"/>
      </w:pPr>
      <w:r>
        <w:rPr/>
        <w:t>Hiring and quit rates among companies are also pro-cyclical, as we would expect. More than that, the degree of pro-cyclicality in hiring is strongest, and in firing is weakest, among the medium and large firms. To the extent size is a proxy for productivity, this is also as we would expect.</w:t>
      </w:r>
      <w:r>
        <w:rPr>
          <w:position w:val="7"/>
          <w:sz w:val="13"/>
        </w:rPr>
        <w:t>18 </w:t>
      </w:r>
      <w:r>
        <w:rPr/>
        <w:t>During expansions, more productive firms hire more, and lose fewer, of their workers than less productive firms (Charts 14a and 14b).</w:t>
      </w:r>
    </w:p>
    <w:p>
      <w:pPr>
        <w:pStyle w:val="BodyText"/>
        <w:spacing w:before="10"/>
        <w:rPr>
          <w:sz w:val="29"/>
        </w:rPr>
      </w:pPr>
    </w:p>
    <w:p>
      <w:pPr>
        <w:pStyle w:val="BodyText"/>
        <w:spacing w:line="355" w:lineRule="auto"/>
        <w:ind w:left="334" w:right="452"/>
      </w:pPr>
      <w:r>
        <w:rPr/>
        <w:pict>
          <v:shape style="position:absolute;margin-left:56.700001pt;margin-top:37.639885pt;width:144.050pt;height:.1pt;mso-position-horizontal-relative:page;mso-position-vertical-relative:paragraph;z-index:-251622400;mso-wrap-distance-left:0;mso-wrap-distance-right:0" coordorigin="1134,753" coordsize="2881,0" path="m1134,753l4014,753e" filled="false" stroked="true" strokeweight=".47998pt" strokecolor="#000000">
            <v:path arrowok="t"/>
            <v:stroke dashstyle="solid"/>
            <w10:wrap type="topAndBottom"/>
          </v:shape>
        </w:pict>
      </w:r>
      <w:r>
        <w:rPr/>
        <w:t>Other patterns in the data less obviously fit the facts, however. Despite jobs flows picking up, pay growth has until reasonably recently remained slow and low. Meanwhile, productivity growth has remained</w:t>
      </w:r>
    </w:p>
    <w:p>
      <w:pPr>
        <w:spacing w:before="51"/>
        <w:ind w:left="334" w:right="0" w:firstLine="0"/>
        <w:jc w:val="left"/>
        <w:rPr>
          <w:sz w:val="16"/>
        </w:rPr>
      </w:pPr>
      <w:r>
        <w:rPr>
          <w:position w:val="6"/>
          <w:sz w:val="10"/>
        </w:rPr>
        <w:t>18 </w:t>
      </w:r>
      <w:r>
        <w:rPr>
          <w:sz w:val="16"/>
        </w:rPr>
        <w:t>For example, Bernard et al (2014) and Wales et al (2018).</w:t>
      </w:r>
    </w:p>
    <w:p>
      <w:pPr>
        <w:spacing w:after="0"/>
        <w:jc w:val="left"/>
        <w:rPr>
          <w:sz w:val="16"/>
        </w:rPr>
        <w:sectPr>
          <w:footerReference w:type="default" r:id="rId19"/>
          <w:pgSz w:w="11910" w:h="16840"/>
          <w:pgMar w:footer="1338" w:header="0" w:top="1460" w:bottom="1520" w:left="800" w:right="820"/>
          <w:pgNumType w:start="13"/>
        </w:sectPr>
      </w:pPr>
    </w:p>
    <w:p>
      <w:pPr>
        <w:pStyle w:val="BodyText"/>
        <w:spacing w:line="355" w:lineRule="auto" w:before="69"/>
        <w:ind w:left="334" w:right="452"/>
      </w:pPr>
      <w:r>
        <w:rPr/>
        <w:t>stubbornly subdued despite a seven-year jobs recovery. So has the jobs ladder broken? Have its rungs been removed? To understand these developments, it is useful to break the decade down into phases.</w:t>
      </w:r>
    </w:p>
    <w:p>
      <w:pPr>
        <w:pStyle w:val="BodyText"/>
        <w:spacing w:before="7"/>
        <w:rPr>
          <w:sz w:val="29"/>
        </w:rPr>
      </w:pPr>
    </w:p>
    <w:p>
      <w:pPr>
        <w:pStyle w:val="Heading1"/>
      </w:pPr>
      <w:r>
        <w:rPr/>
        <w:t>Charts 14a and 14b: Hire and quit rates by firm size</w:t>
      </w:r>
    </w:p>
    <w:p>
      <w:pPr>
        <w:pStyle w:val="BodyText"/>
        <w:tabs>
          <w:tab w:pos="4951" w:val="left" w:leader="none"/>
        </w:tabs>
        <w:spacing w:before="109"/>
        <w:ind w:left="22"/>
        <w:jc w:val="center"/>
      </w:pPr>
      <w:r>
        <w:rPr/>
        <w:t>Hire</w:t>
      </w:r>
      <w:r>
        <w:rPr>
          <w:spacing w:val="-2"/>
        </w:rPr>
        <w:t> </w:t>
      </w:r>
      <w:r>
        <w:rPr/>
        <w:t>rate</w:t>
        <w:tab/>
        <w:t>Quit</w:t>
      </w:r>
      <w:r>
        <w:rPr>
          <w:spacing w:val="-1"/>
        </w:rPr>
        <w:t> </w:t>
      </w:r>
      <w:r>
        <w:rPr/>
        <w:t>rate</w:t>
      </w:r>
    </w:p>
    <w:p>
      <w:pPr>
        <w:spacing w:after="0"/>
        <w:jc w:val="center"/>
        <w:sectPr>
          <w:pgSz w:w="11910" w:h="16840"/>
          <w:pgMar w:header="0" w:footer="1338" w:top="1460" w:bottom="1520" w:left="800" w:right="820"/>
        </w:sectPr>
      </w:pPr>
    </w:p>
    <w:p>
      <w:pPr>
        <w:tabs>
          <w:tab w:pos="4091" w:val="left" w:leader="none"/>
        </w:tabs>
        <w:spacing w:before="72"/>
        <w:ind w:left="0" w:right="0" w:firstLine="0"/>
        <w:jc w:val="right"/>
        <w:rPr>
          <w:sz w:val="16"/>
        </w:rPr>
      </w:pPr>
      <w:r>
        <w:rPr/>
        <w:pict>
          <v:group style="position:absolute;margin-left:80.375pt;margin-top:8.158909pt;width:184.05pt;height:132.1pt;mso-position-horizontal-relative:page;mso-position-vertical-relative:paragraph;z-index:-254508032" coordorigin="1608,163" coordsize="3681,2642">
            <v:shape style="position:absolute;left:1607;top:170;width:3681;height:2627" coordorigin="1608,171" coordsize="3681,2627" path="m5240,2797l5240,171m5240,2797l5288,2797m5240,2534l5288,2534m5240,2272l5288,2272m5240,2009l5288,2009m5240,1746l5288,1746m5240,1484l5288,1484m5240,1221l5288,1221m5240,958l5288,958m5240,695l5288,695m5240,434l5288,434m5240,171l5288,171m1656,2797l1656,171m1608,2797l1656,2797m1608,2422l1656,2422m1608,2046l1656,2046m1608,1671l1656,1671m1608,1296l1656,1296m1608,921l1656,921m1608,545l1656,545m1608,171l1656,171m1656,2797l5240,2797m1656,2748l1656,2797m2111,2748l2111,2797m2566,2748l2566,2797m3022,2748l3022,2797m3476,2748l3476,2797m3931,2748l3931,2797m4387,2748l4387,2797m4842,2748l4842,2797e" filled="false" stroked="true" strokeweight=".75pt" strokecolor="#858585">
              <v:path arrowok="t"/>
              <v:stroke dashstyle="solid"/>
            </v:shape>
            <v:shape style="position:absolute;left:1684;top:591;width:3528;height:605" coordorigin="1684,592" coordsize="3528,605" path="m1684,615l1741,592,1798,605,1855,599,1912,600,1969,624,2026,618,2082,651,2140,888,2196,912,2254,968,2310,972,2366,785,2424,803,2480,782,2538,786,2594,760,2652,726,2708,702,2765,647,2822,681,2879,738,2936,794,2993,956,3049,1067,3107,1127,3163,1196,3221,1151,3277,1068,3334,996,3391,966,3448,972,3505,1004,3562,1055,3619,1029,3676,1007,3732,986,3790,982,3846,976,3904,995,3960,1041,4016,1029,4074,1017,4130,995,4188,918,4244,888,4301,869,4358,830,4415,855,4472,824,4529,820,4586,830,4643,791,4699,796,4757,813,4813,802,4871,797,4927,843,4984,838,5041,862,5098,897,5155,852,5212,832e" filled="false" stroked="true" strokeweight="1.75pt" strokecolor="#497dba">
              <v:path arrowok="t"/>
              <v:stroke dashstyle="solid"/>
            </v:shape>
            <v:shape style="position:absolute;left:1684;top:599;width:3528;height:984" coordorigin="1684,599" coordsize="3528,984" path="m1684,749l1741,729,1798,705,1855,621,1912,687,1969,610,2026,599,2082,620,2140,814,2196,920,2254,1026,2310,1072,2366,881,2424,915,2480,944,2538,1005,2594,984,2652,1004,2708,952,2765,876,2822,1016,2879,1086,2936,1155,2993,1293,3049,1388,3107,1386,3163,1397,3221,1385,3277,1329,3334,1372,3391,1462,3448,1541,3505,1565,3562,1583,3619,1551,3676,1554,3732,1479,3790,1336,3846,1228,3904,1145,3960,1150,4016,1248,4074,1289,4130,1224,4188,1179,4244,1131,4301,1082,4358,1112,4415,1173,4472,1090,4529,1108,4586,1066,4643,1054,4699,1150,4757,1206,4813,1254,4871,1188,4927,1181,4984,1083,5041,941,5098,1013,5155,951,5212,960e" filled="false" stroked="true" strokeweight="1.75pt" strokecolor="#9bba58">
              <v:path arrowok="t"/>
              <v:stroke dashstyle="solid"/>
            </v:shape>
            <v:shape style="position:absolute;left:1684;top:445;width:3528;height:818" coordorigin="1684,445" coordsize="3528,818" path="m1684,758l1741,803,1798,827,1855,786,1912,776,1969,693,2026,585,2082,574,2140,712,2196,819,2254,947,2310,1055,2366,903,2424,934,2480,933,2538,844,2594,929,2652,855,2708,774,2765,708,2822,705,2879,676,2936,719,2993,939,3049,1014,3107,1125,3163,1239,3221,1233,3277,1206,3334,1256,3391,1212,3448,1156,3505,1205,3562,1221,3619,1258,3676,1262,3732,1224,3790,1122,3846,1047,3904,1016,3960,954,4016,932,4074,916,4130,814,4188,761,4244,807,4301,780,4358,801,4415,791,4472,672,4529,636,4586,615,4643,648,4699,670,4757,677,4813,714,4871,632,4927,578,4984,496,5041,453,5098,492,5155,445,5212,507e" filled="false" stroked="true" strokeweight="1.75pt" strokecolor="#c0504d">
              <v:path arrowok="t"/>
              <v:stroke dashstyle="solid"/>
            </v:shape>
            <v:line style="position:absolute" from="1888,1940" to="2272,1940" stroked="true" strokeweight="1.75pt" strokecolor="#497dba">
              <v:stroke dashstyle="solid"/>
            </v:line>
            <v:line style="position:absolute" from="1888,2248" to="2272,2248" stroked="true" strokeweight="1.75pt" strokecolor="#9bba58">
              <v:stroke dashstyle="solid"/>
            </v:line>
            <v:line style="position:absolute" from="1888,2555" to="2272,2555" stroked="true" strokeweight="1.75pt" strokecolor="#c0504d">
              <v:stroke dashstyle="solid"/>
            </v:line>
            <v:shape style="position:absolute;left:1607;top:163;width:3681;height:2642" type="#_x0000_t202"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11"/>
                      <w:rPr>
                        <w:sz w:val="19"/>
                      </w:rPr>
                    </w:pPr>
                  </w:p>
                  <w:p>
                    <w:pPr>
                      <w:spacing w:line="400" w:lineRule="auto" w:before="0"/>
                      <w:ind w:left="705" w:right="262" w:firstLine="0"/>
                      <w:jc w:val="left"/>
                      <w:rPr>
                        <w:sz w:val="16"/>
                      </w:rPr>
                    </w:pPr>
                    <w:r>
                      <w:rPr>
                        <w:color w:val="7E7E7E"/>
                        <w:sz w:val="16"/>
                      </w:rPr>
                      <w:t>Small firms (&lt; 50 workers) - LHS Medium firms (50-499 workers) - RHS Large firms (500+ workers) - RHS</w:t>
                    </w:r>
                  </w:p>
                </w:txbxContent>
              </v:textbox>
              <w10:wrap type="none"/>
            </v:shape>
            <w10:wrap type="none"/>
          </v:group>
        </w:pict>
      </w:r>
      <w:r>
        <w:rPr>
          <w:color w:val="7E7E7E"/>
          <w:sz w:val="16"/>
        </w:rPr>
        <w:t>7%</w:t>
        <w:tab/>
      </w:r>
      <w:r>
        <w:rPr>
          <w:color w:val="7E7E7E"/>
          <w:spacing w:val="-1"/>
          <w:sz w:val="16"/>
        </w:rPr>
        <w:t>1.0%</w:t>
      </w:r>
    </w:p>
    <w:p>
      <w:pPr>
        <w:tabs>
          <w:tab w:pos="4578" w:val="left" w:leader="none"/>
        </w:tabs>
        <w:spacing w:line="213" w:lineRule="auto" w:before="82"/>
        <w:ind w:left="487" w:right="0" w:firstLine="0"/>
        <w:jc w:val="left"/>
        <w:rPr>
          <w:sz w:val="16"/>
        </w:rPr>
      </w:pPr>
      <w:r>
        <w:rPr>
          <w:color w:val="7E7E7E"/>
          <w:position w:val="-10"/>
          <w:sz w:val="16"/>
        </w:rPr>
        <w:t>6%</w:t>
        <w:tab/>
      </w:r>
      <w:r>
        <w:rPr>
          <w:color w:val="7E7E7E"/>
          <w:spacing w:val="-5"/>
          <w:sz w:val="16"/>
        </w:rPr>
        <w:t>0.9%</w:t>
      </w:r>
    </w:p>
    <w:p>
      <w:pPr>
        <w:spacing w:line="169" w:lineRule="exact" w:before="0"/>
        <w:ind w:left="4578" w:right="0" w:firstLine="0"/>
        <w:jc w:val="left"/>
        <w:rPr>
          <w:sz w:val="16"/>
        </w:rPr>
      </w:pPr>
      <w:r>
        <w:rPr>
          <w:color w:val="7E7E7E"/>
          <w:w w:val="95"/>
          <w:sz w:val="16"/>
        </w:rPr>
        <w:t>0.8%</w:t>
      </w:r>
    </w:p>
    <w:p>
      <w:pPr>
        <w:tabs>
          <w:tab w:pos="4578" w:val="left" w:leader="none"/>
        </w:tabs>
        <w:spacing w:before="39"/>
        <w:ind w:left="487" w:right="0" w:firstLine="0"/>
        <w:jc w:val="left"/>
        <w:rPr>
          <w:sz w:val="16"/>
        </w:rPr>
      </w:pPr>
      <w:r>
        <w:rPr>
          <w:color w:val="7E7E7E"/>
          <w:position w:val="4"/>
          <w:sz w:val="16"/>
        </w:rPr>
        <w:t>5%</w:t>
        <w:tab/>
      </w:r>
      <w:r>
        <w:rPr>
          <w:color w:val="7E7E7E"/>
          <w:spacing w:val="-5"/>
          <w:sz w:val="16"/>
        </w:rPr>
        <w:t>0.7%</w:t>
      </w:r>
    </w:p>
    <w:p>
      <w:pPr>
        <w:tabs>
          <w:tab w:pos="4578" w:val="left" w:leader="none"/>
        </w:tabs>
        <w:spacing w:line="237" w:lineRule="auto" w:before="79"/>
        <w:ind w:left="487" w:right="0" w:firstLine="0"/>
        <w:jc w:val="left"/>
        <w:rPr>
          <w:sz w:val="16"/>
        </w:rPr>
      </w:pPr>
      <w:r>
        <w:rPr>
          <w:color w:val="7E7E7E"/>
          <w:position w:val="-7"/>
          <w:sz w:val="16"/>
        </w:rPr>
        <w:t>4%</w:t>
        <w:tab/>
      </w:r>
      <w:r>
        <w:rPr>
          <w:color w:val="7E7E7E"/>
          <w:spacing w:val="-5"/>
          <w:sz w:val="16"/>
        </w:rPr>
        <w:t>0.6%</w:t>
      </w:r>
    </w:p>
    <w:p>
      <w:pPr>
        <w:spacing w:before="0"/>
        <w:ind w:left="0" w:right="0" w:firstLine="0"/>
        <w:jc w:val="right"/>
        <w:rPr>
          <w:sz w:val="16"/>
        </w:rPr>
      </w:pPr>
      <w:r>
        <w:rPr>
          <w:color w:val="7E7E7E"/>
          <w:spacing w:val="-1"/>
          <w:sz w:val="16"/>
        </w:rPr>
        <w:t>0.5%</w:t>
      </w:r>
    </w:p>
    <w:p>
      <w:pPr>
        <w:tabs>
          <w:tab w:pos="4578" w:val="left" w:leader="none"/>
        </w:tabs>
        <w:spacing w:before="9"/>
        <w:ind w:left="487" w:right="0" w:firstLine="0"/>
        <w:jc w:val="left"/>
        <w:rPr>
          <w:sz w:val="16"/>
        </w:rPr>
      </w:pPr>
      <w:r>
        <w:rPr>
          <w:color w:val="7E7E7E"/>
          <w:position w:val="7"/>
          <w:sz w:val="16"/>
        </w:rPr>
        <w:t>3%</w:t>
        <w:tab/>
      </w:r>
      <w:r>
        <w:rPr>
          <w:color w:val="7E7E7E"/>
          <w:spacing w:val="-5"/>
          <w:sz w:val="16"/>
        </w:rPr>
        <w:t>0.4%</w:t>
      </w:r>
    </w:p>
    <w:p>
      <w:pPr>
        <w:tabs>
          <w:tab w:pos="4578" w:val="left" w:leader="none"/>
        </w:tabs>
        <w:spacing w:before="79"/>
        <w:ind w:left="487" w:right="0" w:firstLine="0"/>
        <w:jc w:val="left"/>
        <w:rPr>
          <w:sz w:val="16"/>
        </w:rPr>
      </w:pPr>
      <w:r>
        <w:rPr>
          <w:color w:val="7E7E7E"/>
          <w:position w:val="-3"/>
          <w:sz w:val="16"/>
        </w:rPr>
        <w:t>2%</w:t>
        <w:tab/>
      </w:r>
      <w:r>
        <w:rPr>
          <w:color w:val="7E7E7E"/>
          <w:spacing w:val="-5"/>
          <w:sz w:val="16"/>
        </w:rPr>
        <w:t>0.3%</w:t>
      </w:r>
    </w:p>
    <w:p>
      <w:pPr>
        <w:spacing w:line="168" w:lineRule="exact" w:before="38"/>
        <w:ind w:left="4578" w:right="0" w:firstLine="0"/>
        <w:jc w:val="left"/>
        <w:rPr>
          <w:sz w:val="16"/>
        </w:rPr>
      </w:pPr>
      <w:r>
        <w:rPr>
          <w:color w:val="7E7E7E"/>
          <w:w w:val="95"/>
          <w:sz w:val="16"/>
        </w:rPr>
        <w:t>0.2%</w:t>
      </w:r>
    </w:p>
    <w:p>
      <w:pPr>
        <w:tabs>
          <w:tab w:pos="4578" w:val="left" w:leader="none"/>
        </w:tabs>
        <w:spacing w:line="278" w:lineRule="exact" w:before="0"/>
        <w:ind w:left="487" w:right="0" w:firstLine="0"/>
        <w:jc w:val="left"/>
        <w:rPr>
          <w:sz w:val="16"/>
        </w:rPr>
      </w:pPr>
      <w:r>
        <w:rPr>
          <w:color w:val="7E7E7E"/>
          <w:position w:val="11"/>
          <w:sz w:val="16"/>
        </w:rPr>
        <w:t>1%</w:t>
        <w:tab/>
      </w:r>
      <w:r>
        <w:rPr>
          <w:color w:val="7E7E7E"/>
          <w:spacing w:val="-5"/>
          <w:sz w:val="16"/>
        </w:rPr>
        <w:t>0.1%</w:t>
      </w:r>
    </w:p>
    <w:p>
      <w:pPr>
        <w:tabs>
          <w:tab w:pos="4091" w:val="left" w:leader="none"/>
        </w:tabs>
        <w:spacing w:before="79"/>
        <w:ind w:left="0" w:right="0" w:firstLine="0"/>
        <w:jc w:val="right"/>
        <w:rPr>
          <w:sz w:val="16"/>
        </w:rPr>
      </w:pPr>
      <w:r>
        <w:rPr/>
        <w:drawing>
          <wp:anchor distT="0" distB="0" distL="0" distR="0" allowOverlap="1" layoutInCell="1" locked="0" behindDoc="0" simplePos="0" relativeHeight="251699200">
            <wp:simplePos x="0" y="0"/>
            <wp:positionH relativeFrom="page">
              <wp:posOffset>815073</wp:posOffset>
            </wp:positionH>
            <wp:positionV relativeFrom="paragraph">
              <wp:posOffset>199820</wp:posOffset>
            </wp:positionV>
            <wp:extent cx="2298839" cy="276987"/>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20" cstate="print"/>
                    <a:stretch>
                      <a:fillRect/>
                    </a:stretch>
                  </pic:blipFill>
                  <pic:spPr>
                    <a:xfrm>
                      <a:off x="0" y="0"/>
                      <a:ext cx="2298839" cy="276987"/>
                    </a:xfrm>
                    <a:prstGeom prst="rect">
                      <a:avLst/>
                    </a:prstGeom>
                  </pic:spPr>
                </pic:pic>
              </a:graphicData>
            </a:graphic>
          </wp:anchor>
        </w:drawing>
      </w:r>
      <w:r>
        <w:rPr>
          <w:color w:val="7E7E7E"/>
          <w:sz w:val="16"/>
        </w:rPr>
        <w:t>0%</w:t>
        <w:tab/>
      </w:r>
      <w:r>
        <w:rPr>
          <w:color w:val="7E7E7E"/>
          <w:spacing w:val="-1"/>
          <w:sz w:val="16"/>
        </w:rPr>
        <w:t>0.0%</w:t>
      </w:r>
    </w:p>
    <w:p>
      <w:pPr>
        <w:spacing w:before="29"/>
        <w:ind w:left="385" w:right="0" w:firstLine="0"/>
        <w:jc w:val="left"/>
        <w:rPr>
          <w:sz w:val="16"/>
        </w:rPr>
      </w:pPr>
      <w:r>
        <w:rPr/>
        <w:br w:type="column"/>
      </w:r>
      <w:r>
        <w:rPr>
          <w:color w:val="7E7E7E"/>
          <w:sz w:val="16"/>
        </w:rPr>
        <w:t>2.5%</w:t>
      </w:r>
    </w:p>
    <w:p>
      <w:pPr>
        <w:pStyle w:val="BodyText"/>
        <w:rPr>
          <w:sz w:val="18"/>
        </w:rPr>
      </w:pPr>
    </w:p>
    <w:p>
      <w:pPr>
        <w:pStyle w:val="BodyText"/>
        <w:spacing w:before="4"/>
        <w:rPr>
          <w:sz w:val="14"/>
        </w:rPr>
      </w:pPr>
    </w:p>
    <w:p>
      <w:pPr>
        <w:spacing w:before="0"/>
        <w:ind w:left="385" w:right="0" w:firstLine="0"/>
        <w:jc w:val="left"/>
        <w:rPr>
          <w:sz w:val="16"/>
        </w:rPr>
      </w:pPr>
      <w:r>
        <w:rPr/>
        <w:pict>
          <v:group style="position:absolute;margin-left:331.059998pt;margin-top:-27.520147pt;width:196pt;height:144.050pt;mso-position-horizontal-relative:page;mso-position-vertical-relative:paragraph;z-index:251701248" coordorigin="6621,-550" coordsize="3920,2881">
            <v:shape style="position:absolute;left:6621;top:-458;width:3858;height:2780" coordorigin="6621,-457" coordsize="3858,2780" path="m6669,2322l6669,-457m6621,2322l6669,2322m6621,1766l6669,1766m6621,1210l6669,1210m6621,655l6669,655m6621,99l6669,99m6621,-457l6669,-457m6669,2322l10479,2322m6669,2274l6669,2322m7153,2274l7153,2322m7637,2274l7637,2322m8120,2274l8120,2322m8604,2274l8604,2322m9088,2274l9088,2322m9571,2274l9571,2322m10056,2274l10056,2322e" filled="false" stroked="true" strokeweight=".75pt" strokecolor="#858585">
              <v:path arrowok="t"/>
              <v:stroke dashstyle="solid"/>
            </v:shape>
            <v:shape style="position:absolute;left:6699;top:-31;width:3749;height:1311" coordorigin="6700,-30" coordsize="3749,1311" path="m6700,130l6760,130,6821,132,6881,142,6942,96,7002,98,7062,94,7123,-30,7183,61,7244,85,7304,159,7364,361,7426,372,7486,374,7546,324,7607,256,7667,208,7728,220,7788,190,7848,189,7909,308,7969,356,8030,566,8090,834,8150,990,8212,1208,8272,1281,8333,1219,8393,1143,8453,1028,8514,902,8574,888,8634,962,8695,1024,8755,1126,8816,1168,8876,1089,8936,1065,8998,1018,9058,894,9119,823,9179,753,9239,748,9300,765,9360,698,9421,699,9481,622,9541,601,9602,669,9662,644,9722,612,9784,523,9844,453,9905,321,9965,350,10025,441,10086,442,10146,466,10207,343,10267,270,10327,183,10388,232,10449,264e" filled="false" stroked="true" strokeweight="1.75pt" strokecolor="#497dba">
              <v:path arrowok="t"/>
              <v:stroke dashstyle="solid"/>
            </v:shape>
            <v:shape style="position:absolute;left:6699;top:310;width:3749;height:1251" coordorigin="6700,310" coordsize="3749,1251" path="m6700,728l6760,662,6821,706,6881,804,6942,728,7002,638,7062,556,7123,310,7183,370,7244,457,7304,492,7364,544,7426,631,7486,662,7546,746,7607,872,7667,784,7728,638,7788,518,7848,514,7909,428,7969,614,8030,679,8090,752,8150,1086,8212,1195,8272,1465,8333,1460,8393,1530,8453,1546,8514,1390,8574,1416,8634,1278,8695,1266,8755,1412,8816,1558,8876,1561,8936,1500,8998,1380,9058,1191,9119,1173,9179,1221,9239,1137,9300,1173,9360,1111,9421,1088,9481,1206,9541,1072,9602,1147,9662,1000,9722,886,9784,894,9844,904,9905,865,9965,879,10025,954,10086,802,10146,918,10207,722,10267,657,10327,548,10388,512,10449,745e" filled="false" stroked="true" strokeweight="1.75pt" strokecolor="#9bba58">
              <v:path arrowok="t"/>
              <v:stroke dashstyle="solid"/>
            </v:shape>
            <v:shape style="position:absolute;left:6699;top:1042;width:3749;height:826" coordorigin="6700,1043" coordsize="3749,826" path="m6700,1306l6760,1269,6821,1324,6881,1329,6942,1284,7002,1322,7062,1256,7123,1195,7183,1282,7244,1258,7304,1257,7364,1257,7426,1197,7486,1255,7546,1286,7607,1314,7667,1224,7728,1093,7788,1043,7848,1087,7909,1137,7969,1238,8030,1347,8090,1442,8150,1622,8212,1714,8272,1758,8333,1741,8393,1714,8453,1706,8514,1650,8574,1719,8634,1701,8695,1778,8755,1869,8816,1783,8876,1779,8936,1683,8998,1664,9058,1687,9119,1707,9179,1734,9239,1700,9300,1735,9360,1700,9421,1714,9481,1704,9541,1534,9602,1477,9662,1378,9722,1308,9784,1419,9844,1410,9905,1420,9965,1471,10025,1377,10086,1382,10146,1383,10207,1304,10267,1322,10327,1323,10388,1191,10449,1146e" filled="false" stroked="true" strokeweight="1.75pt" strokecolor="#c0504d">
              <v:path arrowok="t"/>
              <v:stroke dashstyle="solid"/>
            </v:shape>
            <v:line style="position:absolute" from="7903,-165" to="8287,-165" stroked="true" strokeweight="1.75pt" strokecolor="#9bba58">
              <v:stroke dashstyle="solid"/>
            </v:line>
            <v:line style="position:absolute" from="7903,72" to="8287,72" stroked="true" strokeweight="1.75pt" strokecolor="#c0504d">
              <v:stroke dashstyle="solid"/>
            </v:line>
            <v:shape style="position:absolute;left:6621;top:-551;width:3920;height:2881" type="#_x0000_t202" filled="false" stroked="false">
              <v:textbox inset="0,0,0,0">
                <w:txbxContent>
                  <w:p>
                    <w:pPr>
                      <w:tabs>
                        <w:tab w:pos="1704" w:val="left" w:leader="none"/>
                      </w:tabs>
                      <w:spacing w:line="309" w:lineRule="auto" w:before="48"/>
                      <w:ind w:left="1706" w:right="0" w:hanging="426"/>
                      <w:jc w:val="left"/>
                      <w:rPr>
                        <w:sz w:val="16"/>
                      </w:rPr>
                    </w:pPr>
                    <w:r>
                      <w:rPr>
                        <w:color w:val="7E7E7E"/>
                        <w:w w:val="99"/>
                        <w:position w:val="5"/>
                        <w:sz w:val="16"/>
                        <w:u w:val="thick" w:color="497DBA"/>
                      </w:rPr>
                      <w:t> </w:t>
                    </w:r>
                    <w:r>
                      <w:rPr>
                        <w:color w:val="7E7E7E"/>
                        <w:position w:val="5"/>
                        <w:sz w:val="16"/>
                        <w:u w:val="thick" w:color="497DBA"/>
                      </w:rPr>
                      <w:tab/>
                    </w:r>
                    <w:r>
                      <w:rPr>
                        <w:color w:val="7E7E7E"/>
                        <w:sz w:val="16"/>
                      </w:rPr>
                      <w:t>Small firms (&lt; 50 workers) Medium firms (50-499</w:t>
                    </w:r>
                    <w:r>
                      <w:rPr>
                        <w:color w:val="7E7E7E"/>
                        <w:spacing w:val="-18"/>
                        <w:sz w:val="16"/>
                      </w:rPr>
                      <w:t> </w:t>
                    </w:r>
                    <w:r>
                      <w:rPr>
                        <w:color w:val="7E7E7E"/>
                        <w:sz w:val="16"/>
                      </w:rPr>
                      <w:t>workers) Large firms (500+</w:t>
                    </w:r>
                    <w:r>
                      <w:rPr>
                        <w:color w:val="7E7E7E"/>
                        <w:spacing w:val="-3"/>
                        <w:sz w:val="16"/>
                      </w:rPr>
                      <w:t> </w:t>
                    </w:r>
                    <w:r>
                      <w:rPr>
                        <w:color w:val="7E7E7E"/>
                        <w:sz w:val="16"/>
                      </w:rPr>
                      <w:t>workers)</w:t>
                    </w:r>
                  </w:p>
                </w:txbxContent>
              </v:textbox>
              <w10:wrap type="none"/>
            </v:shape>
            <w10:wrap type="none"/>
          </v:group>
        </w:pict>
      </w:r>
      <w:r>
        <w:rPr>
          <w:color w:val="7E7E7E"/>
          <w:sz w:val="16"/>
        </w:rPr>
        <w:t>2.0%</w:t>
      </w:r>
    </w:p>
    <w:p>
      <w:pPr>
        <w:pStyle w:val="BodyText"/>
        <w:rPr>
          <w:sz w:val="18"/>
        </w:rPr>
      </w:pPr>
    </w:p>
    <w:p>
      <w:pPr>
        <w:pStyle w:val="BodyText"/>
        <w:spacing w:before="4"/>
        <w:rPr>
          <w:sz w:val="14"/>
        </w:rPr>
      </w:pPr>
    </w:p>
    <w:p>
      <w:pPr>
        <w:spacing w:before="0"/>
        <w:ind w:left="385" w:right="0" w:firstLine="0"/>
        <w:jc w:val="left"/>
        <w:rPr>
          <w:sz w:val="16"/>
        </w:rPr>
      </w:pPr>
      <w:r>
        <w:rPr>
          <w:color w:val="7E7E7E"/>
          <w:sz w:val="16"/>
        </w:rPr>
        <w:t>1.5%</w:t>
      </w:r>
    </w:p>
    <w:p>
      <w:pPr>
        <w:pStyle w:val="BodyText"/>
        <w:rPr>
          <w:sz w:val="18"/>
        </w:rPr>
      </w:pPr>
    </w:p>
    <w:p>
      <w:pPr>
        <w:pStyle w:val="BodyText"/>
        <w:spacing w:before="4"/>
        <w:rPr>
          <w:sz w:val="14"/>
        </w:rPr>
      </w:pPr>
    </w:p>
    <w:p>
      <w:pPr>
        <w:spacing w:before="0"/>
        <w:ind w:left="385" w:right="0" w:firstLine="0"/>
        <w:jc w:val="left"/>
        <w:rPr>
          <w:sz w:val="16"/>
        </w:rPr>
      </w:pPr>
      <w:r>
        <w:rPr>
          <w:color w:val="7E7E7E"/>
          <w:sz w:val="16"/>
        </w:rPr>
        <w:t>1.0%</w:t>
      </w:r>
    </w:p>
    <w:p>
      <w:pPr>
        <w:pStyle w:val="BodyText"/>
        <w:rPr>
          <w:sz w:val="18"/>
        </w:rPr>
      </w:pPr>
    </w:p>
    <w:p>
      <w:pPr>
        <w:pStyle w:val="BodyText"/>
        <w:spacing w:before="4"/>
        <w:rPr>
          <w:sz w:val="14"/>
        </w:rPr>
      </w:pPr>
    </w:p>
    <w:p>
      <w:pPr>
        <w:spacing w:before="0"/>
        <w:ind w:left="385" w:right="0" w:firstLine="0"/>
        <w:jc w:val="left"/>
        <w:rPr>
          <w:sz w:val="16"/>
        </w:rPr>
      </w:pPr>
      <w:r>
        <w:rPr>
          <w:color w:val="7E7E7E"/>
          <w:sz w:val="16"/>
        </w:rPr>
        <w:t>0.5%</w:t>
      </w:r>
    </w:p>
    <w:p>
      <w:pPr>
        <w:pStyle w:val="BodyText"/>
        <w:rPr>
          <w:sz w:val="18"/>
        </w:rPr>
      </w:pPr>
    </w:p>
    <w:p>
      <w:pPr>
        <w:pStyle w:val="BodyText"/>
        <w:spacing w:before="4"/>
        <w:rPr>
          <w:sz w:val="14"/>
        </w:rPr>
      </w:pPr>
    </w:p>
    <w:p>
      <w:pPr>
        <w:spacing w:before="0"/>
        <w:ind w:left="385" w:right="0" w:firstLine="0"/>
        <w:jc w:val="left"/>
        <w:rPr>
          <w:sz w:val="16"/>
        </w:rPr>
      </w:pPr>
      <w:r>
        <w:rPr>
          <w:color w:val="7E7E7E"/>
          <w:sz w:val="16"/>
        </w:rPr>
        <w:t>0.0%</w:t>
      </w:r>
    </w:p>
    <w:p>
      <w:pPr>
        <w:spacing w:after="0"/>
        <w:jc w:val="left"/>
        <w:rPr>
          <w:sz w:val="16"/>
        </w:rPr>
        <w:sectPr>
          <w:type w:val="continuous"/>
          <w:pgSz w:w="11910" w:h="16840"/>
          <w:pgMar w:top="1180" w:bottom="1520" w:left="800" w:right="820"/>
          <w:cols w:num="2" w:equalWidth="0">
            <w:col w:w="4943" w:space="40"/>
            <w:col w:w="5307"/>
          </w:cols>
        </w:sectPr>
      </w:pPr>
    </w:p>
    <w:p>
      <w:pPr>
        <w:pStyle w:val="BodyText"/>
        <w:spacing w:before="5"/>
        <w:rPr>
          <w:sz w:val="4"/>
        </w:rPr>
      </w:pPr>
      <w:r>
        <w:rPr/>
        <w:pict>
          <v:line style="position:absolute;mso-position-horizontal-relative:page;mso-position-vertical-relative:page;z-index:-254502912" from="180.309998pt,721.799988pt" to="199.509998pt,721.799988pt" stroked="true" strokeweight="1.75pt" strokecolor="#c0504d">
            <v:stroke dashstyle="solid"/>
            <w10:wrap type="none"/>
          </v:line>
        </w:pict>
      </w:r>
      <w:r>
        <w:rPr/>
        <w:pict>
          <v:line style="position:absolute;mso-position-horizontal-relative:page;mso-position-vertical-relative:page;z-index:-254501888" from="273.540009pt,721.799988pt" to="292.740009pt,721.799988pt" stroked="true" strokeweight="1.75pt" strokecolor="#9bba58">
            <v:stroke dashstyle="solid"/>
            <w10:wrap type="none"/>
          </v:line>
        </w:pict>
      </w:r>
      <w:r>
        <w:rPr/>
        <w:pict>
          <v:line style="position:absolute;mso-position-horizontal-relative:page;mso-position-vertical-relative:page;z-index:-254500864" from="366.779999pt,721.799988pt" to="385.979999pt,721.799988pt" stroked="true" strokeweight="1.75pt" strokecolor="#8063a1">
            <v:stroke dashstyle="solid"/>
            <w10:wrap type="none"/>
          </v:line>
        </w:pict>
      </w:r>
    </w:p>
    <w:p>
      <w:pPr>
        <w:pStyle w:val="BodyText"/>
        <w:ind w:left="5499"/>
      </w:pPr>
      <w:r>
        <w:rPr/>
        <w:pict>
          <v:group style="width:191.05pt;height:21.85pt;mso-position-horizontal-relative:char;mso-position-vertical-relative:line" coordorigin="0,0" coordsize="3821,437">
            <v:shape style="position:absolute;left:0;top:0;width:435;height:436" coordorigin="0,0" coordsize="435,436" path="m65,330l41,330,46,332,50,334,54,338,56,344,57,352,58,358,58,370,56,396,56,408,57,418,58,424,60,430,62,432,64,434,66,436,89,414,70,414,70,410,69,408,69,406,69,400,69,394,71,370,72,364,72,356,71,346,70,342,66,332,65,330xm110,374l70,414,89,414,119,384,110,374xm47,316l29,316,21,320,5,336,1,344,0,360,3,370,10,378,21,368,16,364,14,358,14,346,16,342,25,332,30,330,65,330,64,328,61,324,54,318,47,316xm100,254l94,256,89,256,84,258,80,262,69,272,66,278,65,292,66,300,70,308,74,314,81,324,90,334,101,344,112,350,122,356,131,358,141,360,150,356,160,346,139,346,124,344,114,336,100,322,87,310,80,300,78,290,77,284,79,278,88,270,94,268,130,268,128,266,122,264,116,260,110,258,100,254xm130,268l94,268,109,270,119,278,146,304,153,314,154,322,156,330,154,336,145,344,139,346,160,346,164,342,167,336,168,328,168,322,167,314,163,306,159,298,152,290,135,272,130,268xm162,192l157,192,147,196,142,198,132,208,129,214,128,222,127,230,129,236,133,244,137,252,143,260,153,270,164,280,175,288,185,292,194,296,204,296,213,292,222,284,202,284,187,280,176,274,150,246,143,236,140,222,142,216,151,206,157,204,191,204,185,200,179,196,173,194,168,194,162,192xm191,204l157,204,172,208,182,214,209,242,216,252,217,260,219,266,217,272,212,276,208,282,202,284,222,284,226,280,230,272,231,258,230,252,226,244,222,236,215,228,198,210,191,204xm244,214l235,226,243,232,251,234,269,234,277,230,284,222,286,220,257,220,251,218,244,214xm291,174l265,174,271,176,275,180,280,186,282,190,282,204,280,210,275,214,272,218,267,220,286,220,291,214,296,206,296,186,293,176,291,174xm249,142l227,142,231,144,235,148,239,152,241,158,240,162,239,168,236,174,231,178,230,180,238,188,240,186,242,182,244,180,248,176,254,174,291,174,280,164,251,164,253,160,253,154,251,144,249,142xm227,128l221,130,216,130,210,132,205,136,201,140,194,146,191,154,190,162,189,170,192,178,197,186,209,178,205,172,203,166,203,156,205,152,209,148,213,144,217,142,249,142,245,138,242,134,237,132,227,128xm311,76l302,84,310,92,291,92,279,104,276,110,273,122,273,130,279,142,283,148,289,154,298,164,308,170,330,170,338,168,345,160,348,158,328,158,314,156,307,152,299,144,292,138,287,130,287,124,286,116,288,112,296,102,302,100,335,100,327,92,310,92,299,90,325,90,311,76xm373,138l353,138,382,166,392,156,373,138xm269,160l262,160,256,162,251,164,280,164,275,162,269,160xm335,100l302,100,309,102,316,102,324,106,339,122,343,128,344,134,344,142,342,148,334,156,328,158,348,158,351,154,353,146,354,142,353,138,373,138,335,100xm379,14l356,14,361,16,365,20,369,24,371,30,372,36,373,42,373,56,371,82,371,84,370,92,371,104,373,110,375,114,376,118,378,120,381,122,403,100,385,100,384,96,384,92,384,82,384,78,385,68,386,54,386,48,386,42,386,32,385,26,381,18,379,14xm425,60l385,100,403,100,434,68,425,60xm361,0l353,2,344,2,336,6,320,20,316,28,315,46,318,54,325,62,336,54,331,48,329,42,329,32,331,26,340,16,345,14,379,14,375,10,369,4,361,0xe" filled="true" fillcolor="#7e7e7e" stroked="false">
              <v:path arrowok="t"/>
              <v:fill type="solid"/>
            </v:shape>
            <v:shape style="position:absolute;left:483;top:0;width:434;height:436" coordorigin="484,0" coordsize="434,436" path="m549,330l525,330,530,332,538,338,540,344,541,352,542,358,542,370,540,394,539,408,540,412,540,418,542,424,544,430,545,432,547,434,550,436,572,414,554,414,553,408,553,400,553,394,555,370,555,364,555,356,555,346,554,342,550,332,549,330xm594,374l554,414,572,414,603,384,594,374xm530,316l513,316,504,320,497,328,489,336,485,344,484,352,484,360,487,370,494,378,505,368,500,364,498,358,498,346,500,342,505,336,509,332,514,330,549,330,548,328,538,318,530,316xm583,254l578,256,573,256,568,258,563,262,559,266,553,272,550,278,549,284,548,292,550,300,558,314,564,324,574,334,585,344,595,350,605,356,615,358,625,360,634,356,641,348,643,346,623,346,608,344,597,336,584,322,571,310,563,300,562,290,561,284,563,278,567,274,572,270,578,268,614,268,612,266,606,264,600,260,594,258,583,254xm614,268l578,268,593,270,603,278,616,290,630,304,637,314,638,322,639,330,638,336,629,344,623,346,643,346,647,342,651,336,652,322,650,314,643,298,636,290,627,280,619,272,614,268xm646,192l641,192,631,196,626,198,622,202,616,208,613,214,612,222,611,230,613,236,620,252,627,260,637,270,648,280,658,288,668,292,678,296,688,296,696,292,704,286,706,284,686,284,671,280,660,274,647,260,634,246,626,236,625,228,624,222,625,216,630,212,634,206,641,204,674,204,668,200,663,196,657,194,646,192xm674,204l641,204,655,208,666,214,679,228,692,242,700,252,701,260,702,266,701,272,692,282,686,284,706,284,710,280,713,272,714,266,715,258,713,252,706,236,699,228,689,218,681,210,674,204xm729,214l719,226,726,232,735,234,752,234,760,230,768,222,769,220,740,220,734,218,729,214xm769,168l745,168,751,172,757,176,763,182,766,190,766,196,766,204,764,210,755,218,751,220,769,220,776,212,780,202,778,182,774,172,769,168xm710,118l670,158,704,206,714,198,713,194,714,190,715,186,715,184,705,184,687,158,720,126,710,118xm750,154l730,154,722,158,715,164,710,170,706,176,705,184,715,184,716,182,718,180,726,170,732,168,769,168,766,166,759,158,750,154xm794,76l786,84,793,92,774,92,767,100,762,104,759,110,758,116,756,122,757,130,760,136,762,142,767,148,782,164,792,170,813,170,822,168,832,158,812,158,798,156,791,152,783,144,775,138,771,130,770,116,772,112,776,106,780,102,786,100,819,100,811,92,793,92,783,90,809,90,794,76xm857,138l837,138,865,166,875,156,857,138xm819,100l786,100,793,102,800,102,808,106,815,114,823,122,827,128,828,142,826,148,822,152,817,156,812,158,832,158,834,154,836,150,837,146,837,142,837,138,857,138,819,100xm862,14l840,14,845,16,852,24,855,30,856,36,857,42,857,56,854,82,854,92,855,96,855,104,856,110,859,114,860,118,862,120,864,122,886,100,869,100,868,96,868,92,868,78,870,54,870,48,870,42,870,32,868,26,865,18,862,14xm908,60l869,100,886,100,918,68,908,60xm845,0l836,2,828,2,819,6,811,12,804,20,800,28,799,38,799,46,802,54,809,62,820,54,815,48,812,42,812,32,815,26,819,22,824,16,829,14,862,14,853,4,845,0xe" filled="true" fillcolor="#7e7e7e" stroked="false">
              <v:path arrowok="t"/>
              <v:fill type="solid"/>
            </v:shape>
            <v:shape style="position:absolute;left:967;top:0;width:435;height:436" coordorigin="967,0" coordsize="435,436" path="m1032,330l1009,330,1014,332,1018,334,1021,338,1024,344,1025,352,1026,358,1026,370,1023,396,1023,408,1023,412,1024,418,1025,424,1028,430,1029,432,1031,434,1033,436,1056,414,1038,414,1037,410,1037,408,1036,400,1037,394,1039,370,1039,364,1039,356,1038,346,1037,342,1034,332,1032,330xm1077,374l1038,414,1056,414,1087,384,1077,374xm1014,316l996,316,988,320,980,328,973,336,969,344,967,360,971,370,978,378,989,368,984,364,981,358,981,346,984,342,988,336,993,332,998,330,1032,330,1031,328,1028,324,1022,318,1014,316xm1067,254l1062,256,1057,256,1052,258,1047,262,1037,272,1034,278,1032,292,1034,300,1038,308,1041,314,1048,324,1058,334,1069,344,1079,350,1089,356,1098,358,1108,360,1117,356,1125,348,1127,346,1106,346,1091,344,1081,336,1068,322,1055,310,1047,300,1046,290,1045,284,1046,278,1055,270,1061,268,1098,268,1095,266,1083,260,1078,258,1067,254xm1098,268l1061,268,1076,270,1087,278,1100,290,1113,304,1121,314,1122,322,1123,330,1122,336,1112,344,1106,346,1127,346,1131,342,1134,336,1136,322,1134,314,1130,306,1126,298,1120,290,1110,280,1102,272,1098,268xm1130,192l1125,192,1115,196,1110,198,1100,208,1096,214,1095,230,1096,236,1100,244,1104,252,1111,260,1120,270,1131,280,1142,288,1152,292,1161,296,1171,296,1180,292,1189,284,1169,284,1154,280,1144,274,1117,246,1110,236,1108,228,1107,222,1109,216,1118,206,1124,204,1158,204,1146,196,1141,194,1130,192xm1158,204l1124,204,1139,208,1150,214,1163,228,1176,242,1183,252,1185,260,1186,266,1184,272,1180,276,1175,282,1169,284,1189,284,1194,280,1197,272,1198,266,1199,258,1197,252,1193,244,1189,236,1183,228,1173,218,1165,210,1158,204xm1206,136l1194,136,1195,146,1197,158,1201,172,1205,184,1210,196,1223,220,1230,228,1236,234,1246,224,1239,216,1232,208,1223,188,1218,180,1215,170,1211,158,1207,144,1206,136xm1197,114l1145,166,1154,176,1194,136,1206,136,1205,132,1205,122,1197,114xm1278,76l1269,84,1277,92,1258,92,1246,104,1243,110,1242,116,1240,122,1241,130,1246,142,1250,148,1256,154,1266,164,1276,170,1297,170,1306,168,1313,160,1316,158,1295,158,1282,156,1274,152,1267,144,1259,138,1255,130,1253,116,1255,112,1260,106,1264,102,1270,100,1302,100,1294,92,1277,92,1267,90,1292,90,1278,76xm1341,138l1321,138,1349,166,1359,156,1341,138xm1302,100l1270,100,1277,102,1284,102,1291,106,1299,114,1307,122,1310,128,1312,142,1310,148,1301,156,1295,158,1316,158,1318,154,1319,150,1321,146,1321,142,1321,138,1341,138,1302,100xm1346,14l1324,14,1328,16,1332,20,1336,24,1339,30,1340,36,1341,42,1341,56,1338,82,1338,92,1339,104,1340,110,1342,114,1344,118,1346,120,1348,122,1370,100,1352,100,1352,96,1351,92,1352,78,1353,68,1354,54,1354,48,1354,42,1353,32,1352,26,1349,18,1346,14xm1392,60l1352,100,1370,100,1402,68,1392,60xm1329,0l1320,2,1311,2,1303,6,1295,12,1288,20,1283,28,1282,46,1285,54,1292,62,1304,54,1299,48,1296,42,1296,32,1298,26,1303,22,1308,16,1313,14,1346,14,1343,10,1336,4,1329,0xe" filled="true" fillcolor="#7e7e7e" stroked="false">
              <v:path arrowok="t"/>
              <v:fill type="solid"/>
            </v:shape>
            <v:shape style="position:absolute;left:1451;top:0;width:435;height:436" coordorigin="1451,0" coordsize="435,436" path="m1516,330l1493,330,1497,332,1501,334,1505,338,1508,344,1509,352,1509,358,1510,370,1507,396,1507,400,1507,408,1508,418,1509,424,1511,430,1513,432,1515,434,1517,436,1540,414,1521,414,1520,408,1520,400,1521,382,1523,370,1523,364,1523,356,1522,346,1521,342,1517,332,1516,330xm1561,374l1521,414,1540,414,1571,384,1561,374xm1498,316l1480,316,1472,320,1464,328,1456,336,1452,344,1451,360,1454,370,1461,378,1473,368,1467,364,1465,358,1465,346,1467,342,1477,332,1482,330,1516,330,1515,328,1512,324,1505,318,1498,316xm1551,254l1545,256,1540,256,1535,258,1531,262,1521,272,1517,278,1516,292,1517,300,1521,308,1525,314,1532,324,1541,334,1552,344,1563,350,1573,356,1582,358,1592,360,1601,356,1611,346,1590,346,1575,344,1565,336,1552,322,1538,310,1531,300,1529,290,1528,284,1530,278,1539,270,1545,268,1581,268,1579,266,1573,264,1567,260,1562,258,1556,256,1551,254xm1581,268l1545,268,1560,270,1571,278,1597,304,1604,314,1606,322,1607,330,1605,336,1596,344,1590,346,1611,346,1615,342,1618,336,1619,328,1620,322,1618,314,1614,306,1610,298,1604,290,1586,272,1581,268xm1613,192l1608,192,1598,196,1594,198,1583,208,1580,214,1579,222,1579,230,1580,236,1588,252,1595,260,1604,270,1615,280,1626,288,1636,292,1645,296,1655,296,1664,292,1673,284,1653,284,1638,280,1628,274,1614,260,1601,246,1594,236,1591,222,1593,216,1602,206,1608,204,1642,204,1636,200,1630,196,1624,194,1619,194,1613,192xm1642,204l1608,204,1623,208,1633,214,1660,242,1667,252,1668,260,1670,266,1668,272,1664,276,1659,282,1653,284,1673,284,1678,280,1681,272,1682,258,1681,252,1677,244,1673,236,1666,228,1649,210,1642,204xm1699,216l1690,226,1698,232,1705,234,1720,234,1727,230,1733,224,1735,222,1709,222,1704,220,1699,216xm1732,166l1714,166,1719,172,1723,176,1725,180,1730,190,1731,194,1732,198,1732,202,1731,206,1730,210,1728,212,1725,216,1722,220,1718,220,1713,222,1735,222,1739,218,1743,212,1745,196,1744,188,1736,172,1732,166xm1678,128l1663,132,1657,134,1645,148,1641,156,1641,176,1646,184,1654,192,1662,200,1670,204,1689,206,1697,202,1708,192,1709,190,1675,190,1669,188,1664,182,1659,178,1656,170,1655,156,1657,152,1666,142,1671,140,1707,140,1700,134,1685,130,1678,128xm1707,140l1671,140,1677,142,1684,142,1690,144,1701,156,1704,162,1704,168,1705,174,1702,180,1693,188,1688,190,1709,190,1711,186,1714,176,1714,170,1713,166,1732,166,1729,162,1719,152,1709,142,1707,140xm1762,76l1753,84,1761,92,1742,92,1730,104,1727,110,1724,122,1725,130,1730,142,1734,148,1750,164,1760,170,1781,170,1790,168,1796,160,1800,158,1779,158,1765,156,1758,152,1750,144,1743,138,1739,130,1738,124,1737,116,1739,112,1748,102,1753,100,1786,100,1778,92,1761,92,1751,90,1776,90,1762,76xm1825,138l1804,138,1833,166,1843,156,1825,138xm1786,100l1753,100,1761,102,1768,102,1775,106,1790,122,1794,128,1795,142,1793,148,1785,156,1779,158,1800,158,1802,154,1805,146,1805,142,1804,138,1825,138,1786,100xm1830,14l1807,14,1812,16,1816,20,1820,24,1822,30,1823,36,1824,42,1824,56,1822,82,1822,84,1822,92,1823,104,1824,110,1826,114,1828,118,1829,120,1832,122,1854,100,1836,100,1835,96,1835,92,1835,84,1835,78,1836,68,1837,54,1838,48,1838,42,1837,32,1836,26,1832,18,1830,14xm1876,60l1836,100,1854,100,1885,68,1876,60xm1813,0l1804,2,1795,2,1787,6,1779,12,1771,20,1767,28,1766,46,1769,54,1776,62,1787,54,1782,48,1780,42,1780,32,1782,26,1791,16,1796,14,1830,14,1827,10,1820,4,1813,0xe" filled="true" fillcolor="#7e7e7e" stroked="false">
              <v:path arrowok="t"/>
              <v:fill type="solid"/>
            </v:shape>
            <v:shape style="position:absolute;left:1935;top:0;width:434;height:437" coordorigin="1935,0" coordsize="434,437" path="m1999,328l1976,328,1981,330,1989,338,1991,344,1992,351,1993,357,1993,370,1991,396,1990,404,1991,411,1991,417,1993,423,1995,428,1996,431,1998,434,2001,436,2024,413,2005,413,2004,410,2004,407,2004,400,2004,393,2006,370,2006,367,2006,355,2006,351,2006,346,2005,340,2001,331,1999,328xm2045,373l2005,413,2024,413,2054,383,2045,373xm1982,315l1973,315,1964,315,1956,319,1946,329,1940,335,1936,343,1935,351,1935,360,1938,368,1945,377,1956,367,1951,362,1949,357,1949,345,1951,340,1956,335,1960,331,1965,329,1971,329,1976,328,1999,328,1999,328,1989,318,1982,315xm2034,254l2029,254,2024,256,2019,257,2014,260,2010,265,2004,271,2001,277,2000,284,2000,291,2001,299,2009,314,2016,323,2025,332,2036,342,2047,350,2057,355,2066,357,2076,358,2085,355,2093,347,2095,345,2074,345,2059,343,2049,335,2034,321,2022,309,2015,298,2013,289,2012,283,2014,278,2023,268,2029,267,2064,267,2063,266,2057,262,2051,259,2045,257,2034,254xm2064,267l2029,267,2044,269,2054,277,2068,290,2081,303,2088,313,2089,321,2090,327,2091,329,2089,335,2084,339,2080,344,2074,345,2095,345,2099,341,2102,335,2103,327,2103,321,2102,313,2094,298,2087,289,2078,280,2070,272,2064,267xm2112,219l2092,219,2155,282,2165,272,2112,219xm2084,191l2078,197,2079,203,2080,209,2079,225,2077,233,2074,241,2084,251,2086,246,2088,241,2091,229,2092,223,2092,219,2112,219,2084,191xm2176,155l2156,155,2219,218,2229,208,2176,155xm2148,127l2141,134,2143,139,2143,144,2143,148,2143,161,2141,169,2138,177,2148,187,2150,183,2151,177,2155,165,2155,160,2156,155,2176,155,2148,127xm2234,89l2226,92,2218,99,2214,104,2211,109,2209,116,2208,122,2208,128,2211,137,2213,142,2218,148,2225,156,2233,164,2243,169,2265,170,2273,167,2283,157,2263,157,2249,156,2242,152,2234,144,2226,136,2222,129,2221,116,2221,116,2223,110,2227,106,2231,102,2237,100,2271,100,2262,91,2245,91,2234,89xm2308,137l2288,137,2317,165,2326,156,2326,155,2308,137xm2271,100l2237,100,2244,101,2251,101,2259,106,2267,113,2274,121,2278,128,2279,141,2277,146,2273,151,2268,155,2263,157,2283,157,2283,156,2286,153,2287,149,2288,144,2289,140,2288,137,2308,137,2271,100xm2314,14l2291,14,2296,16,2304,23,2306,29,2307,36,2308,42,2308,55,2305,81,2305,91,2306,96,2306,103,2308,108,2311,116,2313,119,2316,121,2339,98,2320,98,2319,95,2319,92,2319,78,2321,55,2321,53,2321,36,2321,31,2320,25,2316,17,2314,14xm2360,59l2320,98,2339,98,2369,68,2360,59xm2246,74l2237,83,2245,91,2262,91,2246,74xm2296,0l2288,0,2279,1,2270,4,2263,12,2255,20,2251,28,2250,37,2250,45,2253,54,2260,62,2271,53,2266,48,2263,42,2263,31,2266,25,2271,21,2275,16,2280,14,2286,14,2291,14,2314,14,2314,13,2304,3,2296,0xe" filled="true" fillcolor="#7e7e7e" stroked="false">
              <v:path arrowok="t"/>
              <v:fill type="solid"/>
            </v:shape>
            <v:shape style="position:absolute;left:2418;top:0;width:435;height:436" coordorigin="2419,0" coordsize="435,436" path="m2484,330l2460,330,2465,332,2469,334,2473,338,2475,344,2476,352,2477,358,2477,370,2474,396,2474,408,2475,412,2475,418,2477,424,2479,430,2480,432,2482,434,2485,436,2507,414,2489,414,2488,410,2488,408,2488,400,2488,394,2490,370,2490,364,2490,356,2490,346,2489,342,2485,332,2484,330xm2528,374l2489,414,2507,414,2538,384,2528,374xm2465,316l2448,316,2439,320,2432,328,2424,336,2420,344,2419,360,2422,370,2429,378,2440,368,2435,364,2432,358,2432,346,2435,342,2444,332,2449,330,2484,330,2482,328,2479,324,2473,318,2465,316xm2518,254l2513,256,2508,256,2503,258,2498,262,2488,272,2485,278,2483,292,2485,300,2489,308,2493,314,2499,324,2509,334,2520,344,2530,350,2540,356,2550,358,2560,360,2569,356,2578,346,2558,346,2543,344,2532,336,2519,322,2506,310,2498,300,2497,290,2496,284,2497,278,2507,270,2513,268,2549,268,2547,266,2535,260,2529,258,2518,254xm2549,268l2513,268,2528,270,2538,278,2551,290,2565,304,2572,314,2573,322,2574,330,2573,336,2564,344,2558,346,2578,346,2582,342,2586,336,2586,328,2587,322,2585,314,2582,306,2578,298,2571,290,2553,272,2549,268xm2596,220l2576,220,2639,282,2649,272,2596,220xm2568,192l2561,198,2563,204,2564,210,2563,218,2563,226,2561,234,2558,242,2568,252,2570,248,2572,242,2575,230,2576,224,2576,220,2596,220,2568,192xm2662,214l2654,226,2661,232,2669,234,2687,234,2695,230,2702,222,2704,220,2675,220,2669,218,2662,214xm2709,174l2684,174,2689,176,2699,186,2701,190,2701,204,2699,210,2694,214,2690,218,2686,220,2704,220,2710,214,2714,206,2715,186,2711,176,2709,174xm2667,142l2646,142,2650,144,2658,152,2660,158,2659,162,2657,168,2655,174,2650,178,2649,180,2656,188,2659,186,2660,182,2662,180,2667,176,2672,174,2709,174,2699,164,2669,164,2671,160,2672,154,2670,144,2667,142xm2645,128l2640,130,2629,132,2624,136,2619,140,2613,146,2609,154,2608,170,2611,178,2616,186,2628,178,2624,172,2622,166,2622,158,2622,156,2624,152,2628,148,2632,144,2636,142,2667,142,2664,138,2660,134,2656,132,2645,128xm2729,76l2720,84,2728,92,2709,92,2697,104,2694,110,2693,116,2691,122,2692,130,2697,142,2701,148,2707,154,2717,164,2727,170,2748,170,2757,168,2764,160,2767,158,2747,158,2733,156,2725,152,2718,144,2710,138,2706,130,2705,116,2706,112,2711,106,2715,102,2721,100,2754,100,2746,92,2728,92,2718,90,2744,90,2729,76xm2792,138l2772,138,2800,166,2810,156,2792,138xm2687,160l2681,160,2675,162,2669,164,2699,164,2693,162,2687,160xm2754,100l2721,100,2728,102,2735,102,2743,106,2758,122,2762,128,2762,134,2763,142,2761,148,2752,156,2747,158,2767,158,2769,154,2772,146,2772,142,2772,138,2792,138,2754,100xm2797,14l2775,14,2780,16,2784,20,2787,24,2790,30,2791,36,2792,42,2792,56,2789,82,2789,92,2790,104,2791,110,2794,114,2795,118,2797,120,2799,122,2821,100,2804,100,2803,96,2803,92,2803,78,2804,68,2805,54,2805,48,2805,42,2804,32,2803,26,2800,18,2797,14xm2843,60l2804,100,2821,100,2853,68,2843,60xm2780,0l2771,2,2762,2,2754,6,2746,12,2739,20,2735,28,2733,46,2737,54,2744,62,2755,54,2750,48,2747,42,2747,32,2750,26,2759,16,2764,14,2797,14,2794,10,2788,4,2780,0xe" filled="true" fillcolor="#7e7e7e" stroked="false">
              <v:path arrowok="t"/>
              <v:fill type="solid"/>
            </v:shape>
            <v:shape style="position:absolute;left:2902;top:0;width:435;height:436" coordorigin="2902,0" coordsize="435,436" path="m2967,330l2944,330,2949,332,2953,334,2956,338,2959,344,2961,358,2961,370,2959,386,2958,396,2958,408,2959,418,2960,424,2963,430,2964,432,2966,434,2968,436,2991,414,2973,414,2971,408,2971,400,2972,394,2973,382,2974,370,2974,364,2974,356,2973,346,2972,342,2969,332,2967,330xm3012,374l2973,414,2991,414,3022,384,3012,374xm2949,316l2931,316,2923,320,2915,328,2908,336,2904,344,2902,360,2906,370,2912,378,2924,368,2919,364,2916,358,2916,346,2919,342,2928,332,2933,330,2967,330,2966,328,2963,324,2957,318,2949,316xm3002,254l2997,256,2992,256,2987,258,2982,262,2972,272,2968,278,2967,292,2969,300,2976,314,2983,324,2993,334,3004,344,3014,350,3024,356,3033,358,3043,360,3052,356,3062,346,3041,346,3026,344,3016,336,3003,322,2989,310,2982,300,2981,290,2979,284,2981,278,2990,270,2996,268,3033,268,3030,266,3024,264,3018,260,3007,256,3002,254xm3033,268l2996,268,3011,270,3022,278,3048,304,3056,314,3057,322,3058,330,3057,336,3047,344,3041,346,3062,346,3066,342,3069,336,3070,328,3071,322,3069,314,3065,306,3061,298,3055,290,3037,272,3033,268xm3080,220l3059,220,3123,282,3133,272,3080,220xm3051,192l3045,198,3047,204,3047,206,3047,214,3047,226,3045,234,3042,242,3052,252,3053,248,3055,242,3058,230,3059,224,3059,220,3080,220,3051,192xm3147,214l3138,226,3145,232,3153,234,3171,234,3179,230,3188,220,3159,220,3153,218,3147,214xm3187,168l3164,168,3170,172,3175,176,3181,182,3184,190,3185,196,3185,204,3183,210,3174,218,3169,220,3188,220,3195,212,3199,202,3198,192,3196,182,3192,172,3187,168xm3129,118l3089,158,3122,206,3133,198,3132,194,3132,190,3133,186,3134,184,3123,184,3106,158,3138,126,3129,118xm3169,154l3149,154,3141,158,3134,164,3128,170,3125,176,3123,184,3134,184,3134,182,3137,180,3145,170,3151,168,3187,168,3185,166,3177,158,3169,154xm3213,76l3204,84,3212,92,3193,92,3181,104,3178,110,3175,122,3176,130,3178,136,3181,142,3185,148,3201,164,3211,170,3232,170,3241,168,3248,160,3251,158,3230,158,3216,156,3209,152,3202,144,3194,138,3190,130,3188,116,3190,112,3194,106,3199,102,3205,100,3237,100,3229,92,3212,92,3202,90,3227,90,3213,76xm3276,138l3255,138,3284,166,3294,156,3276,138xm3237,100l3205,100,3212,102,3219,102,3226,106,3241,122,3245,128,3246,142,3245,148,3236,156,3230,158,3251,158,3253,154,3256,146,3256,142,3255,138,3276,138,3237,100xm3281,14l3259,14,3263,16,3267,20,3271,24,3273,30,3275,42,3276,56,3274,72,3273,82,3273,92,3274,104,3275,110,3277,114,3279,118,3281,120,3283,122,3305,100,3287,100,3287,96,3286,92,3286,82,3287,68,3289,54,3289,48,3289,42,3288,32,3287,26,3283,18,3281,14xm3327,60l3287,100,3305,100,3337,68,3327,60xm3264,0l3255,2,3246,2,3238,6,3230,12,3222,20,3218,28,3217,46,3220,54,3227,62,3238,54,3233,48,3231,42,3231,32,3233,26,3243,16,3248,14,3281,14,3278,10,3271,4,3264,0xe" filled="true" fillcolor="#7e7e7e" stroked="false">
              <v:path arrowok="t"/>
              <v:fill type="solid"/>
            </v:shape>
            <v:shape style="position:absolute;left:3386;top:0;width:435;height:436" coordorigin="3386,0" coordsize="435,436" path="m3451,330l3428,330,3432,332,3440,338,3442,344,3444,352,3444,358,3444,370,3442,396,3442,408,3442,412,3443,418,3444,424,3446,430,3448,432,3450,434,3452,436,3475,414,3456,414,3456,410,3455,408,3455,400,3455,394,3458,370,3458,356,3457,346,3456,342,3452,332,3451,330xm3496,374l3456,414,3475,414,3505,384,3496,374xm3433,316l3415,316,3407,320,3399,328,3391,336,3387,344,3386,360,3389,370,3396,378,3407,368,3402,364,3400,358,3400,346,3402,342,3407,336,3412,332,3417,330,3451,330,3450,328,3447,324,3440,318,3433,316xm3486,254l3480,256,3475,256,3470,258,3466,262,3461,266,3455,272,3452,278,3451,284,3451,292,3452,300,3456,308,3460,314,3467,324,3476,334,3487,344,3498,350,3508,356,3517,358,3527,360,3536,356,3544,348,3546,346,3525,346,3510,344,3500,336,3486,322,3473,310,3466,300,3464,290,3463,284,3465,278,3474,270,3480,268,3516,268,3514,266,3508,264,3502,260,3496,258,3486,254xm3516,268l3480,268,3495,270,3505,278,3519,290,3532,304,3539,314,3541,322,3542,330,3540,336,3536,340,3531,344,3525,346,3546,346,3550,342,3553,336,3554,322,3553,314,3545,298,3538,290,3529,280,3521,272,3516,268xm3564,220l3543,220,3606,282,3616,272,3564,220xm3535,192l3529,198,3531,204,3531,210,3531,218,3530,226,3529,234,3526,242,3535,252,3537,248,3539,242,3542,230,3543,224,3543,220,3564,220,3535,192xm3625,136l3613,136,3613,146,3616,158,3619,172,3623,184,3629,196,3642,220,3648,228,3654,234,3665,224,3657,216,3651,208,3641,188,3637,180,3633,170,3630,158,3626,144,3625,136xm3616,114l3563,166,3573,176,3613,136,3625,136,3624,132,3623,122,3616,114xm3697,76l3688,84,3696,92,3677,92,3665,104,3662,110,3660,116,3659,122,3659,130,3665,142,3669,148,3684,164,3695,170,3716,170,3724,168,3735,158,3714,158,3700,156,3693,152,3685,144,3678,138,3673,130,3672,116,3674,112,3678,106,3683,102,3688,100,3721,100,3713,92,3696,92,3685,90,3711,90,3697,76xm3760,138l3739,138,3768,166,3778,156,3760,138xm3721,100l3688,100,3695,102,3703,102,3710,106,3718,114,3725,122,3729,128,3730,142,3728,148,3720,156,3714,158,3735,158,3737,154,3738,150,3739,146,3740,142,3739,138,3760,138,3721,100xm3765,14l3742,14,3747,16,3755,24,3757,30,3758,36,3759,42,3759,56,3757,82,3757,92,3757,96,3757,104,3759,110,3761,114,3762,118,3764,120,3767,122,3789,100,3771,100,3770,96,3770,92,3770,78,3772,54,3772,42,3772,32,3771,26,3767,18,3765,14xm3811,60l3771,100,3789,100,3820,68,3811,60xm3748,0l3739,2,3730,2,3722,6,3714,12,3706,20,3702,28,3701,38,3701,46,3704,54,3711,62,3722,54,3717,48,3715,42,3715,32,3717,26,3722,22,3726,16,3731,14,3765,14,3761,10,3755,4,3748,0xe" filled="true" fillcolor="#7e7e7e" stroked="false">
              <v:path arrowok="t"/>
              <v:fill type="solid"/>
            </v:shape>
          </v:group>
        </w:pict>
      </w:r>
      <w:r>
        <w:rPr/>
      </w:r>
    </w:p>
    <w:p>
      <w:pPr>
        <w:spacing w:before="61"/>
        <w:ind w:left="334" w:right="0" w:firstLine="0"/>
        <w:jc w:val="left"/>
        <w:rPr>
          <w:sz w:val="16"/>
        </w:rPr>
      </w:pPr>
      <w:r>
        <w:rPr>
          <w:sz w:val="16"/>
        </w:rPr>
        <w:t>Sources: ONS LFS and Bank of England calculations.</w:t>
      </w:r>
    </w:p>
    <w:p>
      <w:pPr>
        <w:spacing w:before="47"/>
        <w:ind w:left="334" w:right="0" w:firstLine="0"/>
        <w:jc w:val="left"/>
        <w:rPr>
          <w:sz w:val="16"/>
        </w:rPr>
      </w:pPr>
      <w:r>
        <w:rPr>
          <w:sz w:val="16"/>
        </w:rPr>
        <w:t>Notes: Charts show four-quarter moving average of hire and quit rates.</w:t>
      </w:r>
    </w:p>
    <w:p>
      <w:pPr>
        <w:pStyle w:val="BodyText"/>
        <w:rPr>
          <w:sz w:val="18"/>
        </w:rPr>
      </w:pPr>
    </w:p>
    <w:p>
      <w:pPr>
        <w:pStyle w:val="ListParagraph"/>
        <w:numPr>
          <w:ilvl w:val="0"/>
          <w:numId w:val="1"/>
        </w:numPr>
        <w:tabs>
          <w:tab w:pos="760" w:val="left" w:leader="none"/>
        </w:tabs>
        <w:spacing w:line="240" w:lineRule="auto" w:before="133" w:after="0"/>
        <w:ind w:left="760" w:right="0" w:hanging="426"/>
        <w:jc w:val="left"/>
        <w:rPr>
          <w:i/>
          <w:sz w:val="20"/>
        </w:rPr>
      </w:pPr>
      <w:r>
        <w:rPr>
          <w:i/>
          <w:sz w:val="20"/>
        </w:rPr>
        <w:t>Descending the Jobs</w:t>
      </w:r>
      <w:r>
        <w:rPr>
          <w:i/>
          <w:spacing w:val="-2"/>
          <w:sz w:val="20"/>
        </w:rPr>
        <w:t> </w:t>
      </w:r>
      <w:r>
        <w:rPr>
          <w:i/>
          <w:sz w:val="20"/>
        </w:rPr>
        <w:t>Ladder</w:t>
      </w:r>
    </w:p>
    <w:p>
      <w:pPr>
        <w:pStyle w:val="BodyText"/>
        <w:spacing w:before="10"/>
        <w:rPr>
          <w:i/>
          <w:sz w:val="29"/>
        </w:rPr>
      </w:pPr>
    </w:p>
    <w:p>
      <w:pPr>
        <w:pStyle w:val="BodyText"/>
        <w:spacing w:line="355" w:lineRule="auto"/>
        <w:ind w:left="334" w:right="452"/>
      </w:pPr>
      <w:r>
        <w:rPr/>
        <w:t>The global financial crisis generated a sharp fall in output. Given that fall, the subsequent rise in unemployment was more modest than expected. Between 2008 Q1 and 2009 Q2, UK output fell by around 6 ¼%, while unemployment rose by just over 2 ½ percentage points. By comparison, in the early 1990s recession output fell by around 2% peak-to-trough, while the unemployment rate increased by over</w:t>
      </w:r>
    </w:p>
    <w:p>
      <w:pPr>
        <w:pStyle w:val="BodyText"/>
        <w:spacing w:line="230" w:lineRule="exact"/>
        <w:ind w:left="334"/>
      </w:pPr>
      <w:r>
        <w:rPr/>
        <w:pict>
          <v:group style="position:absolute;margin-left:68.420998pt;margin-top:68.010651pt;width:438.4pt;height:156pt;mso-position-horizontal-relative:page;mso-position-vertical-relative:paragraph;z-index:-254503936" coordorigin="1368,1360" coordsize="8768,3120">
            <v:shape style="position:absolute;left:1375;top:1367;width:8753;height:3105" coordorigin="1376,1368" coordsize="8753,3105" path="m10129,4472l10129,1368m10074,4472l10129,4472m10074,3955l10129,3955m10074,3437l10129,3437m10074,2920l10129,2920m10074,2403l10129,2403m10074,1885l10129,1885m10074,1368l10129,1368m1376,4472l10129,4472m1376,4418l1376,4472m2597,4418l2597,4472m3818,4418l3818,4472m5040,4418l5040,4472m6262,4418l6262,4472m7482,4418l7482,4472m8704,4418l8704,4472m9925,4418l9925,4472e" filled="false" stroked="true" strokeweight=".75pt" strokecolor="#7e7e7e">
              <v:path arrowok="t"/>
              <v:stroke dashstyle="solid"/>
            </v:shape>
            <v:shape style="position:absolute;left:1401;top:1703;width:4275;height:1555" coordorigin="1401,1704" coordsize="4275,1555" path="m1401,3259l1554,3239,1706,3241,1859,3137,2012,3117,2165,3049,2317,3051,2470,3046,2623,3039,2776,3077,2928,3098,3080,3135,3233,3122,3386,3075,3539,2961,3691,2846,3844,2548,3997,2116,4150,1850,4302,1724,4454,1704,4607,1744,4760,1823,4913,1919,5065,2014,5218,2096,5371,2157,5524,2197,5676,2224e" filled="false" stroked="true" strokeweight="1.75pt" strokecolor="#c0504d">
              <v:path arrowok="t"/>
              <v:stroke dashstyle="solid"/>
            </v:shape>
            <v:shape style="position:absolute;left:1401;top:2163;width:4886;height:1095" coordorigin="1401,2164" coordsize="4886,1095" path="m1401,3259l1554,3239,1706,3241,1859,3137,2012,3117,2165,3049,2317,3051,2470,3046,2623,3039,2776,3077,2928,3094,3080,3130,3233,3128,3386,3088,3539,2955,3691,2818,3844,2637,3997,2465,4150,2443,4302,2431,4454,2375,4607,2330,4760,2269,4913,2204,5065,2181,5218,2164,5371,2192,5524,2209,5676,2240,5828,2290,5981,2315,6134,2344,6287,2373e" filled="false" stroked="true" strokeweight="1.75pt" strokecolor="#9bba58">
              <v:path arrowok="t"/>
              <v:stroke dashstyle="solid"/>
            </v:shape>
            <v:shape style="position:absolute;left:1401;top:2300;width:8702;height:1189" coordorigin="1401,2300" coordsize="8702,1189" path="m1401,3260l1554,3242,1706,3248,1859,3141,2012,3117,2165,3056,2317,3053,2470,3049,2623,3045,2776,3087,2928,3099,3080,3139,3233,3131,3386,3088,3539,2957,3691,2828,3844,2643,3997,2463,4150,2441,4302,2462,4454,2401,4607,2440,4760,2465,4913,2438,5065,2459,5218,2419,5371,2317,5524,2300,5676,2349,5828,2404,5981,2439,6134,2451,6287,2443,6439,2468,6592,2501,6745,2603,6898,2725,7050,2846,7202,2925,7355,2998,7508,3040,7661,3021,7813,3097,7966,3159,8119,3160,8272,3199,8424,3220,8576,3245,8729,3291,8882,3327,9035,3368,9187,3346,9340,3386,9492,3428,9646,3418,9798,3434,9950,3466,10103,3489e" filled="false" stroked="true" strokeweight="1.75pt" strokecolor="#8063a1">
              <v:path arrowok="t"/>
              <v:stroke dashstyle="solid"/>
            </v:shape>
            <w10:wrap type="none"/>
          </v:group>
        </w:pict>
      </w:r>
      <w:r>
        <w:rPr/>
        <w:t>2.5 percentage points.</w:t>
      </w:r>
    </w:p>
    <w:p>
      <w:pPr>
        <w:pStyle w:val="BodyText"/>
      </w:pPr>
    </w:p>
    <w:p>
      <w:pPr>
        <w:pStyle w:val="BodyText"/>
        <w:spacing w:before="8"/>
        <w:rPr>
          <w:sz w:val="19"/>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50"/>
      </w:tblGrid>
      <w:tr>
        <w:trPr>
          <w:trHeight w:val="321" w:hRule="atLeast"/>
        </w:trPr>
        <w:tc>
          <w:tcPr>
            <w:tcW w:w="9750" w:type="dxa"/>
          </w:tcPr>
          <w:p>
            <w:pPr>
              <w:pStyle w:val="TableParagraph"/>
              <w:spacing w:line="224" w:lineRule="exact"/>
              <w:ind w:left="200"/>
              <w:rPr>
                <w:b/>
                <w:sz w:val="20"/>
              </w:rPr>
            </w:pPr>
            <w:r>
              <w:rPr>
                <w:b/>
                <w:sz w:val="20"/>
              </w:rPr>
              <w:t>Chart 15: Forecasts for unemployment</w:t>
            </w:r>
          </w:p>
        </w:tc>
      </w:tr>
      <w:tr>
        <w:trPr>
          <w:trHeight w:val="4217" w:hRule="atLeast"/>
        </w:trPr>
        <w:tc>
          <w:tcPr>
            <w:tcW w:w="9750" w:type="dxa"/>
          </w:tcPr>
          <w:p>
            <w:pPr>
              <w:pStyle w:val="TableParagraph"/>
              <w:spacing w:line="193" w:lineRule="exact" w:before="92"/>
              <w:ind w:left="7780"/>
              <w:rPr>
                <w:sz w:val="20"/>
              </w:rPr>
            </w:pPr>
            <w:r>
              <w:rPr>
                <w:color w:val="808080"/>
                <w:sz w:val="20"/>
              </w:rPr>
              <w:t>Per cent</w:t>
            </w:r>
          </w:p>
          <w:p>
            <w:pPr>
              <w:pStyle w:val="TableParagraph"/>
              <w:spacing w:line="170" w:lineRule="exact"/>
              <w:ind w:left="9350"/>
              <w:rPr>
                <w:sz w:val="18"/>
              </w:rPr>
            </w:pPr>
            <w:r>
              <w:rPr>
                <w:color w:val="7E7E7E"/>
                <w:sz w:val="18"/>
              </w:rPr>
              <w:t>12</w:t>
            </w:r>
          </w:p>
          <w:p>
            <w:pPr>
              <w:pStyle w:val="TableParagraph"/>
              <w:rPr>
                <w:sz w:val="27"/>
              </w:rPr>
            </w:pPr>
          </w:p>
          <w:p>
            <w:pPr>
              <w:pStyle w:val="TableParagraph"/>
              <w:ind w:left="9350"/>
              <w:rPr>
                <w:sz w:val="18"/>
              </w:rPr>
            </w:pPr>
            <w:r>
              <w:rPr>
                <w:color w:val="7E7E7E"/>
                <w:sz w:val="18"/>
              </w:rPr>
              <w:t>10</w:t>
            </w:r>
          </w:p>
          <w:p>
            <w:pPr>
              <w:pStyle w:val="TableParagraph"/>
              <w:rPr>
                <w:sz w:val="27"/>
              </w:rPr>
            </w:pPr>
          </w:p>
          <w:p>
            <w:pPr>
              <w:pStyle w:val="TableParagraph"/>
              <w:ind w:left="9350"/>
              <w:rPr>
                <w:sz w:val="18"/>
              </w:rPr>
            </w:pPr>
            <w:r>
              <w:rPr>
                <w:color w:val="7E7E7E"/>
                <w:w w:val="99"/>
                <w:sz w:val="18"/>
              </w:rPr>
              <w:t>8</w:t>
            </w:r>
          </w:p>
          <w:p>
            <w:pPr>
              <w:pStyle w:val="TableParagraph"/>
              <w:spacing w:before="11"/>
              <w:rPr>
                <w:sz w:val="26"/>
              </w:rPr>
            </w:pPr>
          </w:p>
          <w:p>
            <w:pPr>
              <w:pStyle w:val="TableParagraph"/>
              <w:ind w:left="9350"/>
              <w:rPr>
                <w:sz w:val="18"/>
              </w:rPr>
            </w:pPr>
            <w:r>
              <w:rPr>
                <w:color w:val="7E7E7E"/>
                <w:w w:val="99"/>
                <w:sz w:val="18"/>
              </w:rPr>
              <w:t>6</w:t>
            </w:r>
          </w:p>
          <w:p>
            <w:pPr>
              <w:pStyle w:val="TableParagraph"/>
              <w:rPr>
                <w:sz w:val="27"/>
              </w:rPr>
            </w:pPr>
          </w:p>
          <w:p>
            <w:pPr>
              <w:pStyle w:val="TableParagraph"/>
              <w:ind w:left="9350"/>
              <w:rPr>
                <w:sz w:val="18"/>
              </w:rPr>
            </w:pPr>
            <w:r>
              <w:rPr>
                <w:color w:val="7E7E7E"/>
                <w:w w:val="99"/>
                <w:sz w:val="18"/>
              </w:rPr>
              <w:t>4</w:t>
            </w:r>
          </w:p>
          <w:p>
            <w:pPr>
              <w:pStyle w:val="TableParagraph"/>
              <w:rPr>
                <w:sz w:val="27"/>
              </w:rPr>
            </w:pPr>
          </w:p>
          <w:p>
            <w:pPr>
              <w:pStyle w:val="TableParagraph"/>
              <w:ind w:left="9350"/>
              <w:rPr>
                <w:sz w:val="18"/>
              </w:rPr>
            </w:pPr>
            <w:r>
              <w:rPr>
                <w:color w:val="7E7E7E"/>
                <w:w w:val="99"/>
                <w:sz w:val="18"/>
              </w:rPr>
              <w:t>2</w:t>
            </w:r>
          </w:p>
          <w:p>
            <w:pPr>
              <w:pStyle w:val="TableParagraph"/>
              <w:rPr>
                <w:sz w:val="27"/>
              </w:rPr>
            </w:pPr>
          </w:p>
          <w:p>
            <w:pPr>
              <w:pStyle w:val="TableParagraph"/>
              <w:ind w:left="9350"/>
              <w:rPr>
                <w:sz w:val="18"/>
              </w:rPr>
            </w:pPr>
            <w:r>
              <w:rPr>
                <w:color w:val="7E7E7E"/>
                <w:w w:val="99"/>
                <w:sz w:val="18"/>
              </w:rPr>
              <w:t>0</w:t>
            </w:r>
          </w:p>
          <w:p>
            <w:pPr>
              <w:pStyle w:val="TableParagraph"/>
              <w:tabs>
                <w:tab w:pos="1488" w:val="left" w:leader="none"/>
                <w:tab w:pos="2710" w:val="left" w:leader="none"/>
                <w:tab w:pos="3931" w:val="left" w:leader="none"/>
                <w:tab w:pos="5153" w:val="left" w:leader="none"/>
                <w:tab w:pos="6374" w:val="left" w:leader="none"/>
                <w:tab w:pos="7595" w:val="left" w:leader="none"/>
                <w:tab w:pos="8817" w:val="left" w:leader="none"/>
              </w:tabs>
              <w:spacing w:before="8"/>
              <w:ind w:left="267"/>
              <w:rPr>
                <w:sz w:val="18"/>
              </w:rPr>
            </w:pPr>
            <w:r>
              <w:rPr>
                <w:color w:val="7E7E7E"/>
                <w:sz w:val="18"/>
              </w:rPr>
              <w:t>2005</w:t>
              <w:tab/>
              <w:t>2007</w:t>
              <w:tab/>
              <w:t>2009</w:t>
              <w:tab/>
              <w:t>2011</w:t>
              <w:tab/>
              <w:t>2013</w:t>
              <w:tab/>
              <w:t>2015</w:t>
              <w:tab/>
              <w:t>2017</w:t>
              <w:tab/>
              <w:t>2019</w:t>
            </w:r>
          </w:p>
          <w:p>
            <w:pPr>
              <w:pStyle w:val="TableParagraph"/>
              <w:tabs>
                <w:tab w:pos="4961" w:val="left" w:leader="none"/>
                <w:tab w:pos="6826" w:val="left" w:leader="none"/>
              </w:tabs>
              <w:spacing w:before="135"/>
              <w:ind w:left="3097"/>
              <w:rPr>
                <w:sz w:val="18"/>
              </w:rPr>
            </w:pPr>
            <w:r>
              <w:rPr>
                <w:color w:val="7E7E7E"/>
                <w:sz w:val="18"/>
              </w:rPr>
              <w:t>February</w:t>
            </w:r>
            <w:r>
              <w:rPr>
                <w:color w:val="7E7E7E"/>
                <w:spacing w:val="-2"/>
                <w:sz w:val="18"/>
              </w:rPr>
              <w:t> </w:t>
            </w:r>
            <w:r>
              <w:rPr>
                <w:color w:val="7E7E7E"/>
                <w:sz w:val="18"/>
              </w:rPr>
              <w:t>2009</w:t>
              <w:tab/>
              <w:t>February</w:t>
            </w:r>
            <w:r>
              <w:rPr>
                <w:color w:val="7E7E7E"/>
                <w:spacing w:val="-1"/>
                <w:sz w:val="18"/>
              </w:rPr>
              <w:t> </w:t>
            </w:r>
            <w:r>
              <w:rPr>
                <w:color w:val="7E7E7E"/>
                <w:sz w:val="18"/>
              </w:rPr>
              <w:t>2010</w:t>
              <w:tab/>
              <w:t>Actual</w:t>
            </w:r>
          </w:p>
        </w:tc>
      </w:tr>
      <w:tr>
        <w:trPr>
          <w:trHeight w:val="278" w:hRule="atLeast"/>
        </w:trPr>
        <w:tc>
          <w:tcPr>
            <w:tcW w:w="9750" w:type="dxa"/>
          </w:tcPr>
          <w:p>
            <w:pPr>
              <w:pStyle w:val="TableParagraph"/>
              <w:spacing w:line="164" w:lineRule="exact" w:before="94"/>
              <w:ind w:left="200"/>
              <w:rPr>
                <w:sz w:val="16"/>
              </w:rPr>
            </w:pPr>
            <w:r>
              <w:rPr>
                <w:sz w:val="16"/>
              </w:rPr>
              <w:t>Sources: ONS, Bank of England and Bank of England calculations.</w:t>
            </w:r>
          </w:p>
        </w:tc>
      </w:tr>
    </w:tbl>
    <w:p>
      <w:pPr>
        <w:spacing w:after="0" w:line="164" w:lineRule="exact"/>
        <w:rPr>
          <w:sz w:val="16"/>
        </w:rPr>
        <w:sectPr>
          <w:type w:val="continuous"/>
          <w:pgSz w:w="11910" w:h="16840"/>
          <w:pgMar w:top="1180" w:bottom="1520" w:left="800" w:right="820"/>
        </w:sectPr>
      </w:pPr>
    </w:p>
    <w:p>
      <w:pPr>
        <w:pStyle w:val="BodyText"/>
        <w:spacing w:line="355" w:lineRule="auto" w:before="69"/>
        <w:ind w:left="334" w:right="386"/>
      </w:pPr>
      <w:r>
        <w:rPr/>
        <w:t>Put differently, in the immediate aftermath of the global financial crisis, unemployment rose by less than was expected by most mainstream forecasters, including the Bank. Chart 15 shows Bank forecasts for unemployment in early-2009 and early-2010. Having expected unemployment to peak at over 10.5%, the eventual peak of 8.5% was reached in late-2011.</w:t>
      </w:r>
    </w:p>
    <w:p>
      <w:pPr>
        <w:pStyle w:val="BodyText"/>
        <w:spacing w:before="6"/>
        <w:rPr>
          <w:sz w:val="29"/>
        </w:rPr>
      </w:pPr>
    </w:p>
    <w:p>
      <w:pPr>
        <w:pStyle w:val="BodyText"/>
        <w:spacing w:line="355" w:lineRule="auto"/>
        <w:ind w:left="334" w:right="508"/>
      </w:pPr>
      <w:r>
        <w:rPr/>
        <w:t>More recently, the “Okun’s Law” relationship appears to have steepened as weak productivity growth since the crisis has seen unemployment fall sharply since 2012 despite more modest GDP growth (Chart 16).</w:t>
      </w:r>
    </w:p>
    <w:p>
      <w:pPr>
        <w:pStyle w:val="BodyText"/>
        <w:spacing w:before="5"/>
        <w:rPr>
          <w:sz w:val="21"/>
        </w:rPr>
      </w:pPr>
    </w:p>
    <w:p>
      <w:pPr>
        <w:spacing w:after="0"/>
        <w:rPr>
          <w:sz w:val="21"/>
        </w:rPr>
        <w:sectPr>
          <w:pgSz w:w="11910" w:h="16840"/>
          <w:pgMar w:header="0" w:footer="1338" w:top="1460" w:bottom="1520" w:left="800" w:right="820"/>
        </w:sectPr>
      </w:pPr>
    </w:p>
    <w:p>
      <w:pPr>
        <w:pStyle w:val="Heading1"/>
        <w:spacing w:before="94"/>
      </w:pPr>
      <w:r>
        <w:rPr/>
        <w:t>Chart 16: Okun’s Law</w:t>
      </w:r>
    </w:p>
    <w:p>
      <w:pPr>
        <w:pStyle w:val="BodyText"/>
        <w:tabs>
          <w:tab w:pos="4304" w:val="right" w:leader="none"/>
        </w:tabs>
        <w:spacing w:line="165" w:lineRule="auto" w:before="302"/>
        <w:ind w:left="1626"/>
      </w:pPr>
      <w:r>
        <w:rPr/>
        <w:pict>
          <v:group style="position:absolute;margin-left:78.156998pt;margin-top:22.782148pt;width:433.05pt;height:195.55pt;mso-position-horizontal-relative:page;mso-position-vertical-relative:paragraph;z-index:-254499840" coordorigin="1563,456" coordsize="8661,3911">
            <v:shape style="position:absolute;left:1570;top:463;width:8646;height:3896" coordorigin="1571,463" coordsize="8646,3896" path="m5276,4359l5276,463m5215,4359l5276,4359m5215,3802l5276,3802m5215,3246l5276,3246m5215,2690l5276,2690m5215,2133l5276,2133m5215,1576l5276,1576m5215,1020l5276,1020m5215,463l5276,463m1571,2689l10216,2689m1571,2629l1571,2689m2806,2629l2806,2689m4040,2629l4040,2689m5275,2629l5275,2689m6511,2629l6511,2689m8981,2629l8981,2689m10216,2629l10216,2689e" filled="false" stroked="true" strokeweight=".75pt" strokecolor="#bebebe">
              <v:path arrowok="t"/>
              <v:stroke dashstyle="solid"/>
            </v:shape>
            <v:shape style="position:absolute;left:9236;top:3020;width:114;height:114" type="#_x0000_t75" stroked="false">
              <v:imagedata r:id="rId21" o:title=""/>
            </v:shape>
            <v:shape style="position:absolute;left:3696;top:2630;width:114;height:114" type="#_x0000_t75" stroked="false">
              <v:imagedata r:id="rId21" o:title=""/>
            </v:shape>
            <v:shape style="position:absolute;left:4303;top:2157;width:114;height:114" type="#_x0000_t75" stroked="false">
              <v:imagedata r:id="rId21" o:title=""/>
            </v:shape>
            <v:shape style="position:absolute;left:7014;top:2115;width:114;height:114" type="#_x0000_t75" stroked="false">
              <v:imagedata r:id="rId21" o:title=""/>
            </v:shape>
            <v:shape style="position:absolute;left:3964;top:1851;width:114;height:114" type="#_x0000_t75" stroked="false">
              <v:imagedata r:id="rId21" o:title=""/>
            </v:shape>
            <v:shape style="position:absolute;left:4741;top:1045;width:114;height:114" type="#_x0000_t75" stroked="false">
              <v:imagedata r:id="rId21" o:title=""/>
            </v:shape>
            <v:shape style="position:absolute;left:6458;top:2033;width:114;height:114" type="#_x0000_t75" stroked="false">
              <v:imagedata r:id="rId21" o:title=""/>
            </v:shape>
            <v:shape style="position:absolute;left:7825;top:2214;width:114;height:114" type="#_x0000_t75" stroked="false">
              <v:imagedata r:id="rId22" o:title=""/>
            </v:shape>
            <v:shape style="position:absolute;left:8491;top:3132;width:114;height:114" type="#_x0000_t75" stroked="false">
              <v:imagedata r:id="rId23" o:title=""/>
            </v:shape>
            <v:shape style="position:absolute;left:8773;top:3660;width:114;height:114" type="#_x0000_t75" stroked="false">
              <v:imagedata r:id="rId21" o:title=""/>
            </v:shape>
            <v:shape style="position:absolute;left:6804;top:3383;width:114;height:114" type="#_x0000_t75" stroked="false">
              <v:imagedata r:id="rId21" o:title=""/>
            </v:shape>
            <v:shape style="position:absolute;left:5673;top:2700;width:114;height:114" type="#_x0000_t75" stroked="false">
              <v:imagedata r:id="rId22" o:title=""/>
            </v:shape>
            <v:shape style="position:absolute;left:4545;top:1657;width:114;height:114" type="#_x0000_t75" stroked="false">
              <v:imagedata r:id="rId21" o:title=""/>
            </v:shape>
            <v:shape style="position:absolute;left:5446;top:2018;width:114;height:114" type="#_x0000_t75" stroked="false">
              <v:imagedata r:id="rId21" o:title=""/>
            </v:shape>
            <v:shape style="position:absolute;left:7622;top:3117;width:114;height:114" type="#_x0000_t75" stroked="false">
              <v:imagedata r:id="rId22" o:title=""/>
            </v:shape>
            <v:shape style="position:absolute;left:7868;top:3271;width:114;height:114" type="#_x0000_t75" stroked="false">
              <v:imagedata r:id="rId21" o:title=""/>
            </v:shape>
            <v:shape style="position:absolute;left:6080;top:2297;width:1908;height:935" type="#_x0000_t75" stroked="false">
              <v:imagedata r:id="rId24" o:title=""/>
            </v:shape>
            <v:shape style="position:absolute;left:5004;top:2421;width:114;height:114" type="#_x0000_t75" stroked="false">
              <v:imagedata r:id="rId21" o:title=""/>
            </v:shape>
            <v:shape style="position:absolute;left:2595;top:1573;width:114;height:114" type="#_x0000_t75" stroked="false">
              <v:imagedata r:id="rId21" o:title=""/>
            </v:shape>
            <v:shape style="position:absolute;left:7038;top:3396;width:114;height:114" type="#_x0000_t75" stroked="false">
              <v:imagedata r:id="rId25" o:title=""/>
            </v:shape>
            <v:line style="position:absolute" from="2653,1623" to="9295,3292" stroked="true" strokeweight="1.5pt" strokecolor="#4f81bc">
              <v:stroke dashstyle="dot"/>
            </v:line>
            <v:line style="position:absolute" from="6139,2666" to="7096,3406" stroked="true" strokeweight="1.5pt" strokecolor="#c0504d">
              <v:stroke dashstyle="dot"/>
            </v:line>
            <v:shape style="position:absolute;left:6933;top:901;width:114;height:114" type="#_x0000_t75" stroked="false">
              <v:imagedata r:id="rId26" o:title=""/>
            </v:shape>
            <v:shape style="position:absolute;left:8185;top:901;width:114;height:114" type="#_x0000_t75" stroked="false">
              <v:imagedata r:id="rId27" o:title=""/>
            </v:shape>
            <w10:wrap type="none"/>
          </v:group>
        </w:pict>
      </w:r>
      <w:r>
        <w:rPr>
          <w:color w:val="7E7E7E"/>
        </w:rPr>
        <w:t>Annual</w:t>
      </w:r>
      <w:r>
        <w:rPr>
          <w:color w:val="7E7E7E"/>
          <w:spacing w:val="-2"/>
        </w:rPr>
        <w:t> </w:t>
      </w:r>
      <w:r>
        <w:rPr>
          <w:color w:val="7E7E7E"/>
        </w:rPr>
        <w:t>change</w:t>
      </w:r>
      <w:r>
        <w:rPr>
          <w:color w:val="7E7E7E"/>
          <w:spacing w:val="-2"/>
        </w:rPr>
        <w:t> </w:t>
      </w:r>
      <w:r>
        <w:rPr>
          <w:color w:val="7E7E7E"/>
        </w:rPr>
        <w:t>in</w:t>
        <w:tab/>
      </w:r>
      <w:r>
        <w:rPr>
          <w:color w:val="7E7E7E"/>
          <w:position w:val="-6"/>
        </w:rPr>
        <w:t>4</w:t>
      </w:r>
    </w:p>
    <w:p>
      <w:pPr>
        <w:pStyle w:val="BodyText"/>
        <w:spacing w:line="195" w:lineRule="exact"/>
        <w:ind w:left="1626"/>
      </w:pPr>
      <w:r>
        <w:rPr>
          <w:color w:val="7E7E7E"/>
        </w:rPr>
        <w:t>unemployment</w:t>
      </w:r>
      <w:r>
        <w:rPr>
          <w:color w:val="7E7E7E"/>
          <w:spacing w:val="-1"/>
        </w:rPr>
        <w:t> </w:t>
      </w:r>
      <w:r>
        <w:rPr>
          <w:color w:val="7E7E7E"/>
        </w:rPr>
        <w:t>rate</w:t>
      </w:r>
    </w:p>
    <w:p>
      <w:pPr>
        <w:pStyle w:val="BodyText"/>
        <w:spacing w:line="200" w:lineRule="exact"/>
        <w:ind w:left="1626"/>
      </w:pPr>
      <w:r>
        <w:rPr>
          <w:color w:val="7E7E7E"/>
        </w:rPr>
        <w:t>(percentage points)</w:t>
      </w:r>
    </w:p>
    <w:p>
      <w:pPr>
        <w:pStyle w:val="BodyText"/>
        <w:spacing w:line="200" w:lineRule="exact"/>
        <w:ind w:left="4193"/>
      </w:pPr>
      <w:r>
        <w:rPr>
          <w:color w:val="7E7E7E"/>
          <w:w w:val="100"/>
        </w:rPr>
        <w:t>3</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tabs>
          <w:tab w:pos="1585" w:val="left" w:leader="none"/>
        </w:tabs>
        <w:spacing w:before="147"/>
        <w:ind w:left="333"/>
      </w:pPr>
      <w:r>
        <w:rPr>
          <w:color w:val="7E7E7E"/>
        </w:rPr>
        <w:t>1972-2009</w:t>
        <w:tab/>
        <w:t>2010-2018</w:t>
      </w:r>
    </w:p>
    <w:p>
      <w:pPr>
        <w:spacing w:after="0"/>
        <w:sectPr>
          <w:type w:val="continuous"/>
          <w:pgSz w:w="11910" w:h="16840"/>
          <w:pgMar w:top="1180" w:bottom="1520" w:left="800" w:right="820"/>
          <w:cols w:num="2" w:equalWidth="0">
            <w:col w:w="4345" w:space="1606"/>
            <w:col w:w="4339"/>
          </w:cols>
        </w:sectPr>
      </w:pPr>
    </w:p>
    <w:p>
      <w:pPr>
        <w:pStyle w:val="BodyText"/>
        <w:spacing w:before="3"/>
      </w:pPr>
    </w:p>
    <w:p>
      <w:pPr>
        <w:pStyle w:val="BodyText"/>
        <w:spacing w:before="94"/>
        <w:ind w:right="1786"/>
        <w:jc w:val="center"/>
      </w:pPr>
      <w:r>
        <w:rPr>
          <w:color w:val="7E7E7E"/>
          <w:w w:val="100"/>
        </w:rPr>
        <w:t>2</w:t>
      </w:r>
    </w:p>
    <w:p>
      <w:pPr>
        <w:pStyle w:val="BodyText"/>
        <w:spacing w:before="2"/>
      </w:pPr>
    </w:p>
    <w:p>
      <w:pPr>
        <w:pStyle w:val="BodyText"/>
        <w:spacing w:before="94"/>
        <w:ind w:right="1786"/>
        <w:jc w:val="center"/>
      </w:pPr>
      <w:r>
        <w:rPr>
          <w:color w:val="7E7E7E"/>
          <w:w w:val="100"/>
        </w:rPr>
        <w:t>1</w:t>
      </w:r>
    </w:p>
    <w:p>
      <w:pPr>
        <w:pStyle w:val="BodyText"/>
        <w:spacing w:before="3"/>
      </w:pPr>
    </w:p>
    <w:p>
      <w:pPr>
        <w:pStyle w:val="BodyText"/>
        <w:spacing w:before="94"/>
        <w:ind w:right="1786"/>
        <w:jc w:val="center"/>
      </w:pPr>
      <w:r>
        <w:rPr>
          <w:color w:val="7E7E7E"/>
          <w:w w:val="100"/>
        </w:rPr>
        <w:t>0</w:t>
      </w:r>
    </w:p>
    <w:p>
      <w:pPr>
        <w:pStyle w:val="BodyText"/>
        <w:spacing w:before="2"/>
      </w:pPr>
    </w:p>
    <w:p>
      <w:pPr>
        <w:pStyle w:val="BodyText"/>
        <w:spacing w:before="94"/>
        <w:ind w:left="22" w:right="1874"/>
        <w:jc w:val="center"/>
      </w:pPr>
      <w:r>
        <w:rPr>
          <w:color w:val="7E7E7E"/>
        </w:rPr>
        <w:t>-1</w:t>
      </w:r>
    </w:p>
    <w:p>
      <w:pPr>
        <w:pStyle w:val="BodyText"/>
        <w:spacing w:before="3"/>
      </w:pPr>
    </w:p>
    <w:p>
      <w:pPr>
        <w:pStyle w:val="BodyText"/>
        <w:spacing w:before="94"/>
        <w:ind w:left="22" w:right="1874"/>
        <w:jc w:val="center"/>
      </w:pPr>
      <w:r>
        <w:rPr>
          <w:color w:val="7E7E7E"/>
        </w:rPr>
        <w:t>-2</w:t>
      </w:r>
    </w:p>
    <w:p>
      <w:pPr>
        <w:pStyle w:val="BodyText"/>
        <w:spacing w:before="3"/>
      </w:pPr>
    </w:p>
    <w:p>
      <w:pPr>
        <w:pStyle w:val="BodyText"/>
        <w:spacing w:before="94"/>
        <w:ind w:left="22" w:right="1874"/>
        <w:jc w:val="center"/>
      </w:pPr>
      <w:r>
        <w:rPr>
          <w:color w:val="7E7E7E"/>
        </w:rPr>
        <w:t>-3</w:t>
      </w:r>
    </w:p>
    <w:p>
      <w:pPr>
        <w:pStyle w:val="BodyText"/>
        <w:tabs>
          <w:tab w:pos="1235" w:val="left" w:leader="none"/>
          <w:tab w:pos="2470" w:val="left" w:leader="none"/>
          <w:tab w:pos="3738" w:val="left" w:leader="none"/>
          <w:tab w:pos="4973" w:val="left" w:leader="none"/>
          <w:tab w:pos="6209" w:val="left" w:leader="none"/>
          <w:tab w:pos="7444" w:val="left" w:leader="none"/>
          <w:tab w:pos="8679" w:val="left" w:leader="none"/>
        </w:tabs>
        <w:spacing w:before="8"/>
        <w:ind w:right="129"/>
        <w:jc w:val="center"/>
      </w:pPr>
      <w:r>
        <w:rPr>
          <w:color w:val="7E7E7E"/>
        </w:rPr>
        <w:t>-6</w:t>
        <w:tab/>
        <w:t>-4</w:t>
        <w:tab/>
        <w:t>-2</w:t>
        <w:tab/>
        <w:t>0</w:t>
        <w:tab/>
        <w:t>2</w:t>
        <w:tab/>
        <w:t>4</w:t>
        <w:tab/>
        <w:t>6</w:t>
        <w:tab/>
        <w:t>8</w:t>
      </w:r>
    </w:p>
    <w:p>
      <w:pPr>
        <w:pStyle w:val="BodyText"/>
        <w:spacing w:before="98"/>
        <w:ind w:left="22" w:right="436"/>
        <w:jc w:val="center"/>
      </w:pPr>
      <w:r>
        <w:rPr>
          <w:color w:val="7E7E7E"/>
        </w:rPr>
        <w:t>Calendar year GDP growth (per cent)</w:t>
      </w:r>
    </w:p>
    <w:p>
      <w:pPr>
        <w:spacing w:before="97"/>
        <w:ind w:left="334" w:right="0" w:firstLine="0"/>
        <w:jc w:val="left"/>
        <w:rPr>
          <w:sz w:val="16"/>
        </w:rPr>
      </w:pPr>
      <w:r>
        <w:rPr>
          <w:sz w:val="16"/>
        </w:rPr>
        <w:t>Sources: ONS and Bank of England calculations.</w:t>
      </w:r>
    </w:p>
    <w:p>
      <w:pPr>
        <w:spacing w:line="276" w:lineRule="auto" w:before="80"/>
        <w:ind w:left="334" w:right="1197" w:firstLine="0"/>
        <w:jc w:val="left"/>
        <w:rPr>
          <w:sz w:val="16"/>
        </w:rPr>
      </w:pPr>
      <w:r>
        <w:rPr>
          <w:sz w:val="16"/>
        </w:rPr>
        <w:t>Notes: Chart shows calendar year GDP growth plotted against annual percentage point change in calendar year average unemployment rate.</w:t>
      </w:r>
    </w:p>
    <w:p>
      <w:pPr>
        <w:pStyle w:val="BodyText"/>
        <w:rPr>
          <w:sz w:val="18"/>
        </w:rPr>
      </w:pPr>
    </w:p>
    <w:p>
      <w:pPr>
        <w:pStyle w:val="BodyText"/>
        <w:spacing w:before="1"/>
        <w:rPr>
          <w:sz w:val="21"/>
        </w:rPr>
      </w:pPr>
    </w:p>
    <w:p>
      <w:pPr>
        <w:pStyle w:val="BodyText"/>
        <w:spacing w:line="355" w:lineRule="auto" w:before="1"/>
        <w:ind w:left="334" w:right="388"/>
      </w:pPr>
      <w:r>
        <w:rPr/>
        <w:t>A different way still of illustrating, and explaining, these developments comes from looking at job moves. As the crisis struck, job-to-job movements fell. Instead of moving between jobs, workers instead transitioned into unemployment. But these transition rates into unemployment rose by less than in previous recessions. Workers and their employers bargained to remain on the jobs ladder rather than</w:t>
      </w:r>
      <w:r>
        <w:rPr>
          <w:spacing w:val="-9"/>
        </w:rPr>
        <w:t> </w:t>
      </w:r>
      <w:r>
        <w:rPr/>
        <w:t>jumping-off.</w:t>
      </w:r>
    </w:p>
    <w:p>
      <w:pPr>
        <w:pStyle w:val="BodyText"/>
        <w:spacing w:before="5"/>
        <w:rPr>
          <w:sz w:val="29"/>
        </w:rPr>
      </w:pPr>
    </w:p>
    <w:p>
      <w:pPr>
        <w:pStyle w:val="BodyText"/>
        <w:spacing w:line="355" w:lineRule="auto"/>
        <w:ind w:left="334" w:right="365"/>
      </w:pPr>
      <w:r>
        <w:rPr/>
        <w:t>Remaining on the ladder did, however, come at a cost in terms of pay. For workers staying in the same job this meant accepting pay freezes, with the fraction of workers accepting these rising sharply during the crisis (Chart 17a). For workers moving, this meant moving down the jobs ladder by accepting lower-paying jobs at lower-productivity firms: the fraction of switchers taking pay cuts spiked during the crisis (Chart 17b).</w:t>
      </w:r>
    </w:p>
    <w:p>
      <w:pPr>
        <w:pStyle w:val="BodyText"/>
        <w:spacing w:line="228" w:lineRule="exact"/>
        <w:ind w:left="334"/>
      </w:pPr>
      <w:r>
        <w:rPr/>
        <w:t>Median wage growth for switchers fell from over 9% in 2007 to 4 ½% by 2010 (Chart 18).</w:t>
      </w:r>
    </w:p>
    <w:p>
      <w:pPr>
        <w:spacing w:after="0" w:line="228" w:lineRule="exact"/>
        <w:sectPr>
          <w:type w:val="continuous"/>
          <w:pgSz w:w="11910" w:h="16840"/>
          <w:pgMar w:top="1180" w:bottom="1520" w:left="800" w:right="820"/>
        </w:sectPr>
      </w:pPr>
    </w:p>
    <w:p>
      <w:pPr>
        <w:pStyle w:val="BodyText"/>
        <w:spacing w:line="355" w:lineRule="auto" w:before="69"/>
        <w:ind w:left="334" w:right="412"/>
        <w:jc w:val="both"/>
      </w:pPr>
      <w:r>
        <w:rPr/>
        <w:pict>
          <v:group style="position:absolute;margin-left:82.25pt;margin-top:127.694855pt;width:181.45pt;height:158.6pt;mso-position-horizontal-relative:page;mso-position-vertical-relative:paragraph;z-index:-254498816" coordorigin="1645,2554" coordsize="3629,3172">
            <v:shape style="position:absolute;left:1652;top:3922;width:3614;height:1796" coordorigin="1653,3923" coordsize="3614,1796" path="m2298,4086l2168,4154,2040,4401,1910,4635,1782,4806,1653,4839,1653,5718,5266,5718,5266,4507,3072,4507,2950,4254,2814,4254,2750,4176,2426,4176,2298,4086xm3460,3993l3330,4104,3072,4507,5266,4507,5266,4299,3976,4299,3942,4280,3588,4280,3460,3993xm4234,3923l4104,4182,3976,4299,5266,4299,5266,4229,5252,4223,4879,4223,4750,4111,4677,4043,4362,4043,4234,3923xm3718,4031l3588,4280,3942,4280,3846,4225,3718,4031xm2942,4237l2814,4254,2950,4254,2942,4237xm5008,4155l4879,4223,5252,4223,5137,4172,5008,4155xm2684,4097l2556,4158,2426,4176,2750,4176,2684,4097xm4621,3990l4492,4005,4362,4043,4677,4043,4621,3990xe" filled="true" fillcolor="#4f81bc" stroked="false">
              <v:path arrowok="t"/>
              <v:fill type="solid"/>
            </v:shape>
            <v:shape style="position:absolute;left:1652;top:2954;width:3614;height:1885" coordorigin="1653,2954" coordsize="3614,1885" path="m2298,3595l2168,3601,2040,3818,1910,4220,1782,4573,1653,4617,1653,4839,1782,4806,1910,4635,2040,4401,2168,4154,2298,4086,3351,4086,3382,4059,3072,4059,2967,3876,2814,3876,2745,3801,2426,3801,2298,3595xm3245,4237l2942,4237,3072,4507,3245,4237xm4180,4031l3718,4031,3846,4225,3976,4299,4104,4182,4180,4031xm3562,3993l3460,3993,3588,4280,3676,4111,3588,4111,3562,3993xm3338,4097l2684,4097,2814,4254,2942,4237,3245,4237,3330,4104,3338,4097xm5266,4155l5008,4155,5137,4172,5266,4229,5266,4155xm5266,3990l4621,3990,4750,4111,4879,4223,5008,4155,5266,4155,5266,3990xm3351,4086l2298,4086,2426,4176,2556,4158,2684,4097,3338,4097,3351,4086xm3718,3725l3588,4111,3676,4111,3718,4031,4180,4031,4219,3953,3976,3953,3846,3786,3718,3725xm3460,3536l3330,3759,3202,3853,3072,4059,3382,4059,3460,3993,3562,3993,3460,3536xm5266,3923l4234,3923,4362,4043,4492,4005,4621,3990,5266,3990,5266,3923xm4234,3023l4104,3543,3976,3953,4219,3953,4234,3923,5266,3923,5266,3645,4879,3645,4750,3451,4668,3151,4362,3151,4234,3023xm2942,3833l2814,3876,2967,3876,2942,3833xm2556,3705l2426,3801,2745,3801,2684,3735,2556,3705xm5008,3456l4879,3645,5266,3645,5266,3590,5137,3560,5008,3456xm4492,2954l4362,3151,4668,3151,4621,2982,4492,2954xe" filled="true" fillcolor="#c0504d" stroked="false">
              <v:path arrowok="t"/>
              <v:fill type="solid"/>
            </v:shape>
            <v:shape style="position:absolute;left:1652;top:2561;width:3614;height:3157" coordorigin="1653,2561" coordsize="3614,3157" path="m5266,5718l5266,2561m5218,5718l5266,5718m5218,5324l5266,5324m5218,4929l5266,4929m5218,4535l5266,4535m5218,4140l5266,4140m5218,3745l5266,3745m5218,3350l5266,3350m5218,2957l5266,2957m5218,2561l5266,2561m1653,5718l5266,5718m1653,5670l1653,5718m2168,5670l2168,5718m2684,5670l2684,5718m3202,5670l3202,5718m3718,5670l3718,5718m4234,5670l4234,5718m4750,5670l4750,5718m5266,5670l5266,5718e" filled="false" stroked="true" strokeweight=".75pt" strokecolor="#7e7e7e">
              <v:path arrowok="t"/>
              <v:stroke dashstyle="solid"/>
            </v:shape>
            <w10:wrap type="none"/>
          </v:group>
        </w:pict>
      </w:r>
      <w:r>
        <w:rPr/>
        <w:pict>
          <v:rect style="position:absolute;margin-left:148.410004pt;margin-top:385.519196pt;width:4.020800pt;height:4.020800pt;mso-position-horizontal-relative:page;mso-position-vertical-relative:page;z-index:-254497792" filled="true" fillcolor="#4f81bc" stroked="false">
            <v:fill type="solid"/>
            <w10:wrap type="none"/>
          </v:rect>
        </w:pict>
      </w:r>
      <w:r>
        <w:rPr/>
        <w:pict>
          <v:rect style="position:absolute;margin-left:172.470001pt;margin-top:385.519196pt;width:4.020800pt;height:4.020800pt;mso-position-horizontal-relative:page;mso-position-vertical-relative:page;z-index:-254496768" filled="true" fillcolor="#c0504d" stroked="false">
            <v:fill type="solid"/>
            <w10:wrap type="none"/>
          </v:rect>
        </w:pict>
      </w:r>
      <w:r>
        <w:rPr/>
        <w:pict>
          <v:group style="position:absolute;margin-left:331.295013pt;margin-top:132.694855pt;width:176.75pt;height:153.6pt;mso-position-horizontal-relative:page;mso-position-vertical-relative:paragraph;z-index:-254495744" coordorigin="6626,2654" coordsize="3535,3072">
            <v:shape style="position:absolute;left:6633;top:2955;width:3520;height:2764" coordorigin="6633,2955" coordsize="3520,2764" path="m6633,4339l6633,5718,10153,5718,10153,4374,6760,4374,6633,4339xm7136,3612l7010,3822,6884,4154,6760,4374,10153,4374,10153,3812,7513,3812,7400,3698,7262,3698,7136,3612xm7639,3614l7513,3812,10153,3812,10153,3763,7765,3763,7639,3614xm8142,3414l8016,3558,7890,3571,7765,3763,10153,3763,10153,3647,10027,3647,9975,3600,8519,3600,8478,3500,8268,3500,8142,3414xm7387,3685l7262,3698,7400,3698,7387,3685xm10153,3551l10027,3647,10153,3647,10153,3551xm8645,3269l8519,3600,9975,3600,9916,3546,8771,3546,8645,3269xm9148,2955l9022,3381,8896,3501,8771,3546,9916,3546,9901,3533,9776,3371,9709,3279,9398,3279,9274,3111,9148,2955xm8393,3290l8268,3500,8478,3500,8393,3290xm9650,3199l9524,3267,9398,3279,9709,3279,9650,3199xe" filled="true" fillcolor="#4f81bc" stroked="false">
              <v:path arrowok="t"/>
              <v:fill type="solid"/>
            </v:shape>
            <v:shape style="position:absolute;left:6633;top:2775;width:3520;height:1599" coordorigin="6633,2776" coordsize="3520,1599" path="m6633,4262l6633,4339,6760,4374,6806,4293,6760,4293,6633,4262xm7136,3455l7010,3696,6884,4016,6760,4293,6806,4293,6884,4154,7010,3822,7136,3612,7424,3612,7387,3575,7262,3551,7136,3455xm7496,3685l7387,3685,7513,3812,7583,3703,7513,3703,7496,3685xm7751,3614l7639,3614,7765,3763,7849,3633,7765,3633,7751,3614xm7639,3462l7513,3703,7583,3703,7639,3614,7751,3614,7639,3462xm7424,3612l7136,3612,7262,3698,7387,3685,7496,3685,7424,3612xm9718,3199l9650,3199,9776,3371,9901,3533,10027,3647,10153,3551,10153,3521,10027,3521,9901,3443,9776,3281,9718,3199xm7890,3417l7765,3633,7849,3633,7890,3571,8016,3558,8121,3438,8016,3438,7890,3417xm8421,3290l8393,3290,8519,3600,8538,3548,8519,3548,8421,3290xm8645,3204l8519,3548,8538,3548,8645,3269,8677,3269,8645,3204xm8677,3269l8645,3269,8771,3546,8896,3501,8938,3461,8771,3461,8677,3269xm10153,3444l10027,3521,10153,3521,10153,3444xm8319,3414l8142,3414,8268,3500,8319,3414xm9148,2776l9022,3242,8896,3433,8771,3461,8938,3461,9022,3381,9148,2955,9281,2955,9274,2947,9148,2776xm8142,3269l8016,3438,8121,3438,8142,3414,8319,3414,8326,3403,8268,3403,8142,3269xm8393,3217l8268,3403,8326,3403,8393,3290,8421,3290,8393,3217xm9281,2955l9148,2955,9274,3111,9398,3279,9524,3267,9650,3199,9718,3199,9650,3105,9531,3085,9398,3085,9281,2955xm9524,3084l9398,3085,9531,3085,9524,3084xe" filled="true" fillcolor="#c0504d" stroked="false">
              <v:path arrowok="t"/>
              <v:fill type="solid"/>
            </v:shape>
            <v:shape style="position:absolute;left:6633;top:2661;width:3520;height:3057" coordorigin="6633,2661" coordsize="3520,3057" path="m10153,5718l10153,2661m10105,5718l10153,5718m10105,5336l10153,5336m10105,4955l10153,4955m10105,4572l10153,4572m10105,4190l10153,4190m10105,3807l10153,3807m10105,3426l10153,3426m10105,3043l10153,3043m10105,2661l10153,2661m6633,5718l10153,5718m6633,5670l6633,5718m7136,5670l7136,5718m7639,5670l7639,5718m8142,5670l8142,5718m8645,5670l8645,5718m9148,5670l9148,5718m9650,5670l9650,5718m10153,5670l10153,5718e" filled="false" stroked="true" strokeweight=".75pt" strokecolor="#7e7e7e">
              <v:path arrowok="t"/>
              <v:stroke dashstyle="solid"/>
            </v:shape>
            <w10:wrap type="none"/>
          </v:group>
        </w:pict>
      </w:r>
      <w:r>
        <w:rPr/>
        <w:pict>
          <v:rect style="position:absolute;margin-left:395.109985pt;margin-top:385.519196pt;width:4.020800pt;height:4.020800pt;mso-position-horizontal-relative:page;mso-position-vertical-relative:page;z-index:-254494720" filled="true" fillcolor="#4f81bc" stroked="false">
            <v:fill type="solid"/>
            <w10:wrap type="none"/>
          </v:rect>
        </w:pict>
      </w:r>
      <w:r>
        <w:rPr/>
        <w:pict>
          <v:group style="position:absolute;margin-left:91.431pt;margin-top:501.954987pt;width:401.85pt;height:181.75pt;mso-position-horizontal-relative:page;mso-position-vertical-relative:page;z-index:-254493696" coordorigin="1829,10039" coordsize="8037,3635">
            <v:shape style="position:absolute;left:1846;top:10046;width:8002;height:3620" coordorigin="1846,10047" coordsize="8002,3620" path="m9847,13667l9847,10047m9787,13667l9847,13667m9787,13063l9847,13063m9787,12460l9847,12460m9787,11857l9847,11857m9787,11254l9847,11254m9787,10650l9847,10650m9787,10047l9847,10047m1846,13667l9847,13667m1846,13606l1846,13667m3047,13606l3047,13667m4247,13606l4247,13667m5447,13606l5447,13667m6647,13606l6647,13667m7847,13606l7847,13667m9047,13606l9047,13667e" filled="false" stroked="true" strokeweight=".75pt" strokecolor="#7e7e7e">
              <v:path arrowok="t"/>
              <v:stroke dashstyle="solid"/>
            </v:shape>
            <v:shape style="position:absolute;left:1846;top:10465;width:8002;height:1869" coordorigin="1846,10465" coordsize="8002,1869" path="m1846,11120l2246,10673,2646,11089,3047,10601,3446,11143,3846,11272,4247,10922,4646,10465,5047,11324,5447,10806,5846,11170,6247,11701,6647,12333,7046,12172,7447,11898,7847,11849,8248,11600,8647,11269,9047,10906,9448,11317,9847,11418e" filled="false" stroked="true" strokeweight="1.75pt" strokecolor="#4f81bc">
              <v:path arrowok="t"/>
              <v:stroke dashstyle="solid"/>
            </v:shape>
            <w10:wrap type="none"/>
          </v:group>
        </w:pict>
      </w:r>
      <w:r>
        <w:rPr/>
        <w:t>At the time of the global financial crisis, then, workers and their employers were faced with a stark outcome of job insecurity (jumping off the ladder) or income insecurity (stepping down the ladder). Unlike in previous recessions, most chose the latter path. The result was lower-than-expected unemployment, but weaker pay and productivity growth.</w:t>
      </w:r>
    </w:p>
    <w:p>
      <w:pPr>
        <w:pStyle w:val="BodyText"/>
      </w:pPr>
    </w:p>
    <w:p>
      <w:pPr>
        <w:pStyle w:val="BodyText"/>
        <w:spacing w:before="1" w:after="1"/>
        <w:rPr>
          <w:sz w:val="10"/>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7"/>
        <w:gridCol w:w="516"/>
        <w:gridCol w:w="494"/>
        <w:gridCol w:w="1528"/>
        <w:gridCol w:w="636"/>
        <w:gridCol w:w="934"/>
        <w:gridCol w:w="867"/>
        <w:gridCol w:w="503"/>
        <w:gridCol w:w="1954"/>
        <w:gridCol w:w="623"/>
        <w:gridCol w:w="757"/>
      </w:tblGrid>
      <w:tr>
        <w:trPr>
          <w:trHeight w:val="281" w:hRule="atLeast"/>
        </w:trPr>
        <w:tc>
          <w:tcPr>
            <w:tcW w:w="9789" w:type="dxa"/>
            <w:gridSpan w:val="11"/>
          </w:tcPr>
          <w:p>
            <w:pPr>
              <w:pStyle w:val="TableParagraph"/>
              <w:spacing w:line="224" w:lineRule="exact"/>
              <w:ind w:left="200"/>
              <w:rPr>
                <w:b/>
                <w:sz w:val="20"/>
              </w:rPr>
            </w:pPr>
            <w:r>
              <w:rPr>
                <w:b/>
                <w:sz w:val="20"/>
              </w:rPr>
              <w:t>Charts 17a and 17b: Proportion of workers facing nominal pay freezes or cuts</w:t>
            </w:r>
          </w:p>
        </w:tc>
      </w:tr>
      <w:tr>
        <w:trPr>
          <w:trHeight w:val="321" w:hRule="atLeast"/>
        </w:trPr>
        <w:tc>
          <w:tcPr>
            <w:tcW w:w="977" w:type="dxa"/>
          </w:tcPr>
          <w:p>
            <w:pPr>
              <w:pStyle w:val="TableParagraph"/>
              <w:rPr>
                <w:rFonts w:ascii="Times New Roman"/>
                <w:sz w:val="18"/>
              </w:rPr>
            </w:pPr>
          </w:p>
        </w:tc>
        <w:tc>
          <w:tcPr>
            <w:tcW w:w="516" w:type="dxa"/>
          </w:tcPr>
          <w:p>
            <w:pPr>
              <w:pStyle w:val="TableParagraph"/>
              <w:rPr>
                <w:rFonts w:ascii="Times New Roman"/>
                <w:sz w:val="18"/>
              </w:rPr>
            </w:pPr>
          </w:p>
        </w:tc>
        <w:tc>
          <w:tcPr>
            <w:tcW w:w="494" w:type="dxa"/>
          </w:tcPr>
          <w:p>
            <w:pPr>
              <w:pStyle w:val="TableParagraph"/>
              <w:rPr>
                <w:rFonts w:ascii="Times New Roman"/>
                <w:sz w:val="18"/>
              </w:rPr>
            </w:pPr>
          </w:p>
        </w:tc>
        <w:tc>
          <w:tcPr>
            <w:tcW w:w="1528" w:type="dxa"/>
          </w:tcPr>
          <w:p>
            <w:pPr>
              <w:pStyle w:val="TableParagraph"/>
              <w:spacing w:before="51"/>
              <w:ind w:left="57"/>
              <w:rPr>
                <w:sz w:val="20"/>
              </w:rPr>
            </w:pPr>
            <w:r>
              <w:rPr>
                <w:sz w:val="20"/>
              </w:rPr>
              <w:t>Job stayers</w:t>
            </w:r>
          </w:p>
        </w:tc>
        <w:tc>
          <w:tcPr>
            <w:tcW w:w="636" w:type="dxa"/>
          </w:tcPr>
          <w:p>
            <w:pPr>
              <w:pStyle w:val="TableParagraph"/>
              <w:rPr>
                <w:rFonts w:ascii="Times New Roman"/>
                <w:sz w:val="18"/>
              </w:rPr>
            </w:pPr>
          </w:p>
        </w:tc>
        <w:tc>
          <w:tcPr>
            <w:tcW w:w="934" w:type="dxa"/>
          </w:tcPr>
          <w:p>
            <w:pPr>
              <w:pStyle w:val="TableParagraph"/>
              <w:rPr>
                <w:rFonts w:ascii="Times New Roman"/>
                <w:sz w:val="18"/>
              </w:rPr>
            </w:pPr>
          </w:p>
        </w:tc>
        <w:tc>
          <w:tcPr>
            <w:tcW w:w="867" w:type="dxa"/>
          </w:tcPr>
          <w:p>
            <w:pPr>
              <w:pStyle w:val="TableParagraph"/>
              <w:rPr>
                <w:rFonts w:ascii="Times New Roman"/>
                <w:sz w:val="18"/>
              </w:rPr>
            </w:pPr>
          </w:p>
        </w:tc>
        <w:tc>
          <w:tcPr>
            <w:tcW w:w="503" w:type="dxa"/>
          </w:tcPr>
          <w:p>
            <w:pPr>
              <w:pStyle w:val="TableParagraph"/>
              <w:rPr>
                <w:rFonts w:ascii="Times New Roman"/>
                <w:sz w:val="18"/>
              </w:rPr>
            </w:pPr>
          </w:p>
        </w:tc>
        <w:tc>
          <w:tcPr>
            <w:tcW w:w="1954" w:type="dxa"/>
          </w:tcPr>
          <w:p>
            <w:pPr>
              <w:pStyle w:val="TableParagraph"/>
              <w:spacing w:before="51"/>
              <w:ind w:left="206" w:right="103"/>
              <w:jc w:val="center"/>
              <w:rPr>
                <w:sz w:val="20"/>
              </w:rPr>
            </w:pPr>
            <w:r>
              <w:rPr>
                <w:sz w:val="20"/>
              </w:rPr>
              <w:t>Job switchers</w:t>
            </w:r>
          </w:p>
        </w:tc>
        <w:tc>
          <w:tcPr>
            <w:tcW w:w="623" w:type="dxa"/>
          </w:tcPr>
          <w:p>
            <w:pPr>
              <w:pStyle w:val="TableParagraph"/>
              <w:rPr>
                <w:rFonts w:ascii="Times New Roman"/>
                <w:sz w:val="18"/>
              </w:rPr>
            </w:pPr>
          </w:p>
        </w:tc>
        <w:tc>
          <w:tcPr>
            <w:tcW w:w="757" w:type="dxa"/>
          </w:tcPr>
          <w:p>
            <w:pPr>
              <w:pStyle w:val="TableParagraph"/>
              <w:rPr>
                <w:rFonts w:ascii="Times New Roman"/>
                <w:sz w:val="18"/>
              </w:rPr>
            </w:pPr>
          </w:p>
        </w:tc>
      </w:tr>
      <w:tr>
        <w:trPr>
          <w:trHeight w:val="425" w:hRule="atLeast"/>
        </w:trPr>
        <w:tc>
          <w:tcPr>
            <w:tcW w:w="977" w:type="dxa"/>
          </w:tcPr>
          <w:p>
            <w:pPr>
              <w:pStyle w:val="TableParagraph"/>
              <w:rPr>
                <w:rFonts w:ascii="Times New Roman"/>
                <w:sz w:val="18"/>
              </w:rPr>
            </w:pPr>
          </w:p>
        </w:tc>
        <w:tc>
          <w:tcPr>
            <w:tcW w:w="516" w:type="dxa"/>
          </w:tcPr>
          <w:p>
            <w:pPr>
              <w:pStyle w:val="TableParagraph"/>
              <w:rPr>
                <w:rFonts w:ascii="Times New Roman"/>
                <w:sz w:val="18"/>
              </w:rPr>
            </w:pPr>
          </w:p>
        </w:tc>
        <w:tc>
          <w:tcPr>
            <w:tcW w:w="494" w:type="dxa"/>
          </w:tcPr>
          <w:p>
            <w:pPr>
              <w:pStyle w:val="TableParagraph"/>
              <w:rPr>
                <w:rFonts w:ascii="Times New Roman"/>
                <w:sz w:val="18"/>
              </w:rPr>
            </w:pPr>
          </w:p>
        </w:tc>
        <w:tc>
          <w:tcPr>
            <w:tcW w:w="1528" w:type="dxa"/>
          </w:tcPr>
          <w:p>
            <w:pPr>
              <w:pStyle w:val="TableParagraph"/>
              <w:rPr>
                <w:rFonts w:ascii="Times New Roman"/>
                <w:sz w:val="18"/>
              </w:rPr>
            </w:pPr>
          </w:p>
        </w:tc>
        <w:tc>
          <w:tcPr>
            <w:tcW w:w="636" w:type="dxa"/>
          </w:tcPr>
          <w:p>
            <w:pPr>
              <w:pStyle w:val="TableParagraph"/>
              <w:spacing w:before="34"/>
              <w:ind w:left="33"/>
              <w:jc w:val="center"/>
              <w:rPr>
                <w:sz w:val="16"/>
              </w:rPr>
            </w:pPr>
            <w:r>
              <w:rPr>
                <w:color w:val="7E7E7E"/>
                <w:sz w:val="16"/>
              </w:rPr>
              <w:t>Per cent</w:t>
            </w:r>
          </w:p>
        </w:tc>
        <w:tc>
          <w:tcPr>
            <w:tcW w:w="934" w:type="dxa"/>
          </w:tcPr>
          <w:p>
            <w:pPr>
              <w:pStyle w:val="TableParagraph"/>
              <w:spacing w:before="83"/>
              <w:ind w:right="435"/>
              <w:jc w:val="right"/>
              <w:rPr>
                <w:sz w:val="16"/>
              </w:rPr>
            </w:pPr>
            <w:r>
              <w:rPr>
                <w:color w:val="7E7E7E"/>
                <w:w w:val="95"/>
                <w:sz w:val="16"/>
              </w:rPr>
              <w:t>40</w:t>
            </w:r>
          </w:p>
        </w:tc>
        <w:tc>
          <w:tcPr>
            <w:tcW w:w="867" w:type="dxa"/>
          </w:tcPr>
          <w:p>
            <w:pPr>
              <w:pStyle w:val="TableParagraph"/>
              <w:rPr>
                <w:rFonts w:ascii="Times New Roman"/>
                <w:sz w:val="18"/>
              </w:rPr>
            </w:pPr>
          </w:p>
        </w:tc>
        <w:tc>
          <w:tcPr>
            <w:tcW w:w="503" w:type="dxa"/>
          </w:tcPr>
          <w:p>
            <w:pPr>
              <w:pStyle w:val="TableParagraph"/>
              <w:rPr>
                <w:rFonts w:ascii="Times New Roman"/>
                <w:sz w:val="18"/>
              </w:rPr>
            </w:pPr>
          </w:p>
        </w:tc>
        <w:tc>
          <w:tcPr>
            <w:tcW w:w="1954" w:type="dxa"/>
          </w:tcPr>
          <w:p>
            <w:pPr>
              <w:pStyle w:val="TableParagraph"/>
              <w:rPr>
                <w:rFonts w:ascii="Times New Roman"/>
                <w:sz w:val="18"/>
              </w:rPr>
            </w:pPr>
          </w:p>
        </w:tc>
        <w:tc>
          <w:tcPr>
            <w:tcW w:w="623" w:type="dxa"/>
          </w:tcPr>
          <w:p>
            <w:pPr>
              <w:pStyle w:val="TableParagraph"/>
              <w:spacing w:before="34"/>
              <w:ind w:left="2"/>
              <w:jc w:val="center"/>
              <w:rPr>
                <w:sz w:val="16"/>
              </w:rPr>
            </w:pPr>
            <w:r>
              <w:rPr>
                <w:color w:val="7E7E7E"/>
                <w:sz w:val="16"/>
              </w:rPr>
              <w:t>Per cent</w:t>
            </w:r>
          </w:p>
        </w:tc>
        <w:tc>
          <w:tcPr>
            <w:tcW w:w="757" w:type="dxa"/>
          </w:tcPr>
          <w:p>
            <w:pPr>
              <w:pStyle w:val="TableParagraph"/>
              <w:spacing w:before="11"/>
              <w:rPr>
                <w:sz w:val="15"/>
              </w:rPr>
            </w:pPr>
          </w:p>
          <w:p>
            <w:pPr>
              <w:pStyle w:val="TableParagraph"/>
              <w:ind w:right="251"/>
              <w:jc w:val="right"/>
              <w:rPr>
                <w:sz w:val="16"/>
              </w:rPr>
            </w:pPr>
            <w:r>
              <w:rPr>
                <w:color w:val="585858"/>
                <w:w w:val="95"/>
                <w:sz w:val="16"/>
              </w:rPr>
              <w:t>40</w:t>
            </w:r>
          </w:p>
        </w:tc>
      </w:tr>
      <w:tr>
        <w:trPr>
          <w:trHeight w:val="388" w:hRule="atLeast"/>
        </w:trPr>
        <w:tc>
          <w:tcPr>
            <w:tcW w:w="977" w:type="dxa"/>
          </w:tcPr>
          <w:p>
            <w:pPr>
              <w:pStyle w:val="TableParagraph"/>
              <w:rPr>
                <w:rFonts w:ascii="Times New Roman"/>
                <w:sz w:val="18"/>
              </w:rPr>
            </w:pPr>
          </w:p>
        </w:tc>
        <w:tc>
          <w:tcPr>
            <w:tcW w:w="516" w:type="dxa"/>
          </w:tcPr>
          <w:p>
            <w:pPr>
              <w:pStyle w:val="TableParagraph"/>
              <w:rPr>
                <w:rFonts w:ascii="Times New Roman"/>
                <w:sz w:val="18"/>
              </w:rPr>
            </w:pPr>
          </w:p>
        </w:tc>
        <w:tc>
          <w:tcPr>
            <w:tcW w:w="494" w:type="dxa"/>
          </w:tcPr>
          <w:p>
            <w:pPr>
              <w:pStyle w:val="TableParagraph"/>
              <w:rPr>
                <w:rFonts w:ascii="Times New Roman"/>
                <w:sz w:val="18"/>
              </w:rPr>
            </w:pPr>
          </w:p>
        </w:tc>
        <w:tc>
          <w:tcPr>
            <w:tcW w:w="1528" w:type="dxa"/>
          </w:tcPr>
          <w:p>
            <w:pPr>
              <w:pStyle w:val="TableParagraph"/>
              <w:rPr>
                <w:rFonts w:ascii="Times New Roman"/>
                <w:sz w:val="18"/>
              </w:rPr>
            </w:pPr>
          </w:p>
        </w:tc>
        <w:tc>
          <w:tcPr>
            <w:tcW w:w="636" w:type="dxa"/>
          </w:tcPr>
          <w:p>
            <w:pPr>
              <w:pStyle w:val="TableParagraph"/>
              <w:rPr>
                <w:rFonts w:ascii="Times New Roman"/>
                <w:sz w:val="18"/>
              </w:rPr>
            </w:pPr>
          </w:p>
        </w:tc>
        <w:tc>
          <w:tcPr>
            <w:tcW w:w="934" w:type="dxa"/>
          </w:tcPr>
          <w:p>
            <w:pPr>
              <w:pStyle w:val="TableParagraph"/>
              <w:spacing w:before="52"/>
              <w:ind w:right="435"/>
              <w:jc w:val="right"/>
              <w:rPr>
                <w:sz w:val="16"/>
              </w:rPr>
            </w:pPr>
            <w:r>
              <w:rPr>
                <w:color w:val="7E7E7E"/>
                <w:w w:val="95"/>
                <w:sz w:val="16"/>
              </w:rPr>
              <w:t>35</w:t>
            </w:r>
          </w:p>
        </w:tc>
        <w:tc>
          <w:tcPr>
            <w:tcW w:w="867" w:type="dxa"/>
          </w:tcPr>
          <w:p>
            <w:pPr>
              <w:pStyle w:val="TableParagraph"/>
              <w:rPr>
                <w:rFonts w:ascii="Times New Roman"/>
                <w:sz w:val="18"/>
              </w:rPr>
            </w:pPr>
          </w:p>
        </w:tc>
        <w:tc>
          <w:tcPr>
            <w:tcW w:w="503" w:type="dxa"/>
          </w:tcPr>
          <w:p>
            <w:pPr>
              <w:pStyle w:val="TableParagraph"/>
              <w:rPr>
                <w:rFonts w:ascii="Times New Roman"/>
                <w:sz w:val="18"/>
              </w:rPr>
            </w:pPr>
          </w:p>
        </w:tc>
        <w:tc>
          <w:tcPr>
            <w:tcW w:w="1954" w:type="dxa"/>
          </w:tcPr>
          <w:p>
            <w:pPr>
              <w:pStyle w:val="TableParagraph"/>
              <w:rPr>
                <w:rFonts w:ascii="Times New Roman"/>
                <w:sz w:val="18"/>
              </w:rPr>
            </w:pPr>
          </w:p>
        </w:tc>
        <w:tc>
          <w:tcPr>
            <w:tcW w:w="623" w:type="dxa"/>
          </w:tcPr>
          <w:p>
            <w:pPr>
              <w:pStyle w:val="TableParagraph"/>
              <w:rPr>
                <w:rFonts w:ascii="Times New Roman"/>
                <w:sz w:val="18"/>
              </w:rPr>
            </w:pPr>
          </w:p>
        </w:tc>
        <w:tc>
          <w:tcPr>
            <w:tcW w:w="757" w:type="dxa"/>
          </w:tcPr>
          <w:p>
            <w:pPr>
              <w:pStyle w:val="TableParagraph"/>
              <w:spacing w:before="140"/>
              <w:ind w:right="251"/>
              <w:jc w:val="right"/>
              <w:rPr>
                <w:sz w:val="16"/>
              </w:rPr>
            </w:pPr>
            <w:r>
              <w:rPr>
                <w:color w:val="585858"/>
                <w:w w:val="95"/>
                <w:sz w:val="16"/>
              </w:rPr>
              <w:t>35</w:t>
            </w:r>
          </w:p>
        </w:tc>
      </w:tr>
      <w:tr>
        <w:trPr>
          <w:trHeight w:val="388" w:hRule="atLeast"/>
        </w:trPr>
        <w:tc>
          <w:tcPr>
            <w:tcW w:w="977" w:type="dxa"/>
          </w:tcPr>
          <w:p>
            <w:pPr>
              <w:pStyle w:val="TableParagraph"/>
              <w:rPr>
                <w:rFonts w:ascii="Times New Roman"/>
                <w:sz w:val="18"/>
              </w:rPr>
            </w:pPr>
          </w:p>
        </w:tc>
        <w:tc>
          <w:tcPr>
            <w:tcW w:w="516" w:type="dxa"/>
          </w:tcPr>
          <w:p>
            <w:pPr>
              <w:pStyle w:val="TableParagraph"/>
              <w:rPr>
                <w:rFonts w:ascii="Times New Roman"/>
                <w:sz w:val="18"/>
              </w:rPr>
            </w:pPr>
          </w:p>
        </w:tc>
        <w:tc>
          <w:tcPr>
            <w:tcW w:w="494" w:type="dxa"/>
          </w:tcPr>
          <w:p>
            <w:pPr>
              <w:pStyle w:val="TableParagraph"/>
              <w:rPr>
                <w:rFonts w:ascii="Times New Roman"/>
                <w:sz w:val="18"/>
              </w:rPr>
            </w:pPr>
          </w:p>
        </w:tc>
        <w:tc>
          <w:tcPr>
            <w:tcW w:w="1528" w:type="dxa"/>
          </w:tcPr>
          <w:p>
            <w:pPr>
              <w:pStyle w:val="TableParagraph"/>
              <w:rPr>
                <w:rFonts w:ascii="Times New Roman"/>
                <w:sz w:val="18"/>
              </w:rPr>
            </w:pPr>
          </w:p>
        </w:tc>
        <w:tc>
          <w:tcPr>
            <w:tcW w:w="636" w:type="dxa"/>
          </w:tcPr>
          <w:p>
            <w:pPr>
              <w:pStyle w:val="TableParagraph"/>
              <w:rPr>
                <w:rFonts w:ascii="Times New Roman"/>
                <w:sz w:val="18"/>
              </w:rPr>
            </w:pPr>
          </w:p>
        </w:tc>
        <w:tc>
          <w:tcPr>
            <w:tcW w:w="934" w:type="dxa"/>
          </w:tcPr>
          <w:p>
            <w:pPr>
              <w:pStyle w:val="TableParagraph"/>
              <w:spacing w:before="59"/>
              <w:ind w:right="435"/>
              <w:jc w:val="right"/>
              <w:rPr>
                <w:sz w:val="16"/>
              </w:rPr>
            </w:pPr>
            <w:r>
              <w:rPr>
                <w:color w:val="7E7E7E"/>
                <w:w w:val="95"/>
                <w:sz w:val="16"/>
              </w:rPr>
              <w:t>30</w:t>
            </w:r>
          </w:p>
        </w:tc>
        <w:tc>
          <w:tcPr>
            <w:tcW w:w="867" w:type="dxa"/>
          </w:tcPr>
          <w:p>
            <w:pPr>
              <w:pStyle w:val="TableParagraph"/>
              <w:rPr>
                <w:rFonts w:ascii="Times New Roman"/>
                <w:sz w:val="18"/>
              </w:rPr>
            </w:pPr>
          </w:p>
        </w:tc>
        <w:tc>
          <w:tcPr>
            <w:tcW w:w="503" w:type="dxa"/>
          </w:tcPr>
          <w:p>
            <w:pPr>
              <w:pStyle w:val="TableParagraph"/>
              <w:rPr>
                <w:rFonts w:ascii="Times New Roman"/>
                <w:sz w:val="18"/>
              </w:rPr>
            </w:pPr>
          </w:p>
        </w:tc>
        <w:tc>
          <w:tcPr>
            <w:tcW w:w="1954" w:type="dxa"/>
          </w:tcPr>
          <w:p>
            <w:pPr>
              <w:pStyle w:val="TableParagraph"/>
              <w:rPr>
                <w:rFonts w:ascii="Times New Roman"/>
                <w:sz w:val="18"/>
              </w:rPr>
            </w:pPr>
          </w:p>
        </w:tc>
        <w:tc>
          <w:tcPr>
            <w:tcW w:w="623" w:type="dxa"/>
          </w:tcPr>
          <w:p>
            <w:pPr>
              <w:pStyle w:val="TableParagraph"/>
              <w:rPr>
                <w:rFonts w:ascii="Times New Roman"/>
                <w:sz w:val="18"/>
              </w:rPr>
            </w:pPr>
          </w:p>
        </w:tc>
        <w:tc>
          <w:tcPr>
            <w:tcW w:w="757" w:type="dxa"/>
          </w:tcPr>
          <w:p>
            <w:pPr>
              <w:pStyle w:val="TableParagraph"/>
              <w:spacing w:before="133"/>
              <w:ind w:right="251"/>
              <w:jc w:val="right"/>
              <w:rPr>
                <w:sz w:val="16"/>
              </w:rPr>
            </w:pPr>
            <w:r>
              <w:rPr>
                <w:color w:val="585858"/>
                <w:w w:val="95"/>
                <w:sz w:val="16"/>
              </w:rPr>
              <w:t>30</w:t>
            </w:r>
          </w:p>
        </w:tc>
      </w:tr>
      <w:tr>
        <w:trPr>
          <w:trHeight w:val="388" w:hRule="atLeast"/>
        </w:trPr>
        <w:tc>
          <w:tcPr>
            <w:tcW w:w="977" w:type="dxa"/>
          </w:tcPr>
          <w:p>
            <w:pPr>
              <w:pStyle w:val="TableParagraph"/>
              <w:rPr>
                <w:rFonts w:ascii="Times New Roman"/>
                <w:sz w:val="18"/>
              </w:rPr>
            </w:pPr>
          </w:p>
        </w:tc>
        <w:tc>
          <w:tcPr>
            <w:tcW w:w="516" w:type="dxa"/>
          </w:tcPr>
          <w:p>
            <w:pPr>
              <w:pStyle w:val="TableParagraph"/>
              <w:rPr>
                <w:rFonts w:ascii="Times New Roman"/>
                <w:sz w:val="18"/>
              </w:rPr>
            </w:pPr>
          </w:p>
        </w:tc>
        <w:tc>
          <w:tcPr>
            <w:tcW w:w="494" w:type="dxa"/>
          </w:tcPr>
          <w:p>
            <w:pPr>
              <w:pStyle w:val="TableParagraph"/>
              <w:rPr>
                <w:rFonts w:ascii="Times New Roman"/>
                <w:sz w:val="18"/>
              </w:rPr>
            </w:pPr>
          </w:p>
        </w:tc>
        <w:tc>
          <w:tcPr>
            <w:tcW w:w="1528" w:type="dxa"/>
          </w:tcPr>
          <w:p>
            <w:pPr>
              <w:pStyle w:val="TableParagraph"/>
              <w:rPr>
                <w:rFonts w:ascii="Times New Roman"/>
                <w:sz w:val="18"/>
              </w:rPr>
            </w:pPr>
          </w:p>
        </w:tc>
        <w:tc>
          <w:tcPr>
            <w:tcW w:w="636" w:type="dxa"/>
          </w:tcPr>
          <w:p>
            <w:pPr>
              <w:pStyle w:val="TableParagraph"/>
              <w:rPr>
                <w:rFonts w:ascii="Times New Roman"/>
                <w:sz w:val="18"/>
              </w:rPr>
            </w:pPr>
          </w:p>
        </w:tc>
        <w:tc>
          <w:tcPr>
            <w:tcW w:w="934" w:type="dxa"/>
          </w:tcPr>
          <w:p>
            <w:pPr>
              <w:pStyle w:val="TableParagraph"/>
              <w:spacing w:before="65"/>
              <w:ind w:right="435"/>
              <w:jc w:val="right"/>
              <w:rPr>
                <w:sz w:val="16"/>
              </w:rPr>
            </w:pPr>
            <w:r>
              <w:rPr>
                <w:color w:val="7E7E7E"/>
                <w:w w:val="95"/>
                <w:sz w:val="16"/>
              </w:rPr>
              <w:t>25</w:t>
            </w:r>
          </w:p>
        </w:tc>
        <w:tc>
          <w:tcPr>
            <w:tcW w:w="867" w:type="dxa"/>
          </w:tcPr>
          <w:p>
            <w:pPr>
              <w:pStyle w:val="TableParagraph"/>
              <w:rPr>
                <w:rFonts w:ascii="Times New Roman"/>
                <w:sz w:val="18"/>
              </w:rPr>
            </w:pPr>
          </w:p>
        </w:tc>
        <w:tc>
          <w:tcPr>
            <w:tcW w:w="503" w:type="dxa"/>
          </w:tcPr>
          <w:p>
            <w:pPr>
              <w:pStyle w:val="TableParagraph"/>
              <w:rPr>
                <w:rFonts w:ascii="Times New Roman"/>
                <w:sz w:val="18"/>
              </w:rPr>
            </w:pPr>
          </w:p>
        </w:tc>
        <w:tc>
          <w:tcPr>
            <w:tcW w:w="1954" w:type="dxa"/>
          </w:tcPr>
          <w:p>
            <w:pPr>
              <w:pStyle w:val="TableParagraph"/>
              <w:rPr>
                <w:rFonts w:ascii="Times New Roman"/>
                <w:sz w:val="18"/>
              </w:rPr>
            </w:pPr>
          </w:p>
        </w:tc>
        <w:tc>
          <w:tcPr>
            <w:tcW w:w="623" w:type="dxa"/>
          </w:tcPr>
          <w:p>
            <w:pPr>
              <w:pStyle w:val="TableParagraph"/>
              <w:rPr>
                <w:rFonts w:ascii="Times New Roman"/>
                <w:sz w:val="18"/>
              </w:rPr>
            </w:pPr>
          </w:p>
        </w:tc>
        <w:tc>
          <w:tcPr>
            <w:tcW w:w="757" w:type="dxa"/>
          </w:tcPr>
          <w:p>
            <w:pPr>
              <w:pStyle w:val="TableParagraph"/>
              <w:spacing w:before="128"/>
              <w:ind w:right="251"/>
              <w:jc w:val="right"/>
              <w:rPr>
                <w:sz w:val="16"/>
              </w:rPr>
            </w:pPr>
            <w:r>
              <w:rPr>
                <w:color w:val="585858"/>
                <w:w w:val="95"/>
                <w:sz w:val="16"/>
              </w:rPr>
              <w:t>25</w:t>
            </w:r>
          </w:p>
        </w:tc>
      </w:tr>
      <w:tr>
        <w:trPr>
          <w:trHeight w:val="388" w:hRule="atLeast"/>
        </w:trPr>
        <w:tc>
          <w:tcPr>
            <w:tcW w:w="977" w:type="dxa"/>
          </w:tcPr>
          <w:p>
            <w:pPr>
              <w:pStyle w:val="TableParagraph"/>
              <w:rPr>
                <w:rFonts w:ascii="Times New Roman"/>
                <w:sz w:val="18"/>
              </w:rPr>
            </w:pPr>
          </w:p>
        </w:tc>
        <w:tc>
          <w:tcPr>
            <w:tcW w:w="516" w:type="dxa"/>
          </w:tcPr>
          <w:p>
            <w:pPr>
              <w:pStyle w:val="TableParagraph"/>
              <w:rPr>
                <w:rFonts w:ascii="Times New Roman"/>
                <w:sz w:val="18"/>
              </w:rPr>
            </w:pPr>
          </w:p>
        </w:tc>
        <w:tc>
          <w:tcPr>
            <w:tcW w:w="494" w:type="dxa"/>
          </w:tcPr>
          <w:p>
            <w:pPr>
              <w:pStyle w:val="TableParagraph"/>
              <w:rPr>
                <w:rFonts w:ascii="Times New Roman"/>
                <w:sz w:val="18"/>
              </w:rPr>
            </w:pPr>
          </w:p>
        </w:tc>
        <w:tc>
          <w:tcPr>
            <w:tcW w:w="1528" w:type="dxa"/>
          </w:tcPr>
          <w:p>
            <w:pPr>
              <w:pStyle w:val="TableParagraph"/>
              <w:rPr>
                <w:rFonts w:ascii="Times New Roman"/>
                <w:sz w:val="18"/>
              </w:rPr>
            </w:pPr>
          </w:p>
        </w:tc>
        <w:tc>
          <w:tcPr>
            <w:tcW w:w="636" w:type="dxa"/>
          </w:tcPr>
          <w:p>
            <w:pPr>
              <w:pStyle w:val="TableParagraph"/>
              <w:rPr>
                <w:rFonts w:ascii="Times New Roman"/>
                <w:sz w:val="18"/>
              </w:rPr>
            </w:pPr>
          </w:p>
        </w:tc>
        <w:tc>
          <w:tcPr>
            <w:tcW w:w="934" w:type="dxa"/>
          </w:tcPr>
          <w:p>
            <w:pPr>
              <w:pStyle w:val="TableParagraph"/>
              <w:spacing w:before="71"/>
              <w:ind w:right="435"/>
              <w:jc w:val="right"/>
              <w:rPr>
                <w:sz w:val="16"/>
              </w:rPr>
            </w:pPr>
            <w:r>
              <w:rPr>
                <w:color w:val="7E7E7E"/>
                <w:w w:val="95"/>
                <w:sz w:val="16"/>
              </w:rPr>
              <w:t>20</w:t>
            </w:r>
          </w:p>
        </w:tc>
        <w:tc>
          <w:tcPr>
            <w:tcW w:w="867" w:type="dxa"/>
          </w:tcPr>
          <w:p>
            <w:pPr>
              <w:pStyle w:val="TableParagraph"/>
              <w:rPr>
                <w:rFonts w:ascii="Times New Roman"/>
                <w:sz w:val="18"/>
              </w:rPr>
            </w:pPr>
          </w:p>
        </w:tc>
        <w:tc>
          <w:tcPr>
            <w:tcW w:w="503" w:type="dxa"/>
          </w:tcPr>
          <w:p>
            <w:pPr>
              <w:pStyle w:val="TableParagraph"/>
              <w:rPr>
                <w:rFonts w:ascii="Times New Roman"/>
                <w:sz w:val="18"/>
              </w:rPr>
            </w:pPr>
          </w:p>
        </w:tc>
        <w:tc>
          <w:tcPr>
            <w:tcW w:w="1954" w:type="dxa"/>
          </w:tcPr>
          <w:p>
            <w:pPr>
              <w:pStyle w:val="TableParagraph"/>
              <w:rPr>
                <w:rFonts w:ascii="Times New Roman"/>
                <w:sz w:val="18"/>
              </w:rPr>
            </w:pPr>
          </w:p>
        </w:tc>
        <w:tc>
          <w:tcPr>
            <w:tcW w:w="623" w:type="dxa"/>
          </w:tcPr>
          <w:p>
            <w:pPr>
              <w:pStyle w:val="TableParagraph"/>
              <w:rPr>
                <w:rFonts w:ascii="Times New Roman"/>
                <w:sz w:val="18"/>
              </w:rPr>
            </w:pPr>
          </w:p>
        </w:tc>
        <w:tc>
          <w:tcPr>
            <w:tcW w:w="757" w:type="dxa"/>
          </w:tcPr>
          <w:p>
            <w:pPr>
              <w:pStyle w:val="TableParagraph"/>
              <w:spacing w:before="121"/>
              <w:ind w:right="251"/>
              <w:jc w:val="right"/>
              <w:rPr>
                <w:sz w:val="16"/>
              </w:rPr>
            </w:pPr>
            <w:r>
              <w:rPr>
                <w:color w:val="585858"/>
                <w:w w:val="95"/>
                <w:sz w:val="16"/>
              </w:rPr>
              <w:t>20</w:t>
            </w:r>
          </w:p>
        </w:tc>
      </w:tr>
      <w:tr>
        <w:trPr>
          <w:trHeight w:val="388" w:hRule="atLeast"/>
        </w:trPr>
        <w:tc>
          <w:tcPr>
            <w:tcW w:w="977" w:type="dxa"/>
          </w:tcPr>
          <w:p>
            <w:pPr>
              <w:pStyle w:val="TableParagraph"/>
              <w:rPr>
                <w:rFonts w:ascii="Times New Roman"/>
                <w:sz w:val="18"/>
              </w:rPr>
            </w:pPr>
          </w:p>
        </w:tc>
        <w:tc>
          <w:tcPr>
            <w:tcW w:w="516" w:type="dxa"/>
          </w:tcPr>
          <w:p>
            <w:pPr>
              <w:pStyle w:val="TableParagraph"/>
              <w:rPr>
                <w:rFonts w:ascii="Times New Roman"/>
                <w:sz w:val="18"/>
              </w:rPr>
            </w:pPr>
          </w:p>
        </w:tc>
        <w:tc>
          <w:tcPr>
            <w:tcW w:w="494" w:type="dxa"/>
          </w:tcPr>
          <w:p>
            <w:pPr>
              <w:pStyle w:val="TableParagraph"/>
              <w:rPr>
                <w:rFonts w:ascii="Times New Roman"/>
                <w:sz w:val="18"/>
              </w:rPr>
            </w:pPr>
          </w:p>
        </w:tc>
        <w:tc>
          <w:tcPr>
            <w:tcW w:w="1528" w:type="dxa"/>
          </w:tcPr>
          <w:p>
            <w:pPr>
              <w:pStyle w:val="TableParagraph"/>
              <w:rPr>
                <w:rFonts w:ascii="Times New Roman"/>
                <w:sz w:val="18"/>
              </w:rPr>
            </w:pPr>
          </w:p>
        </w:tc>
        <w:tc>
          <w:tcPr>
            <w:tcW w:w="636" w:type="dxa"/>
          </w:tcPr>
          <w:p>
            <w:pPr>
              <w:pStyle w:val="TableParagraph"/>
              <w:rPr>
                <w:rFonts w:ascii="Times New Roman"/>
                <w:sz w:val="18"/>
              </w:rPr>
            </w:pPr>
          </w:p>
        </w:tc>
        <w:tc>
          <w:tcPr>
            <w:tcW w:w="934" w:type="dxa"/>
          </w:tcPr>
          <w:p>
            <w:pPr>
              <w:pStyle w:val="TableParagraph"/>
              <w:spacing w:before="77"/>
              <w:ind w:right="435"/>
              <w:jc w:val="right"/>
              <w:rPr>
                <w:sz w:val="16"/>
              </w:rPr>
            </w:pPr>
            <w:r>
              <w:rPr>
                <w:color w:val="7E7E7E"/>
                <w:w w:val="95"/>
                <w:sz w:val="16"/>
              </w:rPr>
              <w:t>15</w:t>
            </w:r>
          </w:p>
        </w:tc>
        <w:tc>
          <w:tcPr>
            <w:tcW w:w="867" w:type="dxa"/>
          </w:tcPr>
          <w:p>
            <w:pPr>
              <w:pStyle w:val="TableParagraph"/>
              <w:rPr>
                <w:rFonts w:ascii="Times New Roman"/>
                <w:sz w:val="18"/>
              </w:rPr>
            </w:pPr>
          </w:p>
        </w:tc>
        <w:tc>
          <w:tcPr>
            <w:tcW w:w="503" w:type="dxa"/>
          </w:tcPr>
          <w:p>
            <w:pPr>
              <w:pStyle w:val="TableParagraph"/>
              <w:rPr>
                <w:rFonts w:ascii="Times New Roman"/>
                <w:sz w:val="18"/>
              </w:rPr>
            </w:pPr>
          </w:p>
        </w:tc>
        <w:tc>
          <w:tcPr>
            <w:tcW w:w="1954" w:type="dxa"/>
          </w:tcPr>
          <w:p>
            <w:pPr>
              <w:pStyle w:val="TableParagraph"/>
              <w:rPr>
                <w:rFonts w:ascii="Times New Roman"/>
                <w:sz w:val="18"/>
              </w:rPr>
            </w:pPr>
          </w:p>
        </w:tc>
        <w:tc>
          <w:tcPr>
            <w:tcW w:w="623" w:type="dxa"/>
          </w:tcPr>
          <w:p>
            <w:pPr>
              <w:pStyle w:val="TableParagraph"/>
              <w:rPr>
                <w:rFonts w:ascii="Times New Roman"/>
                <w:sz w:val="18"/>
              </w:rPr>
            </w:pPr>
          </w:p>
        </w:tc>
        <w:tc>
          <w:tcPr>
            <w:tcW w:w="757" w:type="dxa"/>
          </w:tcPr>
          <w:p>
            <w:pPr>
              <w:pStyle w:val="TableParagraph"/>
              <w:spacing w:before="115"/>
              <w:ind w:right="251"/>
              <w:jc w:val="right"/>
              <w:rPr>
                <w:sz w:val="16"/>
              </w:rPr>
            </w:pPr>
            <w:r>
              <w:rPr>
                <w:color w:val="585858"/>
                <w:w w:val="95"/>
                <w:sz w:val="16"/>
              </w:rPr>
              <w:t>15</w:t>
            </w:r>
          </w:p>
        </w:tc>
      </w:tr>
      <w:tr>
        <w:trPr>
          <w:trHeight w:val="388" w:hRule="atLeast"/>
        </w:trPr>
        <w:tc>
          <w:tcPr>
            <w:tcW w:w="977" w:type="dxa"/>
          </w:tcPr>
          <w:p>
            <w:pPr>
              <w:pStyle w:val="TableParagraph"/>
              <w:rPr>
                <w:rFonts w:ascii="Times New Roman"/>
                <w:sz w:val="18"/>
              </w:rPr>
            </w:pPr>
          </w:p>
        </w:tc>
        <w:tc>
          <w:tcPr>
            <w:tcW w:w="516" w:type="dxa"/>
          </w:tcPr>
          <w:p>
            <w:pPr>
              <w:pStyle w:val="TableParagraph"/>
              <w:rPr>
                <w:rFonts w:ascii="Times New Roman"/>
                <w:sz w:val="18"/>
              </w:rPr>
            </w:pPr>
          </w:p>
        </w:tc>
        <w:tc>
          <w:tcPr>
            <w:tcW w:w="494" w:type="dxa"/>
          </w:tcPr>
          <w:p>
            <w:pPr>
              <w:pStyle w:val="TableParagraph"/>
              <w:rPr>
                <w:rFonts w:ascii="Times New Roman"/>
                <w:sz w:val="18"/>
              </w:rPr>
            </w:pPr>
          </w:p>
        </w:tc>
        <w:tc>
          <w:tcPr>
            <w:tcW w:w="1528" w:type="dxa"/>
          </w:tcPr>
          <w:p>
            <w:pPr>
              <w:pStyle w:val="TableParagraph"/>
              <w:rPr>
                <w:rFonts w:ascii="Times New Roman"/>
                <w:sz w:val="18"/>
              </w:rPr>
            </w:pPr>
          </w:p>
        </w:tc>
        <w:tc>
          <w:tcPr>
            <w:tcW w:w="636" w:type="dxa"/>
          </w:tcPr>
          <w:p>
            <w:pPr>
              <w:pStyle w:val="TableParagraph"/>
              <w:rPr>
                <w:rFonts w:ascii="Times New Roman"/>
                <w:sz w:val="18"/>
              </w:rPr>
            </w:pPr>
          </w:p>
        </w:tc>
        <w:tc>
          <w:tcPr>
            <w:tcW w:w="934" w:type="dxa"/>
          </w:tcPr>
          <w:p>
            <w:pPr>
              <w:pStyle w:val="TableParagraph"/>
              <w:spacing w:before="84"/>
              <w:ind w:right="435"/>
              <w:jc w:val="right"/>
              <w:rPr>
                <w:sz w:val="16"/>
              </w:rPr>
            </w:pPr>
            <w:r>
              <w:rPr>
                <w:color w:val="7E7E7E"/>
                <w:w w:val="95"/>
                <w:sz w:val="16"/>
              </w:rPr>
              <w:t>10</w:t>
            </w:r>
          </w:p>
        </w:tc>
        <w:tc>
          <w:tcPr>
            <w:tcW w:w="867" w:type="dxa"/>
          </w:tcPr>
          <w:p>
            <w:pPr>
              <w:pStyle w:val="TableParagraph"/>
              <w:rPr>
                <w:rFonts w:ascii="Times New Roman"/>
                <w:sz w:val="18"/>
              </w:rPr>
            </w:pPr>
          </w:p>
        </w:tc>
        <w:tc>
          <w:tcPr>
            <w:tcW w:w="503" w:type="dxa"/>
          </w:tcPr>
          <w:p>
            <w:pPr>
              <w:pStyle w:val="TableParagraph"/>
              <w:rPr>
                <w:rFonts w:ascii="Times New Roman"/>
                <w:sz w:val="18"/>
              </w:rPr>
            </w:pPr>
          </w:p>
        </w:tc>
        <w:tc>
          <w:tcPr>
            <w:tcW w:w="1954" w:type="dxa"/>
          </w:tcPr>
          <w:p>
            <w:pPr>
              <w:pStyle w:val="TableParagraph"/>
              <w:rPr>
                <w:rFonts w:ascii="Times New Roman"/>
                <w:sz w:val="18"/>
              </w:rPr>
            </w:pPr>
          </w:p>
        </w:tc>
        <w:tc>
          <w:tcPr>
            <w:tcW w:w="623" w:type="dxa"/>
          </w:tcPr>
          <w:p>
            <w:pPr>
              <w:pStyle w:val="TableParagraph"/>
              <w:rPr>
                <w:rFonts w:ascii="Times New Roman"/>
                <w:sz w:val="18"/>
              </w:rPr>
            </w:pPr>
          </w:p>
        </w:tc>
        <w:tc>
          <w:tcPr>
            <w:tcW w:w="757" w:type="dxa"/>
          </w:tcPr>
          <w:p>
            <w:pPr>
              <w:pStyle w:val="TableParagraph"/>
              <w:spacing w:before="109"/>
              <w:ind w:right="251"/>
              <w:jc w:val="right"/>
              <w:rPr>
                <w:sz w:val="16"/>
              </w:rPr>
            </w:pPr>
            <w:r>
              <w:rPr>
                <w:color w:val="585858"/>
                <w:w w:val="95"/>
                <w:sz w:val="16"/>
              </w:rPr>
              <w:t>10</w:t>
            </w:r>
          </w:p>
        </w:tc>
      </w:tr>
      <w:tr>
        <w:trPr>
          <w:trHeight w:val="388" w:hRule="atLeast"/>
        </w:trPr>
        <w:tc>
          <w:tcPr>
            <w:tcW w:w="977" w:type="dxa"/>
          </w:tcPr>
          <w:p>
            <w:pPr>
              <w:pStyle w:val="TableParagraph"/>
              <w:rPr>
                <w:rFonts w:ascii="Times New Roman"/>
                <w:sz w:val="18"/>
              </w:rPr>
            </w:pPr>
          </w:p>
        </w:tc>
        <w:tc>
          <w:tcPr>
            <w:tcW w:w="516" w:type="dxa"/>
          </w:tcPr>
          <w:p>
            <w:pPr>
              <w:pStyle w:val="TableParagraph"/>
              <w:rPr>
                <w:rFonts w:ascii="Times New Roman"/>
                <w:sz w:val="18"/>
              </w:rPr>
            </w:pPr>
          </w:p>
        </w:tc>
        <w:tc>
          <w:tcPr>
            <w:tcW w:w="494" w:type="dxa"/>
          </w:tcPr>
          <w:p>
            <w:pPr>
              <w:pStyle w:val="TableParagraph"/>
              <w:rPr>
                <w:rFonts w:ascii="Times New Roman"/>
                <w:sz w:val="18"/>
              </w:rPr>
            </w:pPr>
          </w:p>
        </w:tc>
        <w:tc>
          <w:tcPr>
            <w:tcW w:w="1528" w:type="dxa"/>
          </w:tcPr>
          <w:p>
            <w:pPr>
              <w:pStyle w:val="TableParagraph"/>
              <w:rPr>
                <w:rFonts w:ascii="Times New Roman"/>
                <w:sz w:val="18"/>
              </w:rPr>
            </w:pPr>
          </w:p>
        </w:tc>
        <w:tc>
          <w:tcPr>
            <w:tcW w:w="636" w:type="dxa"/>
          </w:tcPr>
          <w:p>
            <w:pPr>
              <w:pStyle w:val="TableParagraph"/>
              <w:rPr>
                <w:rFonts w:ascii="Times New Roman"/>
                <w:sz w:val="18"/>
              </w:rPr>
            </w:pPr>
          </w:p>
        </w:tc>
        <w:tc>
          <w:tcPr>
            <w:tcW w:w="934" w:type="dxa"/>
          </w:tcPr>
          <w:p>
            <w:pPr>
              <w:pStyle w:val="TableParagraph"/>
              <w:spacing w:before="90"/>
              <w:ind w:right="205"/>
              <w:jc w:val="center"/>
              <w:rPr>
                <w:sz w:val="16"/>
              </w:rPr>
            </w:pPr>
            <w:r>
              <w:rPr>
                <w:color w:val="7E7E7E"/>
                <w:w w:val="99"/>
                <w:sz w:val="16"/>
              </w:rPr>
              <w:t>5</w:t>
            </w:r>
          </w:p>
        </w:tc>
        <w:tc>
          <w:tcPr>
            <w:tcW w:w="867" w:type="dxa"/>
          </w:tcPr>
          <w:p>
            <w:pPr>
              <w:pStyle w:val="TableParagraph"/>
              <w:rPr>
                <w:rFonts w:ascii="Times New Roman"/>
                <w:sz w:val="18"/>
              </w:rPr>
            </w:pPr>
          </w:p>
        </w:tc>
        <w:tc>
          <w:tcPr>
            <w:tcW w:w="503" w:type="dxa"/>
          </w:tcPr>
          <w:p>
            <w:pPr>
              <w:pStyle w:val="TableParagraph"/>
              <w:rPr>
                <w:rFonts w:ascii="Times New Roman"/>
                <w:sz w:val="18"/>
              </w:rPr>
            </w:pPr>
          </w:p>
        </w:tc>
        <w:tc>
          <w:tcPr>
            <w:tcW w:w="1954" w:type="dxa"/>
          </w:tcPr>
          <w:p>
            <w:pPr>
              <w:pStyle w:val="TableParagraph"/>
              <w:rPr>
                <w:rFonts w:ascii="Times New Roman"/>
                <w:sz w:val="18"/>
              </w:rPr>
            </w:pPr>
          </w:p>
        </w:tc>
        <w:tc>
          <w:tcPr>
            <w:tcW w:w="623" w:type="dxa"/>
          </w:tcPr>
          <w:p>
            <w:pPr>
              <w:pStyle w:val="TableParagraph"/>
              <w:rPr>
                <w:rFonts w:ascii="Times New Roman"/>
                <w:sz w:val="18"/>
              </w:rPr>
            </w:pPr>
          </w:p>
        </w:tc>
        <w:tc>
          <w:tcPr>
            <w:tcW w:w="757" w:type="dxa"/>
          </w:tcPr>
          <w:p>
            <w:pPr>
              <w:pStyle w:val="TableParagraph"/>
              <w:spacing w:before="102"/>
              <w:ind w:right="15"/>
              <w:jc w:val="center"/>
              <w:rPr>
                <w:sz w:val="16"/>
              </w:rPr>
            </w:pPr>
            <w:r>
              <w:rPr>
                <w:color w:val="585858"/>
                <w:w w:val="99"/>
                <w:sz w:val="16"/>
              </w:rPr>
              <w:t>5</w:t>
            </w:r>
          </w:p>
        </w:tc>
      </w:tr>
      <w:tr>
        <w:trPr>
          <w:trHeight w:val="286" w:hRule="atLeast"/>
        </w:trPr>
        <w:tc>
          <w:tcPr>
            <w:tcW w:w="977" w:type="dxa"/>
          </w:tcPr>
          <w:p>
            <w:pPr>
              <w:pStyle w:val="TableParagraph"/>
              <w:rPr>
                <w:rFonts w:ascii="Times New Roman"/>
                <w:sz w:val="18"/>
              </w:rPr>
            </w:pPr>
          </w:p>
        </w:tc>
        <w:tc>
          <w:tcPr>
            <w:tcW w:w="516" w:type="dxa"/>
          </w:tcPr>
          <w:p>
            <w:pPr>
              <w:pStyle w:val="TableParagraph"/>
              <w:rPr>
                <w:rFonts w:ascii="Times New Roman"/>
                <w:sz w:val="18"/>
              </w:rPr>
            </w:pPr>
          </w:p>
        </w:tc>
        <w:tc>
          <w:tcPr>
            <w:tcW w:w="494" w:type="dxa"/>
          </w:tcPr>
          <w:p>
            <w:pPr>
              <w:pStyle w:val="TableParagraph"/>
              <w:rPr>
                <w:rFonts w:ascii="Times New Roman"/>
                <w:sz w:val="18"/>
              </w:rPr>
            </w:pPr>
          </w:p>
        </w:tc>
        <w:tc>
          <w:tcPr>
            <w:tcW w:w="1528" w:type="dxa"/>
          </w:tcPr>
          <w:p>
            <w:pPr>
              <w:pStyle w:val="TableParagraph"/>
              <w:rPr>
                <w:rFonts w:ascii="Times New Roman"/>
                <w:sz w:val="18"/>
              </w:rPr>
            </w:pPr>
          </w:p>
        </w:tc>
        <w:tc>
          <w:tcPr>
            <w:tcW w:w="636" w:type="dxa"/>
          </w:tcPr>
          <w:p>
            <w:pPr>
              <w:pStyle w:val="TableParagraph"/>
              <w:rPr>
                <w:rFonts w:ascii="Times New Roman"/>
                <w:sz w:val="18"/>
              </w:rPr>
            </w:pPr>
          </w:p>
        </w:tc>
        <w:tc>
          <w:tcPr>
            <w:tcW w:w="934" w:type="dxa"/>
          </w:tcPr>
          <w:p>
            <w:pPr>
              <w:pStyle w:val="TableParagraph"/>
              <w:spacing w:line="170" w:lineRule="exact" w:before="96"/>
              <w:ind w:right="205"/>
              <w:jc w:val="center"/>
              <w:rPr>
                <w:sz w:val="16"/>
              </w:rPr>
            </w:pPr>
            <w:r>
              <w:rPr>
                <w:color w:val="7E7E7E"/>
                <w:w w:val="99"/>
                <w:sz w:val="16"/>
              </w:rPr>
              <w:t>0</w:t>
            </w:r>
          </w:p>
        </w:tc>
        <w:tc>
          <w:tcPr>
            <w:tcW w:w="867" w:type="dxa"/>
          </w:tcPr>
          <w:p>
            <w:pPr>
              <w:pStyle w:val="TableParagraph"/>
              <w:rPr>
                <w:rFonts w:ascii="Times New Roman"/>
                <w:sz w:val="18"/>
              </w:rPr>
            </w:pPr>
          </w:p>
        </w:tc>
        <w:tc>
          <w:tcPr>
            <w:tcW w:w="503" w:type="dxa"/>
          </w:tcPr>
          <w:p>
            <w:pPr>
              <w:pStyle w:val="TableParagraph"/>
              <w:rPr>
                <w:rFonts w:ascii="Times New Roman"/>
                <w:sz w:val="18"/>
              </w:rPr>
            </w:pPr>
          </w:p>
        </w:tc>
        <w:tc>
          <w:tcPr>
            <w:tcW w:w="1954" w:type="dxa"/>
          </w:tcPr>
          <w:p>
            <w:pPr>
              <w:pStyle w:val="TableParagraph"/>
              <w:rPr>
                <w:rFonts w:ascii="Times New Roman"/>
                <w:sz w:val="18"/>
              </w:rPr>
            </w:pPr>
          </w:p>
        </w:tc>
        <w:tc>
          <w:tcPr>
            <w:tcW w:w="623" w:type="dxa"/>
          </w:tcPr>
          <w:p>
            <w:pPr>
              <w:pStyle w:val="TableParagraph"/>
              <w:rPr>
                <w:rFonts w:ascii="Times New Roman"/>
                <w:sz w:val="18"/>
              </w:rPr>
            </w:pPr>
          </w:p>
        </w:tc>
        <w:tc>
          <w:tcPr>
            <w:tcW w:w="757" w:type="dxa"/>
          </w:tcPr>
          <w:p>
            <w:pPr>
              <w:pStyle w:val="TableParagraph"/>
              <w:spacing w:line="170" w:lineRule="exact" w:before="96"/>
              <w:ind w:right="15"/>
              <w:jc w:val="center"/>
              <w:rPr>
                <w:sz w:val="16"/>
              </w:rPr>
            </w:pPr>
            <w:r>
              <w:rPr>
                <w:color w:val="585858"/>
                <w:w w:val="99"/>
                <w:sz w:val="16"/>
              </w:rPr>
              <w:t>0</w:t>
            </w:r>
          </w:p>
        </w:tc>
      </w:tr>
      <w:tr>
        <w:trPr>
          <w:trHeight w:val="277" w:hRule="atLeast"/>
        </w:trPr>
        <w:tc>
          <w:tcPr>
            <w:tcW w:w="977" w:type="dxa"/>
          </w:tcPr>
          <w:p>
            <w:pPr>
              <w:pStyle w:val="TableParagraph"/>
              <w:ind w:left="540"/>
              <w:rPr>
                <w:sz w:val="16"/>
              </w:rPr>
            </w:pPr>
            <w:r>
              <w:rPr>
                <w:color w:val="7E7E7E"/>
                <w:sz w:val="16"/>
              </w:rPr>
              <w:t>1990</w:t>
            </w:r>
          </w:p>
        </w:tc>
        <w:tc>
          <w:tcPr>
            <w:tcW w:w="516" w:type="dxa"/>
          </w:tcPr>
          <w:p>
            <w:pPr>
              <w:pStyle w:val="TableParagraph"/>
              <w:ind w:left="79"/>
              <w:rPr>
                <w:sz w:val="16"/>
              </w:rPr>
            </w:pPr>
            <w:r>
              <w:rPr>
                <w:color w:val="7E7E7E"/>
                <w:sz w:val="16"/>
              </w:rPr>
              <w:t>1994</w:t>
            </w:r>
          </w:p>
        </w:tc>
        <w:tc>
          <w:tcPr>
            <w:tcW w:w="494" w:type="dxa"/>
          </w:tcPr>
          <w:p>
            <w:pPr>
              <w:pStyle w:val="TableParagraph"/>
              <w:ind w:left="80"/>
              <w:rPr>
                <w:sz w:val="16"/>
              </w:rPr>
            </w:pPr>
            <w:r>
              <w:rPr>
                <w:color w:val="7E7E7E"/>
                <w:sz w:val="16"/>
              </w:rPr>
              <w:t>1998</w:t>
            </w:r>
          </w:p>
        </w:tc>
        <w:tc>
          <w:tcPr>
            <w:tcW w:w="1528" w:type="dxa"/>
          </w:tcPr>
          <w:p>
            <w:pPr>
              <w:pStyle w:val="TableParagraph"/>
              <w:ind w:left="102"/>
              <w:rPr>
                <w:sz w:val="16"/>
              </w:rPr>
            </w:pPr>
            <w:r>
              <w:rPr>
                <w:color w:val="7E7E7E"/>
                <w:sz w:val="16"/>
              </w:rPr>
              <w:t>2002 2006 2010</w:t>
            </w:r>
          </w:p>
        </w:tc>
        <w:tc>
          <w:tcPr>
            <w:tcW w:w="636" w:type="dxa"/>
          </w:tcPr>
          <w:p>
            <w:pPr>
              <w:pStyle w:val="TableParagraph"/>
              <w:ind w:left="33" w:right="63"/>
              <w:jc w:val="center"/>
              <w:rPr>
                <w:sz w:val="16"/>
              </w:rPr>
            </w:pPr>
            <w:r>
              <w:rPr>
                <w:color w:val="7E7E7E"/>
                <w:sz w:val="16"/>
              </w:rPr>
              <w:t>2014</w:t>
            </w:r>
          </w:p>
        </w:tc>
        <w:tc>
          <w:tcPr>
            <w:tcW w:w="934" w:type="dxa"/>
          </w:tcPr>
          <w:p>
            <w:pPr>
              <w:pStyle w:val="TableParagraph"/>
              <w:ind w:left="3"/>
              <w:rPr>
                <w:sz w:val="16"/>
              </w:rPr>
            </w:pPr>
            <w:r>
              <w:rPr>
                <w:color w:val="7E7E7E"/>
                <w:sz w:val="16"/>
              </w:rPr>
              <w:t>2018</w:t>
            </w:r>
          </w:p>
        </w:tc>
        <w:tc>
          <w:tcPr>
            <w:tcW w:w="867" w:type="dxa"/>
          </w:tcPr>
          <w:p>
            <w:pPr>
              <w:pStyle w:val="TableParagraph"/>
              <w:ind w:left="437"/>
              <w:rPr>
                <w:sz w:val="16"/>
              </w:rPr>
            </w:pPr>
            <w:r>
              <w:rPr>
                <w:color w:val="585858"/>
                <w:sz w:val="16"/>
              </w:rPr>
              <w:t>1990</w:t>
            </w:r>
          </w:p>
        </w:tc>
        <w:tc>
          <w:tcPr>
            <w:tcW w:w="503" w:type="dxa"/>
          </w:tcPr>
          <w:p>
            <w:pPr>
              <w:pStyle w:val="TableParagraph"/>
              <w:ind w:left="73"/>
              <w:rPr>
                <w:sz w:val="16"/>
              </w:rPr>
            </w:pPr>
            <w:r>
              <w:rPr>
                <w:color w:val="585858"/>
                <w:sz w:val="16"/>
              </w:rPr>
              <w:t>1994</w:t>
            </w:r>
          </w:p>
        </w:tc>
        <w:tc>
          <w:tcPr>
            <w:tcW w:w="1954" w:type="dxa"/>
          </w:tcPr>
          <w:p>
            <w:pPr>
              <w:pStyle w:val="TableParagraph"/>
              <w:ind w:left="206" w:right="150"/>
              <w:jc w:val="center"/>
              <w:rPr>
                <w:sz w:val="16"/>
              </w:rPr>
            </w:pPr>
            <w:r>
              <w:rPr>
                <w:color w:val="585858"/>
                <w:sz w:val="16"/>
              </w:rPr>
              <w:t>1998 2002 2006 2010</w:t>
            </w:r>
          </w:p>
        </w:tc>
        <w:tc>
          <w:tcPr>
            <w:tcW w:w="623" w:type="dxa"/>
          </w:tcPr>
          <w:p>
            <w:pPr>
              <w:pStyle w:val="TableParagraph"/>
              <w:ind w:left="2" w:right="6"/>
              <w:jc w:val="center"/>
              <w:rPr>
                <w:sz w:val="16"/>
              </w:rPr>
            </w:pPr>
            <w:r>
              <w:rPr>
                <w:color w:val="585858"/>
                <w:sz w:val="16"/>
              </w:rPr>
              <w:t>2014</w:t>
            </w:r>
          </w:p>
        </w:tc>
        <w:tc>
          <w:tcPr>
            <w:tcW w:w="757" w:type="dxa"/>
          </w:tcPr>
          <w:p>
            <w:pPr>
              <w:pStyle w:val="TableParagraph"/>
              <w:ind w:left="10"/>
              <w:rPr>
                <w:sz w:val="16"/>
              </w:rPr>
            </w:pPr>
            <w:r>
              <w:rPr>
                <w:color w:val="585858"/>
                <w:sz w:val="16"/>
              </w:rPr>
              <w:t>2018</w:t>
            </w:r>
          </w:p>
        </w:tc>
      </w:tr>
      <w:tr>
        <w:trPr>
          <w:trHeight w:val="185" w:hRule="atLeast"/>
        </w:trPr>
        <w:tc>
          <w:tcPr>
            <w:tcW w:w="977" w:type="dxa"/>
          </w:tcPr>
          <w:p>
            <w:pPr>
              <w:pStyle w:val="TableParagraph"/>
              <w:rPr>
                <w:rFonts w:ascii="Times New Roman"/>
                <w:sz w:val="12"/>
              </w:rPr>
            </w:pPr>
          </w:p>
        </w:tc>
        <w:tc>
          <w:tcPr>
            <w:tcW w:w="516" w:type="dxa"/>
          </w:tcPr>
          <w:p>
            <w:pPr>
              <w:pStyle w:val="TableParagraph"/>
              <w:rPr>
                <w:rFonts w:ascii="Times New Roman"/>
                <w:sz w:val="12"/>
              </w:rPr>
            </w:pPr>
          </w:p>
        </w:tc>
        <w:tc>
          <w:tcPr>
            <w:tcW w:w="494" w:type="dxa"/>
          </w:tcPr>
          <w:p>
            <w:pPr>
              <w:pStyle w:val="TableParagraph"/>
              <w:rPr>
                <w:rFonts w:ascii="Times New Roman"/>
                <w:sz w:val="12"/>
              </w:rPr>
            </w:pPr>
          </w:p>
        </w:tc>
        <w:tc>
          <w:tcPr>
            <w:tcW w:w="1528" w:type="dxa"/>
          </w:tcPr>
          <w:p>
            <w:pPr>
              <w:pStyle w:val="TableParagraph"/>
              <w:rPr>
                <w:rFonts w:ascii="Times New Roman"/>
                <w:sz w:val="12"/>
              </w:rPr>
            </w:pPr>
          </w:p>
        </w:tc>
        <w:tc>
          <w:tcPr>
            <w:tcW w:w="636" w:type="dxa"/>
          </w:tcPr>
          <w:p>
            <w:pPr>
              <w:pStyle w:val="TableParagraph"/>
              <w:rPr>
                <w:rFonts w:ascii="Times New Roman"/>
                <w:sz w:val="12"/>
              </w:rPr>
            </w:pPr>
          </w:p>
        </w:tc>
        <w:tc>
          <w:tcPr>
            <w:tcW w:w="934" w:type="dxa"/>
          </w:tcPr>
          <w:p>
            <w:pPr>
              <w:pStyle w:val="TableParagraph"/>
              <w:rPr>
                <w:rFonts w:ascii="Times New Roman"/>
                <w:sz w:val="12"/>
              </w:rPr>
            </w:pPr>
          </w:p>
        </w:tc>
        <w:tc>
          <w:tcPr>
            <w:tcW w:w="867" w:type="dxa"/>
          </w:tcPr>
          <w:p>
            <w:pPr>
              <w:pStyle w:val="TableParagraph"/>
              <w:rPr>
                <w:rFonts w:ascii="Times New Roman"/>
                <w:sz w:val="12"/>
              </w:rPr>
            </w:pPr>
          </w:p>
        </w:tc>
        <w:tc>
          <w:tcPr>
            <w:tcW w:w="503" w:type="dxa"/>
          </w:tcPr>
          <w:p>
            <w:pPr>
              <w:pStyle w:val="TableParagraph"/>
              <w:rPr>
                <w:rFonts w:ascii="Times New Roman"/>
                <w:sz w:val="12"/>
              </w:rPr>
            </w:pPr>
          </w:p>
        </w:tc>
        <w:tc>
          <w:tcPr>
            <w:tcW w:w="1954" w:type="dxa"/>
          </w:tcPr>
          <w:p>
            <w:pPr>
              <w:pStyle w:val="TableParagraph"/>
              <w:rPr>
                <w:rFonts w:ascii="Times New Roman"/>
                <w:sz w:val="12"/>
              </w:rPr>
            </w:pPr>
          </w:p>
        </w:tc>
        <w:tc>
          <w:tcPr>
            <w:tcW w:w="623" w:type="dxa"/>
          </w:tcPr>
          <w:p>
            <w:pPr>
              <w:pStyle w:val="TableParagraph"/>
              <w:rPr>
                <w:rFonts w:ascii="Times New Roman"/>
                <w:sz w:val="12"/>
              </w:rPr>
            </w:pPr>
          </w:p>
        </w:tc>
        <w:tc>
          <w:tcPr>
            <w:tcW w:w="757" w:type="dxa"/>
          </w:tcPr>
          <w:p>
            <w:pPr>
              <w:pStyle w:val="TableParagraph"/>
              <w:rPr>
                <w:rFonts w:ascii="Times New Roman"/>
                <w:sz w:val="12"/>
              </w:rPr>
            </w:pPr>
          </w:p>
        </w:tc>
      </w:tr>
      <w:tr>
        <w:trPr>
          <w:trHeight w:val="85" w:hRule="atLeast"/>
        </w:trPr>
        <w:tc>
          <w:tcPr>
            <w:tcW w:w="5085" w:type="dxa"/>
            <w:gridSpan w:val="6"/>
          </w:tcPr>
          <w:p>
            <w:pPr>
              <w:pStyle w:val="TableParagraph"/>
              <w:rPr>
                <w:rFonts w:ascii="Times New Roman"/>
                <w:sz w:val="2"/>
              </w:rPr>
            </w:pPr>
          </w:p>
        </w:tc>
        <w:tc>
          <w:tcPr>
            <w:tcW w:w="4704" w:type="dxa"/>
            <w:gridSpan w:val="5"/>
          </w:tcPr>
          <w:p>
            <w:pPr>
              <w:pStyle w:val="TableParagraph"/>
              <w:rPr>
                <w:rFonts w:ascii="Times New Roman"/>
                <w:sz w:val="2"/>
              </w:rPr>
            </w:pPr>
          </w:p>
        </w:tc>
      </w:tr>
      <w:tr>
        <w:trPr>
          <w:trHeight w:val="970" w:hRule="atLeast"/>
        </w:trPr>
        <w:tc>
          <w:tcPr>
            <w:tcW w:w="9789" w:type="dxa"/>
            <w:gridSpan w:val="11"/>
          </w:tcPr>
          <w:p>
            <w:pPr>
              <w:pStyle w:val="TableParagraph"/>
              <w:rPr>
                <w:sz w:val="18"/>
              </w:rPr>
            </w:pPr>
          </w:p>
          <w:p>
            <w:pPr>
              <w:pStyle w:val="TableParagraph"/>
              <w:rPr>
                <w:sz w:val="18"/>
              </w:rPr>
            </w:pPr>
          </w:p>
          <w:p>
            <w:pPr>
              <w:pStyle w:val="TableParagraph"/>
              <w:spacing w:before="108"/>
              <w:ind w:left="200"/>
              <w:rPr>
                <w:sz w:val="16"/>
              </w:rPr>
            </w:pPr>
            <w:r>
              <w:rPr>
                <w:sz w:val="16"/>
              </w:rPr>
              <w:t>Sources: ONS ASHE and Bank of England calculations.</w:t>
            </w:r>
          </w:p>
          <w:p>
            <w:pPr>
              <w:pStyle w:val="TableParagraph"/>
              <w:spacing w:line="164" w:lineRule="exact" w:before="80"/>
              <w:ind w:left="200"/>
              <w:rPr>
                <w:sz w:val="16"/>
              </w:rPr>
            </w:pPr>
            <w:r>
              <w:rPr>
                <w:sz w:val="16"/>
              </w:rPr>
              <w:t>Notes: Chart shows percentage of workers either in current job or moving job who faced nominal pay cuts or freezes in a given year.</w:t>
            </w:r>
          </w:p>
        </w:tc>
      </w:tr>
    </w:tbl>
    <w:p>
      <w:pPr>
        <w:pStyle w:val="BodyText"/>
      </w:pPr>
    </w:p>
    <w:p>
      <w:pPr>
        <w:pStyle w:val="BodyText"/>
        <w:spacing w:before="5"/>
        <w:rPr>
          <w:sz w:val="28"/>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10"/>
      </w:tblGrid>
      <w:tr>
        <w:trPr>
          <w:trHeight w:val="362" w:hRule="atLeast"/>
        </w:trPr>
        <w:tc>
          <w:tcPr>
            <w:tcW w:w="9510" w:type="dxa"/>
          </w:tcPr>
          <w:p>
            <w:pPr>
              <w:pStyle w:val="TableParagraph"/>
              <w:spacing w:line="224" w:lineRule="exact"/>
              <w:ind w:left="200"/>
              <w:rPr>
                <w:b/>
                <w:sz w:val="20"/>
              </w:rPr>
            </w:pPr>
            <w:r>
              <w:rPr>
                <w:b/>
                <w:sz w:val="20"/>
              </w:rPr>
              <w:t>Chart 18: Wage growth for job movers</w:t>
            </w:r>
          </w:p>
        </w:tc>
      </w:tr>
      <w:tr>
        <w:trPr>
          <w:trHeight w:val="4450" w:hRule="atLeast"/>
        </w:trPr>
        <w:tc>
          <w:tcPr>
            <w:tcW w:w="9510" w:type="dxa"/>
          </w:tcPr>
          <w:p>
            <w:pPr>
              <w:pStyle w:val="TableParagraph"/>
              <w:tabs>
                <w:tab w:pos="9309" w:val="right" w:leader="none"/>
              </w:tabs>
              <w:spacing w:before="132"/>
              <w:ind w:left="7428"/>
              <w:rPr>
                <w:sz w:val="20"/>
              </w:rPr>
            </w:pPr>
            <w:r>
              <w:rPr>
                <w:color w:val="808080"/>
                <w:sz w:val="20"/>
              </w:rPr>
              <w:t>Per cent</w:t>
              <w:tab/>
            </w:r>
            <w:r>
              <w:rPr>
                <w:color w:val="7E7E7E"/>
                <w:position w:val="-5"/>
                <w:sz w:val="20"/>
              </w:rPr>
              <w:t>12</w:t>
            </w:r>
          </w:p>
          <w:p>
            <w:pPr>
              <w:pStyle w:val="TableParagraph"/>
              <w:spacing w:before="10"/>
              <w:rPr>
                <w:sz w:val="32"/>
              </w:rPr>
            </w:pPr>
          </w:p>
          <w:p>
            <w:pPr>
              <w:pStyle w:val="TableParagraph"/>
              <w:ind w:left="9086"/>
              <w:rPr>
                <w:sz w:val="20"/>
              </w:rPr>
            </w:pPr>
            <w:r>
              <w:rPr>
                <w:color w:val="7E7E7E"/>
                <w:sz w:val="20"/>
              </w:rPr>
              <w:t>10</w:t>
            </w:r>
          </w:p>
          <w:p>
            <w:pPr>
              <w:pStyle w:val="TableParagraph"/>
              <w:spacing w:before="5"/>
              <w:rPr>
                <w:sz w:val="32"/>
              </w:rPr>
            </w:pPr>
          </w:p>
          <w:p>
            <w:pPr>
              <w:pStyle w:val="TableParagraph"/>
              <w:ind w:left="9086"/>
              <w:rPr>
                <w:sz w:val="20"/>
              </w:rPr>
            </w:pPr>
            <w:r>
              <w:rPr>
                <w:color w:val="7E7E7E"/>
                <w:w w:val="100"/>
                <w:sz w:val="20"/>
              </w:rPr>
              <w:t>8</w:t>
            </w:r>
          </w:p>
          <w:p>
            <w:pPr>
              <w:pStyle w:val="TableParagraph"/>
              <w:spacing w:before="6"/>
              <w:rPr>
                <w:sz w:val="32"/>
              </w:rPr>
            </w:pPr>
          </w:p>
          <w:p>
            <w:pPr>
              <w:pStyle w:val="TableParagraph"/>
              <w:ind w:left="9086"/>
              <w:rPr>
                <w:sz w:val="20"/>
              </w:rPr>
            </w:pPr>
            <w:r>
              <w:rPr>
                <w:color w:val="7E7E7E"/>
                <w:w w:val="100"/>
                <w:sz w:val="20"/>
              </w:rPr>
              <w:t>6</w:t>
            </w:r>
          </w:p>
          <w:p>
            <w:pPr>
              <w:pStyle w:val="TableParagraph"/>
              <w:spacing w:before="5"/>
              <w:rPr>
                <w:sz w:val="32"/>
              </w:rPr>
            </w:pPr>
          </w:p>
          <w:p>
            <w:pPr>
              <w:pStyle w:val="TableParagraph"/>
              <w:ind w:left="9086"/>
              <w:rPr>
                <w:sz w:val="20"/>
              </w:rPr>
            </w:pPr>
            <w:r>
              <w:rPr>
                <w:color w:val="7E7E7E"/>
                <w:w w:val="100"/>
                <w:sz w:val="20"/>
              </w:rPr>
              <w:t>4</w:t>
            </w:r>
          </w:p>
          <w:p>
            <w:pPr>
              <w:pStyle w:val="TableParagraph"/>
              <w:spacing w:before="6"/>
              <w:rPr>
                <w:sz w:val="32"/>
              </w:rPr>
            </w:pPr>
          </w:p>
          <w:p>
            <w:pPr>
              <w:pStyle w:val="TableParagraph"/>
              <w:ind w:left="9086"/>
              <w:rPr>
                <w:sz w:val="20"/>
              </w:rPr>
            </w:pPr>
            <w:r>
              <w:rPr>
                <w:color w:val="7E7E7E"/>
                <w:w w:val="100"/>
                <w:sz w:val="20"/>
              </w:rPr>
              <w:t>2</w:t>
            </w:r>
          </w:p>
          <w:p>
            <w:pPr>
              <w:pStyle w:val="TableParagraph"/>
              <w:spacing w:before="5"/>
              <w:rPr>
                <w:sz w:val="32"/>
              </w:rPr>
            </w:pPr>
          </w:p>
          <w:p>
            <w:pPr>
              <w:pStyle w:val="TableParagraph"/>
              <w:ind w:left="9086"/>
              <w:rPr>
                <w:sz w:val="20"/>
              </w:rPr>
            </w:pPr>
            <w:r>
              <w:rPr>
                <w:color w:val="7E7E7E"/>
                <w:w w:val="100"/>
                <w:sz w:val="20"/>
              </w:rPr>
              <w:t>0</w:t>
            </w:r>
          </w:p>
          <w:p>
            <w:pPr>
              <w:pStyle w:val="TableParagraph"/>
              <w:tabs>
                <w:tab w:pos="1890" w:val="left" w:leader="none"/>
                <w:tab w:pos="3090" w:val="left" w:leader="none"/>
                <w:tab w:pos="4290" w:val="left" w:leader="none"/>
                <w:tab w:pos="5491" w:val="left" w:leader="none"/>
                <w:tab w:pos="6691" w:val="left" w:leader="none"/>
                <w:tab w:pos="7891" w:val="left" w:leader="none"/>
              </w:tabs>
              <w:spacing w:before="9"/>
              <w:ind w:left="690"/>
              <w:rPr>
                <w:sz w:val="20"/>
              </w:rPr>
            </w:pPr>
            <w:r>
              <w:rPr>
                <w:color w:val="7E7E7E"/>
                <w:sz w:val="20"/>
              </w:rPr>
              <w:t>1998</w:t>
              <w:tab/>
              <w:t>2001</w:t>
              <w:tab/>
              <w:t>2004</w:t>
              <w:tab/>
              <w:t>2007</w:t>
              <w:tab/>
              <w:t>2010</w:t>
              <w:tab/>
              <w:t>2013</w:t>
              <w:tab/>
              <w:t>2016</w:t>
            </w:r>
          </w:p>
        </w:tc>
      </w:tr>
      <w:tr>
        <w:trPr>
          <w:trHeight w:val="606" w:hRule="atLeast"/>
        </w:trPr>
        <w:tc>
          <w:tcPr>
            <w:tcW w:w="9510" w:type="dxa"/>
          </w:tcPr>
          <w:p>
            <w:pPr>
              <w:pStyle w:val="TableParagraph"/>
              <w:spacing w:line="260" w:lineRule="atLeast" w:before="82"/>
              <w:ind w:left="200" w:right="4909"/>
              <w:rPr>
                <w:sz w:val="16"/>
              </w:rPr>
            </w:pPr>
            <w:r>
              <w:rPr>
                <w:sz w:val="16"/>
              </w:rPr>
              <w:t>Sources: ONS ASHE and Bank of England calculations. Notes: Median hourly pay.</w:t>
            </w:r>
          </w:p>
        </w:tc>
      </w:tr>
    </w:tbl>
    <w:p>
      <w:pPr>
        <w:spacing w:after="0" w:line="260" w:lineRule="atLeast"/>
        <w:rPr>
          <w:sz w:val="16"/>
        </w:rPr>
        <w:sectPr>
          <w:pgSz w:w="11910" w:h="16840"/>
          <w:pgMar w:header="0" w:footer="1338" w:top="1460" w:bottom="1520" w:left="800" w:right="820"/>
        </w:sectPr>
      </w:pPr>
    </w:p>
    <w:p>
      <w:pPr>
        <w:pStyle w:val="ListParagraph"/>
        <w:numPr>
          <w:ilvl w:val="0"/>
          <w:numId w:val="1"/>
        </w:numPr>
        <w:tabs>
          <w:tab w:pos="760" w:val="left" w:leader="none"/>
        </w:tabs>
        <w:spacing w:line="240" w:lineRule="auto" w:before="80" w:after="0"/>
        <w:ind w:left="760" w:right="0" w:hanging="426"/>
        <w:jc w:val="left"/>
        <w:rPr>
          <w:i/>
          <w:sz w:val="20"/>
        </w:rPr>
      </w:pPr>
      <w:r>
        <w:rPr>
          <w:i/>
          <w:sz w:val="20"/>
        </w:rPr>
        <w:t>Climbing the Jobs</w:t>
      </w:r>
      <w:r>
        <w:rPr>
          <w:i/>
          <w:spacing w:val="-3"/>
          <w:sz w:val="20"/>
        </w:rPr>
        <w:t> </w:t>
      </w:r>
      <w:r>
        <w:rPr>
          <w:i/>
          <w:sz w:val="20"/>
        </w:rPr>
        <w:t>Ladder</w:t>
      </w:r>
    </w:p>
    <w:p>
      <w:pPr>
        <w:pStyle w:val="BodyText"/>
        <w:spacing w:before="10"/>
        <w:rPr>
          <w:i/>
          <w:sz w:val="29"/>
        </w:rPr>
      </w:pPr>
    </w:p>
    <w:p>
      <w:pPr>
        <w:pStyle w:val="BodyText"/>
        <w:spacing w:line="355" w:lineRule="auto"/>
        <w:ind w:left="334" w:right="452"/>
      </w:pPr>
      <w:r>
        <w:rPr/>
        <w:t>As the economy recovered after the crisis, so did aggregate jobs growth. In response, workers began to climb the jobs ladder, with transition rates between jobs rising. We would expect this to have then boosted aggregate pay and productivity, as workers rotated into higher-paying, more productive firms. In practice, this process appears to have been sluggish for pay and to have stalled for productivity. Why?</w:t>
      </w:r>
    </w:p>
    <w:p>
      <w:pPr>
        <w:pStyle w:val="BodyText"/>
        <w:spacing w:before="6"/>
        <w:rPr>
          <w:sz w:val="29"/>
        </w:rPr>
      </w:pPr>
    </w:p>
    <w:p>
      <w:pPr>
        <w:pStyle w:val="BodyText"/>
        <w:spacing w:line="355" w:lineRule="auto"/>
        <w:ind w:left="334" w:right="364"/>
      </w:pPr>
      <w:r>
        <w:rPr/>
        <w:t>There appear to have been two effects at play in slowing the rate of climb up the jobs ladder. First, although the rate of jobs transition picked up, it did so only slowly, especially given the degree of underlying strength in the jobs market. Despite picking up, the velocity of circulation in the labour market has remained relatively subdued in the face of the biggest jobs bonanza since the Second World</w:t>
      </w:r>
      <w:r>
        <w:rPr>
          <w:spacing w:val="-6"/>
        </w:rPr>
        <w:t> </w:t>
      </w:r>
      <w:r>
        <w:rPr/>
        <w:t>War.</w:t>
      </w:r>
    </w:p>
    <w:p>
      <w:pPr>
        <w:pStyle w:val="BodyText"/>
        <w:spacing w:before="4"/>
        <w:rPr>
          <w:sz w:val="29"/>
        </w:rPr>
      </w:pPr>
    </w:p>
    <w:p>
      <w:pPr>
        <w:pStyle w:val="BodyText"/>
        <w:spacing w:line="355" w:lineRule="auto"/>
        <w:ind w:left="334" w:right="388"/>
      </w:pPr>
      <w:r>
        <w:rPr/>
        <w:pict>
          <v:group style="position:absolute;margin-left:73.045998pt;margin-top:142.374878pt;width:429.7pt;height:175.85pt;mso-position-horizontal-relative:page;mso-position-vertical-relative:paragraph;z-index:-254491648" coordorigin="1461,2847" coordsize="8594,3517">
            <v:shape style="position:absolute;left:9977;top:2855;width:61;height:3502" coordorigin="9977,2855" coordsize="61,3502" path="m10037,6357l10037,2855m9977,6357l10037,6357m9977,6006l10037,6006m9977,5657l10037,5657m9977,5306l10037,5306m9977,4956l10037,4956m9977,4606l10037,4606m9977,4255l10037,4255m9977,3906l10037,3906m9977,3556l10037,3556m9977,3205l10037,3205m9977,2855l10037,2855e" filled="false" stroked="true" strokeweight=".75pt" strokecolor="#a6a6a6">
              <v:path arrowok="t"/>
              <v:stroke dashstyle="solid"/>
            </v:shape>
            <v:shape style="position:absolute;left:1478;top:6296;width:8559;height:61" coordorigin="1478,6296" coordsize="8559,61" path="m1478,6357l10037,6357m1478,6296l1478,6357m2395,6296l2395,6357m3312,6296l3312,6357m4230,6296l4230,6357m5147,6296l5147,6357m6064,6296l6064,6357m6980,6296l6980,6357m7897,6296l7897,6357m8815,6296l8815,6357m9732,6296l9732,6357e" filled="false" stroked="true" strokeweight=".75pt" strokecolor="#7e7e7e">
              <v:path arrowok="t"/>
              <v:stroke dashstyle="solid"/>
            </v:shape>
            <v:shape style="position:absolute;left:1478;top:3321;width:8559;height:2723" coordorigin="1478,3321" coordsize="8559,2723" path="m1478,4576l1784,3321,2089,3947,2395,4253,2701,4638,3007,4951,3312,5230,3618,5653,3924,5575,4230,5710,4535,5896,4841,5930,5147,5878,5453,5888,5758,5982,6064,5914,6370,5921,6674,5965,6980,5906,7286,5476,7592,5834,7897,5681,8203,5612,8509,5731,8815,5930,9120,5972,9426,6001,9732,6005,10037,6043e" filled="false" stroked="true" strokeweight="1.75pt" strokecolor="#1e1c11">
              <v:path arrowok="t"/>
              <v:stroke dashstyle="solid"/>
            </v:shape>
            <w10:wrap type="none"/>
          </v:group>
        </w:pict>
      </w:r>
      <w:r>
        <w:rPr/>
        <w:t>Job-to-job transition rates have only just reached their pre-crisis levels after seven years (Chart 13). And that still leaves them around 25-30% below their peaks in the 1970s and 1980s. This relatively subdued pattern is even more striking if we compare transition rates with the degree of tightness in the labour market, defined by the V/U ratio (Chart 19). This suggests job-to-job transitions have not really picked-up at all over recent years, when measured relative to the strength of the jobs</w:t>
      </w:r>
      <w:r>
        <w:rPr>
          <w:spacing w:val="-4"/>
        </w:rPr>
        <w:t> </w:t>
      </w:r>
      <w:r>
        <w:rPr/>
        <w:t>market.</w:t>
      </w:r>
    </w:p>
    <w:p>
      <w:pPr>
        <w:pStyle w:val="BodyText"/>
      </w:pPr>
    </w:p>
    <w:p>
      <w:pPr>
        <w:pStyle w:val="BodyText"/>
        <w:rPr>
          <w:sz w:val="10"/>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55"/>
      </w:tblGrid>
      <w:tr>
        <w:trPr>
          <w:trHeight w:val="320" w:hRule="atLeast"/>
        </w:trPr>
        <w:tc>
          <w:tcPr>
            <w:tcW w:w="9755" w:type="dxa"/>
          </w:tcPr>
          <w:p>
            <w:pPr>
              <w:pStyle w:val="TableParagraph"/>
              <w:spacing w:line="224" w:lineRule="exact"/>
              <w:ind w:left="200"/>
              <w:rPr>
                <w:b/>
                <w:sz w:val="20"/>
              </w:rPr>
            </w:pPr>
            <w:r>
              <w:rPr>
                <w:b/>
                <w:sz w:val="20"/>
              </w:rPr>
              <w:t>Chart 19: Ratio of job-to-job transition rate to V/U</w:t>
            </w:r>
          </w:p>
        </w:tc>
      </w:tr>
      <w:tr>
        <w:trPr>
          <w:trHeight w:val="4500" w:hRule="atLeast"/>
        </w:trPr>
        <w:tc>
          <w:tcPr>
            <w:tcW w:w="9755" w:type="dxa"/>
          </w:tcPr>
          <w:p>
            <w:pPr>
              <w:pStyle w:val="TableParagraph"/>
              <w:spacing w:before="90"/>
              <w:ind w:left="8055"/>
              <w:rPr>
                <w:sz w:val="20"/>
              </w:rPr>
            </w:pPr>
            <w:r>
              <w:rPr>
                <w:color w:val="808080"/>
                <w:sz w:val="20"/>
              </w:rPr>
              <w:t>Per cent</w:t>
            </w:r>
          </w:p>
          <w:p>
            <w:pPr>
              <w:pStyle w:val="TableParagraph"/>
              <w:spacing w:before="43"/>
              <w:ind w:left="9276"/>
              <w:rPr>
                <w:sz w:val="20"/>
              </w:rPr>
            </w:pPr>
            <w:r>
              <w:rPr>
                <w:color w:val="7E7E7E"/>
                <w:w w:val="100"/>
                <w:sz w:val="20"/>
              </w:rPr>
              <w:t>2</w:t>
            </w:r>
          </w:p>
          <w:p>
            <w:pPr>
              <w:pStyle w:val="TableParagraph"/>
              <w:spacing w:before="120"/>
              <w:ind w:left="9276"/>
              <w:rPr>
                <w:sz w:val="20"/>
              </w:rPr>
            </w:pPr>
            <w:r>
              <w:rPr>
                <w:color w:val="7E7E7E"/>
                <w:sz w:val="20"/>
              </w:rPr>
              <w:t>1.8</w:t>
            </w:r>
          </w:p>
          <w:p>
            <w:pPr>
              <w:pStyle w:val="TableParagraph"/>
              <w:spacing w:before="121"/>
              <w:ind w:left="9276"/>
              <w:rPr>
                <w:sz w:val="20"/>
              </w:rPr>
            </w:pPr>
            <w:r>
              <w:rPr>
                <w:color w:val="7E7E7E"/>
                <w:sz w:val="20"/>
              </w:rPr>
              <w:t>1.6</w:t>
            </w:r>
          </w:p>
          <w:p>
            <w:pPr>
              <w:pStyle w:val="TableParagraph"/>
              <w:spacing w:before="120"/>
              <w:ind w:left="9276"/>
              <w:rPr>
                <w:sz w:val="20"/>
              </w:rPr>
            </w:pPr>
            <w:r>
              <w:rPr>
                <w:color w:val="7E7E7E"/>
                <w:sz w:val="20"/>
              </w:rPr>
              <w:t>1.4</w:t>
            </w:r>
          </w:p>
          <w:p>
            <w:pPr>
              <w:pStyle w:val="TableParagraph"/>
              <w:spacing w:before="120"/>
              <w:ind w:left="9276"/>
              <w:rPr>
                <w:sz w:val="20"/>
              </w:rPr>
            </w:pPr>
            <w:r>
              <w:rPr>
                <w:color w:val="7E7E7E"/>
                <w:sz w:val="20"/>
              </w:rPr>
              <w:t>1.2</w:t>
            </w:r>
          </w:p>
          <w:p>
            <w:pPr>
              <w:pStyle w:val="TableParagraph"/>
              <w:spacing w:before="120"/>
              <w:ind w:left="9276"/>
              <w:rPr>
                <w:sz w:val="20"/>
              </w:rPr>
            </w:pPr>
            <w:r>
              <w:rPr>
                <w:color w:val="7E7E7E"/>
                <w:w w:val="100"/>
                <w:sz w:val="20"/>
              </w:rPr>
              <w:t>1</w:t>
            </w:r>
          </w:p>
          <w:p>
            <w:pPr>
              <w:pStyle w:val="TableParagraph"/>
              <w:spacing w:before="121"/>
              <w:ind w:left="9276"/>
              <w:rPr>
                <w:sz w:val="20"/>
              </w:rPr>
            </w:pPr>
            <w:r>
              <w:rPr>
                <w:color w:val="7E7E7E"/>
                <w:sz w:val="20"/>
              </w:rPr>
              <w:t>0.8</w:t>
            </w:r>
          </w:p>
          <w:p>
            <w:pPr>
              <w:pStyle w:val="TableParagraph"/>
              <w:spacing w:before="120"/>
              <w:ind w:left="9276"/>
              <w:rPr>
                <w:sz w:val="20"/>
              </w:rPr>
            </w:pPr>
            <w:r>
              <w:rPr>
                <w:color w:val="7E7E7E"/>
                <w:sz w:val="20"/>
              </w:rPr>
              <w:t>0.6</w:t>
            </w:r>
          </w:p>
          <w:p>
            <w:pPr>
              <w:pStyle w:val="TableParagraph"/>
              <w:spacing w:before="120"/>
              <w:ind w:left="9276"/>
              <w:rPr>
                <w:sz w:val="20"/>
              </w:rPr>
            </w:pPr>
            <w:r>
              <w:rPr>
                <w:color w:val="7E7E7E"/>
                <w:sz w:val="20"/>
              </w:rPr>
              <w:t>0.4</w:t>
            </w:r>
          </w:p>
          <w:p>
            <w:pPr>
              <w:pStyle w:val="TableParagraph"/>
              <w:spacing w:before="120"/>
              <w:ind w:left="9276"/>
              <w:rPr>
                <w:sz w:val="20"/>
              </w:rPr>
            </w:pPr>
            <w:r>
              <w:rPr>
                <w:color w:val="7E7E7E"/>
                <w:sz w:val="20"/>
              </w:rPr>
              <w:t>0.2</w:t>
            </w:r>
          </w:p>
          <w:p>
            <w:pPr>
              <w:pStyle w:val="TableParagraph"/>
              <w:spacing w:before="120"/>
              <w:ind w:left="9276"/>
              <w:rPr>
                <w:sz w:val="20"/>
              </w:rPr>
            </w:pPr>
            <w:r>
              <w:rPr>
                <w:color w:val="7E7E7E"/>
                <w:w w:val="100"/>
                <w:sz w:val="20"/>
              </w:rPr>
              <w:t>0</w:t>
            </w:r>
          </w:p>
          <w:p>
            <w:pPr>
              <w:pStyle w:val="TableParagraph"/>
              <w:tabs>
                <w:tab w:pos="1239" w:val="left" w:leader="none"/>
                <w:tab w:pos="2156" w:val="left" w:leader="none"/>
                <w:tab w:pos="3073" w:val="left" w:leader="none"/>
                <w:tab w:pos="3990" w:val="left" w:leader="none"/>
                <w:tab w:pos="4907" w:val="left" w:leader="none"/>
                <w:tab w:pos="5825" w:val="left" w:leader="none"/>
                <w:tab w:pos="6742" w:val="left" w:leader="none"/>
                <w:tab w:pos="7659" w:val="left" w:leader="none"/>
                <w:tab w:pos="8576" w:val="left" w:leader="none"/>
              </w:tabs>
              <w:spacing w:before="9"/>
              <w:ind w:left="321"/>
              <w:rPr>
                <w:sz w:val="20"/>
              </w:rPr>
            </w:pPr>
            <w:r>
              <w:rPr>
                <w:color w:val="7E7E7E"/>
                <w:sz w:val="20"/>
              </w:rPr>
              <w:t>1990</w:t>
              <w:tab/>
              <w:t>1993</w:t>
              <w:tab/>
              <w:t>1996</w:t>
              <w:tab/>
              <w:t>1999</w:t>
              <w:tab/>
              <w:t>2002</w:t>
              <w:tab/>
              <w:t>2005</w:t>
              <w:tab/>
              <w:t>2008</w:t>
              <w:tab/>
              <w:t>2011</w:t>
              <w:tab/>
              <w:t>2014</w:t>
              <w:tab/>
              <w:t>2017</w:t>
            </w:r>
          </w:p>
        </w:tc>
      </w:tr>
      <w:tr>
        <w:trPr>
          <w:trHeight w:val="345" w:hRule="atLeast"/>
        </w:trPr>
        <w:tc>
          <w:tcPr>
            <w:tcW w:w="9755" w:type="dxa"/>
          </w:tcPr>
          <w:p>
            <w:pPr>
              <w:pStyle w:val="TableParagraph"/>
              <w:spacing w:line="164" w:lineRule="exact" w:before="161"/>
              <w:ind w:left="200"/>
              <w:rPr>
                <w:sz w:val="16"/>
              </w:rPr>
            </w:pPr>
            <w:r>
              <w:rPr>
                <w:sz w:val="16"/>
              </w:rPr>
              <w:t>Sources: ONS, Bank of England Millennium of Data and Bank of England calculations.</w:t>
            </w:r>
          </w:p>
        </w:tc>
      </w:tr>
    </w:tbl>
    <w:p>
      <w:pPr>
        <w:pStyle w:val="BodyText"/>
      </w:pPr>
    </w:p>
    <w:p>
      <w:pPr>
        <w:pStyle w:val="BodyText"/>
        <w:spacing w:before="9"/>
        <w:rPr>
          <w:sz w:val="18"/>
        </w:rPr>
      </w:pPr>
    </w:p>
    <w:p>
      <w:pPr>
        <w:pStyle w:val="BodyText"/>
        <w:spacing w:line="352" w:lineRule="auto"/>
        <w:ind w:left="334" w:right="319"/>
      </w:pPr>
      <w:r>
        <w:rPr/>
        <w:pict>
          <v:shape style="position:absolute;margin-left:56.700001pt;margin-top:70.156929pt;width:144.050pt;height:.1pt;mso-position-horizontal-relative:page;mso-position-vertical-relative:paragraph;z-index:-251602944;mso-wrap-distance-left:0;mso-wrap-distance-right:0" coordorigin="1134,1403" coordsize="2881,0" path="m1134,1403l4014,1403e" filled="false" stroked="true" strokeweight=".47998pt" strokecolor="#000000">
            <v:path arrowok="t"/>
            <v:stroke dashstyle="solid"/>
            <w10:wrap type="topAndBottom"/>
          </v:shape>
        </w:pict>
      </w:r>
      <w:r>
        <w:rPr/>
        <w:t>What explains these subdued rates of job transition? A strong candidate is that 21</w:t>
      </w:r>
      <w:r>
        <w:rPr>
          <w:position w:val="7"/>
          <w:sz w:val="13"/>
        </w:rPr>
        <w:t>st </w:t>
      </w:r>
      <w:r>
        <w:rPr/>
        <w:t>century scourge, income insecurity. The crisis scarred risk appetite. Risk-aversion discourages workers from moving to reach higher rungs up the jobs ladder.</w:t>
      </w:r>
      <w:r>
        <w:rPr>
          <w:position w:val="7"/>
          <w:sz w:val="13"/>
        </w:rPr>
        <w:t>19 </w:t>
      </w:r>
      <w:r>
        <w:rPr/>
        <w:t>It also discourages companies from offering workers those higher-rung positions. Risk scarring slows the velocity of circulation in the jobs market and hence pay and productivity growth.</w:t>
      </w:r>
    </w:p>
    <w:p>
      <w:pPr>
        <w:spacing w:line="276" w:lineRule="auto" w:before="51"/>
        <w:ind w:left="334" w:right="452" w:firstLine="0"/>
        <w:jc w:val="left"/>
        <w:rPr>
          <w:sz w:val="16"/>
        </w:rPr>
      </w:pPr>
      <w:r>
        <w:rPr>
          <w:position w:val="6"/>
          <w:sz w:val="10"/>
        </w:rPr>
        <w:t>19 </w:t>
      </w:r>
      <w:r>
        <w:rPr>
          <w:sz w:val="16"/>
        </w:rPr>
        <w:t>One rationale for risk-aversion in moving to higher paid jobs at a different firm could be so-called “last-in-first-out” whereby new workers are mostly likely to lose their jobs in the event of redundancies.</w:t>
      </w:r>
    </w:p>
    <w:p>
      <w:pPr>
        <w:spacing w:after="0" w:line="276" w:lineRule="auto"/>
        <w:jc w:val="left"/>
        <w:rPr>
          <w:sz w:val="16"/>
        </w:rPr>
        <w:sectPr>
          <w:pgSz w:w="11910" w:h="16840"/>
          <w:pgMar w:header="0" w:footer="1338" w:top="1340" w:bottom="1520" w:left="800" w:right="820"/>
        </w:sectPr>
      </w:pPr>
    </w:p>
    <w:p>
      <w:pPr>
        <w:pStyle w:val="BodyText"/>
        <w:spacing w:line="355" w:lineRule="auto" w:before="69"/>
        <w:ind w:left="334" w:right="508"/>
      </w:pPr>
      <w:r>
        <w:rPr/>
        <w:t>This risk-aversion has not been confined to those switching jobs; it has also affected those staying put. A reluctance to move reduces these workers’ bargaining power, weighing on their pay. Put differently, if companies are less fearful of workers being poached, for a given degree of the strength in the jobs market, they will feel less need to pay-up to retain those workers.</w:t>
      </w:r>
    </w:p>
    <w:p>
      <w:pPr>
        <w:pStyle w:val="BodyText"/>
        <w:spacing w:before="6"/>
        <w:rPr>
          <w:sz w:val="29"/>
        </w:rPr>
      </w:pPr>
    </w:p>
    <w:p>
      <w:pPr>
        <w:pStyle w:val="BodyText"/>
        <w:ind w:left="334"/>
      </w:pPr>
      <w:r>
        <w:rPr/>
        <w:t>There is evidence of this behaviour in the differential pay growth of stickers and switchers recently</w:t>
      </w:r>
    </w:p>
    <w:p>
      <w:pPr>
        <w:pStyle w:val="BodyText"/>
        <w:spacing w:line="355" w:lineRule="auto" w:before="109"/>
        <w:ind w:left="334" w:right="467"/>
      </w:pPr>
      <w:r>
        <w:rPr/>
        <w:t>(Chart 20). Switchers have consistently experienced higher rates of pay growth than stickers, as we would expect. But it is striking how this differential has widened as the labour market has tightened over recent years, with movers securing pay increases of 7-9%, while stickers’ pay growth has until recently flat-lined at 2-2½%.</w:t>
      </w:r>
    </w:p>
    <w:p>
      <w:pPr>
        <w:pStyle w:val="BodyText"/>
      </w:pPr>
    </w:p>
    <w:p>
      <w:pPr>
        <w:pStyle w:val="BodyText"/>
        <w:spacing w:before="2"/>
        <w:rPr>
          <w:sz w:val="10"/>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06"/>
      </w:tblGrid>
      <w:tr>
        <w:trPr>
          <w:trHeight w:val="321" w:hRule="atLeast"/>
        </w:trPr>
        <w:tc>
          <w:tcPr>
            <w:tcW w:w="9506" w:type="dxa"/>
          </w:tcPr>
          <w:p>
            <w:pPr>
              <w:pStyle w:val="TableParagraph"/>
              <w:spacing w:line="224" w:lineRule="exact"/>
              <w:ind w:left="200"/>
              <w:rPr>
                <w:b/>
                <w:sz w:val="20"/>
              </w:rPr>
            </w:pPr>
            <w:r>
              <w:rPr>
                <w:b/>
                <w:sz w:val="20"/>
              </w:rPr>
              <w:t>Chart 20: Switchers’ and stayers’ pay growth</w:t>
            </w:r>
          </w:p>
        </w:tc>
      </w:tr>
      <w:tr>
        <w:trPr>
          <w:trHeight w:val="3930" w:hRule="atLeast"/>
        </w:trPr>
        <w:tc>
          <w:tcPr>
            <w:tcW w:w="9506" w:type="dxa"/>
          </w:tcPr>
          <w:p>
            <w:pPr>
              <w:pStyle w:val="TableParagraph"/>
              <w:spacing w:before="91"/>
              <w:ind w:right="920"/>
              <w:jc w:val="right"/>
              <w:rPr>
                <w:sz w:val="20"/>
              </w:rPr>
            </w:pPr>
            <w:r>
              <w:rPr>
                <w:color w:val="808080"/>
                <w:sz w:val="20"/>
              </w:rPr>
              <w:t>Per cent</w:t>
            </w:r>
          </w:p>
          <w:p>
            <w:pPr>
              <w:pStyle w:val="TableParagraph"/>
              <w:tabs>
                <w:tab w:pos="9305" w:val="right" w:leader="none"/>
              </w:tabs>
              <w:spacing w:before="171"/>
              <w:ind w:left="5710"/>
              <w:rPr>
                <w:sz w:val="20"/>
              </w:rPr>
            </w:pPr>
            <w:r>
              <w:rPr>
                <w:color w:val="7E7E7E"/>
                <w:sz w:val="20"/>
              </w:rPr>
              <w:t>Stayers</w:t>
              <w:tab/>
            </w:r>
            <w:r>
              <w:rPr>
                <w:color w:val="7E7E7E"/>
                <w:position w:val="6"/>
                <w:sz w:val="20"/>
              </w:rPr>
              <w:t>12</w:t>
            </w:r>
          </w:p>
          <w:p>
            <w:pPr>
              <w:pStyle w:val="TableParagraph"/>
              <w:tabs>
                <w:tab w:pos="9305" w:val="right" w:leader="none"/>
              </w:tabs>
              <w:spacing w:before="104"/>
              <w:ind w:left="5710"/>
              <w:rPr>
                <w:sz w:val="20"/>
              </w:rPr>
            </w:pPr>
            <w:r>
              <w:rPr>
                <w:color w:val="7E7E7E"/>
                <w:sz w:val="20"/>
              </w:rPr>
              <w:t>Switchers</w:t>
              <w:tab/>
            </w:r>
            <w:r>
              <w:rPr>
                <w:color w:val="7E7E7E"/>
                <w:position w:val="-6"/>
                <w:sz w:val="20"/>
              </w:rPr>
              <w:t>10</w:t>
            </w:r>
          </w:p>
          <w:p>
            <w:pPr>
              <w:pStyle w:val="TableParagraph"/>
              <w:spacing w:before="231"/>
              <w:ind w:right="309"/>
              <w:jc w:val="right"/>
              <w:rPr>
                <w:sz w:val="20"/>
              </w:rPr>
            </w:pPr>
            <w:r>
              <w:rPr>
                <w:color w:val="7E7E7E"/>
                <w:w w:val="100"/>
                <w:sz w:val="20"/>
              </w:rPr>
              <w:t>8</w:t>
            </w:r>
          </w:p>
          <w:p>
            <w:pPr>
              <w:pStyle w:val="TableParagraph"/>
              <w:spacing w:before="2"/>
              <w:rPr>
                <w:sz w:val="20"/>
              </w:rPr>
            </w:pPr>
          </w:p>
          <w:p>
            <w:pPr>
              <w:pStyle w:val="TableParagraph"/>
              <w:ind w:right="309"/>
              <w:jc w:val="right"/>
              <w:rPr>
                <w:sz w:val="20"/>
              </w:rPr>
            </w:pPr>
            <w:r>
              <w:rPr>
                <w:color w:val="7E7E7E"/>
                <w:w w:val="100"/>
                <w:sz w:val="20"/>
              </w:rPr>
              <w:t>6</w:t>
            </w:r>
          </w:p>
          <w:p>
            <w:pPr>
              <w:pStyle w:val="TableParagraph"/>
              <w:spacing w:before="3"/>
              <w:rPr>
                <w:sz w:val="20"/>
              </w:rPr>
            </w:pPr>
          </w:p>
          <w:p>
            <w:pPr>
              <w:pStyle w:val="TableParagraph"/>
              <w:ind w:right="309"/>
              <w:jc w:val="right"/>
              <w:rPr>
                <w:sz w:val="20"/>
              </w:rPr>
            </w:pPr>
            <w:r>
              <w:rPr>
                <w:color w:val="7E7E7E"/>
                <w:w w:val="100"/>
                <w:sz w:val="20"/>
              </w:rPr>
              <w:t>4</w:t>
            </w:r>
          </w:p>
          <w:p>
            <w:pPr>
              <w:pStyle w:val="TableParagraph"/>
              <w:spacing w:before="3"/>
              <w:rPr>
                <w:sz w:val="20"/>
              </w:rPr>
            </w:pPr>
          </w:p>
          <w:p>
            <w:pPr>
              <w:pStyle w:val="TableParagraph"/>
              <w:ind w:right="309"/>
              <w:jc w:val="right"/>
              <w:rPr>
                <w:sz w:val="20"/>
              </w:rPr>
            </w:pPr>
            <w:r>
              <w:rPr>
                <w:color w:val="7E7E7E"/>
                <w:w w:val="100"/>
                <w:sz w:val="20"/>
              </w:rPr>
              <w:t>2</w:t>
            </w:r>
          </w:p>
          <w:p>
            <w:pPr>
              <w:pStyle w:val="TableParagraph"/>
              <w:spacing w:before="3"/>
              <w:rPr>
                <w:sz w:val="20"/>
              </w:rPr>
            </w:pPr>
          </w:p>
          <w:p>
            <w:pPr>
              <w:pStyle w:val="TableParagraph"/>
              <w:ind w:right="309"/>
              <w:jc w:val="right"/>
              <w:rPr>
                <w:sz w:val="20"/>
              </w:rPr>
            </w:pPr>
            <w:r>
              <w:rPr>
                <w:color w:val="7E7E7E"/>
                <w:w w:val="100"/>
                <w:sz w:val="20"/>
              </w:rPr>
              <w:t>0</w:t>
            </w:r>
          </w:p>
          <w:p>
            <w:pPr>
              <w:pStyle w:val="TableParagraph"/>
              <w:tabs>
                <w:tab w:pos="801" w:val="left" w:leader="none"/>
                <w:tab w:pos="1603" w:val="left" w:leader="none"/>
                <w:tab w:pos="2404" w:val="left" w:leader="none"/>
                <w:tab w:pos="3206" w:val="left" w:leader="none"/>
                <w:tab w:pos="4007" w:val="left" w:leader="none"/>
                <w:tab w:pos="4809" w:val="left" w:leader="none"/>
                <w:tab w:pos="5611" w:val="left" w:leader="none"/>
                <w:tab w:pos="6412" w:val="left" w:leader="none"/>
                <w:tab w:pos="7214" w:val="left" w:leader="none"/>
                <w:tab w:pos="8015" w:val="left" w:leader="none"/>
              </w:tabs>
              <w:spacing w:before="8"/>
              <w:ind w:right="370"/>
              <w:jc w:val="right"/>
              <w:rPr>
                <w:sz w:val="20"/>
              </w:rPr>
            </w:pPr>
            <w:r>
              <w:rPr>
                <w:color w:val="7E7E7E"/>
                <w:sz w:val="20"/>
              </w:rPr>
              <w:t>1998</w:t>
              <w:tab/>
              <w:t>2000</w:t>
              <w:tab/>
              <w:t>2002</w:t>
              <w:tab/>
              <w:t>2004</w:t>
              <w:tab/>
              <w:t>2006</w:t>
              <w:tab/>
              <w:t>2008</w:t>
              <w:tab/>
              <w:t>2010</w:t>
              <w:tab/>
              <w:t>2012</w:t>
              <w:tab/>
              <w:t>2014</w:t>
              <w:tab/>
              <w:t>2016</w:t>
              <w:tab/>
            </w:r>
            <w:r>
              <w:rPr>
                <w:color w:val="7E7E7E"/>
                <w:spacing w:val="-1"/>
                <w:sz w:val="20"/>
              </w:rPr>
              <w:t>2018</w:t>
            </w:r>
          </w:p>
        </w:tc>
      </w:tr>
      <w:tr>
        <w:trPr>
          <w:trHeight w:val="371" w:hRule="atLeast"/>
        </w:trPr>
        <w:tc>
          <w:tcPr>
            <w:tcW w:w="9506" w:type="dxa"/>
          </w:tcPr>
          <w:p>
            <w:pPr>
              <w:pStyle w:val="TableParagraph"/>
              <w:spacing w:before="3"/>
              <w:rPr>
                <w:sz w:val="16"/>
              </w:rPr>
            </w:pPr>
          </w:p>
          <w:p>
            <w:pPr>
              <w:pStyle w:val="TableParagraph"/>
              <w:spacing w:line="164" w:lineRule="exact" w:before="1"/>
              <w:ind w:left="200"/>
              <w:rPr>
                <w:sz w:val="16"/>
              </w:rPr>
            </w:pPr>
            <w:r>
              <w:rPr>
                <w:sz w:val="16"/>
              </w:rPr>
              <w:t>Sources: ONS and Bank of England calculations.</w:t>
            </w:r>
          </w:p>
        </w:tc>
      </w:tr>
    </w:tbl>
    <w:p>
      <w:pPr>
        <w:pStyle w:val="BodyText"/>
        <w:spacing w:before="6"/>
        <w:rPr>
          <w:sz w:val="21"/>
        </w:rPr>
      </w:pPr>
    </w:p>
    <w:p>
      <w:pPr>
        <w:pStyle w:val="ListParagraph"/>
        <w:numPr>
          <w:ilvl w:val="0"/>
          <w:numId w:val="1"/>
        </w:numPr>
        <w:tabs>
          <w:tab w:pos="760" w:val="left" w:leader="none"/>
        </w:tabs>
        <w:spacing w:line="240" w:lineRule="auto" w:before="94" w:after="0"/>
        <w:ind w:left="760" w:right="0" w:hanging="426"/>
        <w:jc w:val="left"/>
        <w:rPr>
          <w:i/>
          <w:sz w:val="20"/>
        </w:rPr>
      </w:pPr>
      <w:r>
        <w:rPr/>
        <w:pict>
          <v:group style="position:absolute;margin-left:90.547997pt;margin-top:-197.105133pt;width:402.55pt;height:139.6pt;mso-position-horizontal-relative:page;mso-position-vertical-relative:paragraph;z-index:-254489600" coordorigin="1811,-3942" coordsize="8051,2792">
            <v:shape style="position:absolute;left:1828;top:-3935;width:8016;height:2777" coordorigin="1828,-3935" coordsize="8016,2777" path="m9844,-1158l9844,-3935m9783,-1158l9844,-1158m9783,-1621l9844,-1621m9783,-2083l9844,-2083m9783,-2546l9844,-2546m9783,-3010l9844,-3010m9783,-3472l9844,-3472m9783,-3935l9844,-3935m1828,-1158l9844,-1158m1828,-1218l1828,-1158m2630,-1218l2630,-1158m3432,-1218l3432,-1158m4234,-1218l4234,-1158m5034,-1218l5034,-1158m5836,-1218l5836,-1158m6637,-1218l6637,-1158m7439,-1218l7439,-1158m8240,-1218l8240,-1158m9042,-1218l9042,-1158m9844,-1218l9844,-1158e" filled="false" stroked="true" strokeweight=".75pt" strokecolor="#7e7e7e">
              <v:path arrowok="t"/>
              <v:stroke dashstyle="solid"/>
            </v:shape>
            <v:shape style="position:absolute;left:1828;top:-2478;width:8016;height:875" coordorigin="1828,-2478" coordsize="8016,875" path="m1828,-2100l2230,-2220,2630,-2134,3031,-2269,3432,-2201,3833,-2220,4234,-2099,4633,-2478,5034,-2069,5435,-2104,5836,-2083,6236,-1999,6637,-1620,7038,-1682,7439,-1680,7840,-1604,8240,-1627,8641,-1739,9042,-1751,9443,-1762,9844,-1841e" filled="false" stroked="true" strokeweight="1.75pt" strokecolor="#000000">
              <v:path arrowok="t"/>
              <v:stroke dashstyle="solid"/>
            </v:shape>
            <v:shape style="position:absolute;left:1828;top:-3614;width:8016;height:1433" coordorigin="1828,-3614" coordsize="8016,1433" path="m1828,-3110l2230,-3454,2630,-3134,3031,-3509,3432,-3094,3833,-2995,4234,-3263,4633,-3614,5034,-2954,5435,-3352,5836,-3073,6236,-2665,6637,-2181,7038,-2305,7439,-2515,7840,-2552,8240,-2742,8641,-2998,9042,-3276,9443,-2960,9844,-2882e" filled="false" stroked="true" strokeweight="1.75pt" strokecolor="#4f81bc">
              <v:path arrowok="t"/>
              <v:stroke dashstyle="solid"/>
            </v:shape>
            <v:line style="position:absolute" from="6219,-3873" to="6603,-3873" stroked="true" strokeweight="1.75pt" strokecolor="#000000">
              <v:stroke dashstyle="solid"/>
            </v:line>
            <v:line style="position:absolute" from="6219,-3540" to="6603,-3540" stroked="true" strokeweight="1.75pt" strokecolor="#4f81bc">
              <v:stroke dashstyle="solid"/>
            </v:line>
            <w10:wrap type="none"/>
          </v:group>
        </w:pict>
      </w:r>
      <w:r>
        <w:rPr>
          <w:i/>
          <w:sz w:val="20"/>
        </w:rPr>
        <w:t>Rungs on the Jobs</w:t>
      </w:r>
      <w:r>
        <w:rPr>
          <w:i/>
          <w:spacing w:val="-3"/>
          <w:sz w:val="20"/>
        </w:rPr>
        <w:t> </w:t>
      </w:r>
      <w:r>
        <w:rPr>
          <w:i/>
          <w:sz w:val="20"/>
        </w:rPr>
        <w:t>Ladder</w:t>
      </w:r>
    </w:p>
    <w:p>
      <w:pPr>
        <w:pStyle w:val="BodyText"/>
        <w:spacing w:before="10"/>
        <w:rPr>
          <w:i/>
          <w:sz w:val="29"/>
        </w:rPr>
      </w:pPr>
    </w:p>
    <w:p>
      <w:pPr>
        <w:pStyle w:val="BodyText"/>
        <w:spacing w:line="355" w:lineRule="auto"/>
        <w:ind w:left="334" w:right="319"/>
      </w:pPr>
      <w:r>
        <w:rPr/>
        <w:t>The second dynamic at work is that even those climbing the ladder have tended to do so at a less rapid pace than in the past. Or, put differently, the rungs in the jobs ladder have been closer together. This, too, may have reflected workers’ unwillingness to move occupation, industry or geography at a time of increased income insecurity.</w:t>
      </w:r>
    </w:p>
    <w:p>
      <w:pPr>
        <w:pStyle w:val="BodyText"/>
        <w:spacing w:before="1"/>
        <w:rPr>
          <w:sz w:val="29"/>
        </w:rPr>
      </w:pPr>
    </w:p>
    <w:p>
      <w:pPr>
        <w:pStyle w:val="BodyText"/>
        <w:spacing w:line="355" w:lineRule="auto"/>
        <w:ind w:left="334" w:right="319"/>
      </w:pPr>
      <w:r>
        <w:rPr/>
        <w:pict>
          <v:shape style="position:absolute;margin-left:56.700001pt;margin-top:109.276939pt;width:144.050pt;height:.1pt;mso-position-horizontal-relative:page;mso-position-vertical-relative:paragraph;z-index:-251600896;mso-wrap-distance-left:0;mso-wrap-distance-right:0" coordorigin="1134,2186" coordsize="2881,0" path="m1134,2186l4014,2186e" filled="false" stroked="true" strokeweight=".47998pt" strokecolor="#000000">
            <v:path arrowok="t"/>
            <v:stroke dashstyle="solid"/>
            <w10:wrap type="topAndBottom"/>
          </v:shape>
        </w:pict>
      </w:r>
      <w:r>
        <w:rPr/>
        <w:t>The Resolution Foundation has recently looked at rates of movement between UK regions.</w:t>
      </w:r>
      <w:r>
        <w:rPr>
          <w:position w:val="7"/>
          <w:sz w:val="13"/>
        </w:rPr>
        <w:t>20 </w:t>
      </w:r>
      <w:r>
        <w:rPr/>
        <w:t>They find that rates of geographic mobility – people taking a new job in a different region – has been lower since the crisis than in the preceding period. Their analysis finds that this reduction in mobility is driven by the young and, in particular, young graduates. Graduates under the age of 35 were close to 6 times more likely to move region and employer than non-graduates in the 1990s but are now just 3 times more likely. And mobility has decreased for both groups.</w:t>
      </w:r>
    </w:p>
    <w:p>
      <w:pPr>
        <w:spacing w:before="51"/>
        <w:ind w:left="334" w:right="0" w:firstLine="0"/>
        <w:jc w:val="left"/>
        <w:rPr>
          <w:sz w:val="16"/>
        </w:rPr>
      </w:pPr>
      <w:r>
        <w:rPr>
          <w:position w:val="6"/>
          <w:sz w:val="10"/>
        </w:rPr>
        <w:t>20 </w:t>
      </w:r>
      <w:r>
        <w:rPr>
          <w:sz w:val="16"/>
        </w:rPr>
        <w:t>Clarke (2017).</w:t>
      </w:r>
    </w:p>
    <w:p>
      <w:pPr>
        <w:spacing w:after="0"/>
        <w:jc w:val="left"/>
        <w:rPr>
          <w:sz w:val="16"/>
        </w:rPr>
        <w:sectPr>
          <w:footerReference w:type="default" r:id="rId28"/>
          <w:pgSz w:w="11910" w:h="16840"/>
          <w:pgMar w:footer="1338" w:header="0" w:top="1460" w:bottom="1520" w:left="800" w:right="820"/>
          <w:pgNumType w:start="18"/>
        </w:sectPr>
      </w:pPr>
    </w:p>
    <w:p>
      <w:pPr>
        <w:pStyle w:val="BodyText"/>
        <w:spacing w:line="355" w:lineRule="auto" w:before="69"/>
        <w:ind w:left="334" w:right="366"/>
      </w:pPr>
      <w:r>
        <w:rPr/>
        <w:t>Charts 21 and 22 look at rates of worker transition between different industries and occupations. These moves are grouped into “rungs” on the ladder, where the rungs for the 9-rung occupation ladder are ordered by the standard ONS classification, which itself reflects differences in skills used within each occupational group. For the 21-rung industry ladder, the rungs are ordered by the mean hourly gross pay of workers within each industry, across the whole sample period. The blue zone defines zero rung movements. The red zone defines large upward rung movements and the grey zone large downwards</w:t>
      </w:r>
      <w:r>
        <w:rPr>
          <w:spacing w:val="-8"/>
        </w:rPr>
        <w:t> </w:t>
      </w:r>
      <w:r>
        <w:rPr/>
        <w:t>movements.</w:t>
      </w:r>
    </w:p>
    <w:p>
      <w:pPr>
        <w:pStyle w:val="BodyText"/>
        <w:spacing w:before="3"/>
        <w:rPr>
          <w:sz w:val="21"/>
        </w:rPr>
      </w:pPr>
    </w:p>
    <w:p>
      <w:pPr>
        <w:spacing w:after="0"/>
        <w:rPr>
          <w:sz w:val="21"/>
        </w:rPr>
        <w:sectPr>
          <w:pgSz w:w="11910" w:h="16840"/>
          <w:pgMar w:header="0" w:footer="1338" w:top="1460" w:bottom="1520" w:left="800" w:right="820"/>
        </w:sectPr>
      </w:pPr>
    </w:p>
    <w:p>
      <w:pPr>
        <w:pStyle w:val="Heading1"/>
        <w:spacing w:before="94"/>
      </w:pPr>
      <w:r>
        <w:rPr/>
        <w:t>Chart 21: Industry job ladder</w:t>
      </w:r>
    </w:p>
    <w:p>
      <w:pPr>
        <w:pStyle w:val="BodyText"/>
        <w:spacing w:before="98"/>
        <w:ind w:left="464"/>
      </w:pPr>
      <w:r>
        <w:rPr/>
        <w:pict>
          <v:group style="position:absolute;margin-left:97.000999pt;margin-top:10.704853pt;width:357.45pt;height:340.6pt;mso-position-horizontal-relative:page;mso-position-vertical-relative:paragraph;z-index:-254488576" coordorigin="1940,214" coordsize="7149,6812">
            <v:line style="position:absolute" from="1948,6339" to="9089,6339" stroked="true" strokeweight=".75pt" strokecolor="#858585">
              <v:stroke dashstyle="solid"/>
            </v:line>
            <v:shape style="position:absolute;left:1947;top:6820;width:7142;height:198" coordorigin="1948,6820" coordsize="7142,198" path="m1948,6841l1948,7018,9089,7018,9089,6913,2458,6913,2202,6883,1948,6841xm3478,6836l3223,6879,2968,6904,2713,6907,2458,6913,9089,6913,9089,6895,7049,6895,6793,6884,6781,6882,3988,6882,3733,6856,3478,6836xm7559,6840l7303,6862,7049,6895,9089,6895,9089,6871,8834,6871,8818,6868,7813,6868,7559,6840xm4753,6856l4243,6861,3988,6882,6781,6882,6733,6872,5263,6872,5008,6867,4753,6856xm5773,6843l5519,6860,5263,6872,6733,6872,6605,6847,6283,6847,5773,6843xm9089,6865l8834,6871,9089,6871,9089,6865xm8069,6820l7813,6868,8818,6868,8603,6836,8324,6836,8069,6820xm6539,6834l6283,6847,6605,6847,6539,6834xm8579,6832l8324,6836,8603,6836,8579,6832xe" filled="true" fillcolor="#7e7e7e" stroked="false">
              <v:path arrowok="t"/>
              <v:fill type="solid"/>
            </v:shape>
            <v:shape style="position:absolute;left:1947;top:6582;width:7142;height:331" coordorigin="1948,6583" coordsize="7142,331" path="m1948,6726l1948,6841,2202,6883,2458,6913,2713,6907,2968,6904,3223,6879,3407,6848,2458,6848,2202,6800,1948,6726xm7999,6834l6539,6834,6793,6884,7049,6895,7303,6862,7559,6840,7967,6840,7999,6834xm6492,6836l3478,6836,3733,6856,3988,6882,4243,6861,5573,6856,5773,6843,6353,6843,6492,6836xm5573,6856l4753,6856,5008,6867,5263,6872,5519,6860,5573,6856xm9089,6832l8579,6832,8834,6871,9089,6865,9089,6832xm7967,6840l7559,6840,7813,6868,7967,6840xm2713,6818l2458,6848,3407,6848,3478,6836,6492,6836,6539,6834,7999,6834,8043,6825,2968,6825,2713,6818xm6353,6843l5773,6843,6283,6847,6353,6843xm9089,6820l8069,6820,8324,6836,8579,6832,9089,6832,9089,6820xm3478,6693l3223,6798,2968,6825,8043,6825,8069,6820,9089,6820,9089,6756,3988,6756,3733,6722,3478,6693xm4753,6680l4243,6708,3988,6756,9089,6756,9089,6754,7049,6754,6793,6735,6790,6734,5008,6734,4753,6680xm7559,6640l7303,6663,7049,6754,9089,6754,9089,6696,8834,6696,8712,6668,7813,6668,7559,6640xm5773,6664l5519,6694,5263,6717,5008,6734,6790,6734,6633,6672,6029,6672,5773,6664xm9089,6666l8834,6696,9089,6696,9089,6666xm6283,6610l6029,6672,6633,6672,6539,6634,6283,6610xm8324,6583l8069,6604,7813,6668,8712,6668,8324,6583xe" filled="true" fillcolor="#a6a6a6" stroked="false">
              <v:path arrowok="t"/>
              <v:fill type="solid"/>
            </v:shape>
            <v:shape style="position:absolute;left:1947;top:6041;width:7142;height:807" coordorigin="1948,6041" coordsize="7142,807" path="m1948,6448l1948,6726,2202,6800,2458,6848,2713,6818,3034,6818,3223,6798,3478,6693,4519,6693,4753,6680,5641,6680,5773,6664,6059,6664,6089,6657,2458,6657,2202,6576,1948,6448xm3034,6818l2713,6818,2968,6825,3034,6818xm4519,6693l3478,6693,3733,6722,3988,6756,4243,6708,4519,6693xm8045,6610l6283,6610,6539,6634,6793,6735,7049,6754,7303,6663,7559,6640,7924,6640,8045,6610xm5641,6680l4753,6680,5008,6734,5263,6717,5519,6694,5641,6680xm9089,6583l8324,6583,8834,6696,9089,6666,9089,6583xm6059,6664l5773,6664,6029,6672,6059,6664xm7924,6640l7559,6640,7813,6668,7924,6640xm2713,6615l2458,6657,6089,6657,6233,6622,2968,6622,2713,6615xm3733,6304l3478,6369,3223,6543,2968,6622,6233,6622,6283,6610,8045,6610,8069,6604,8324,6583,9089,6583,9089,6433,3988,6433,3733,6304xm4753,6189l4498,6300,4243,6346,3988,6433,9089,6433,9089,6338,5008,6338,4753,6189xm5519,6186l5263,6318,5008,6338,9089,6338,9089,6294,7049,6294,6793,6252,6746,6224,6029,6224,5519,6186xm7559,6129l7303,6142,7049,6294,9089,6294,9089,6222,8834,6222,8675,6164,7813,6164,7559,6129xm6539,6103l6283,6176,6029,6224,6746,6224,6539,6103xm9089,6206l8834,6222,9089,6222,9089,6206xm8324,6041l8069,6068,7813,6164,8675,6164,8579,6129,8324,6041xe" filled="true" fillcolor="#bebebe" stroked="false">
              <v:path arrowok="t"/>
              <v:fill type="solid"/>
            </v:shape>
            <v:line style="position:absolute" from="1948,5659" to="9089,5659" stroked="true" strokeweight=".75pt" strokecolor="#858585">
              <v:stroke dashstyle="solid"/>
            </v:line>
            <v:shape style="position:absolute;left:1947;top:5309;width:7142;height:1348" coordorigin="1948,5310" coordsize="7142,1348" path="m1948,6145l1948,6448,2202,6576,2458,6657,2713,6615,2991,6615,3223,6543,3441,6394,2458,6394,2202,6294,1948,6145xm2991,6615l2713,6615,2968,6622,2991,6615xm4472,6304l3733,6304,3988,6433,4243,6346,4472,6304xm2713,6320l2458,6394,3441,6394,3478,6369,3520,6358,2968,6358,2713,6320xm3733,5809l3478,5910,3223,6234,2968,6358,3520,6358,3733,6304,4472,6304,4498,6300,4753,6189,5512,6189,5519,6186,6232,6186,6283,6176,6539,6103,7976,6103,8069,6068,8324,6042,9089,6042,9089,6010,3988,6010,3733,5809xm5512,6189l4753,6189,5008,6338,5263,6318,5512,6189xm7976,6103l6539,6103,6793,6252,7049,6294,7303,6142,7559,6129,7906,6129,7976,6103xm6232,6186l5519,6186,6029,6224,6232,6186xm9089,6042l8324,6042,8579,6129,8834,6222,9089,6206,9089,6042xm7906,6129l7559,6129,7813,6164,7906,6129xm4753,5689l4498,5823,4243,5914,3988,6010,9089,6010,9089,5871,5263,5871,5008,5811,4753,5689xm5519,5581l5263,5871,9089,5871,9089,5706,6793,5706,6763,5661,5773,5661,5519,5581xm7559,5473l7303,5515,7049,5649,6793,5706,9089,5706,9089,5625,8834,5625,8663,5478,7813,5478,7559,5473xm6539,5326l6283,5568,6029,5577,5773,5661,6763,5661,6539,5326xm9089,5570l8834,5625,9089,5625,9089,5570xm8324,5310l8069,5376,7813,5478,8663,5478,8579,5406,8324,5310xe" filled="true" fillcolor="#d9d9d9" stroked="false">
              <v:path arrowok="t"/>
              <v:fill type="solid"/>
            </v:shape>
            <v:shape style="position:absolute;left:1947;top:1581;width:7142;height:3399" coordorigin="1948,1581" coordsize="7142,3399" path="m1948,4980l9089,4980m1948,4299l9089,4299m1948,3620l9089,3620m1948,2941l9089,2941m1948,2260l9089,2260m1948,1581l9089,1581e" filled="false" stroked="true" strokeweight=".75pt" strokecolor="#858585">
              <v:path arrowok="t"/>
              <v:stroke dashstyle="solid"/>
            </v:shape>
            <v:shape style="position:absolute;left:1947;top:1001;width:7142;height:5393" coordorigin="1948,1001" coordsize="7142,5393" path="m2202,1074l1948,1165,1948,6145,2202,6294,2458,6394,2713,6320,3046,6320,3223,6234,3478,5910,3733,5809,4525,5809,4753,5689,5424,5689,5519,5581,6018,5581,6029,5577,6283,5568,6539,5326,8259,5326,8324,5310,9089,5310,9089,2084,7049,2084,7043,2082,6029,2082,5948,2032,5519,2032,5346,1758,4498,1758,4243,1507,4110,1448,3733,1448,3478,1435,3285,1140,2458,1140,2202,1074xm3046,6320l2713,6320,2968,6358,3046,6320xm4525,5809l3733,5809,3988,6010,4243,5914,4498,5823,4525,5809xm5424,5689l4753,5689,5008,5811,5263,5871,5424,5689xm8259,5326l6539,5326,6793,5706,7049,5649,7303,5515,7559,5473,7825,5473,8069,5376,8259,5326xm6018,5581l5519,5581,5773,5661,6018,5581xm9089,5310l8324,5310,8579,5406,8834,5625,9089,5570,9089,5310xm7825,5473l7559,5473,7813,5478,7825,5473xm7559,1719l7303,1891,7049,2084,9089,2084,9089,2002,8324,2002,8069,1999,7813,1796,7559,1719xm6283,1959l6029,2082,7043,2082,6793,1981,6539,1968,6283,1959xm5773,1926l5519,2032,5948,2032,5773,1926xm8834,1633l8579,1856,8324,2002,9089,2002,9089,1725,8834,1633xm5263,1626l5008,1708,4753,1720,4498,1758,5346,1758,5263,1626xm3988,1394l3733,1448,4110,1448,3988,1394xm2968,1001l2713,1110,2458,1140,3285,1140,3223,1045,2968,1001xe" filled="true" fillcolor="#dbedf4" stroked="false">
              <v:path arrowok="t"/>
              <v:fill type="solid"/>
            </v:shape>
            <v:line style="position:absolute" from="1948,901" to="9089,901" stroked="true" strokeweight=".75pt" strokecolor="#858585">
              <v:stroke dashstyle="solid"/>
            </v:line>
            <v:shape style="position:absolute;left:1947;top:725;width:7142;height:1359" coordorigin="1948,725" coordsize="7142,1359" path="m7213,1959l6283,1959,6539,1968,6793,1981,7049,2084,7213,1959xm7257,1926l5773,1926,6029,2082,6283,1959,7213,1959,7257,1926xm9089,1626l5263,1626,5519,2032,5773,1926,7257,1926,7303,1891,7559,1719,8735,1719,8834,1633,9089,1633,9089,1626xm8735,1719l7559,1719,7813,1796,8069,1999,8324,2002,8579,1856,8735,1719xm5486,1394l3988,1394,4243,1507,4498,1758,4753,1720,5008,1708,5263,1626,9089,1626,9089,1452,6029,1452,5985,1431,5519,1431,5486,1394xm9089,1633l8834,1633,9089,1725,9089,1633xm6283,1318l6029,1452,9089,1452,9089,1357,7049,1357,6965,1330,6539,1330,6283,1318xm3415,1002l2968,1002,3223,1045,3478,1435,3733,1448,3988,1394,5486,1394,5346,1234,4498,1234,4297,1070,3478,1070,3415,1002xm5773,1333l5519,1431,5985,1431,5773,1333xm7559,1138l7303,1213,7049,1357,9089,1357,9089,1300,8069,1300,7813,1179,7559,1138xm6793,1276l6539,1330,6965,1330,6793,1276xm8834,1062l8579,1212,8324,1268,8069,1300,9089,1300,9089,1130,8834,1062xm4753,1202l4498,1234,5346,1234,5320,1206,5008,1206,4753,1202xm5263,1141l5008,1206,5320,1206,5263,1141xm2202,792l1948,865,1948,1165,2202,1074,2798,1074,2968,1002,3415,1002,3271,846,2458,846,2202,792xm2798,1074l2202,1074,2458,1140,2713,1110,2798,1074xm3988,934l3733,968,3478,1070,4297,1070,4243,1026,3988,934xm2968,725l2713,835,2458,846,3271,846,3223,794,2968,725xe" filled="true" fillcolor="#f1dcdb" stroked="false">
              <v:path arrowok="t"/>
              <v:fill type="solid"/>
            </v:shape>
            <v:shape style="position:absolute;left:1947;top:457;width:7142;height:995" coordorigin="1948,457" coordsize="7142,995" path="m6256,1333l5773,1333,6029,1452,6256,1333xm7551,1141l5263,1141,5519,1431,5773,1333,6256,1333,6283,1318,6595,1318,6793,1276,7191,1276,7303,1213,7551,1141xm7191,1276l6793,1276,7049,1357,7191,1276xm6595,1318l6283,1318,6539,1330,6595,1318xm8704,1138l7559,1138,7813,1179,8069,1300,8324,1268,8579,1212,8704,1138xm9089,934l3988,934,4243,1026,4498,1234,4753,1202,5022,1202,5263,1141,7551,1141,7559,1138,8704,1138,8834,1062,9089,1062,9089,934xm5022,1202l4753,1202,5008,1206,5022,1202xm9089,1062l8834,1062,9089,1130,9089,1062xm5368,726l2968,726,3223,794,3478,1070,3733,968,3988,934,9089,934,9089,813,5519,813,5368,726xm2202,510l1948,542,1948,865,2202,792,2814,792,2968,726,5368,726,5298,685,5008,685,4753,662,4498,655,4243,574,4108,564,3478,564,3405,549,2458,549,2202,510xm2814,792l2202,792,2458,846,2713,835,2814,792xm5773,745l5519,813,9089,813,9089,812,6029,812,5773,745xm6539,685l6283,734,6029,812,9089,812,9089,784,7049,784,6793,710,6539,685xm7559,606l7303,644,7049,784,9089,784,9089,681,8069,681,7813,673,7559,606xm5263,664l5008,685,5298,685,5263,664xm8834,590l8579,658,8324,680,8069,681,9089,681,9089,604,8834,590xm3733,536l3478,564,4108,564,3733,536xm2968,457l2713,547,2458,549,3405,549,3223,513,2968,457xe" filled="true" fillcolor="#e6b8b8" stroked="false">
              <v:path arrowok="t"/>
              <v:fill type="solid"/>
            </v:shape>
            <v:shape style="position:absolute;left:1947;top:318;width:7142;height:495" coordorigin="1948,319" coordsize="7142,495" path="m7266,664l5263,664,5519,813,5773,745,6248,745,6283,734,6539,685,7229,685,7266,664xm6248,745l5773,745,6029,812,6248,745xm7229,685l6539,685,6793,710,7049,784,7229,685xm9089,536l3733,536,4243,574,4498,655,4753,662,5008,685,5263,664,7266,664,7303,644,7559,606,8776,606,8834,590,9089,590,9089,536xm8776,606l7559,606,7813,673,8069,681,8324,680,8579,658,8776,606xm9089,590l8834,590,9089,604,9089,590xm5443,457l2968,457,3223,513,3478,564,3733,536,9089,536,9089,478,5519,478,5443,457xm2818,510l2202,510,2458,549,2713,547,2818,510xm2202,393l1948,406,1948,542,2202,510,2818,510,2968,457,5443,457,5355,432,3478,432,3438,427,2458,427,2202,393xm5773,427l5519,478,9089,478,9089,463,6029,463,5773,427xm6793,361l6539,384,6029,463,9089,463,9089,402,7049,402,6793,361xm3988,375l3733,382,3478,432,5355,432,5318,421,5008,421,4498,414,4243,402,3988,375xm2968,366l2713,404,2458,427,3438,427,3223,400,2968,366xm5263,405l5008,421,5318,421,5263,405xm7559,338l7303,357,7049,402,9089,402,9089,370,8069,370,7813,352,7559,338xm8834,319l8579,342,8324,358,8069,370,9089,370,9089,331,8834,319xe" filled="true" fillcolor="#d19292" stroked="false">
              <v:path arrowok="t"/>
              <v:fill type="solid"/>
            </v:shape>
            <v:line style="position:absolute" from="1948,222" to="9089,222" stroked="true" strokeweight=".75pt" strokecolor="#858585">
              <v:stroke dashstyle="solid"/>
            </v:line>
            <v:shape style="position:absolute;left:1947;top:221;width:7142;height:257" coordorigin="1948,222" coordsize="7142,257" path="m6403,405l5263,405,5519,478,5773,427,6267,427,6403,405xm6267,427l5773,427,6029,463,6267,427xm6740,366l2968,366,3223,400,3478,432,3733,382,3988,375,6633,375,6740,366xm2785,393l2202,393,2458,427,2713,404,2785,393xm6633,375l3988,375,4243,402,4498,414,5008,421,5263,405,6403,405,6539,384,6633,375xm9089,222l1948,222,1948,406,2202,393,2785,393,2968,366,6740,366,6793,361,7283,361,7303,357,7559,338,8619,338,8834,319,9089,319,9089,222xm7283,361l6793,361,7049,402,7283,361xm8619,338l7559,338,7813,352,8069,370,8324,358,8579,342,8619,338xm9089,319l8834,319,9089,331,9089,319xe" filled="true" fillcolor="#943735" stroked="false">
              <v:path arrowok="t"/>
              <v:fill type="solid"/>
            </v:shape>
            <v:shape style="position:absolute;left:1947;top:221;width:7142;height:6797" coordorigin="1948,222" coordsize="7142,6797" path="m1948,7018l1948,222m1948,7018l2008,7018m1948,6339l2008,6339m1948,5659l2008,5659m1948,4980l2008,4980m1948,4299l2008,4299m1948,3620l2008,3620m1948,2941l2008,2941m1948,2260l2008,2260m1948,1581l2008,1581m1948,901l2008,901m1948,222l2008,222m1948,7018l9089,7018m1948,6958l1948,7018m3223,6958l3223,7018m4498,6958l4498,7018m5773,6958l5773,7018m7049,6958l7049,7018m8324,6958l8324,7018e" filled="false" stroked="true" strokeweight=".75pt" strokecolor="#858585">
              <v:path arrowok="t"/>
              <v:stroke dashstyle="solid"/>
            </v:shape>
            <w10:wrap type="none"/>
          </v:group>
        </w:pict>
      </w:r>
      <w:r>
        <w:rPr/>
        <w:t>100%</w:t>
      </w:r>
    </w:p>
    <w:p>
      <w:pPr>
        <w:pStyle w:val="BodyText"/>
        <w:rPr>
          <w:sz w:val="22"/>
        </w:rPr>
      </w:pPr>
    </w:p>
    <w:p>
      <w:pPr>
        <w:pStyle w:val="BodyText"/>
        <w:spacing w:before="197"/>
        <w:ind w:left="575"/>
      </w:pPr>
      <w:r>
        <w:rPr/>
        <w:t>90%</w:t>
      </w:r>
    </w:p>
    <w:p>
      <w:pPr>
        <w:pStyle w:val="BodyText"/>
        <w:rPr>
          <w:sz w:val="22"/>
        </w:rPr>
      </w:pPr>
    </w:p>
    <w:p>
      <w:pPr>
        <w:pStyle w:val="BodyText"/>
        <w:spacing w:before="196"/>
        <w:ind w:left="575"/>
      </w:pPr>
      <w:r>
        <w:rPr/>
        <w:t>80%</w:t>
      </w:r>
    </w:p>
    <w:p>
      <w:pPr>
        <w:pStyle w:val="BodyText"/>
        <w:rPr>
          <w:sz w:val="22"/>
        </w:rPr>
      </w:pPr>
      <w:r>
        <w:rPr/>
        <w:br w:type="column"/>
      </w:r>
      <w:r>
        <w:rPr>
          <w:sz w:val="22"/>
        </w:rPr>
      </w:r>
    </w:p>
    <w:p>
      <w:pPr>
        <w:pStyle w:val="BodyText"/>
        <w:rPr>
          <w:sz w:val="22"/>
        </w:rPr>
      </w:pPr>
    </w:p>
    <w:p>
      <w:pPr>
        <w:pStyle w:val="BodyText"/>
        <w:spacing w:before="1"/>
        <w:rPr>
          <w:sz w:val="21"/>
        </w:rPr>
      </w:pPr>
    </w:p>
    <w:p>
      <w:pPr>
        <w:pStyle w:val="BodyText"/>
        <w:ind w:left="333"/>
      </w:pPr>
      <w:r>
        <w:rPr/>
        <w:t>11+</w:t>
      </w:r>
    </w:p>
    <w:p>
      <w:pPr>
        <w:pStyle w:val="BodyText"/>
        <w:rPr>
          <w:sz w:val="22"/>
        </w:rPr>
      </w:pPr>
    </w:p>
    <w:p>
      <w:pPr>
        <w:pStyle w:val="BodyText"/>
        <w:spacing w:before="6"/>
        <w:rPr>
          <w:sz w:val="22"/>
        </w:rPr>
      </w:pPr>
    </w:p>
    <w:p>
      <w:pPr>
        <w:pStyle w:val="BodyText"/>
        <w:ind w:left="333"/>
      </w:pPr>
      <w:r>
        <w:rPr/>
        <w:pict>
          <v:rect style="position:absolute;margin-left:482.589996pt;margin-top:-33.438789pt;width:5.0287pt;height:5.0287pt;mso-position-horizontal-relative:page;mso-position-vertical-relative:paragraph;z-index:251718656" filled="true" fillcolor="#943735" stroked="false">
            <v:fill type="solid"/>
            <w10:wrap type="none"/>
          </v:rect>
        </w:pict>
      </w:r>
      <w:r>
        <w:rPr/>
        <w:pict>
          <v:rect style="position:absolute;margin-left:482.589996pt;margin-top:3.671212pt;width:5.0287pt;height:5.0287pt;mso-position-horizontal-relative:page;mso-position-vertical-relative:paragraph;z-index:251719680" filled="true" fillcolor="#d19292" stroked="false">
            <v:fill type="solid"/>
            <w10:wrap type="none"/>
          </v:rect>
        </w:pict>
      </w:r>
      <w:r>
        <w:rPr/>
        <w:t>8-10</w:t>
      </w:r>
    </w:p>
    <w:p>
      <w:pPr>
        <w:spacing w:after="0"/>
        <w:sectPr>
          <w:type w:val="continuous"/>
          <w:pgSz w:w="11910" w:h="16840"/>
          <w:pgMar w:top="1180" w:bottom="1520" w:left="800" w:right="820"/>
          <w:cols w:num="2" w:equalWidth="0">
            <w:col w:w="3153" w:space="5565"/>
            <w:col w:w="1572"/>
          </w:cols>
        </w:sectPr>
      </w:pPr>
    </w:p>
    <w:p>
      <w:pPr>
        <w:pStyle w:val="BodyText"/>
        <w:spacing w:before="2"/>
        <w:rPr>
          <w:sz w:val="11"/>
        </w:rPr>
      </w:pPr>
    </w:p>
    <w:p>
      <w:pPr>
        <w:pStyle w:val="BodyText"/>
        <w:spacing w:line="229" w:lineRule="exact" w:before="94"/>
        <w:ind w:left="9052"/>
      </w:pPr>
      <w:r>
        <w:rPr/>
        <w:pict>
          <v:rect style="position:absolute;margin-left:482.589996pt;margin-top:8.371156pt;width:5.0287pt;height:5.0287pt;mso-position-horizontal-relative:page;mso-position-vertical-relative:paragraph;z-index:251720704" filled="true" fillcolor="#e6b8b8" stroked="false">
            <v:fill type="solid"/>
            <w10:wrap type="none"/>
          </v:rect>
        </w:pict>
      </w:r>
      <w:r>
        <w:rPr/>
        <w:t>4-7</w:t>
      </w:r>
    </w:p>
    <w:p>
      <w:pPr>
        <w:pStyle w:val="BodyText"/>
        <w:spacing w:line="229" w:lineRule="exact"/>
        <w:ind w:left="575"/>
      </w:pPr>
      <w:r>
        <w:rPr/>
        <w:pict>
          <v:rect style="position:absolute;margin-left:482.589996pt;margin-top:29.331663pt;width:5.0287pt;height:5.0287pt;mso-position-horizontal-relative:page;mso-position-vertical-relative:paragraph;z-index:251721728" filled="true" fillcolor="#f1dcdb" stroked="false">
            <v:fill type="solid"/>
            <w10:wrap type="none"/>
          </v:rect>
        </w:pict>
      </w:r>
      <w:r>
        <w:rPr/>
        <w:t>70%</w:t>
      </w:r>
    </w:p>
    <w:p>
      <w:pPr>
        <w:pStyle w:val="BodyText"/>
        <w:spacing w:before="6"/>
        <w:rPr>
          <w:sz w:val="16"/>
        </w:rPr>
      </w:pPr>
    </w:p>
    <w:p>
      <w:pPr>
        <w:spacing w:after="0"/>
        <w:rPr>
          <w:sz w:val="16"/>
        </w:rPr>
        <w:sectPr>
          <w:type w:val="continuous"/>
          <w:pgSz w:w="11910" w:h="16840"/>
          <w:pgMar w:top="1180" w:bottom="1520" w:left="800" w:right="820"/>
        </w:sectPr>
      </w:pPr>
    </w:p>
    <w:p>
      <w:pPr>
        <w:pStyle w:val="BodyText"/>
        <w:spacing w:before="6"/>
        <w:rPr>
          <w:sz w:val="22"/>
        </w:rPr>
      </w:pPr>
    </w:p>
    <w:p>
      <w:pPr>
        <w:pStyle w:val="BodyText"/>
        <w:ind w:left="575"/>
      </w:pPr>
      <w:r>
        <w:rPr/>
        <w:t>60%</w:t>
      </w:r>
    </w:p>
    <w:p>
      <w:pPr>
        <w:spacing w:before="94"/>
        <w:ind w:left="575" w:right="0" w:firstLine="0"/>
        <w:jc w:val="left"/>
        <w:rPr>
          <w:sz w:val="20"/>
        </w:rPr>
      </w:pPr>
      <w:r>
        <w:rPr/>
        <w:br w:type="column"/>
      </w:r>
      <w:r>
        <w:rPr>
          <w:sz w:val="20"/>
        </w:rPr>
        <w:t>1-3</w:t>
      </w:r>
    </w:p>
    <w:p>
      <w:pPr>
        <w:spacing w:after="0"/>
        <w:jc w:val="left"/>
        <w:rPr>
          <w:sz w:val="20"/>
        </w:rPr>
        <w:sectPr>
          <w:type w:val="continuous"/>
          <w:pgSz w:w="11910" w:h="16840"/>
          <w:pgMar w:top="1180" w:bottom="1520" w:left="800" w:right="820"/>
          <w:cols w:num="2" w:equalWidth="0">
            <w:col w:w="1016" w:space="7461"/>
            <w:col w:w="1813"/>
          </w:cols>
        </w:sectPr>
      </w:pPr>
    </w:p>
    <w:p>
      <w:pPr>
        <w:pStyle w:val="BodyText"/>
        <w:spacing w:before="1"/>
        <w:rPr>
          <w:sz w:val="22"/>
        </w:rPr>
      </w:pPr>
    </w:p>
    <w:p>
      <w:pPr>
        <w:pStyle w:val="BodyText"/>
        <w:tabs>
          <w:tab w:pos="8996" w:val="left" w:leader="none"/>
        </w:tabs>
        <w:spacing w:before="96"/>
        <w:ind w:left="575"/>
      </w:pPr>
      <w:r>
        <w:rPr/>
        <w:pict>
          <v:rect style="position:absolute;margin-left:482.589996pt;margin-top:8.331171pt;width:5.0287pt;height:5.0287pt;mso-position-horizontal-relative:page;mso-position-vertical-relative:paragraph;z-index:-254483456" filled="true" fillcolor="#dbedf4" stroked="false">
            <v:fill type="solid"/>
            <w10:wrap type="none"/>
          </v:rect>
        </w:pict>
      </w:r>
      <w:r>
        <w:rPr/>
        <w:pict>
          <v:rect style="position:absolute;margin-left:482.589996pt;margin-top:45.451172pt;width:5.0287pt;height:5.0287pt;mso-position-horizontal-relative:page;mso-position-vertical-relative:paragraph;z-index:251723776" filled="true" fillcolor="#d9d9d9" stroked="false">
            <v:fill type="solid"/>
            <w10:wrap type="none"/>
          </v:rect>
        </w:pict>
      </w:r>
      <w:r>
        <w:rPr/>
        <w:t>50%</w:t>
        <w:tab/>
      </w:r>
      <w:r>
        <w:rPr>
          <w:position w:val="10"/>
        </w:rPr>
        <w:t>0</w:t>
      </w:r>
    </w:p>
    <w:p>
      <w:pPr>
        <w:pStyle w:val="BodyText"/>
        <w:spacing w:before="6"/>
        <w:rPr>
          <w:sz w:val="27"/>
        </w:rPr>
      </w:pPr>
    </w:p>
    <w:p>
      <w:pPr>
        <w:spacing w:after="0"/>
        <w:rPr>
          <w:sz w:val="27"/>
        </w:rPr>
        <w:sectPr>
          <w:type w:val="continuous"/>
          <w:pgSz w:w="11910" w:h="16840"/>
          <w:pgMar w:top="1180" w:bottom="1520" w:left="800" w:right="820"/>
        </w:sectPr>
      </w:pPr>
    </w:p>
    <w:p>
      <w:pPr>
        <w:pStyle w:val="BodyText"/>
        <w:spacing w:before="134"/>
        <w:ind w:left="575"/>
      </w:pPr>
      <w:r>
        <w:rPr/>
        <w:t>40%</w:t>
      </w:r>
    </w:p>
    <w:p>
      <w:pPr>
        <w:pStyle w:val="BodyText"/>
        <w:spacing w:before="94"/>
        <w:ind w:left="575"/>
      </w:pPr>
      <w:r>
        <w:rPr/>
        <w:br w:type="column"/>
      </w:r>
      <w:r>
        <w:rPr/>
        <w:t>-1 to -3</w:t>
      </w:r>
    </w:p>
    <w:p>
      <w:pPr>
        <w:spacing w:after="0"/>
        <w:sectPr>
          <w:type w:val="continuous"/>
          <w:pgSz w:w="11910" w:h="16840"/>
          <w:pgMar w:top="1180" w:bottom="1520" w:left="800" w:right="820"/>
          <w:cols w:num="2" w:equalWidth="0">
            <w:col w:w="1016" w:space="7461"/>
            <w:col w:w="1813"/>
          </w:cols>
        </w:sectPr>
      </w:pPr>
    </w:p>
    <w:p>
      <w:pPr>
        <w:pStyle w:val="BodyText"/>
      </w:pPr>
    </w:p>
    <w:p>
      <w:pPr>
        <w:spacing w:after="0"/>
        <w:sectPr>
          <w:type w:val="continuous"/>
          <w:pgSz w:w="11910" w:h="16840"/>
          <w:pgMar w:top="1180" w:bottom="1520" w:left="800" w:right="820"/>
        </w:sectPr>
      </w:pPr>
    </w:p>
    <w:p>
      <w:pPr>
        <w:pStyle w:val="BodyText"/>
        <w:spacing w:before="1"/>
        <w:rPr>
          <w:sz w:val="19"/>
        </w:rPr>
      </w:pPr>
    </w:p>
    <w:p>
      <w:pPr>
        <w:pStyle w:val="BodyText"/>
        <w:ind w:left="575"/>
      </w:pPr>
      <w:r>
        <w:rPr/>
        <w:t>30%</w:t>
      </w:r>
    </w:p>
    <w:p>
      <w:pPr>
        <w:pStyle w:val="BodyText"/>
        <w:rPr>
          <w:sz w:val="21"/>
        </w:rPr>
      </w:pPr>
      <w:r>
        <w:rPr/>
        <w:br w:type="column"/>
      </w:r>
      <w:r>
        <w:rPr>
          <w:sz w:val="21"/>
        </w:rPr>
      </w:r>
    </w:p>
    <w:p>
      <w:pPr>
        <w:pStyle w:val="BodyText"/>
        <w:spacing w:before="1"/>
        <w:ind w:left="575"/>
      </w:pPr>
      <w:r>
        <w:rPr/>
        <w:pict>
          <v:rect style="position:absolute;margin-left:482.589996pt;margin-top:3.691175pt;width:5.0287pt;height:5.0287pt;mso-position-horizontal-relative:page;mso-position-vertical-relative:paragraph;z-index:251724800" filled="true" fillcolor="#bebebe" stroked="false">
            <v:fill type="solid"/>
            <w10:wrap type="none"/>
          </v:rect>
        </w:pict>
      </w:r>
      <w:r>
        <w:rPr/>
        <w:t>-4 to -7</w:t>
      </w:r>
    </w:p>
    <w:p>
      <w:pPr>
        <w:spacing w:after="0"/>
        <w:sectPr>
          <w:type w:val="continuous"/>
          <w:pgSz w:w="11910" w:h="16840"/>
          <w:pgMar w:top="1180" w:bottom="1520" w:left="800" w:right="820"/>
          <w:cols w:num="2" w:equalWidth="0">
            <w:col w:w="1016" w:space="7461"/>
            <w:col w:w="1813"/>
          </w:cols>
        </w:sectPr>
      </w:pPr>
    </w:p>
    <w:p>
      <w:pPr>
        <w:pStyle w:val="BodyText"/>
        <w:spacing w:before="10"/>
        <w:rPr>
          <w:sz w:val="28"/>
        </w:rPr>
      </w:pPr>
    </w:p>
    <w:p>
      <w:pPr>
        <w:spacing w:after="0"/>
        <w:rPr>
          <w:sz w:val="28"/>
        </w:rPr>
        <w:sectPr>
          <w:type w:val="continuous"/>
          <w:pgSz w:w="11910" w:h="16840"/>
          <w:pgMar w:top="1180" w:bottom="1520" w:left="800" w:right="820"/>
        </w:sectPr>
      </w:pPr>
    </w:p>
    <w:p>
      <w:pPr>
        <w:pStyle w:val="BodyText"/>
        <w:spacing w:before="94"/>
        <w:ind w:left="575"/>
      </w:pPr>
      <w:r>
        <w:rPr/>
        <w:t>20%</w:t>
      </w:r>
    </w:p>
    <w:p>
      <w:pPr>
        <w:pStyle w:val="BodyText"/>
        <w:rPr>
          <w:sz w:val="22"/>
        </w:rPr>
      </w:pPr>
    </w:p>
    <w:p>
      <w:pPr>
        <w:pStyle w:val="BodyText"/>
        <w:spacing w:before="198"/>
        <w:ind w:left="575"/>
      </w:pPr>
      <w:r>
        <w:rPr/>
        <w:t>10%</w:t>
      </w:r>
    </w:p>
    <w:p>
      <w:pPr>
        <w:pStyle w:val="BodyText"/>
        <w:spacing w:before="180"/>
        <w:ind w:left="575"/>
      </w:pPr>
      <w:r>
        <w:rPr/>
        <w:br w:type="column"/>
      </w:r>
      <w:r>
        <w:rPr/>
        <w:t>-8 to -10</w:t>
      </w:r>
    </w:p>
    <w:p>
      <w:pPr>
        <w:pStyle w:val="BodyText"/>
        <w:rPr>
          <w:sz w:val="22"/>
        </w:rPr>
      </w:pPr>
    </w:p>
    <w:p>
      <w:pPr>
        <w:pStyle w:val="BodyText"/>
        <w:spacing w:before="6"/>
        <w:rPr>
          <w:sz w:val="22"/>
        </w:rPr>
      </w:pPr>
    </w:p>
    <w:p>
      <w:pPr>
        <w:pStyle w:val="BodyText"/>
        <w:ind w:left="575"/>
      </w:pPr>
      <w:r>
        <w:rPr/>
        <w:pict>
          <v:rect style="position:absolute;margin-left:482.589996pt;margin-top:-33.458824pt;width:5.0287pt;height:5.0287pt;mso-position-horizontal-relative:page;mso-position-vertical-relative:paragraph;z-index:251725824" filled="true" fillcolor="#a6a6a6" stroked="false">
            <v:fill type="solid"/>
            <w10:wrap type="none"/>
          </v:rect>
        </w:pict>
      </w:r>
      <w:r>
        <w:rPr/>
        <w:pict>
          <v:rect style="position:absolute;margin-left:482.589996pt;margin-top:3.651174pt;width:5.0287pt;height:5.0287pt;mso-position-horizontal-relative:page;mso-position-vertical-relative:paragraph;z-index:251726848" filled="true" fillcolor="#7e7e7e" stroked="false">
            <v:fill type="solid"/>
            <w10:wrap type="none"/>
          </v:rect>
        </w:pict>
      </w:r>
      <w:r>
        <w:rPr/>
        <w:t>-11+</w:t>
      </w:r>
    </w:p>
    <w:p>
      <w:pPr>
        <w:spacing w:after="0"/>
        <w:sectPr>
          <w:type w:val="continuous"/>
          <w:pgSz w:w="11910" w:h="16840"/>
          <w:pgMar w:top="1180" w:bottom="1520" w:left="800" w:right="820"/>
          <w:cols w:num="2" w:equalWidth="0">
            <w:col w:w="1016" w:space="7461"/>
            <w:col w:w="1813"/>
          </w:cols>
        </w:sectPr>
      </w:pPr>
    </w:p>
    <w:p>
      <w:pPr>
        <w:pStyle w:val="BodyText"/>
        <w:spacing w:before="1"/>
        <w:rPr>
          <w:sz w:val="18"/>
        </w:rPr>
      </w:pPr>
    </w:p>
    <w:p>
      <w:pPr>
        <w:pStyle w:val="BodyText"/>
        <w:spacing w:before="94"/>
        <w:ind w:left="686"/>
      </w:pPr>
      <w:r>
        <w:rPr/>
        <w:t>0%</w:t>
      </w:r>
    </w:p>
    <w:p>
      <w:pPr>
        <w:pStyle w:val="BodyText"/>
        <w:tabs>
          <w:tab w:pos="2200" w:val="left" w:leader="none"/>
          <w:tab w:pos="3476" w:val="left" w:leader="none"/>
          <w:tab w:pos="4751" w:val="left" w:leader="none"/>
          <w:tab w:pos="6027" w:val="left" w:leader="none"/>
          <w:tab w:pos="7302" w:val="left" w:leader="none"/>
        </w:tabs>
        <w:spacing w:before="9"/>
        <w:ind w:left="925"/>
      </w:pPr>
      <w:r>
        <w:rPr/>
        <w:t>1990</w:t>
        <w:tab/>
        <w:t>1995</w:t>
        <w:tab/>
        <w:t>2000</w:t>
        <w:tab/>
        <w:t>2005</w:t>
        <w:tab/>
        <w:t>2010</w:t>
        <w:tab/>
        <w:t>2015</w:t>
      </w:r>
    </w:p>
    <w:p>
      <w:pPr>
        <w:pStyle w:val="BodyText"/>
        <w:spacing w:before="7"/>
        <w:rPr>
          <w:sz w:val="19"/>
        </w:rPr>
      </w:pPr>
    </w:p>
    <w:p>
      <w:pPr>
        <w:spacing w:before="94"/>
        <w:ind w:left="334" w:right="0" w:firstLine="0"/>
        <w:jc w:val="left"/>
        <w:rPr>
          <w:sz w:val="16"/>
        </w:rPr>
      </w:pPr>
      <w:r>
        <w:rPr>
          <w:sz w:val="16"/>
        </w:rPr>
        <w:t>Sources: ONS and Bank of England calculations.</w:t>
      </w:r>
    </w:p>
    <w:p>
      <w:pPr>
        <w:spacing w:before="47"/>
        <w:ind w:left="334" w:right="0" w:firstLine="0"/>
        <w:jc w:val="left"/>
        <w:rPr>
          <w:sz w:val="16"/>
        </w:rPr>
      </w:pPr>
      <w:r>
        <w:rPr>
          <w:sz w:val="16"/>
        </w:rPr>
        <w:t>Notes: Chart shows percentage of jobs moves based on extent of upward or downward movement along the industry job ladder.</w:t>
      </w:r>
    </w:p>
    <w:p>
      <w:pPr>
        <w:spacing w:after="0"/>
        <w:jc w:val="left"/>
        <w:rPr>
          <w:sz w:val="16"/>
        </w:rPr>
        <w:sectPr>
          <w:type w:val="continuous"/>
          <w:pgSz w:w="11910" w:h="16840"/>
          <w:pgMar w:top="1180" w:bottom="1520" w:left="800" w:right="820"/>
        </w:sect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38"/>
      </w:tblGrid>
      <w:tr>
        <w:trPr>
          <w:trHeight w:val="391" w:hRule="atLeast"/>
        </w:trPr>
        <w:tc>
          <w:tcPr>
            <w:tcW w:w="9838" w:type="dxa"/>
          </w:tcPr>
          <w:p>
            <w:pPr>
              <w:pStyle w:val="TableParagraph"/>
              <w:spacing w:line="220" w:lineRule="exact"/>
              <w:ind w:left="200"/>
              <w:rPr>
                <w:b/>
                <w:sz w:val="20"/>
              </w:rPr>
            </w:pPr>
            <w:r>
              <w:rPr>
                <w:b/>
                <w:sz w:val="20"/>
              </w:rPr>
              <w:t>Chart 22: Occupation job ladder</w:t>
            </w:r>
          </w:p>
        </w:tc>
      </w:tr>
      <w:tr>
        <w:trPr>
          <w:trHeight w:val="7223" w:hRule="atLeast"/>
        </w:trPr>
        <w:tc>
          <w:tcPr>
            <w:tcW w:w="9838" w:type="dxa"/>
          </w:tcPr>
          <w:p>
            <w:pPr>
              <w:pStyle w:val="TableParagraph"/>
              <w:spacing w:before="158"/>
              <w:ind w:left="309"/>
              <w:rPr>
                <w:sz w:val="20"/>
              </w:rPr>
            </w:pPr>
            <w:r>
              <w:rPr>
                <w:sz w:val="20"/>
              </w:rPr>
              <w:t>100%</w:t>
            </w:r>
          </w:p>
          <w:p>
            <w:pPr>
              <w:pStyle w:val="TableParagraph"/>
              <w:rPr>
                <w:sz w:val="22"/>
              </w:rPr>
            </w:pPr>
          </w:p>
          <w:p>
            <w:pPr>
              <w:pStyle w:val="TableParagraph"/>
              <w:tabs>
                <w:tab w:pos="9409" w:val="left" w:leader="none"/>
              </w:tabs>
              <w:spacing w:before="162"/>
              <w:ind w:left="420"/>
              <w:rPr>
                <w:sz w:val="20"/>
              </w:rPr>
            </w:pPr>
            <w:r>
              <w:rPr>
                <w:position w:val="1"/>
                <w:sz w:val="20"/>
              </w:rPr>
              <w:t>90%</w:t>
              <w:tab/>
            </w:r>
            <w:r>
              <w:rPr>
                <w:sz w:val="20"/>
              </w:rPr>
              <w:t>8</w:t>
            </w:r>
          </w:p>
          <w:p>
            <w:pPr>
              <w:pStyle w:val="TableParagraph"/>
              <w:spacing w:before="120"/>
              <w:ind w:right="314"/>
              <w:jc w:val="right"/>
              <w:rPr>
                <w:sz w:val="20"/>
              </w:rPr>
            </w:pPr>
            <w:r>
              <w:rPr>
                <w:w w:val="100"/>
                <w:sz w:val="20"/>
              </w:rPr>
              <w:t>7</w:t>
            </w:r>
          </w:p>
          <w:p>
            <w:pPr>
              <w:pStyle w:val="TableParagraph"/>
              <w:tabs>
                <w:tab w:pos="8989" w:val="left" w:leader="none"/>
              </w:tabs>
              <w:spacing w:before="64"/>
              <w:ind w:right="314"/>
              <w:jc w:val="right"/>
              <w:rPr>
                <w:sz w:val="20"/>
              </w:rPr>
            </w:pPr>
            <w:r>
              <w:rPr>
                <w:sz w:val="20"/>
              </w:rPr>
              <w:t>80%</w:t>
              <w:tab/>
            </w:r>
            <w:r>
              <w:rPr>
                <w:spacing w:val="-1"/>
                <w:position w:val="-5"/>
                <w:sz w:val="20"/>
              </w:rPr>
              <w:t>6</w:t>
            </w:r>
          </w:p>
          <w:p>
            <w:pPr>
              <w:pStyle w:val="TableParagraph"/>
              <w:spacing w:before="117"/>
              <w:ind w:right="314"/>
              <w:jc w:val="right"/>
              <w:rPr>
                <w:sz w:val="20"/>
              </w:rPr>
            </w:pPr>
            <w:r>
              <w:rPr>
                <w:w w:val="100"/>
                <w:sz w:val="20"/>
              </w:rPr>
              <w:t>5</w:t>
            </w:r>
          </w:p>
          <w:p>
            <w:pPr>
              <w:pStyle w:val="TableParagraph"/>
              <w:tabs>
                <w:tab w:pos="8989" w:val="left" w:leader="none"/>
              </w:tabs>
              <w:spacing w:before="13"/>
              <w:ind w:right="314"/>
              <w:jc w:val="right"/>
              <w:rPr>
                <w:sz w:val="20"/>
              </w:rPr>
            </w:pPr>
            <w:r>
              <w:rPr>
                <w:sz w:val="20"/>
              </w:rPr>
              <w:t>70%</w:t>
              <w:tab/>
            </w:r>
            <w:r>
              <w:rPr>
                <w:spacing w:val="-1"/>
                <w:position w:val="-10"/>
                <w:sz w:val="20"/>
              </w:rPr>
              <w:t>4</w:t>
            </w:r>
          </w:p>
          <w:p>
            <w:pPr>
              <w:pStyle w:val="TableParagraph"/>
              <w:spacing w:line="211" w:lineRule="exact" w:before="118"/>
              <w:ind w:left="9410"/>
              <w:rPr>
                <w:sz w:val="20"/>
              </w:rPr>
            </w:pPr>
            <w:r>
              <w:rPr>
                <w:w w:val="100"/>
                <w:sz w:val="20"/>
              </w:rPr>
              <w:t>3</w:t>
            </w:r>
          </w:p>
          <w:p>
            <w:pPr>
              <w:pStyle w:val="TableParagraph"/>
              <w:spacing w:line="175" w:lineRule="exact"/>
              <w:ind w:left="420"/>
              <w:rPr>
                <w:sz w:val="20"/>
              </w:rPr>
            </w:pPr>
            <w:r>
              <w:rPr>
                <w:sz w:val="20"/>
              </w:rPr>
              <w:t>60%</w:t>
            </w:r>
          </w:p>
          <w:p>
            <w:pPr>
              <w:pStyle w:val="TableParagraph"/>
              <w:spacing w:line="194" w:lineRule="exact"/>
              <w:ind w:left="9410"/>
              <w:rPr>
                <w:sz w:val="20"/>
              </w:rPr>
            </w:pPr>
            <w:r>
              <w:rPr>
                <w:w w:val="100"/>
                <w:sz w:val="20"/>
              </w:rPr>
              <w:t>2</w:t>
            </w:r>
          </w:p>
          <w:p>
            <w:pPr>
              <w:pStyle w:val="TableParagraph"/>
              <w:tabs>
                <w:tab w:pos="9409" w:val="left" w:leader="none"/>
              </w:tabs>
              <w:spacing w:line="360" w:lineRule="exact" w:before="121"/>
              <w:ind w:left="420"/>
              <w:rPr>
                <w:sz w:val="20"/>
              </w:rPr>
            </w:pPr>
            <w:r>
              <w:rPr>
                <w:sz w:val="20"/>
              </w:rPr>
              <w:t>50%</w:t>
              <w:tab/>
            </w:r>
            <w:r>
              <w:rPr>
                <w:position w:val="14"/>
                <w:sz w:val="20"/>
              </w:rPr>
              <w:t>1</w:t>
            </w:r>
          </w:p>
          <w:p>
            <w:pPr>
              <w:pStyle w:val="TableParagraph"/>
              <w:spacing w:line="220" w:lineRule="exact"/>
              <w:ind w:left="9410"/>
              <w:rPr>
                <w:sz w:val="20"/>
              </w:rPr>
            </w:pPr>
            <w:r>
              <w:rPr>
                <w:w w:val="100"/>
                <w:sz w:val="20"/>
              </w:rPr>
              <w:t>0</w:t>
            </w:r>
          </w:p>
          <w:p>
            <w:pPr>
              <w:pStyle w:val="TableParagraph"/>
              <w:tabs>
                <w:tab w:pos="8989" w:val="left" w:leader="none"/>
              </w:tabs>
              <w:spacing w:before="120"/>
              <w:ind w:right="246"/>
              <w:jc w:val="right"/>
              <w:rPr>
                <w:sz w:val="20"/>
              </w:rPr>
            </w:pPr>
            <w:r>
              <w:rPr>
                <w:sz w:val="20"/>
              </w:rPr>
              <w:t>40%</w:t>
              <w:tab/>
            </w:r>
            <w:r>
              <w:rPr>
                <w:spacing w:val="-1"/>
                <w:position w:val="9"/>
                <w:sz w:val="20"/>
              </w:rPr>
              <w:t>-1</w:t>
            </w:r>
          </w:p>
          <w:p>
            <w:pPr>
              <w:pStyle w:val="TableParagraph"/>
              <w:spacing w:before="31"/>
              <w:ind w:right="246"/>
              <w:jc w:val="right"/>
              <w:rPr>
                <w:sz w:val="20"/>
              </w:rPr>
            </w:pPr>
            <w:r>
              <w:rPr>
                <w:spacing w:val="-1"/>
                <w:sz w:val="20"/>
              </w:rPr>
              <w:t>-2</w:t>
            </w:r>
          </w:p>
          <w:p>
            <w:pPr>
              <w:pStyle w:val="TableParagraph"/>
              <w:tabs>
                <w:tab w:pos="8989" w:val="left" w:leader="none"/>
              </w:tabs>
              <w:spacing w:before="119"/>
              <w:ind w:right="246"/>
              <w:jc w:val="right"/>
              <w:rPr>
                <w:sz w:val="20"/>
              </w:rPr>
            </w:pPr>
            <w:r>
              <w:rPr>
                <w:sz w:val="20"/>
              </w:rPr>
              <w:t>30%</w:t>
              <w:tab/>
            </w:r>
            <w:r>
              <w:rPr>
                <w:spacing w:val="-1"/>
                <w:position w:val="4"/>
                <w:sz w:val="20"/>
              </w:rPr>
              <w:t>-3</w:t>
            </w:r>
          </w:p>
          <w:p>
            <w:pPr>
              <w:pStyle w:val="TableParagraph"/>
              <w:spacing w:before="82"/>
              <w:ind w:right="246"/>
              <w:jc w:val="right"/>
              <w:rPr>
                <w:sz w:val="20"/>
              </w:rPr>
            </w:pPr>
            <w:r>
              <w:rPr>
                <w:spacing w:val="-1"/>
                <w:sz w:val="20"/>
              </w:rPr>
              <w:t>-4</w:t>
            </w:r>
          </w:p>
          <w:p>
            <w:pPr>
              <w:pStyle w:val="TableParagraph"/>
              <w:tabs>
                <w:tab w:pos="8989" w:val="left" w:leader="none"/>
              </w:tabs>
              <w:spacing w:before="111"/>
              <w:ind w:right="246"/>
              <w:jc w:val="right"/>
              <w:rPr>
                <w:sz w:val="20"/>
              </w:rPr>
            </w:pPr>
            <w:r>
              <w:rPr>
                <w:position w:val="1"/>
                <w:sz w:val="20"/>
              </w:rPr>
              <w:t>20%</w:t>
              <w:tab/>
            </w:r>
            <w:r>
              <w:rPr>
                <w:spacing w:val="-1"/>
                <w:sz w:val="20"/>
              </w:rPr>
              <w:t>-5</w:t>
            </w:r>
          </w:p>
          <w:p>
            <w:pPr>
              <w:pStyle w:val="TableParagraph"/>
              <w:spacing w:before="120"/>
              <w:ind w:right="246"/>
              <w:jc w:val="right"/>
              <w:rPr>
                <w:sz w:val="20"/>
              </w:rPr>
            </w:pPr>
            <w:r>
              <w:rPr>
                <w:spacing w:val="-1"/>
                <w:sz w:val="20"/>
              </w:rPr>
              <w:t>-6</w:t>
            </w:r>
          </w:p>
          <w:p>
            <w:pPr>
              <w:pStyle w:val="TableParagraph"/>
              <w:tabs>
                <w:tab w:pos="9409" w:val="left" w:leader="none"/>
              </w:tabs>
              <w:spacing w:before="56"/>
              <w:ind w:left="420"/>
              <w:rPr>
                <w:sz w:val="20"/>
              </w:rPr>
            </w:pPr>
            <w:r>
              <w:rPr>
                <w:sz w:val="20"/>
              </w:rPr>
              <w:t>10%</w:t>
              <w:tab/>
            </w:r>
            <w:r>
              <w:rPr>
                <w:position w:val="-5"/>
                <w:sz w:val="20"/>
              </w:rPr>
              <w:t>-7</w:t>
            </w:r>
          </w:p>
          <w:p>
            <w:pPr>
              <w:pStyle w:val="TableParagraph"/>
              <w:spacing w:before="125"/>
              <w:ind w:left="9410"/>
              <w:rPr>
                <w:sz w:val="20"/>
              </w:rPr>
            </w:pPr>
            <w:r>
              <w:rPr>
                <w:sz w:val="20"/>
              </w:rPr>
              <w:t>-8</w:t>
            </w:r>
          </w:p>
          <w:p>
            <w:pPr>
              <w:pStyle w:val="TableParagraph"/>
              <w:spacing w:before="5"/>
              <w:ind w:left="531"/>
              <w:rPr>
                <w:sz w:val="20"/>
              </w:rPr>
            </w:pPr>
            <w:r>
              <w:rPr>
                <w:sz w:val="20"/>
              </w:rPr>
              <w:t>0%</w:t>
            </w:r>
          </w:p>
          <w:p>
            <w:pPr>
              <w:pStyle w:val="TableParagraph"/>
              <w:tabs>
                <w:tab w:pos="2246" w:val="left" w:leader="none"/>
                <w:tab w:pos="3722" w:val="left" w:leader="none"/>
                <w:tab w:pos="5198" w:val="left" w:leader="none"/>
                <w:tab w:pos="6674" w:val="left" w:leader="none"/>
                <w:tab w:pos="8149" w:val="left" w:leader="none"/>
              </w:tabs>
              <w:spacing w:before="8"/>
              <w:ind w:left="770"/>
              <w:rPr>
                <w:sz w:val="20"/>
              </w:rPr>
            </w:pPr>
            <w:r>
              <w:rPr>
                <w:sz w:val="20"/>
              </w:rPr>
              <w:t>1990</w:t>
              <w:tab/>
              <w:t>1995</w:t>
              <w:tab/>
              <w:t>2000</w:t>
              <w:tab/>
              <w:t>2005</w:t>
              <w:tab/>
              <w:t>2010</w:t>
              <w:tab/>
              <w:t>2015</w:t>
            </w:r>
          </w:p>
        </w:tc>
      </w:tr>
      <w:tr>
        <w:trPr>
          <w:trHeight w:val="538" w:hRule="atLeast"/>
        </w:trPr>
        <w:tc>
          <w:tcPr>
            <w:tcW w:w="9838" w:type="dxa"/>
          </w:tcPr>
          <w:p>
            <w:pPr>
              <w:pStyle w:val="TableParagraph"/>
              <w:spacing w:before="86"/>
              <w:ind w:left="200"/>
              <w:rPr>
                <w:sz w:val="16"/>
              </w:rPr>
            </w:pPr>
            <w:r>
              <w:rPr>
                <w:sz w:val="16"/>
              </w:rPr>
              <w:t>Sources: ONS and Bank of England calculations.</w:t>
            </w:r>
          </w:p>
          <w:p>
            <w:pPr>
              <w:pStyle w:val="TableParagraph"/>
              <w:spacing w:line="167" w:lineRule="exact" w:before="80"/>
              <w:ind w:left="200"/>
              <w:rPr>
                <w:sz w:val="16"/>
              </w:rPr>
            </w:pPr>
            <w:r>
              <w:rPr>
                <w:sz w:val="16"/>
              </w:rPr>
              <w:t>Notes: Chart shows percentage of jobs moves based on extent of upward or downward movement along the occupational job ladder.</w:t>
            </w:r>
          </w:p>
        </w:tc>
      </w:tr>
    </w:tbl>
    <w:p>
      <w:pPr>
        <w:pStyle w:val="BodyText"/>
      </w:pPr>
    </w:p>
    <w:p>
      <w:pPr>
        <w:pStyle w:val="BodyText"/>
        <w:spacing w:before="8"/>
        <w:rPr>
          <w:sz w:val="19"/>
        </w:rPr>
      </w:pPr>
    </w:p>
    <w:p>
      <w:pPr>
        <w:pStyle w:val="BodyText"/>
        <w:spacing w:line="355" w:lineRule="auto" w:before="94"/>
        <w:ind w:left="334" w:right="365"/>
      </w:pPr>
      <w:r>
        <w:rPr/>
        <w:pict>
          <v:group style="position:absolute;margin-left:93.332001pt;margin-top:-397.165131pt;width:421.7pt;height:328.3pt;mso-position-horizontal-relative:page;mso-position-vertical-relative:paragraph;z-index:-254478336" coordorigin="1867,-7943" coordsize="8434,6566">
            <v:shape style="position:absolute;left:1927;top:-1459;width:8264;height:20" coordorigin="1927,-1458" coordsize="8264,20" path="m2222,-1452l1927,-1448,1927,-1439,10191,-1439,10191,-1446,6649,-1446,4878,-1447,4819,-1448,2518,-1448,2222,-1452xm6944,-1454l6649,-1446,10191,-1446,10191,-1447,7535,-1447,6944,-1454xm5764,-1456l5468,-1453,5173,-1447,6502,-1447,5764,-1456xm7830,-1451l7535,-1447,8125,-1447,7830,-1451xm8420,-1451l8125,-1447,10191,-1447,10191,-1450,8716,-1450,8420,-1451xm3403,-1458l2518,-1448,4819,-1448,4760,-1450,4288,-1450,4238,-1451,3698,-1451,3403,-1458xm4583,-1453l4288,-1450,4760,-1450,4583,-1453xm9011,-1453l8716,-1450,9600,-1450,9011,-1453xm9895,-1452l9600,-1450,10191,-1450,10191,-1451,9895,-1452xm3992,-1457l3698,-1451,4238,-1451,3992,-1457xe" filled="true" fillcolor="#000000" stroked="false">
              <v:path arrowok="t"/>
              <v:fill type="solid"/>
            </v:shape>
            <v:shape style="position:absolute;left:1927;top:-1474;width:8264;height:29" coordorigin="1927,-1474" coordsize="8264,29" path="m9011,-1465l8716,-1456,5764,-1456,6649,-1445,6944,-1454,10191,-1454,10191,-1463,9305,-1463,9011,-1465xm5468,-1453l4583,-1453,4878,-1447,5173,-1447,5468,-1453xm10191,-1454l6944,-1454,7535,-1447,7830,-1451,8814,-1451,9011,-1453,10191,-1453,10191,-1454xm8420,-1451l7830,-1451,8125,-1447,8420,-1451xm1927,-1474l1927,-1448,2222,-1452,3010,-1452,3403,-1458,7486,-1458,7436,-1459,6649,-1459,6472,-1463,4288,-1463,4161,-1466,2518,-1466,1927,-1474xm3010,-1452l2222,-1452,2518,-1448,3010,-1452xm7830,-1471l7535,-1457,3992,-1457,4288,-1450,4583,-1453,5468,-1453,8716,-1456,8598,-1460,8125,-1460,7830,-1471xm8814,-1451l8420,-1451,8716,-1450,8814,-1451xm10191,-1453l9011,-1453,9600,-1450,10191,-1452,10191,-1453xm7486,-1458l3403,-1458,3698,-1451,3992,-1457,7535,-1457,7486,-1458xm10191,-1452l9895,-1452,10191,-1451,10191,-1452xm6944,-1466l6649,-1459,7436,-1459,7240,-1464,6944,-1466xm8420,-1468l8125,-1460,8598,-1460,8420,-1468xm4583,-1469l4288,-1463,6472,-1463,6354,-1465,4878,-1465,4583,-1469xm10191,-1470l9895,-1463,10191,-1463,10191,-1470xm5468,-1474l5173,-1465,6354,-1465,6185,-1470,5764,-1470,5468,-1474xm3403,-1472l2518,-1466,3698,-1466,3403,-1472xm3992,-1471l3698,-1466,4161,-1466,3992,-1471xm6059,-1474l5764,-1470,6185,-1470,6059,-1474xe" filled="true" fillcolor="#404040" stroked="false">
              <v:path arrowok="t"/>
              <v:fill type="solid"/>
            </v:shape>
            <v:shape style="position:absolute;left:1927;top:-1626;width:8264;height:170" coordorigin="1927,-1626" coordsize="8264,170" path="m10191,-1565l9895,-1570,9305,-1578,9011,-1590,8716,-1570,8649,-1578,8525,-1594,8420,-1607,8125,-1594,7830,-1612,7535,-1588,7240,-1578,6944,-1584,6649,-1578,6354,-1580,6354,-1506,6255,-1516,6059,-1535,5764,-1516,5819,-1519,6059,-1535,6354,-1506,6354,-1580,6059,-1626,5764,-1595,5468,-1595,5173,-1577,4878,-1568,4861,-1568,4861,-1506,4288,-1496,4029,-1505,4021,-1505,4023,-1505,4288,-1497,4861,-1506,4861,-1506,4861,-1568,4583,-1565,4288,-1553,4096,-1568,3992,-1577,3698,-1568,3403,-1590,3108,-1553,2813,-1558,2222,-1579,1927,-1577,1927,-1519,1927,-1474,2518,-1466,3590,-1469,3698,-1466,3869,-1469,4050,-1470,4288,-1463,4583,-1469,4878,-1465,5173,-1465,5300,-1469,5384,-1471,5426,-1472,5468,-1474,5764,-1470,6059,-1474,6649,-1459,6944,-1466,7240,-1464,7535,-1457,7732,-1466,7830,-1471,8125,-1460,8420,-1468,8716,-1456,9011,-1465,9305,-1463,9895,-1463,9994,-1465,10092,-1468,10191,-1470,10191,-1471,10191,-1474,10191,-1553,10191,-1565e" filled="true" fillcolor="#7e7e7e" stroked="false">
              <v:path arrowok="t"/>
              <v:fill type="solid"/>
            </v:shape>
            <v:shape style="position:absolute;left:1927;top:-1781;width:8264;height:228" coordorigin="1927,-1780" coordsize="8264,228" path="m3317,-1579l2222,-1579,2813,-1558,3108,-1553,3317,-1579xm5173,-1577l3992,-1577,4288,-1553,4583,-1565,4878,-1568,5173,-1577xm10191,-1590l9011,-1590,9305,-1578,10191,-1565,10191,-1590xm5390,-1590l3403,-1590,3698,-1568,3992,-1577,5173,-1577,5390,-1590xm10191,-1607l8420,-1607,8716,-1570,9011,-1590,10191,-1590,10191,-1607xm2222,-1733l1927,-1716,1927,-1577,3317,-1579,3403,-1590,5390,-1590,5468,-1595,5764,-1595,6059,-1626,10191,-1626,10191,-1642,3108,-1642,2813,-1676,2518,-1692,2222,-1733xm10191,-1626l6059,-1626,6354,-1580,6649,-1578,6944,-1584,7424,-1584,7535,-1588,7830,-1612,10191,-1612,10191,-1626xm7424,-1584l6944,-1584,7240,-1578,7424,-1584xm10191,-1612l7830,-1612,8125,-1594,8420,-1607,10191,-1607,10191,-1612xm3403,-1738l3108,-1642,10191,-1642,10191,-1661,4288,-1661,4095,-1681,3698,-1681,3403,-1738xm4583,-1686l4288,-1661,10191,-1661,10191,-1674,4878,-1674,4583,-1686xm5468,-1722l5173,-1682,4878,-1674,10191,-1674,10191,-1676,9600,-1681,9545,-1685,8716,-1685,8666,-1698,7240,-1698,7117,-1710,6649,-1710,6565,-1720,5764,-1720,5468,-1722xm3992,-1692l3698,-1681,4095,-1681,3992,-1692xm9011,-1706l8716,-1685,9545,-1685,9305,-1700,9011,-1706xm7830,-1756l7535,-1720,7240,-1698,8666,-1698,8496,-1744,8125,-1744,7830,-1756xm6944,-1727l6649,-1710,7117,-1710,6944,-1727xm6059,-1780l5764,-1720,6565,-1720,6354,-1744,6059,-1780xm8420,-1764l8125,-1744,8496,-1744,8420,-1764xe" filled="true" fillcolor="#a6a6a6" stroked="false">
              <v:path arrowok="t"/>
              <v:fill type="solid"/>
            </v:shape>
            <v:shape style="position:absolute;left:1927;top:-2094;width:8264;height:452" coordorigin="1927,-2093" coordsize="8264,452" path="m3388,-1733l2222,-1733,2518,-1692,2813,-1676,3108,-1642,3388,-1733xm5245,-1692l3992,-1692,4288,-1661,4583,-1686,5200,-1686,5245,-1692xm5200,-1686l4583,-1686,4878,-1674,5173,-1682,5200,-1686xm10191,-1706l9011,-1706,9305,-1700,9600,-1681,10191,-1676,10191,-1706xm5850,-1738l3403,-1738,3698,-1681,3992,-1692,5245,-1692,5468,-1722,5775,-1722,5850,-1738xm10191,-1764l8420,-1764,8716,-1685,9011,-1706,10191,-1706,10191,-1764xm7594,-1727l6944,-1727,7240,-1698,7535,-1720,7594,-1727xm10191,-1781l6059,-1781,6354,-1744,6649,-1710,6944,-1727,7594,-1727,7830,-1756,8299,-1756,8420,-1764,10191,-1764,10191,-1781xm2222,-2093l1927,-1988,1927,-1716,2222,-1733,3388,-1733,3403,-1738,5850,-1738,6059,-1781,10191,-1781,10191,-1834,9895,-1834,9770,-1850,3108,-1850,2849,-1936,2518,-1936,2222,-2093xm5775,-1722l5468,-1722,5764,-1720,5775,-1722xm8299,-1756l7830,-1756,8125,-1744,8299,-1756xm10191,-1848l9895,-1834,10191,-1834,10191,-1848xm3403,-1997l3108,-1850,9770,-1850,9600,-1873,9569,-1877,4288,-1877,4117,-1916,3698,-1916,3403,-1997xm4583,-1940l4288,-1877,9569,-1877,9417,-1895,8716,-1895,8622,-1916,5173,-1916,4878,-1919,4583,-1940xm9011,-1910l8716,-1895,9417,-1895,9305,-1908,9011,-1910xm3992,-1945l3698,-1916,4117,-1916,3992,-1945xm5468,-2006l5173,-1916,8622,-1916,8524,-1939,7240,-1939,6976,-1969,6649,-1969,6470,-1990,5764,-1990,5468,-2006xm2813,-1948l2518,-1936,2849,-1936,2813,-1948xm7830,-1999l7535,-1943,7240,-1939,8524,-1939,8420,-1963,8125,-1985,7830,-1999xm6944,-1973l6649,-1969,6976,-1969,6944,-1973xm6059,-2045l5764,-1990,6470,-1990,6354,-2003,6059,-2045xe" filled="true" fillcolor="#bebebe" stroked="false">
              <v:path arrowok="t"/>
              <v:fill type="solid"/>
            </v:shape>
            <v:shape style="position:absolute;left:1927;top:-2359;width:8264;height:526" coordorigin="1927,-2358" coordsize="8264,526" path="m10191,-1910l9011,-1910,9305,-1908,9600,-1873,9895,-1833,10191,-1848,10191,-1910xm3304,-1948l2813,-1948,3108,-1850,3304,-1948xm5268,-1945l3992,-1945,4288,-1877,4583,-1940,5252,-1940,5268,-1945xm10191,-1999l7830,-1999,8125,-1985,8420,-1963,8716,-1895,9011,-1910,10191,-1910,10191,-1999xm5437,-1997l3403,-1997,3698,-1916,3992,-1945,5268,-1945,5437,-1997xm5252,-1940l4583,-1940,4878,-1919,5173,-1916,5252,-1940xm3026,-2093l2222,-2093,2518,-1936,2813,-1948,3304,-1948,3403,-1997,5437,-1997,5468,-2006,5853,-2006,6059,-2045,10191,-2045,10191,-2053,3108,-2053,3026,-2093xm7692,-1973l6944,-1973,7240,-1939,7535,-1943,7692,-1973xm10191,-2045l6059,-2045,6354,-2003,6649,-1969,6944,-1973,7692,-1973,7830,-1999,10191,-1999,10191,-2045xm2222,-2358l1927,-2195,1927,-1988,2222,-2093,3026,-2093,2937,-2136,2518,-2136,2222,-2358xm5853,-2006l5468,-2006,5764,-1990,5853,-2006xm3403,-2213l3108,-2053,10191,-2053,10191,-2086,9895,-2086,9802,-2099,4288,-2099,4086,-2130,3698,-2130,3403,-2213xm10191,-2096l9895,-2086,10191,-2086,10191,-2096xm4583,-2188l4288,-2099,9802,-2099,9600,-2128,9462,-2162,8716,-2162,8652,-2179,4878,-2179,4583,-2188xm3992,-2144l3698,-2130,4086,-2130,3992,-2144xm2813,-2196l2518,-2136,2937,-2136,2813,-2196xm9305,-2202l9011,-2185,8716,-2162,9462,-2162,9305,-2202xm5468,-2317l5173,-2180,4878,-2179,8652,-2179,8484,-2224,7535,-2224,7387,-2243,5764,-2243,5468,-2317xm7830,-2291l7535,-2224,8484,-2224,8420,-2240,8125,-2286,7830,-2291xm6059,-2358l5764,-2243,7387,-2243,7286,-2256,6649,-2256,6354,-2326,6059,-2358xm6944,-2288l6649,-2256,7286,-2256,7240,-2262,6944,-2288xe" filled="true" fillcolor="#d9d9d9" stroked="false">
              <v:path arrowok="t"/>
              <v:fill type="solid"/>
            </v:shape>
            <v:shape style="position:absolute;left:1927;top:-2731;width:8264;height:678" coordorigin="1927,-2731" coordsize="8264,678" path="m3372,-2196l2813,-2196,3108,-2053,3372,-2196xm10191,-2202l9305,-2202,9600,-2128,9895,-2086,10191,-2096,10191,-2202xm4439,-2144l3992,-2144,4288,-2099,4439,-2144xm5243,-2213l3403,-2213,3698,-2130,3992,-2144,4439,-2144,4583,-2188,5189,-2188,5243,-2213xm3049,-2358l2222,-2358,2518,-2136,2813,-2196,3372,-2196,3403,-2213,5243,-2213,5468,-2317,5954,-2317,5963,-2321,3108,-2321,3049,-2358xm10191,-2291l7830,-2291,8125,-2286,8420,-2240,8716,-2162,9011,-2185,9305,-2202,10191,-2202,10191,-2291xm5189,-2188l4583,-2188,4878,-2179,5173,-2180,5189,-2188xm2222,-2731l1927,-2515,1927,-2195,2222,-2358,3049,-2358,2921,-2438,2518,-2438,2222,-2731xm7819,-2288l6944,-2288,7240,-2262,7535,-2224,7819,-2288xm5954,-2317l5468,-2317,5764,-2243,5954,-2317xm10191,-2358l6059,-2358,6354,-2326,6649,-2256,6944,-2288,7819,-2288,7830,-2291,10191,-2291,10191,-2358xm3403,-2514l3108,-2321,5963,-2321,6059,-2358,10191,-2358,10191,-2366,4288,-2366,4053,-2431,3698,-2431,3403,-2514xm4583,-2500l4288,-2366,10191,-2366,10191,-2378,9895,-2378,9600,-2431,9506,-2477,4878,-2477,4583,-2500xm10191,-2420l9895,-2378,10191,-2378,10191,-2420xm3992,-2448l3698,-2431,4053,-2431,3992,-2448xm2813,-2507l2518,-2438,2921,-2438,2813,-2507xm5468,-2701l5173,-2507,4878,-2477,9506,-2477,9416,-2520,8716,-2520,8566,-2568,7535,-2568,7517,-2569,5764,-2569,5468,-2701xm9305,-2574l9011,-2545,8716,-2520,9416,-2520,9305,-2574xm8125,-2689l7830,-2657,7535,-2568,8566,-2568,8420,-2615,8125,-2689xm6059,-2714l5764,-2569,7517,-2569,7240,-2588,6944,-2633,6649,-2638,6354,-2707,6059,-2714xe" filled="true" fillcolor="#f1f1f1" stroked="false">
              <v:path arrowok="t"/>
              <v:fill type="solid"/>
            </v:shape>
            <v:shape style="position:absolute;left:1927;top:-6663;width:8264;height:4343" coordorigin="1927,-6663" coordsize="8264,4343" path="m3392,-2507l2813,-2507,3108,-2321,3392,-2507xm4468,-2448l3992,-2448,4288,-2366,4468,-2448xm10191,-2574l9305,-2574,9600,-2431,9895,-2378,10191,-2420,10191,-2574xm5184,-2514l3403,-2514,3698,-2431,3992,-2448,4468,-2448,4583,-2500,5102,-2500,5173,-2507,5184,-2514xm10191,-2731l2222,-2731,2518,-2438,2813,-2507,3392,-2507,3403,-2514,5184,-2514,5468,-2701,6032,-2701,6059,-2714,10191,-2714,10191,-2731xm5102,-2500l4583,-2500,4878,-2477,5102,-2500xm1927,-6404l1927,-2515,2222,-2731,10191,-2731,10191,-5922,6649,-5922,6415,-6005,6059,-6005,5866,-6130,5468,-6130,5173,-6180,4971,-6235,2222,-6235,1927,-6404xm10191,-2689l8125,-2689,8420,-2615,8716,-2520,9011,-2545,9305,-2574,10191,-2574,10191,-2689xm10191,-2714l6059,-2714,6354,-2707,6649,-2638,6944,-2633,7240,-2588,7535,-2568,7830,-2657,8125,-2689,10191,-2689,10191,-2714xm6032,-2701l5468,-2701,5764,-2569,6032,-2701xm6944,-5982l6649,-5922,10191,-5922,10191,-5948,7240,-5948,6944,-5982xm7830,-6092l7535,-6085,7240,-5948,10191,-5948,10191,-5969,8125,-5969,7830,-6092xm8420,-6166l8125,-5969,10191,-5969,10191,-5976,9600,-5976,9366,-6022,9011,-6022,8420,-6166xm10191,-6224l9895,-6188,9600,-5976,10191,-5976,10191,-6224xm6354,-6026l6059,-6005,6415,-6005,6354,-6026xm9305,-6034l9011,-6022,9366,-6022,9305,-6034xm5764,-6196l5468,-6130,5866,-6130,5764,-6196xm2518,-6522l2222,-6235,4971,-6235,4878,-6260,4583,-6302,4423,-6400,3992,-6400,3698,-6442,3675,-6448,2813,-6448,2518,-6522xm4288,-6482l3992,-6400,4423,-6400,4288,-6482xm3108,-6663l2813,-6448,3675,-6448,3403,-6517,3108,-6663xe" filled="true" fillcolor="#dbedf4" stroked="false">
              <v:path arrowok="t"/>
              <v:fill type="solid"/>
            </v:shape>
            <v:shape style="position:absolute;left:1927;top:-7012;width:8264;height:1090" coordorigin="1927,-7012" coordsize="8264,1090" path="m7408,-6026l6354,-6026,6649,-5922,6944,-5982,7312,-5982,7408,-6026xm7312,-5982l6944,-5982,7240,-5948,7312,-5982xm8311,-6092l7830,-6092,8125,-5969,8311,-6092xm9680,-6034l9305,-6034,9600,-5976,9680,-6034xm9954,-6196l5764,-6196,6059,-6005,6354,-6026,7408,-6026,7535,-6085,7830,-6092,8311,-6092,8420,-6166,9864,-6166,9895,-6188,9954,-6196xm9864,-6166l8420,-6166,9011,-6022,9305,-6034,9680,-6034,9864,-6166xm10191,-6482l4288,-6482,4583,-6302,4878,-6260,5173,-6180,5468,-6130,5764,-6196,9954,-6196,10191,-6224,10191,-6482xm1927,-6816l1927,-6404,2222,-6235,2518,-6522,2915,-6522,3108,-6662,4945,-6662,4878,-6674,4583,-6692,4482,-6744,2222,-6744,1927,-6816xm4945,-6662l3108,-6662,3403,-6517,3698,-6442,3992,-6400,4288,-6482,10191,-6482,10191,-6500,6944,-6500,6730,-6510,6059,-6510,5912,-6598,5468,-6598,5173,-6622,4945,-6662xm2915,-6522l2518,-6522,2813,-6448,2915,-6522xm7830,-6644l7535,-6610,7240,-6511,6944,-6500,10191,-6500,10191,-6518,8125,-6518,7830,-6644xm6354,-6578l6059,-6510,6730,-6510,6649,-6514,6354,-6578xm8420,-6713l8125,-6518,10191,-6518,10191,-6526,9600,-6526,9011,-6553,8716,-6601,8420,-6713xm10191,-6691l9895,-6684,9600,-6526,10191,-6526,10191,-6691xm5764,-6686l5468,-6598,5912,-6598,5764,-6686xm2518,-6907l2222,-6744,4482,-6744,4388,-6792,3992,-6792,3698,-6841,3665,-6852,2813,-6852,2518,-6907xm4288,-6844l3992,-6792,4388,-6792,4288,-6844xm3108,-7012l2813,-6852,3665,-6852,3403,-6936,3108,-7012xe" filled="true" fillcolor="#f1dcdb" stroked="false">
              <v:path arrowok="t"/>
              <v:fill type="solid"/>
            </v:shape>
            <v:shape style="position:absolute;left:1927;top:-7272;width:8264;height:772" coordorigin="1927,-7272" coordsize="8264,772" path="m7441,-6578l6354,-6578,6649,-6514,6944,-6500,7240,-6511,7441,-6578xm8380,-6686l5764,-6686,6059,-6510,6354,-6578,7441,-6578,7535,-6610,7830,-6644,8317,-6644,8380,-6686xm8317,-6644l7830,-6644,8125,-6518,8317,-6644xm10191,-6713l8420,-6713,8716,-6601,9011,-6553,9600,-6526,9895,-6684,10191,-6691,10191,-6713xm10191,-6844l4288,-6844,4583,-6692,4878,-6674,5173,-6622,5468,-6598,5764,-6686,8380,-6686,8420,-6713,10191,-6713,10191,-6844xm1927,-7106l1927,-6816,2222,-6744,2518,-6907,2915,-6907,3108,-7012,4772,-7012,4583,-7031,4554,-7040,2222,-7040,1927,-7106xm4772,-7012l3108,-7012,3403,-6936,3698,-6841,3992,-6792,4288,-6844,10191,-6844,10191,-6907,6944,-6907,6698,-6919,6059,-6919,5936,-6971,5173,-6971,4772,-7012xm2915,-6907l2518,-6907,2813,-6852,2915,-6907xm7830,-7008l7535,-6983,7240,-6929,6944,-6907,10191,-6907,10191,-6910,8125,-6910,7830,-7008xm8420,-7087l8125,-6910,10191,-6910,10191,-6924,9600,-6924,9305,-6931,9011,-6935,8716,-6984,8420,-7087xm6354,-6943l6059,-6919,6698,-6919,6649,-6922,6354,-6943xm9895,-7024l9600,-6924,10191,-6924,10191,-7012,9895,-7024xm5764,-7043l5468,-6986,5173,-6971,5936,-6971,5764,-7043xm2518,-7183l2222,-7040,4554,-7040,4320,-7117,3992,-7117,3821,-7134,2813,-7134,2518,-7183xm4288,-7128l3992,-7117,4320,-7117,4288,-7128xm3108,-7272l2813,-7134,3821,-7134,3698,-7146,3403,-7220,3108,-7272xe" filled="true" fillcolor="#e6b8b8" stroked="false">
              <v:path arrowok="t"/>
              <v:fill type="solid"/>
            </v:shape>
            <v:shape style="position:absolute;left:1927;top:-7595;width:8264;height:688" coordorigin="1927,-7594" coordsize="8264,688" path="m7318,-6943l6354,-6943,6649,-6922,6944,-6907,7240,-6929,7318,-6943xm8289,-7008l7830,-7008,8125,-6910,8289,-7008xm8347,-7043l5764,-7043,6059,-6919,6354,-6943,7318,-6943,7535,-6983,7830,-7008,8289,-7008,8347,-7043xm10191,-7087l8420,-7087,8716,-6984,9011,-6935,9305,-6931,9600,-6924,9895,-7024,10191,-7024,10191,-7087xm10191,-7128l4288,-7128,4583,-7031,5173,-6971,5468,-6986,5764,-7043,8347,-7043,8420,-7087,10191,-7087,10191,-7128xm10191,-7024l9895,-7024,10191,-7012,10191,-7024xm1927,-7492l1927,-7106,2222,-7040,2518,-7183,2918,-7183,3108,-7272,9294,-7272,9011,-7303,8995,-7304,8125,-7304,8080,-7318,7240,-7318,6944,-7325,6649,-7343,6625,-7344,6059,-7344,5778,-7392,5468,-7392,5173,-7411,4878,-7424,4780,-7427,2222,-7427,1927,-7492xm9294,-7272l3108,-7272,3403,-7220,3698,-7146,3992,-7117,4288,-7128,10191,-7128,10191,-7271,9305,-7271,9294,-7272xm2918,-7183l2518,-7183,2813,-7134,2918,-7183xm9895,-7350l9600,-7272,9305,-7271,10191,-7271,10191,-7331,9895,-7350xm8420,-7410l8125,-7304,8995,-7304,8716,-7326,8420,-7410xm7830,-7391l7535,-7375,7240,-7318,8080,-7318,7830,-7391xm6354,-7357l6059,-7344,6625,-7344,6354,-7357xm5764,-7394l5468,-7392,5778,-7392,5764,-7394xm2518,-7554l2222,-7427,4780,-7427,4583,-7432,4374,-7481,3992,-7481,3730,-7520,2813,-7520,2518,-7554xm4288,-7501l3992,-7481,4374,-7481,4288,-7501xm3108,-7594l2813,-7520,3730,-7520,3698,-7525,3403,-7579,3108,-7594xe" filled="true" fillcolor="#d99593" stroked="false">
              <v:path arrowok="t"/>
              <v:fill type="solid"/>
            </v:shape>
            <v:shape style="position:absolute;left:1927;top:-7730;width:8264;height:459" coordorigin="1927,-7730" coordsize="8264,459" path="m10191,-7410l8420,-7410,8716,-7326,9011,-7303,9305,-7271,9600,-7272,9895,-7350,10191,-7350,10191,-7410xm8367,-7391l7830,-7391,8125,-7304,8367,-7391xm7443,-7357l6354,-7357,6649,-7343,6944,-7325,7240,-7318,7443,-7357xm10191,-7350l9895,-7350,10191,-7331,10191,-7350xm8377,-7394l5764,-7394,6059,-7344,6354,-7357,7443,-7357,7535,-7375,7830,-7391,8367,-7391,8377,-7394xm10191,-7501l4288,-7501,4583,-7432,4878,-7424,5173,-7411,5468,-7392,8377,-7394,8420,-7410,10191,-7410,10191,-7501xm1927,-7686l1927,-7492,2222,-7427,2518,-7554,2946,-7554,3108,-7595,8070,-7595,8033,-7600,6944,-7600,6708,-7614,6354,-7614,6059,-7626,6040,-7628,2222,-7628,1927,-7686xm8070,-7595l3108,-7595,3403,-7579,3698,-7525,3992,-7481,4288,-7501,10191,-7501,10191,-7566,9305,-7566,9093,-7588,8125,-7588,8070,-7595xm2946,-7554l2518,-7554,2813,-7520,2946,-7554xm9895,-7616l9600,-7567,9305,-7566,10191,-7566,10191,-7606,9895,-7616xm8420,-7650l8125,-7588,9093,-7588,9011,-7596,8716,-7604,8420,-7650xm7535,-7632l6944,-7600,8033,-7600,7830,-7626,7535,-7632xm6649,-7618l6354,-7614,6708,-7614,6649,-7618xm2518,-7709l2222,-7628,6040,-7628,5967,-7638,4878,-7638,4583,-7643,4416,-7663,3992,-7663,3793,-7688,2813,-7688,2518,-7709xm5173,-7656l4878,-7638,5967,-7638,5948,-7640,5468,-7640,5173,-7656xm5764,-7664l5468,-7640,5948,-7640,5764,-7664xm4288,-7679l3992,-7663,4416,-7663,4288,-7679xm3108,-7730l2813,-7688,3793,-7688,3698,-7700,3403,-7721,3108,-7730xe" filled="true" fillcolor="#d38985" stroked="false">
              <v:path arrowok="t"/>
              <v:fill type="solid"/>
            </v:shape>
            <v:shape style="position:absolute;left:1927;top:-7824;width:8264;height:257" coordorigin="1927,-7823" coordsize="8264,257" path="m10191,-7650l8420,-7650,8716,-7604,9011,-7596,9305,-7566,9600,-7567,9895,-7616,10191,-7616,10191,-7650xm8335,-7632l7535,-7632,7830,-7626,8125,-7588,8335,-7632xm7282,-7618l6649,-7618,6944,-7600,7282,-7618xm10191,-7616l9895,-7616,10191,-7606,10191,-7616xm10191,-7664l5764,-7664,6059,-7626,6354,-7614,6649,-7618,7282,-7618,7535,-7632,8335,-7632,8420,-7650,10191,-7650,10191,-7664xm1927,-7789l1927,-7686,2222,-7628,2518,-7709,2960,-7709,3108,-7729,10191,-7729,10191,-7733,9600,-7733,9384,-7746,2222,-7746,1927,-7789xm10191,-7679l4288,-7679,4583,-7643,4878,-7638,5173,-7656,5660,-7656,5764,-7664,10191,-7664,10191,-7679xm5660,-7656l5173,-7656,5468,-7640,5660,-7656xm10191,-7729l3108,-7729,3403,-7721,3698,-7700,3992,-7663,4288,-7679,10191,-7679,10191,-7729xm2960,-7709l2518,-7709,2813,-7688,2960,-7709xm9895,-7769l9600,-7733,10191,-7733,10191,-7762,9895,-7769xm2518,-7811l2222,-7746,9384,-7746,9344,-7748,8716,-7748,8673,-7753,8125,-7753,8069,-7758,6944,-7758,6723,-7765,6059,-7765,5926,-7776,5468,-7776,5440,-7778,4583,-7778,4534,-7783,2813,-7783,2518,-7811xm9011,-7765l8716,-7748,9344,-7748,9305,-7751,9011,-7765xm8420,-7782l8125,-7753,8673,-7753,8420,-7782xm7830,-7778l7535,-7775,6944,-7758,8069,-7758,7830,-7778xm6354,-7770l6059,-7765,6723,-7765,6649,-7768,6354,-7770xm5764,-7789l5468,-7776,5926,-7776,5764,-7789xm5173,-7801l4583,-7778,5440,-7778,5173,-7801xm3403,-7823l3108,-7820,2813,-7783,4534,-7783,4497,-7787,3992,-7787,3698,-7807,3403,-7823xm4288,-7807l3992,-7787,4497,-7787,4288,-7807xe" filled="true" fillcolor="#cd7370" stroked="false">
              <v:path arrowok="t"/>
              <v:fill type="solid"/>
            </v:shape>
            <v:shape style="position:absolute;left:1927;top:-7890;width:8264;height:157" coordorigin="1927,-7889" coordsize="8264,157" path="m9866,-7765l9011,-7765,9305,-7751,9600,-7733,9866,-7765xm1927,-7871l1927,-7789,2222,-7746,2518,-7811,3032,-7811,3108,-7820,10191,-7823,10191,-7834,2222,-7834,1927,-7871xm10191,-7782l8420,-7782,8716,-7748,9011,-7765,9866,-7765,9895,-7769,10191,-7769,10191,-7782xm8384,-7778l7830,-7778,8125,-7753,8384,-7778xm7387,-7770l6354,-7770,6649,-7768,6944,-7758,7387,-7770xm10191,-7769l9895,-7769,10191,-7762,10191,-7769xm10191,-7789l5764,-7789,6059,-7765,6354,-7770,7387,-7770,7535,-7775,7830,-7778,8384,-7778,8420,-7782,10191,-7782,10191,-7789xm10191,-7801l5173,-7801,5468,-7776,5764,-7789,10191,-7789,10191,-7801xm10191,-7807l4288,-7807,4583,-7778,5173,-7801,10191,-7801,10191,-7807xm3032,-7811l2518,-7811,2813,-7783,3032,-7811xm10191,-7823l3403,-7823,3698,-7807,3992,-7787,4288,-7807,10191,-7807,10191,-7823xm2518,-7879l2222,-7834,10191,-7834,10191,-7850,8716,-7850,8631,-7860,4583,-7860,4465,-7862,2813,-7862,2518,-7879xm9011,-7864l8716,-7850,10191,-7850,10191,-7855,9600,-7855,9305,-7858,9011,-7864xm9895,-7873l9600,-7855,10191,-7855,10191,-7864,9895,-7873xm5173,-7874l4878,-7872,4583,-7860,8631,-7860,8568,-7867,5468,-7867,5173,-7874xm3403,-7889l3108,-7879,2813,-7862,4465,-7862,4406,-7864,3992,-7864,3698,-7878,3403,-7889xm4288,-7866l3992,-7864,4406,-7864,4288,-7866xm6059,-7884l5764,-7878,5468,-7867,8568,-7867,8536,-7871,8125,-7871,8045,-7874,6354,-7874,6059,-7884xm8420,-7884l8125,-7871,8536,-7871,8420,-7884xm6944,-7886l6354,-7874,8045,-7874,7830,-7884,7240,-7885,6944,-7886xe" filled="true" fillcolor="#bd4d49" stroked="false">
              <v:path arrowok="t"/>
              <v:fill type="solid"/>
            </v:shape>
            <v:shape style="position:absolute;left:1927;top:-7920;width:8264;height:87" coordorigin="1927,-7920" coordsize="8264,87" path="m1927,-7912l1927,-7871,2222,-7833,2518,-7879,3108,-7879,3403,-7890,10191,-7890,10191,-7895,2222,-7895,1927,-7912xm10191,-7884l8420,-7884,8716,-7850,9011,-7864,9738,-7864,9895,-7873,10191,-7873,10191,-7884xm9738,-7864l9011,-7864,9305,-7858,9600,-7855,9738,-7864xm4730,-7866l4288,-7866,4583,-7860,4730,-7866xm3108,-7879l2518,-7879,2813,-7862,3108,-7879xm10191,-7890l3403,-7890,3992,-7864,4730,-7866,4878,-7872,5665,-7874,5764,-7878,6059,-7884,6797,-7884,6944,-7886,10191,-7886,10191,-7890xm10191,-7873l9895,-7873,10191,-7864,10191,-7873xm5665,-7874l5173,-7874,5468,-7867,5665,-7874xm10191,-7886l6944,-7886,7240,-7885,7830,-7884,8125,-7871,8420,-7884,10191,-7884,10191,-7886xm6797,-7884l6059,-7884,6354,-7874,6797,-7884xm2518,-7909l2222,-7895,10191,-7895,10191,-7900,8716,-7900,8642,-7903,2813,-7903,2518,-7909xm9011,-7910l8716,-7900,10191,-7900,10191,-7901,9305,-7901,9011,-7910xm9895,-7907l9305,-7901,10191,-7901,10191,-7906,9895,-7907xm3108,-7915l2813,-7903,8642,-7903,8593,-7906,3992,-7906,3108,-7915xm4288,-7912l3992,-7906,4583,-7906,4288,-7912xm4878,-7913l4583,-7906,8593,-7906,8519,-7909,5468,-7909,4878,-7913xm6059,-7918l5764,-7915,5468,-7909,8519,-7909,8420,-7914,7240,-7914,7113,-7916,6354,-7916,6059,-7918xm7535,-7916l7240,-7914,7830,-7914,7535,-7916xm8125,-7915l7830,-7914,8420,-7914,8125,-7915xm6944,-7920l6649,-7916,7113,-7916,6944,-7920xe" filled="true" fillcolor="#943735" stroked="false">
              <v:path arrowok="t"/>
              <v:fill type="solid"/>
            </v:shape>
            <v:shape style="position:absolute;left:1927;top:-7936;width:8264;height:41" coordorigin="1927,-7936" coordsize="8264,41" path="m10191,-7936l1927,-7936,1927,-7912,2222,-7895,2518,-7909,2960,-7909,3108,-7915,5764,-7915,6748,-7918,6944,-7920,10191,-7920,10191,-7936xm10191,-7915l8125,-7915,8420,-7914,8716,-7900,9011,-7910,10191,-7910,10191,-7915xm10191,-7910l9011,-7910,9305,-7901,9895,-7907,10191,-7907,10191,-7910xm2960,-7909l2518,-7909,2813,-7903,2960,-7909xm5764,-7915l3108,-7915,3992,-7906,4288,-7912,4829,-7912,4878,-7913,5646,-7913,5764,-7915xm4829,-7912l4288,-7912,4583,-7906,4829,-7912xm10191,-7907l9895,-7907,10191,-7906,10191,-7907xm5646,-7913l4878,-7913,5468,-7909,5646,-7913xm10191,-7920l6944,-7920,7240,-7914,10191,-7916,10191,-7920xm10191,-7916l7535,-7916,7830,-7914,10191,-7915,10191,-7916xm6748,-7918l6059,-7918,6354,-7916,6649,-7916,6748,-7918xe" filled="true" fillcolor="#622422" stroked="false">
              <v:path arrowok="t"/>
              <v:fill type="solid"/>
            </v:shape>
            <v:shape style="position:absolute;left:1866;top:-7936;width:61;height:6498" coordorigin="1867,-7936" coordsize="61,6498" path="m1927,-1439l1927,-7936m1867,-1439l1927,-1439m1867,-2088l1927,-2088m1867,-2738l1927,-2738m1867,-3388l1927,-3388m1867,-4038l1927,-4038m1867,-4687l1927,-4687m1867,-5336l1927,-5336m1867,-5987l1927,-5987m1867,-6636l1927,-6636m1867,-7286l1927,-7286m1867,-7936l1927,-7936e" filled="false" stroked="true" strokeweight=".75pt" strokecolor="#858585">
              <v:path arrowok="t"/>
              <v:stroke dashstyle="solid"/>
            </v:shape>
            <v:shape style="position:absolute;left:1927;top:-1439;width:8264;height:61" coordorigin="1927,-1439" coordsize="8264,61" path="m1927,-1439l10191,-1439m1927,-1439l1927,-1378m3403,-1439l3403,-1378m4878,-1439l4878,-1378m6354,-1439l6354,-1378m7830,-1439l7830,-1378m9305,-1439l9305,-1378e" filled="false" stroked="true" strokeweight=".75pt" strokecolor="#d9d9d9">
              <v:path arrowok="t"/>
              <v:stroke dashstyle="solid"/>
            </v:shape>
            <v:rect style="position:absolute;left:10199;top:-7332;width:101;height:101" filled="true" fillcolor="#622422" stroked="false">
              <v:fill type="solid"/>
            </v:rect>
            <v:rect style="position:absolute;left:10199;top:-6981;width:101;height:101" filled="true" fillcolor="#943735" stroked="false">
              <v:fill type="solid"/>
            </v:rect>
            <v:rect style="position:absolute;left:10199;top:-6631;width:101;height:101" filled="true" fillcolor="#bd4d49" stroked="false">
              <v:fill type="solid"/>
            </v:rect>
            <v:rect style="position:absolute;left:10199;top:-6280;width:101;height:101" filled="true" fillcolor="#cd7370" stroked="false">
              <v:fill type="solid"/>
            </v:rect>
            <v:rect style="position:absolute;left:10199;top:-5930;width:101;height:101" filled="true" fillcolor="#d38985" stroked="false">
              <v:fill type="solid"/>
            </v:rect>
            <v:rect style="position:absolute;left:10199;top:-5579;width:101;height:101" filled="true" fillcolor="#d99593" stroked="false">
              <v:fill type="solid"/>
            </v:rect>
            <v:rect style="position:absolute;left:10199;top:-5229;width:101;height:101" filled="true" fillcolor="#e6b8b8" stroked="false">
              <v:fill type="solid"/>
            </v:rect>
            <v:rect style="position:absolute;left:10199;top:-4878;width:101;height:101" filled="true" fillcolor="#f1dcdb" stroked="false">
              <v:fill type="solid"/>
            </v:rect>
            <v:rect style="position:absolute;left:10199;top:-4528;width:101;height:101" filled="true" fillcolor="#dbedf4" stroked="false">
              <v:fill type="solid"/>
            </v:rect>
            <v:rect style="position:absolute;left:10199;top:-4177;width:101;height:101" filled="true" fillcolor="#f1f1f1" stroked="false">
              <v:fill type="solid"/>
            </v:rect>
            <v:rect style="position:absolute;left:10199;top:-3827;width:101;height:101" filled="true" fillcolor="#d9d9d9" stroked="false">
              <v:fill type="solid"/>
            </v:rect>
            <v:rect style="position:absolute;left:10199;top:-3476;width:101;height:101" filled="true" fillcolor="#bebebe" stroked="false">
              <v:fill type="solid"/>
            </v:rect>
            <v:rect style="position:absolute;left:10199;top:-3126;width:101;height:101" filled="true" fillcolor="#a6a6a6" stroked="false">
              <v:fill type="solid"/>
            </v:rect>
            <v:shape style="position:absolute;left:10199;top:-2775;width:101;height:451" coordorigin="10199,-2775" coordsize="101,451" path="m10300,-2425l10199,-2425,10199,-2324,10300,-2324,10300,-2425m10300,-2775l10199,-2775,10199,-2674,10300,-2674,10300,-2775e" filled="true" fillcolor="#7e7e7e" stroked="false">
              <v:path arrowok="t"/>
              <v:fill type="solid"/>
            </v:shape>
            <v:rect style="position:absolute;left:10199;top:-2074;width:101;height:101" filled="true" fillcolor="#404040" stroked="false">
              <v:fill type="solid"/>
            </v:rect>
            <v:rect style="position:absolute;left:10199;top:-1724;width:101;height:101" filled="true" fillcolor="#000000" stroked="false">
              <v:fill type="solid"/>
            </v:rect>
            <w10:wrap type="none"/>
          </v:group>
        </w:pict>
      </w:r>
      <w:r>
        <w:rPr/>
        <w:t>During the crisis, we would expect a larger number of moves down the industry and occupational ladder. There is some evidence of that, with the lower tail (grey zone) fattening and the upper tail (red zone) </w:t>
      </w:r>
      <w:r>
        <w:rPr>
          <w:spacing w:val="-3"/>
        </w:rPr>
        <w:t>thinning </w:t>
      </w:r>
      <w:r>
        <w:rPr/>
        <w:t>a little. Thereafter, as the jobs market recovered, we would expect a fattening of the upper tail (red zone) and a thinning of the lower (grey and blue) zones. There is no real evidence of that. The zone of small rung movements has remained fairly</w:t>
      </w:r>
      <w:r>
        <w:rPr>
          <w:spacing w:val="-1"/>
        </w:rPr>
        <w:t> </w:t>
      </w:r>
      <w:r>
        <w:rPr/>
        <w:t>static.</w:t>
      </w:r>
    </w:p>
    <w:p>
      <w:pPr>
        <w:pStyle w:val="BodyText"/>
        <w:spacing w:before="4"/>
        <w:rPr>
          <w:sz w:val="29"/>
        </w:rPr>
      </w:pPr>
    </w:p>
    <w:p>
      <w:pPr>
        <w:pStyle w:val="BodyText"/>
        <w:spacing w:line="355" w:lineRule="auto"/>
        <w:ind w:left="334" w:right="377"/>
      </w:pPr>
      <w:r>
        <w:rPr/>
        <w:t>We get a similar story if we look at the company destination for jobs moves, ranked by productivity. We would expect to see workers move down the productivity ladder during downturns and to rescale that ladder during upturns. The first part of that story is borne out in the data. Rates of productivity gain from a job switch fell from around 8% pre-crisis to around 3% afterwards. More surprising is that there has been no recovery in these rates of productivity gain during the subsequent jobs recovery (Chart 23). The rungs in the jobs ladder have had a smaller productivity spacing than in the</w:t>
      </w:r>
      <w:r>
        <w:rPr>
          <w:spacing w:val="-4"/>
        </w:rPr>
        <w:t> </w:t>
      </w:r>
      <w:r>
        <w:rPr/>
        <w:t>past.</w:t>
      </w:r>
    </w:p>
    <w:p>
      <w:pPr>
        <w:spacing w:after="0" w:line="355" w:lineRule="auto"/>
        <w:sectPr>
          <w:pgSz w:w="11910" w:h="16840"/>
          <w:pgMar w:header="0" w:footer="1338" w:top="1540" w:bottom="1520" w:left="800" w:right="820"/>
        </w:sect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00"/>
      </w:tblGrid>
      <w:tr>
        <w:trPr>
          <w:trHeight w:val="320" w:hRule="atLeast"/>
        </w:trPr>
        <w:tc>
          <w:tcPr>
            <w:tcW w:w="10000" w:type="dxa"/>
          </w:tcPr>
          <w:p>
            <w:pPr>
              <w:pStyle w:val="TableParagraph"/>
              <w:spacing w:line="220" w:lineRule="exact"/>
              <w:ind w:left="200"/>
              <w:rPr>
                <w:b/>
                <w:sz w:val="20"/>
              </w:rPr>
            </w:pPr>
            <w:r>
              <w:rPr>
                <w:b/>
                <w:sz w:val="20"/>
              </w:rPr>
              <w:t>Chart 23: Firm productivity difference when moving jobs</w:t>
            </w:r>
          </w:p>
        </w:tc>
      </w:tr>
      <w:tr>
        <w:trPr>
          <w:trHeight w:val="3995" w:hRule="atLeast"/>
        </w:trPr>
        <w:tc>
          <w:tcPr>
            <w:tcW w:w="10000" w:type="dxa"/>
          </w:tcPr>
          <w:p>
            <w:pPr>
              <w:pStyle w:val="TableParagraph"/>
              <w:spacing w:line="219" w:lineRule="exact" w:before="86"/>
              <w:ind w:left="7955"/>
              <w:rPr>
                <w:sz w:val="20"/>
              </w:rPr>
            </w:pPr>
            <w:r>
              <w:rPr>
                <w:color w:val="808080"/>
                <w:sz w:val="20"/>
              </w:rPr>
              <w:t>Per cent</w:t>
            </w:r>
          </w:p>
          <w:p>
            <w:pPr>
              <w:pStyle w:val="TableParagraph"/>
              <w:tabs>
                <w:tab w:pos="9335" w:val="left" w:leader="none"/>
              </w:tabs>
              <w:spacing w:line="239" w:lineRule="exact"/>
              <w:ind w:left="3964"/>
              <w:rPr>
                <w:sz w:val="20"/>
              </w:rPr>
            </w:pPr>
            <w:r>
              <w:rPr>
                <w:color w:val="7E7E7E"/>
                <w:sz w:val="20"/>
              </w:rPr>
              <w:t>Firm</w:t>
            </w:r>
            <w:r>
              <w:rPr>
                <w:color w:val="7E7E7E"/>
                <w:spacing w:val="-1"/>
                <w:sz w:val="20"/>
              </w:rPr>
              <w:t> </w:t>
            </w:r>
            <w:r>
              <w:rPr>
                <w:color w:val="7E7E7E"/>
                <w:sz w:val="20"/>
              </w:rPr>
              <w:t>productivity</w:t>
            </w:r>
            <w:r>
              <w:rPr>
                <w:color w:val="7E7E7E"/>
                <w:spacing w:val="-1"/>
                <w:sz w:val="20"/>
              </w:rPr>
              <w:t> </w:t>
            </w:r>
            <w:r>
              <w:rPr>
                <w:color w:val="7E7E7E"/>
                <w:sz w:val="20"/>
              </w:rPr>
              <w:t>change</w:t>
              <w:tab/>
            </w:r>
            <w:r>
              <w:rPr>
                <w:color w:val="7E7E7E"/>
                <w:position w:val="2"/>
                <w:sz w:val="20"/>
              </w:rPr>
              <w:t>16%</w:t>
            </w:r>
          </w:p>
          <w:p>
            <w:pPr>
              <w:pStyle w:val="TableParagraph"/>
              <w:spacing w:before="138"/>
              <w:ind w:left="9336"/>
              <w:rPr>
                <w:sz w:val="20"/>
              </w:rPr>
            </w:pPr>
            <w:r>
              <w:rPr>
                <w:color w:val="7E7E7E"/>
                <w:sz w:val="20"/>
              </w:rPr>
              <w:t>14%</w:t>
            </w:r>
          </w:p>
          <w:p>
            <w:pPr>
              <w:pStyle w:val="TableParagraph"/>
              <w:spacing w:before="154"/>
              <w:ind w:left="9336"/>
              <w:rPr>
                <w:sz w:val="20"/>
              </w:rPr>
            </w:pPr>
            <w:r>
              <w:rPr>
                <w:color w:val="7E7E7E"/>
                <w:sz w:val="20"/>
              </w:rPr>
              <w:t>12%</w:t>
            </w:r>
          </w:p>
          <w:p>
            <w:pPr>
              <w:pStyle w:val="TableParagraph"/>
              <w:spacing w:before="154"/>
              <w:ind w:left="9336"/>
              <w:rPr>
                <w:sz w:val="20"/>
              </w:rPr>
            </w:pPr>
            <w:r>
              <w:rPr>
                <w:color w:val="7E7E7E"/>
                <w:sz w:val="20"/>
              </w:rPr>
              <w:t>10%</w:t>
            </w:r>
          </w:p>
          <w:p>
            <w:pPr>
              <w:pStyle w:val="TableParagraph"/>
              <w:spacing w:before="154"/>
              <w:ind w:left="9336"/>
              <w:rPr>
                <w:sz w:val="20"/>
              </w:rPr>
            </w:pPr>
            <w:r>
              <w:rPr>
                <w:color w:val="7E7E7E"/>
                <w:sz w:val="20"/>
              </w:rPr>
              <w:t>8%</w:t>
            </w:r>
          </w:p>
          <w:p>
            <w:pPr>
              <w:pStyle w:val="TableParagraph"/>
              <w:spacing w:before="153"/>
              <w:ind w:left="9336"/>
              <w:rPr>
                <w:sz w:val="20"/>
              </w:rPr>
            </w:pPr>
            <w:r>
              <w:rPr>
                <w:color w:val="7E7E7E"/>
                <w:sz w:val="20"/>
              </w:rPr>
              <w:t>6%</w:t>
            </w:r>
          </w:p>
          <w:p>
            <w:pPr>
              <w:pStyle w:val="TableParagraph"/>
              <w:spacing w:before="154"/>
              <w:ind w:left="9336"/>
              <w:rPr>
                <w:sz w:val="20"/>
              </w:rPr>
            </w:pPr>
            <w:r>
              <w:rPr>
                <w:color w:val="7E7E7E"/>
                <w:sz w:val="20"/>
              </w:rPr>
              <w:t>4%</w:t>
            </w:r>
          </w:p>
          <w:p>
            <w:pPr>
              <w:pStyle w:val="TableParagraph"/>
              <w:spacing w:before="153"/>
              <w:ind w:left="9336"/>
              <w:rPr>
                <w:sz w:val="20"/>
              </w:rPr>
            </w:pPr>
            <w:r>
              <w:rPr>
                <w:color w:val="7E7E7E"/>
                <w:sz w:val="20"/>
              </w:rPr>
              <w:t>2%</w:t>
            </w:r>
          </w:p>
          <w:p>
            <w:pPr>
              <w:pStyle w:val="TableParagraph"/>
              <w:spacing w:before="155"/>
              <w:ind w:left="9336"/>
              <w:rPr>
                <w:sz w:val="20"/>
              </w:rPr>
            </w:pPr>
            <w:r>
              <w:rPr>
                <w:color w:val="7E7E7E"/>
                <w:sz w:val="20"/>
              </w:rPr>
              <w:t>0%</w:t>
            </w:r>
          </w:p>
          <w:p>
            <w:pPr>
              <w:pStyle w:val="TableParagraph"/>
              <w:tabs>
                <w:tab w:pos="1637" w:val="left" w:leader="none"/>
                <w:tab w:pos="2855" w:val="left" w:leader="none"/>
                <w:tab w:pos="4072" w:val="left" w:leader="none"/>
                <w:tab w:pos="5289" w:val="left" w:leader="none"/>
                <w:tab w:pos="6506" w:val="left" w:leader="none"/>
                <w:tab w:pos="7724" w:val="left" w:leader="none"/>
                <w:tab w:pos="8941" w:val="left" w:leader="none"/>
              </w:tabs>
              <w:spacing w:before="8"/>
              <w:ind w:left="420"/>
              <w:rPr>
                <w:sz w:val="20"/>
              </w:rPr>
            </w:pPr>
            <w:r>
              <w:rPr>
                <w:color w:val="7E7E7E"/>
                <w:sz w:val="20"/>
              </w:rPr>
              <w:t>2004</w:t>
              <w:tab/>
              <w:t>2006</w:t>
              <w:tab/>
              <w:t>2008</w:t>
              <w:tab/>
              <w:t>2010</w:t>
              <w:tab/>
              <w:t>2012</w:t>
              <w:tab/>
              <w:t>2014</w:t>
              <w:tab/>
              <w:t>2016</w:t>
              <w:tab/>
              <w:t>2018</w:t>
            </w:r>
          </w:p>
        </w:tc>
      </w:tr>
      <w:tr>
        <w:trPr>
          <w:trHeight w:val="563" w:hRule="atLeast"/>
        </w:trPr>
        <w:tc>
          <w:tcPr>
            <w:tcW w:w="10000" w:type="dxa"/>
          </w:tcPr>
          <w:p>
            <w:pPr>
              <w:pStyle w:val="TableParagraph"/>
              <w:spacing w:before="145"/>
              <w:ind w:left="200"/>
              <w:rPr>
                <w:sz w:val="16"/>
              </w:rPr>
            </w:pPr>
            <w:r>
              <w:rPr>
                <w:sz w:val="16"/>
              </w:rPr>
              <w:t>Sources: ONS and Bank of England calculations.</w:t>
            </w:r>
          </w:p>
          <w:p>
            <w:pPr>
              <w:pStyle w:val="TableParagraph"/>
              <w:spacing w:line="167" w:lineRule="exact" w:before="47"/>
              <w:ind w:left="200"/>
              <w:rPr>
                <w:sz w:val="16"/>
              </w:rPr>
            </w:pPr>
            <w:r>
              <w:rPr>
                <w:sz w:val="16"/>
              </w:rPr>
              <w:t>Notes: Chart shows percentage difference in productivity between new firm and old firm with the median workers moves between firms.</w:t>
            </w:r>
          </w:p>
        </w:tc>
      </w:tr>
    </w:tbl>
    <w:p>
      <w:pPr>
        <w:pStyle w:val="BodyText"/>
      </w:pPr>
    </w:p>
    <w:p>
      <w:pPr>
        <w:pStyle w:val="BodyText"/>
        <w:spacing w:before="10"/>
        <w:rPr>
          <w:sz w:val="18"/>
        </w:rPr>
      </w:pPr>
    </w:p>
    <w:p>
      <w:pPr>
        <w:pStyle w:val="BodyText"/>
        <w:spacing w:line="355" w:lineRule="auto"/>
        <w:ind w:left="334" w:right="375"/>
      </w:pPr>
      <w:r>
        <w:rPr/>
        <w:pict>
          <v:group style="position:absolute;margin-left:77.966003pt;margin-top:-229.485107pt;width:427.75pt;height:154.25pt;mso-position-horizontal-relative:page;mso-position-vertical-relative:paragraph;z-index:-254476288" coordorigin="1559,-4590" coordsize="8555,3085">
            <v:shape style="position:absolute;left:1576;top:-4583;width:8520;height:3070" coordorigin="1577,-4582" coordsize="8520,3070" path="m10097,-1513l10097,-4582m10036,-1513l10097,-1513m10036,-1897l10097,-1897m10036,-2280l10097,-2280m10036,-2664l10097,-2664m10036,-3048l10097,-3048m10036,-3431l10097,-3431m10036,-3815l10097,-3815m10036,-4199l10097,-4199m10036,-4582l10097,-4582m1577,-1513l10097,-1513m1577,-1573l1577,-1513m2185,-1573l2185,-1513m2794,-1573l2794,-1513m3402,-1573l3402,-1513m4012,-1573l4012,-1513m4620,-1573l4620,-1513m5228,-1573l5228,-1513m5837,-1573l5837,-1513m6445,-1573l6445,-1513m7054,-1573l7054,-1513m7662,-1573l7662,-1513m8270,-1573l8270,-1513m8880,-1573l8880,-1513m9488,-1573l9488,-1513m10097,-1573l10097,-1513e" filled="false" stroked="true" strokeweight=".75pt" strokecolor="#858585">
              <v:path arrowok="t"/>
              <v:stroke dashstyle="solid"/>
            </v:shape>
            <v:shape style="position:absolute;left:1576;top:-4090;width:8520;height:2252" coordorigin="1577,-4089" coordsize="8520,2252" path="m1577,-3218l2185,-2296,2794,-2615,3402,-3347,4012,-4089,4620,-2347,5228,-3187,5837,-2197,6445,-2142,7054,-1849,7662,-2216,8270,-2532,8880,-2384,9488,-2293,10097,-1838e" filled="false" stroked="true" strokeweight="1.75pt" strokecolor="#497dba">
              <v:path arrowok="t"/>
              <v:stroke dashstyle="solid"/>
            </v:shape>
            <v:line style="position:absolute" from="4474,-4567" to="4858,-4567" stroked="true" strokeweight="1.75pt" strokecolor="#497dba">
              <v:stroke dashstyle="solid"/>
            </v:line>
            <w10:wrap type="none"/>
          </v:group>
        </w:pict>
      </w:r>
      <w:r>
        <w:rPr/>
        <w:t>Summing up, then, a strong jobs recovery has not resulted in workers vigorously re-climbing the jobs ladder. Both their willingness to climb, and the pace of this climb, has been subdued relative to the strength and tightness of the jobs market. Post-crisis risk aversion, and changes in the nature of work, may have increased insecurities and dimmed workers’ appetite for a vertiginous career climb – or indeed any climb.</w:t>
      </w:r>
    </w:p>
    <w:p>
      <w:pPr>
        <w:pStyle w:val="BodyText"/>
        <w:spacing w:line="228" w:lineRule="exact"/>
        <w:ind w:left="334"/>
      </w:pPr>
      <w:r>
        <w:rPr/>
        <w:t>The result has been subdued rates of pay and, in particular, productivity growth.</w:t>
      </w:r>
    </w:p>
    <w:p>
      <w:pPr>
        <w:pStyle w:val="BodyText"/>
        <w:rPr>
          <w:sz w:val="22"/>
        </w:rPr>
      </w:pPr>
    </w:p>
    <w:p>
      <w:pPr>
        <w:pStyle w:val="BodyText"/>
        <w:spacing w:line="355" w:lineRule="auto" w:before="197"/>
        <w:ind w:left="334" w:right="319"/>
      </w:pPr>
      <w:r>
        <w:rPr/>
        <w:t>Just recently, some of these patterns in pay, if not productivity, have begun to reverse themselves. Nominal pay growth has been going slowly through the gears over the past few years, from being in the “low 2s” three years ago, to the “high 2s” 18 months ago to having a “3” in front of it now. Private regular pay growth is currently running at 3.7% year on year.</w:t>
      </w:r>
    </w:p>
    <w:p>
      <w:pPr>
        <w:pStyle w:val="BodyText"/>
        <w:spacing w:before="4"/>
        <w:rPr>
          <w:sz w:val="29"/>
        </w:rPr>
      </w:pPr>
    </w:p>
    <w:p>
      <w:pPr>
        <w:pStyle w:val="BodyText"/>
        <w:spacing w:line="355" w:lineRule="auto" w:before="1"/>
        <w:ind w:left="334" w:right="308"/>
      </w:pPr>
      <w:r>
        <w:rPr/>
        <w:t>The reasons for this rise can also be found, to some extent, in job dynamics. There is only modest evidence that those moving position are climbing the ladder any faster. But it is notable that, as the labour market has tightened and skill shortages have emerged, we have seen pay growth among stickers beginning to rise after a long period of tranquillity. In other words, employers’ increased appetite to retain staff, and employees’ increased willingness to consider moving, appears now to be affecting pay.</w:t>
      </w:r>
    </w:p>
    <w:p>
      <w:pPr>
        <w:pStyle w:val="BodyText"/>
        <w:spacing w:before="4"/>
        <w:rPr>
          <w:sz w:val="29"/>
        </w:rPr>
      </w:pPr>
    </w:p>
    <w:p>
      <w:pPr>
        <w:pStyle w:val="BodyText"/>
        <w:spacing w:line="352" w:lineRule="auto"/>
        <w:ind w:left="334" w:right="488"/>
      </w:pPr>
      <w:r>
        <w:rPr/>
        <w:t>This might also help explain why, although pay has picked up (as stickers are rewarded not to move), there is little sign so far of productivity following suit (as job moves towards higher-productivity firms have not picked-up). With productivity subdued alongside higher pay, growth in annual unit wage costs is now running at elevated levels of over 2 ½% year on year.</w:t>
      </w:r>
      <w:r>
        <w:rPr>
          <w:position w:val="7"/>
          <w:sz w:val="13"/>
        </w:rPr>
        <w:t>21 </w:t>
      </w:r>
      <w:r>
        <w:rPr/>
        <w:t>That is in excess of levels consistent with meeting the Bank’s inflation target and begs a question about the stance of monetary policy, to which I now turn.</w:t>
      </w:r>
    </w:p>
    <w:p>
      <w:pPr>
        <w:pStyle w:val="BodyText"/>
        <w:spacing w:before="9"/>
        <w:rPr>
          <w:sz w:val="24"/>
        </w:rPr>
      </w:pPr>
      <w:r>
        <w:rPr/>
        <w:pict>
          <v:shape style="position:absolute;margin-left:56.700001pt;margin-top:16.492979pt;width:144.050pt;height:.1pt;mso-position-horizontal-relative:page;mso-position-vertical-relative:paragraph;z-index:-251587584;mso-wrap-distance-left:0;mso-wrap-distance-right:0" coordorigin="1134,330" coordsize="2881,0" path="m1134,330l4014,330e" filled="false" stroked="true" strokeweight=".47998pt" strokecolor="#000000">
            <v:path arrowok="t"/>
            <v:stroke dashstyle="solid"/>
            <w10:wrap type="topAndBottom"/>
          </v:shape>
        </w:pict>
      </w:r>
    </w:p>
    <w:p>
      <w:pPr>
        <w:spacing w:before="51"/>
        <w:ind w:left="334" w:right="0" w:firstLine="0"/>
        <w:jc w:val="left"/>
        <w:rPr>
          <w:sz w:val="16"/>
        </w:rPr>
      </w:pPr>
      <w:r>
        <w:rPr>
          <w:position w:val="6"/>
          <w:sz w:val="10"/>
        </w:rPr>
        <w:t>21 </w:t>
      </w:r>
      <w:r>
        <w:rPr>
          <w:sz w:val="16"/>
        </w:rPr>
        <w:t>Bank of England estimate using monthly AWE, employment and monthly GVA.</w:t>
      </w:r>
    </w:p>
    <w:p>
      <w:pPr>
        <w:spacing w:after="0"/>
        <w:jc w:val="left"/>
        <w:rPr>
          <w:sz w:val="16"/>
        </w:rPr>
        <w:sectPr>
          <w:pgSz w:w="11910" w:h="16840"/>
          <w:pgMar w:header="0" w:footer="1338" w:top="1540" w:bottom="1520" w:left="800" w:right="820"/>
        </w:sectPr>
      </w:pPr>
    </w:p>
    <w:p>
      <w:pPr>
        <w:pStyle w:val="Heading1"/>
        <w:spacing w:before="70"/>
      </w:pPr>
      <w:r>
        <w:rPr/>
        <w:t>A Polarised Economy</w:t>
      </w:r>
    </w:p>
    <w:p>
      <w:pPr>
        <w:pStyle w:val="BodyText"/>
        <w:rPr>
          <w:b/>
          <w:sz w:val="22"/>
        </w:rPr>
      </w:pPr>
    </w:p>
    <w:p>
      <w:pPr>
        <w:pStyle w:val="BodyText"/>
        <w:spacing w:line="355" w:lineRule="auto" w:before="196"/>
        <w:ind w:left="334" w:right="319"/>
      </w:pPr>
      <w:r>
        <w:rPr/>
        <w:t>At present, we are being fed a rich daily diet of news about polarisation in our politics and societies, globally and nationally. Perhaps it should come as no surprise, then, that there are also signs of polarity when it comes to the prospective fortunes of our economies, globally and nationally. Certainly, downside risks to the global and UK economy have increased through this year.</w:t>
      </w:r>
    </w:p>
    <w:p>
      <w:pPr>
        <w:pStyle w:val="BodyText"/>
        <w:spacing w:before="5"/>
        <w:rPr>
          <w:sz w:val="29"/>
        </w:rPr>
      </w:pPr>
    </w:p>
    <w:p>
      <w:pPr>
        <w:pStyle w:val="BodyText"/>
        <w:spacing w:line="352" w:lineRule="auto"/>
        <w:ind w:left="334" w:right="442"/>
        <w:rPr>
          <w:sz w:val="13"/>
        </w:rPr>
      </w:pPr>
      <w:r>
        <w:rPr/>
        <w:t>At the global level, a key current source of risk is trade. For a 60-year period after the Second World War, barriers to trade were significantly and systematically dismantled, courtesy of multilateral trade liberalisation initiatives. Almost 300 global trade agreements were reached between 1950 and 2018 (Chart 24). As a result, global tariffs have fallen by two-thirds since the early 1990s (Chart 25).</w:t>
      </w:r>
      <w:r>
        <w:rPr>
          <w:position w:val="7"/>
          <w:sz w:val="13"/>
        </w:rPr>
        <w:t>22</w:t>
      </w:r>
    </w:p>
    <w:p>
      <w:pPr>
        <w:pStyle w:val="BodyText"/>
        <w:spacing w:before="10"/>
        <w:rPr>
          <w:sz w:val="29"/>
        </w:rPr>
      </w:pPr>
    </w:p>
    <w:p>
      <w:pPr>
        <w:pStyle w:val="BodyText"/>
        <w:spacing w:line="352" w:lineRule="auto"/>
        <w:ind w:left="334" w:right="319"/>
      </w:pPr>
      <w:r>
        <w:rPr/>
        <w:pict>
          <v:group style="position:absolute;margin-left:89.620003pt;margin-top:120.324898pt;width:406.45pt;height:222.95pt;mso-position-horizontal-relative:page;mso-position-vertical-relative:paragraph;z-index:-254474240" coordorigin="1792,2406" coordsize="8129,4459">
            <v:shape style="position:absolute;left:1809;top:2414;width:8094;height:4434" coordorigin="1810,2414" coordsize="8094,4434" path="m9904,6848l9904,2414m9843,6848l9904,6848m9843,6215l9904,6215m9843,5581l9904,5581m9843,4948l9904,4948m9843,4314l9904,4314m9843,3680l9904,3680m9843,3048l9904,3048m9843,2414l9904,2414m1810,6848l9904,6848m1810,6788l1810,6848m2950,6788l2950,6848m4090,6788l4090,6848m5230,6788l5230,6848m6370,6788l6370,6848m7510,6788l7510,6848m8650,6788l8650,6848m9790,6788l9790,6848e" filled="false" stroked="true" strokeweight=".75pt" strokecolor="#7e7e7e">
              <v:path arrowok="t"/>
              <v:stroke dashstyle="solid"/>
            </v:shape>
            <v:shape style="position:absolute;left:1809;top:3123;width:8094;height:3725" coordorigin="1810,3123" coordsize="8094,3725" path="m1810,6848l1810,6848,2836,6848,2950,6835,3064,6835,3178,6823,3292,6810,3406,6810,4318,6810,4432,6797,4546,6797,4660,6734,4774,6734,4888,6734,5002,6721,5116,6696,5230,6696,5344,6696,5458,6696,5572,6671,5686,6671,5800,6658,5914,6658,6028,6646,6142,6646,6256,6632,6370,6620,6484,6607,6598,6607,6712,6569,6826,6544,6940,6468,7054,6392,7168,6290,7282,6190,7396,6113,7510,6037,7624,5974,7738,5848,7852,5746,7966,5632,8080,5480,8194,5353,8308,5189,8422,4973,8536,4834,8650,4619,8764,4378,8878,4225,8992,4086,9106,3883,9220,3744,9334,3592,9448,3452,9562,3301,9676,3187,9790,3149,9904,3123e" filled="false" stroked="true" strokeweight="1.75pt" strokecolor="#001f5f">
              <v:path arrowok="t"/>
              <v:stroke dashstyle="solid"/>
            </v:shape>
            <w10:wrap type="none"/>
          </v:group>
        </w:pict>
      </w:r>
      <w:r>
        <w:rPr/>
        <w:t>The dismantling of trade barriers ushered in a halcyon period of rising trade peace and prosperity. Global goods trade volumes grew, on average, by 10% per year between 1950 and 2008. Global supply chains lengthened and deepened.</w:t>
      </w:r>
      <w:r>
        <w:rPr>
          <w:position w:val="7"/>
          <w:sz w:val="13"/>
        </w:rPr>
        <w:t>23 </w:t>
      </w:r>
      <w:r>
        <w:rPr/>
        <w:t>A post-War consensus forged global cooperation in trade, finance and security, embedded and embodied in the Bretton Woods institutions which this year celebrate their 75</w:t>
      </w:r>
      <w:r>
        <w:rPr>
          <w:position w:val="7"/>
          <w:sz w:val="13"/>
        </w:rPr>
        <w:t>th </w:t>
      </w:r>
      <w:r>
        <w:rPr/>
        <w:t>birthday.</w:t>
      </w:r>
    </w:p>
    <w:p>
      <w:pPr>
        <w:pStyle w:val="BodyText"/>
      </w:pPr>
    </w:p>
    <w:p>
      <w:pPr>
        <w:pStyle w:val="BodyText"/>
        <w:spacing w:before="2"/>
        <w:rPr>
          <w:sz w:val="10"/>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77"/>
      </w:tblGrid>
      <w:tr>
        <w:trPr>
          <w:trHeight w:val="406" w:hRule="atLeast"/>
        </w:trPr>
        <w:tc>
          <w:tcPr>
            <w:tcW w:w="9677" w:type="dxa"/>
          </w:tcPr>
          <w:p>
            <w:pPr>
              <w:pStyle w:val="TableParagraph"/>
              <w:spacing w:line="224" w:lineRule="exact"/>
              <w:ind w:left="200"/>
              <w:rPr>
                <w:b/>
                <w:sz w:val="20"/>
              </w:rPr>
            </w:pPr>
            <w:r>
              <w:rPr>
                <w:b/>
                <w:sz w:val="20"/>
              </w:rPr>
              <w:t>Chart 24: Cumulative WTO-notified regional trade agreements in force</w:t>
            </w:r>
          </w:p>
        </w:tc>
      </w:tr>
      <w:tr>
        <w:trPr>
          <w:trHeight w:val="5398" w:hRule="atLeast"/>
        </w:trPr>
        <w:tc>
          <w:tcPr>
            <w:tcW w:w="9677" w:type="dxa"/>
          </w:tcPr>
          <w:p>
            <w:pPr>
              <w:pStyle w:val="TableParagraph"/>
              <w:spacing w:before="176"/>
              <w:ind w:left="9143"/>
              <w:rPr>
                <w:sz w:val="20"/>
              </w:rPr>
            </w:pPr>
            <w:r>
              <w:rPr>
                <w:color w:val="7E7E7E"/>
                <w:sz w:val="20"/>
              </w:rPr>
              <w:t>350</w:t>
            </w:r>
          </w:p>
          <w:p>
            <w:pPr>
              <w:pStyle w:val="TableParagraph"/>
              <w:rPr>
                <w:sz w:val="22"/>
              </w:rPr>
            </w:pPr>
          </w:p>
          <w:p>
            <w:pPr>
              <w:pStyle w:val="TableParagraph"/>
              <w:spacing w:before="151"/>
              <w:ind w:left="9143"/>
              <w:rPr>
                <w:sz w:val="20"/>
              </w:rPr>
            </w:pPr>
            <w:r>
              <w:rPr>
                <w:color w:val="7E7E7E"/>
                <w:sz w:val="20"/>
              </w:rPr>
              <w:t>300</w:t>
            </w:r>
          </w:p>
          <w:p>
            <w:pPr>
              <w:pStyle w:val="TableParagraph"/>
              <w:rPr>
                <w:sz w:val="22"/>
              </w:rPr>
            </w:pPr>
          </w:p>
          <w:p>
            <w:pPr>
              <w:pStyle w:val="TableParagraph"/>
              <w:spacing w:before="150"/>
              <w:ind w:left="9143"/>
              <w:rPr>
                <w:sz w:val="20"/>
              </w:rPr>
            </w:pPr>
            <w:r>
              <w:rPr>
                <w:color w:val="7E7E7E"/>
                <w:sz w:val="20"/>
              </w:rPr>
              <w:t>250</w:t>
            </w:r>
          </w:p>
          <w:p>
            <w:pPr>
              <w:pStyle w:val="TableParagraph"/>
              <w:rPr>
                <w:sz w:val="22"/>
              </w:rPr>
            </w:pPr>
          </w:p>
          <w:p>
            <w:pPr>
              <w:pStyle w:val="TableParagraph"/>
              <w:spacing w:before="151"/>
              <w:ind w:left="9143"/>
              <w:rPr>
                <w:sz w:val="20"/>
              </w:rPr>
            </w:pPr>
            <w:r>
              <w:rPr>
                <w:color w:val="7E7E7E"/>
                <w:sz w:val="20"/>
              </w:rPr>
              <w:t>200</w:t>
            </w:r>
          </w:p>
          <w:p>
            <w:pPr>
              <w:pStyle w:val="TableParagraph"/>
              <w:rPr>
                <w:sz w:val="22"/>
              </w:rPr>
            </w:pPr>
          </w:p>
          <w:p>
            <w:pPr>
              <w:pStyle w:val="TableParagraph"/>
              <w:spacing w:before="150"/>
              <w:ind w:left="9143"/>
              <w:rPr>
                <w:sz w:val="20"/>
              </w:rPr>
            </w:pPr>
            <w:r>
              <w:rPr>
                <w:color w:val="7E7E7E"/>
                <w:sz w:val="20"/>
              </w:rPr>
              <w:t>150</w:t>
            </w:r>
          </w:p>
          <w:p>
            <w:pPr>
              <w:pStyle w:val="TableParagraph"/>
              <w:rPr>
                <w:sz w:val="22"/>
              </w:rPr>
            </w:pPr>
          </w:p>
          <w:p>
            <w:pPr>
              <w:pStyle w:val="TableParagraph"/>
              <w:spacing w:before="151"/>
              <w:ind w:left="9143"/>
              <w:rPr>
                <w:sz w:val="20"/>
              </w:rPr>
            </w:pPr>
            <w:r>
              <w:rPr>
                <w:color w:val="7E7E7E"/>
                <w:sz w:val="20"/>
              </w:rPr>
              <w:t>100</w:t>
            </w:r>
          </w:p>
          <w:p>
            <w:pPr>
              <w:pStyle w:val="TableParagraph"/>
              <w:rPr>
                <w:sz w:val="22"/>
              </w:rPr>
            </w:pPr>
          </w:p>
          <w:p>
            <w:pPr>
              <w:pStyle w:val="TableParagraph"/>
              <w:spacing w:before="150"/>
              <w:ind w:left="9143"/>
              <w:rPr>
                <w:sz w:val="20"/>
              </w:rPr>
            </w:pPr>
            <w:r>
              <w:rPr>
                <w:color w:val="7E7E7E"/>
                <w:sz w:val="20"/>
              </w:rPr>
              <w:t>50</w:t>
            </w:r>
          </w:p>
          <w:p>
            <w:pPr>
              <w:pStyle w:val="TableParagraph"/>
              <w:rPr>
                <w:sz w:val="22"/>
              </w:rPr>
            </w:pPr>
          </w:p>
          <w:p>
            <w:pPr>
              <w:pStyle w:val="TableParagraph"/>
              <w:spacing w:before="151"/>
              <w:ind w:left="9143"/>
              <w:rPr>
                <w:sz w:val="20"/>
              </w:rPr>
            </w:pPr>
            <w:r>
              <w:rPr>
                <w:color w:val="7E7E7E"/>
                <w:w w:val="100"/>
                <w:sz w:val="20"/>
              </w:rPr>
              <w:t>0</w:t>
            </w:r>
          </w:p>
          <w:p>
            <w:pPr>
              <w:pStyle w:val="TableParagraph"/>
              <w:tabs>
                <w:tab w:pos="1793" w:val="left" w:leader="none"/>
                <w:tab w:pos="2933" w:val="left" w:leader="none"/>
                <w:tab w:pos="4073" w:val="left" w:leader="none"/>
                <w:tab w:pos="5214" w:val="left" w:leader="none"/>
                <w:tab w:pos="6354" w:val="left" w:leader="none"/>
                <w:tab w:pos="7494" w:val="left" w:leader="none"/>
                <w:tab w:pos="8634" w:val="left" w:leader="none"/>
              </w:tabs>
              <w:spacing w:before="8"/>
              <w:ind w:left="653"/>
              <w:rPr>
                <w:sz w:val="20"/>
              </w:rPr>
            </w:pPr>
            <w:r>
              <w:rPr>
                <w:color w:val="7E7E7E"/>
                <w:sz w:val="20"/>
              </w:rPr>
              <w:t>1948</w:t>
              <w:tab/>
              <w:t>1958</w:t>
              <w:tab/>
              <w:t>1968</w:t>
              <w:tab/>
              <w:t>1978</w:t>
              <w:tab/>
              <w:t>1988</w:t>
              <w:tab/>
              <w:t>1998</w:t>
              <w:tab/>
              <w:t>2008</w:t>
              <w:tab/>
              <w:t>2018</w:t>
            </w:r>
          </w:p>
        </w:tc>
      </w:tr>
      <w:tr>
        <w:trPr>
          <w:trHeight w:val="497" w:hRule="atLeast"/>
        </w:trPr>
        <w:tc>
          <w:tcPr>
            <w:tcW w:w="9677" w:type="dxa"/>
          </w:tcPr>
          <w:p>
            <w:pPr>
              <w:pStyle w:val="TableParagraph"/>
              <w:rPr>
                <w:sz w:val="18"/>
              </w:rPr>
            </w:pPr>
          </w:p>
          <w:p>
            <w:pPr>
              <w:pStyle w:val="TableParagraph"/>
              <w:spacing w:line="164" w:lineRule="exact" w:before="106"/>
              <w:ind w:left="200"/>
              <w:rPr>
                <w:sz w:val="16"/>
              </w:rPr>
            </w:pPr>
            <w:r>
              <w:rPr>
                <w:sz w:val="16"/>
              </w:rPr>
              <w:t>Source: WTO Regional Trade Agreement Database.</w:t>
            </w:r>
          </w:p>
        </w:tc>
      </w:tr>
    </w:tbl>
    <w:p>
      <w:pPr>
        <w:pStyle w:val="BodyText"/>
      </w:pPr>
    </w:p>
    <w:p>
      <w:pPr>
        <w:pStyle w:val="BodyText"/>
      </w:pPr>
    </w:p>
    <w:p>
      <w:pPr>
        <w:pStyle w:val="BodyText"/>
        <w:spacing w:before="9"/>
        <w:rPr>
          <w:sz w:val="17"/>
        </w:rPr>
      </w:pPr>
      <w:r>
        <w:rPr/>
        <w:pict>
          <v:shape style="position:absolute;margin-left:56.700001pt;margin-top:12.470889pt;width:144.050pt;height:.1pt;mso-position-horizontal-relative:page;mso-position-vertical-relative:paragraph;z-index:-251585536;mso-wrap-distance-left:0;mso-wrap-distance-right:0" coordorigin="1134,249" coordsize="2881,0" path="m1134,249l4014,249e" filled="false" stroked="true" strokeweight=".47998pt" strokecolor="#000000">
            <v:path arrowok="t"/>
            <v:stroke dashstyle="solid"/>
            <w10:wrap type="topAndBottom"/>
          </v:shape>
        </w:pict>
      </w:r>
    </w:p>
    <w:p>
      <w:pPr>
        <w:spacing w:before="51"/>
        <w:ind w:left="334" w:right="943" w:firstLine="0"/>
        <w:jc w:val="left"/>
        <w:rPr>
          <w:sz w:val="16"/>
        </w:rPr>
      </w:pPr>
      <w:r>
        <w:rPr>
          <w:position w:val="6"/>
          <w:sz w:val="10"/>
        </w:rPr>
        <w:t>22 </w:t>
      </w:r>
      <w:r>
        <w:rPr>
          <w:sz w:val="16"/>
        </w:rPr>
        <w:t>Some of the observed decline in tariffs is also attributable to the General System of Preferences (GSP) and other unilateral preferential treatment schemes.</w:t>
      </w:r>
    </w:p>
    <w:p>
      <w:pPr>
        <w:spacing w:line="184" w:lineRule="exact" w:before="0"/>
        <w:ind w:left="334" w:right="0" w:firstLine="0"/>
        <w:jc w:val="left"/>
        <w:rPr>
          <w:sz w:val="16"/>
        </w:rPr>
      </w:pPr>
      <w:r>
        <w:rPr>
          <w:position w:val="6"/>
          <w:sz w:val="10"/>
        </w:rPr>
        <w:t>23 </w:t>
      </w:r>
      <w:r>
        <w:rPr>
          <w:sz w:val="16"/>
        </w:rPr>
        <w:t>Baldwin (2016).</w:t>
      </w:r>
    </w:p>
    <w:p>
      <w:pPr>
        <w:spacing w:after="0" w:line="184" w:lineRule="exact"/>
        <w:jc w:val="left"/>
        <w:rPr>
          <w:sz w:val="16"/>
        </w:rPr>
        <w:sectPr>
          <w:footerReference w:type="default" r:id="rId29"/>
          <w:pgSz w:w="11910" w:h="16840"/>
          <w:pgMar w:footer="1338" w:header="0" w:top="1460" w:bottom="1520" w:left="800" w:right="820"/>
          <w:pgNumType w:start="22"/>
        </w:sect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29"/>
      </w:tblGrid>
      <w:tr>
        <w:trPr>
          <w:trHeight w:val="301" w:hRule="atLeast"/>
        </w:trPr>
        <w:tc>
          <w:tcPr>
            <w:tcW w:w="9629" w:type="dxa"/>
          </w:tcPr>
          <w:p>
            <w:pPr>
              <w:pStyle w:val="TableParagraph"/>
              <w:spacing w:line="220" w:lineRule="exact"/>
              <w:ind w:left="200"/>
              <w:rPr>
                <w:b/>
                <w:sz w:val="20"/>
              </w:rPr>
            </w:pPr>
            <w:r>
              <w:rPr>
                <w:b/>
                <w:sz w:val="20"/>
              </w:rPr>
              <w:t>Chart 25: Global tariffs</w:t>
            </w:r>
          </w:p>
        </w:tc>
      </w:tr>
      <w:tr>
        <w:trPr>
          <w:trHeight w:val="4150" w:hRule="atLeast"/>
        </w:trPr>
        <w:tc>
          <w:tcPr>
            <w:tcW w:w="9629" w:type="dxa"/>
          </w:tcPr>
          <w:p>
            <w:pPr>
              <w:pStyle w:val="TableParagraph"/>
              <w:tabs>
                <w:tab w:pos="9429" w:val="right" w:leader="none"/>
              </w:tabs>
              <w:spacing w:before="68"/>
              <w:ind w:left="8163"/>
              <w:rPr>
                <w:sz w:val="20"/>
              </w:rPr>
            </w:pPr>
            <w:r>
              <w:rPr>
                <w:color w:val="7E7E7E"/>
                <w:sz w:val="20"/>
              </w:rPr>
              <w:t>Per cent</w:t>
              <w:tab/>
            </w:r>
            <w:r>
              <w:rPr>
                <w:color w:val="7E7E7E"/>
                <w:position w:val="-10"/>
                <w:sz w:val="20"/>
              </w:rPr>
              <w:t>9</w:t>
            </w:r>
          </w:p>
          <w:p>
            <w:pPr>
              <w:pStyle w:val="TableParagraph"/>
              <w:spacing w:before="151"/>
              <w:ind w:left="9318"/>
              <w:rPr>
                <w:sz w:val="20"/>
              </w:rPr>
            </w:pPr>
            <w:r>
              <w:rPr>
                <w:color w:val="7E7E7E"/>
                <w:w w:val="100"/>
                <w:sz w:val="20"/>
              </w:rPr>
              <w:t>8</w:t>
            </w:r>
          </w:p>
          <w:p>
            <w:pPr>
              <w:pStyle w:val="TableParagraph"/>
              <w:spacing w:before="150"/>
              <w:ind w:left="9318"/>
              <w:rPr>
                <w:sz w:val="20"/>
              </w:rPr>
            </w:pPr>
            <w:r>
              <w:rPr>
                <w:color w:val="7E7E7E"/>
                <w:w w:val="100"/>
                <w:sz w:val="20"/>
              </w:rPr>
              <w:t>7</w:t>
            </w:r>
          </w:p>
          <w:p>
            <w:pPr>
              <w:pStyle w:val="TableParagraph"/>
              <w:spacing w:before="151"/>
              <w:ind w:left="9318"/>
              <w:rPr>
                <w:sz w:val="20"/>
              </w:rPr>
            </w:pPr>
            <w:r>
              <w:rPr>
                <w:color w:val="7E7E7E"/>
                <w:w w:val="100"/>
                <w:sz w:val="20"/>
              </w:rPr>
              <w:t>6</w:t>
            </w:r>
          </w:p>
          <w:p>
            <w:pPr>
              <w:pStyle w:val="TableParagraph"/>
              <w:spacing w:before="150"/>
              <w:ind w:left="9318"/>
              <w:rPr>
                <w:sz w:val="20"/>
              </w:rPr>
            </w:pPr>
            <w:r>
              <w:rPr>
                <w:color w:val="7E7E7E"/>
                <w:w w:val="100"/>
                <w:sz w:val="20"/>
              </w:rPr>
              <w:t>5</w:t>
            </w:r>
          </w:p>
          <w:p>
            <w:pPr>
              <w:pStyle w:val="TableParagraph"/>
              <w:spacing w:before="151"/>
              <w:ind w:left="9318"/>
              <w:rPr>
                <w:sz w:val="20"/>
              </w:rPr>
            </w:pPr>
            <w:r>
              <w:rPr>
                <w:color w:val="7E7E7E"/>
                <w:w w:val="100"/>
                <w:sz w:val="20"/>
              </w:rPr>
              <w:t>4</w:t>
            </w:r>
          </w:p>
          <w:p>
            <w:pPr>
              <w:pStyle w:val="TableParagraph"/>
              <w:spacing w:before="150"/>
              <w:ind w:left="9318"/>
              <w:rPr>
                <w:sz w:val="20"/>
              </w:rPr>
            </w:pPr>
            <w:r>
              <w:rPr>
                <w:color w:val="7E7E7E"/>
                <w:w w:val="100"/>
                <w:sz w:val="20"/>
              </w:rPr>
              <w:t>3</w:t>
            </w:r>
          </w:p>
          <w:p>
            <w:pPr>
              <w:pStyle w:val="TableParagraph"/>
              <w:spacing w:before="150"/>
              <w:ind w:left="9318"/>
              <w:rPr>
                <w:sz w:val="20"/>
              </w:rPr>
            </w:pPr>
            <w:r>
              <w:rPr>
                <w:color w:val="7E7E7E"/>
                <w:w w:val="100"/>
                <w:sz w:val="20"/>
              </w:rPr>
              <w:t>2</w:t>
            </w:r>
          </w:p>
          <w:p>
            <w:pPr>
              <w:pStyle w:val="TableParagraph"/>
              <w:spacing w:before="151"/>
              <w:ind w:left="9318"/>
              <w:rPr>
                <w:sz w:val="20"/>
              </w:rPr>
            </w:pPr>
            <w:r>
              <w:rPr>
                <w:color w:val="7E7E7E"/>
                <w:w w:val="100"/>
                <w:sz w:val="20"/>
              </w:rPr>
              <w:t>1</w:t>
            </w:r>
          </w:p>
          <w:p>
            <w:pPr>
              <w:pStyle w:val="TableParagraph"/>
              <w:spacing w:before="150"/>
              <w:ind w:left="9318"/>
              <w:rPr>
                <w:sz w:val="20"/>
              </w:rPr>
            </w:pPr>
            <w:r>
              <w:rPr>
                <w:color w:val="7E7E7E"/>
                <w:w w:val="100"/>
                <w:sz w:val="20"/>
              </w:rPr>
              <w:t>0</w:t>
            </w:r>
          </w:p>
          <w:p>
            <w:pPr>
              <w:pStyle w:val="TableParagraph"/>
              <w:tabs>
                <w:tab w:pos="1805" w:val="left" w:leader="none"/>
                <w:tab w:pos="2943" w:val="left" w:leader="none"/>
                <w:tab w:pos="4083" w:val="left" w:leader="none"/>
                <w:tab w:pos="5221" w:val="left" w:leader="none"/>
                <w:tab w:pos="6360" w:val="left" w:leader="none"/>
                <w:tab w:pos="7499" w:val="left" w:leader="none"/>
                <w:tab w:pos="8638" w:val="left" w:leader="none"/>
              </w:tabs>
              <w:spacing w:before="8"/>
              <w:ind w:left="666"/>
              <w:rPr>
                <w:sz w:val="20"/>
              </w:rPr>
            </w:pPr>
            <w:r>
              <w:rPr>
                <w:color w:val="7E7E7E"/>
                <w:sz w:val="20"/>
              </w:rPr>
              <w:t>1988</w:t>
              <w:tab/>
              <w:t>1992</w:t>
              <w:tab/>
              <w:t>1996</w:t>
              <w:tab/>
              <w:t>2000</w:t>
              <w:tab/>
              <w:t>2004</w:t>
              <w:tab/>
              <w:t>2008</w:t>
              <w:tab/>
              <w:t>2012</w:t>
              <w:tab/>
              <w:t>2016</w:t>
            </w:r>
          </w:p>
        </w:tc>
      </w:tr>
      <w:tr>
        <w:trPr>
          <w:trHeight w:val="484" w:hRule="atLeast"/>
        </w:trPr>
        <w:tc>
          <w:tcPr>
            <w:tcW w:w="9629" w:type="dxa"/>
          </w:tcPr>
          <w:p>
            <w:pPr>
              <w:pStyle w:val="TableParagraph"/>
              <w:spacing w:before="67"/>
              <w:ind w:left="200"/>
              <w:rPr>
                <w:sz w:val="16"/>
              </w:rPr>
            </w:pPr>
            <w:r>
              <w:rPr>
                <w:sz w:val="16"/>
              </w:rPr>
              <w:t>Source: UNCTAD TRAINS from World Bank WITS.</w:t>
            </w:r>
          </w:p>
          <w:p>
            <w:pPr>
              <w:pStyle w:val="TableParagraph"/>
              <w:spacing w:line="167" w:lineRule="exact" w:before="45"/>
              <w:ind w:left="200"/>
              <w:rPr>
                <w:sz w:val="16"/>
              </w:rPr>
            </w:pPr>
            <w:r>
              <w:rPr>
                <w:sz w:val="16"/>
              </w:rPr>
              <w:t>Notes: Weighted global mean of all applied tariffs across all products.</w:t>
            </w:r>
          </w:p>
        </w:tc>
      </w:tr>
    </w:tbl>
    <w:p>
      <w:pPr>
        <w:pStyle w:val="BodyText"/>
      </w:pPr>
    </w:p>
    <w:p>
      <w:pPr>
        <w:pStyle w:val="BodyText"/>
        <w:spacing w:before="10"/>
        <w:rPr>
          <w:sz w:val="18"/>
        </w:rPr>
      </w:pPr>
    </w:p>
    <w:p>
      <w:pPr>
        <w:pStyle w:val="BodyText"/>
        <w:spacing w:line="352" w:lineRule="auto"/>
        <w:ind w:left="334" w:right="388"/>
      </w:pPr>
      <w:r>
        <w:rPr/>
        <w:pict>
          <v:group style="position:absolute;margin-left:90.245003pt;margin-top:-239.315109pt;width:414.6pt;height:171.9pt;mso-position-horizontal-relative:page;mso-position-vertical-relative:paragraph;z-index:-254472192" coordorigin="1805,-4786" coordsize="8292,3438">
            <v:shape style="position:absolute;left:1822;top:-4779;width:8257;height:3423" coordorigin="1822,-4779" coordsize="8257,3423" path="m10079,-1356l10079,-4779m10018,-1356l10079,-1356m10018,-1736l10079,-1736m10018,-2117l10079,-2117m10018,-2497l10079,-2497m10018,-2878l10079,-2878m10018,-3258l10079,-3258m10018,-3638l10079,-3638m10018,-4018l10079,-4018m10018,-4398l10079,-4398m10018,-4779l10079,-4779m1822,-1356l10079,-1356m1822,-1416l1822,-1356m2107,-1416l2107,-1356m2392,-1416l2392,-1356m2676,-1416l2676,-1356m2962,-1416l2962,-1356m3246,-1416l3246,-1356m3530,-1416l3530,-1356m3815,-1416l3815,-1356m4100,-1416l4100,-1356m4385,-1416l4385,-1356m4669,-1416l4669,-1356m4954,-1416l4954,-1356m5239,-1416l5239,-1356m5524,-1416l5524,-1356m5808,-1416l5808,-1356m6092,-1416l6092,-1356m6378,-1416l6378,-1356m6662,-1416l6662,-1356m6947,-1416l6947,-1356m7231,-1416l7231,-1356m7517,-1416l7517,-1356m7801,-1416l7801,-1356m8086,-1416l8086,-1356m8370,-1416l8370,-1356m8656,-1416l8656,-1356m8940,-1416l8940,-1356m9224,-1416l9224,-1356m9509,-1416l9509,-1356m9794,-1416l9794,-1356m10079,-1416l10079,-1356e" filled="false" stroked="true" strokeweight=".75pt" strokecolor="#a6a6a6">
              <v:path arrowok="t"/>
              <v:stroke dashstyle="solid"/>
            </v:shape>
            <v:shape style="position:absolute;left:1822;top:-4616;width:8257;height:2275" coordorigin="1822,-4615" coordsize="8257,2275" path="m1822,-3178l2107,-3725,2392,-3949,2676,-3691,2962,-4082,3246,-4178,3530,-4615,3815,-3805,4100,-3695,4385,-3418,4669,-3341,4954,-3337,5239,-3242,5524,-3402,5808,-3090,6092,-3094,6378,-2771,6662,-2687,6947,-2557,7231,-2641,7517,-2615,7801,-2573,8086,-2611,8370,-2699,8656,-2455,8940,-2512,9224,-2447,9509,-2520,9794,-2489,10079,-2341e" filled="false" stroked="true" strokeweight="1.75pt" strokecolor="#403052">
              <v:path arrowok="t"/>
              <v:stroke dashstyle="solid"/>
            </v:shape>
            <w10:wrap type="none"/>
          </v:group>
        </w:pict>
      </w:r>
      <w:r>
        <w:rPr/>
        <w:t>Recently, that tide of cooperation, including on trade, has shown signs of turning – what Mark Carney recently called a “sea change”.</w:t>
      </w:r>
      <w:r>
        <w:rPr>
          <w:position w:val="7"/>
          <w:sz w:val="13"/>
        </w:rPr>
        <w:t>24 </w:t>
      </w:r>
      <w:r>
        <w:rPr/>
        <w:t>After a prolonged period of peace, trade wars are now being waged: tariffs have been introduced on over $200 billion of bilateral goods trade between the US and China; further</w:t>
      </w:r>
    </w:p>
    <w:p>
      <w:pPr>
        <w:pStyle w:val="BodyText"/>
        <w:spacing w:line="355" w:lineRule="auto" w:before="1"/>
        <w:ind w:left="334" w:right="319"/>
      </w:pPr>
      <w:r>
        <w:rPr/>
        <w:t>US-China tariffs are threatened; and there are ongoing trade tensions between the US and Mexico and the US and Europe. These developments are reverberating around global financial markets and among companies.</w:t>
      </w:r>
    </w:p>
    <w:p>
      <w:pPr>
        <w:pStyle w:val="BodyText"/>
        <w:spacing w:before="6"/>
        <w:rPr>
          <w:sz w:val="29"/>
        </w:rPr>
      </w:pPr>
    </w:p>
    <w:p>
      <w:pPr>
        <w:pStyle w:val="BodyText"/>
        <w:spacing w:line="355" w:lineRule="auto"/>
        <w:ind w:left="334" w:right="463"/>
      </w:pPr>
      <w:r>
        <w:rPr/>
        <w:t>Among global investors, trade wars have risen to the top of their worry lists. Negative trade news has weighed on global equity and corporate bond prices and government bond yields, as investors have sought safety. Chart 26 shows the responsiveness of a selection of global asset prices to (positive and negative) trade news. Asset prices have been particularly responsive to trade news during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4"/>
        </w:rPr>
      </w:pPr>
      <w:r>
        <w:rPr/>
        <w:pict>
          <v:shape style="position:absolute;margin-left:56.700001pt;margin-top:16.244375pt;width:144.050pt;height:.1pt;mso-position-horizontal-relative:page;mso-position-vertical-relative:paragraph;z-index:-251583488;mso-wrap-distance-left:0;mso-wrap-distance-right:0" coordorigin="1134,325" coordsize="2881,0" path="m1134,325l4014,325e" filled="false" stroked="true" strokeweight=".47998pt" strokecolor="#000000">
            <v:path arrowok="t"/>
            <v:stroke dashstyle="solid"/>
            <w10:wrap type="topAndBottom"/>
          </v:shape>
        </w:pict>
      </w:r>
    </w:p>
    <w:p>
      <w:pPr>
        <w:spacing w:before="51"/>
        <w:ind w:left="334" w:right="0" w:firstLine="0"/>
        <w:jc w:val="left"/>
        <w:rPr>
          <w:sz w:val="16"/>
        </w:rPr>
      </w:pPr>
      <w:r>
        <w:rPr>
          <w:position w:val="6"/>
          <w:sz w:val="10"/>
        </w:rPr>
        <w:t>24 </w:t>
      </w:r>
      <w:r>
        <w:rPr>
          <w:sz w:val="16"/>
        </w:rPr>
        <w:t>Carney (2019).</w:t>
      </w:r>
    </w:p>
    <w:p>
      <w:pPr>
        <w:spacing w:after="0"/>
        <w:jc w:val="left"/>
        <w:rPr>
          <w:sz w:val="16"/>
        </w:rPr>
        <w:sectPr>
          <w:footerReference w:type="default" r:id="rId30"/>
          <w:pgSz w:w="11910" w:h="16840"/>
          <w:pgMar w:footer="1338" w:header="0" w:top="1540" w:bottom="1520" w:left="800" w:right="820"/>
          <w:pgNumType w:start="23"/>
        </w:sectPr>
      </w:pPr>
    </w:p>
    <w:p>
      <w:pPr>
        <w:pStyle w:val="Heading1"/>
        <w:spacing w:before="70"/>
      </w:pPr>
      <w:r>
        <w:rPr/>
        <w:t>Chart 26: Asset price responsiveness to trade news</w:t>
      </w:r>
    </w:p>
    <w:p>
      <w:pPr>
        <w:spacing w:after="0"/>
        <w:sectPr>
          <w:pgSz w:w="11910" w:h="16840"/>
          <w:pgMar w:header="0" w:footer="1338" w:top="1460" w:bottom="1520" w:left="800" w:right="820"/>
        </w:sectPr>
      </w:pPr>
    </w:p>
    <w:p>
      <w:pPr>
        <w:spacing w:line="252" w:lineRule="auto" w:before="41"/>
        <w:ind w:left="1349" w:right="993" w:firstLine="0"/>
        <w:jc w:val="left"/>
        <w:rPr>
          <w:sz w:val="16"/>
        </w:rPr>
      </w:pPr>
      <w:r>
        <w:rPr/>
        <w:pict>
          <v:group style="position:absolute;margin-left:63.905998pt;margin-top:24.263109pt;width:219.75pt;height:127.55pt;mso-position-horizontal-relative:page;mso-position-vertical-relative:paragraph;z-index:-254471168" coordorigin="1278,485" coordsize="4395,2551">
            <v:rect style="position:absolute;left:1581;top:1419;width:395;height:663" filled="true" fillcolor="#b8cde4" stroked="false">
              <v:fill type="solid"/>
            </v:rect>
            <v:line style="position:absolute" from="1976,1411" to="2370,1411" stroked="true" strokeweight=".84pt" strokecolor="#006fc0">
              <v:stroke dashstyle="solid"/>
            </v:line>
            <v:rect style="position:absolute;left:2370;top:1087;width:395;height:333" filled="true" fillcolor="#e6b8b8" stroked="false">
              <v:fill type="solid"/>
            </v:rect>
            <v:line style="position:absolute" from="2765,1421" to="3158,1421" stroked="true" strokeweight=".18pt" strokecolor="#c00000">
              <v:stroke dashstyle="solid"/>
            </v:line>
            <v:rect style="position:absolute;left:3750;top:1419;width:395;height:1280" filled="true" fillcolor="#b8cde4" stroked="false">
              <v:fill type="solid"/>
            </v:rect>
            <v:rect style="position:absolute;left:4144;top:1419;width:395;height:302" filled="true" fillcolor="#006fc0" stroked="false">
              <v:fill type="solid"/>
            </v:rect>
            <v:rect style="position:absolute;left:4539;top:716;width:394;height:704" filled="true" fillcolor="#e6b8b8" stroked="false">
              <v:fill type="solid"/>
            </v:rect>
            <v:rect style="position:absolute;left:4933;top:856;width:395;height:563" filled="true" fillcolor="#c00000" stroked="false">
              <v:fill type="solid"/>
            </v:rect>
            <v:shape style="position:absolute;left:1285;top:614;width:4387;height:2414" coordorigin="1286,615" coordsize="4387,2414" path="m5624,3028l5624,615m5624,3028l5672,3028m5624,2627l5672,2627m5624,2223l5672,2223m5624,1821l5672,1821m5624,1419l5672,1419m5624,1017l5672,1017m5624,615l5672,615m1286,1419l5624,1419m1286,1371l1286,1419m3455,1371l3455,1419m5624,1371l5624,1419e" filled="false" stroked="true" strokeweight=".75pt" strokecolor="#7e7e7e">
              <v:path arrowok="t"/>
              <v:stroke dashstyle="solid"/>
            </v:shape>
            <v:rect style="position:absolute;left:2036;top:485;width:81;height:81" filled="true" fillcolor="#e6b8b8" stroked="false">
              <v:fill type="solid"/>
            </v:rect>
            <v:rect style="position:absolute;left:2036;top:678;width:81;height:81" filled="true" fillcolor="#c00000" stroked="false">
              <v:fill type="solid"/>
            </v:rect>
            <w10:wrap type="none"/>
          </v:group>
        </w:pict>
      </w:r>
      <w:r>
        <w:rPr/>
        <w:pict>
          <v:rect style="position:absolute;margin-left:101.809998pt;margin-top:4.973109pt;width:4.020800pt;height:4.020800pt;mso-position-horizontal-relative:page;mso-position-vertical-relative:paragraph;z-index:251736064" filled="true" fillcolor="#b8cde4" stroked="false">
            <v:fill type="solid"/>
            <w10:wrap type="none"/>
          </v:rect>
        </w:pict>
      </w:r>
      <w:r>
        <w:rPr/>
        <w:pict>
          <v:rect style="position:absolute;margin-left:101.809998pt;margin-top:14.613109pt;width:4.020800pt;height:4.020800pt;mso-position-horizontal-relative:page;mso-position-vertical-relative:paragraph;z-index:251737088" filled="true" fillcolor="#006fc0" stroked="false">
            <v:fill type="solid"/>
            <w10:wrap type="none"/>
          </v:rect>
        </w:pict>
      </w:r>
      <w:r>
        <w:rPr>
          <w:color w:val="7E7E7E"/>
          <w:sz w:val="16"/>
        </w:rPr>
        <w:t>2018 - Positive news 2019 - Positive news 2018 - Negative news 2019 - Negative news</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7"/>
      </w:pPr>
    </w:p>
    <w:p>
      <w:pPr>
        <w:tabs>
          <w:tab w:pos="3571" w:val="left" w:leader="none"/>
        </w:tabs>
        <w:spacing w:before="0"/>
        <w:ind w:left="1072" w:right="0" w:firstLine="0"/>
        <w:jc w:val="left"/>
        <w:rPr>
          <w:sz w:val="16"/>
        </w:rPr>
      </w:pPr>
      <w:r>
        <w:rPr>
          <w:color w:val="7E7E7E"/>
          <w:sz w:val="16"/>
        </w:rPr>
        <w:t>US</w:t>
      </w:r>
      <w:r>
        <w:rPr>
          <w:color w:val="7E7E7E"/>
          <w:spacing w:val="-2"/>
          <w:sz w:val="16"/>
        </w:rPr>
        <w:t> </w:t>
      </w:r>
      <w:r>
        <w:rPr>
          <w:color w:val="7E7E7E"/>
          <w:sz w:val="16"/>
        </w:rPr>
        <w:t>Dollar</w:t>
      </w:r>
      <w:r>
        <w:rPr>
          <w:color w:val="7E7E7E"/>
          <w:spacing w:val="-1"/>
          <w:sz w:val="16"/>
        </w:rPr>
        <w:t> </w:t>
      </w:r>
      <w:r>
        <w:rPr>
          <w:color w:val="7E7E7E"/>
          <w:sz w:val="16"/>
        </w:rPr>
        <w:t>ERI</w:t>
        <w:tab/>
      </w:r>
      <w:r>
        <w:rPr>
          <w:color w:val="7E7E7E"/>
          <w:spacing w:val="-7"/>
          <w:sz w:val="16"/>
        </w:rPr>
        <w:t>CNY</w:t>
      </w:r>
    </w:p>
    <w:p>
      <w:pPr>
        <w:spacing w:before="36"/>
        <w:ind w:left="231" w:right="0" w:firstLine="0"/>
        <w:jc w:val="left"/>
        <w:rPr>
          <w:sz w:val="16"/>
        </w:rPr>
      </w:pPr>
      <w:r>
        <w:rPr/>
        <w:br w:type="column"/>
      </w:r>
      <w:r>
        <w:rPr>
          <w:color w:val="7E7E7E"/>
          <w:sz w:val="16"/>
        </w:rPr>
        <w:t>Per cent</w:t>
      </w:r>
    </w:p>
    <w:p>
      <w:pPr>
        <w:pStyle w:val="BodyText"/>
        <w:rPr>
          <w:sz w:val="18"/>
        </w:rPr>
      </w:pPr>
      <w:r>
        <w:rPr/>
        <w:br w:type="column"/>
      </w:r>
      <w:r>
        <w:rPr>
          <w:sz w:val="18"/>
        </w:rPr>
      </w:r>
    </w:p>
    <w:p>
      <w:pPr>
        <w:pStyle w:val="BodyText"/>
        <w:spacing w:before="9"/>
        <w:rPr>
          <w:sz w:val="26"/>
        </w:rPr>
      </w:pPr>
    </w:p>
    <w:p>
      <w:pPr>
        <w:spacing w:before="1"/>
        <w:ind w:left="146" w:right="0" w:firstLine="0"/>
        <w:jc w:val="left"/>
        <w:rPr>
          <w:sz w:val="16"/>
        </w:rPr>
      </w:pPr>
      <w:r>
        <w:rPr>
          <w:color w:val="7E7E7E"/>
          <w:sz w:val="16"/>
        </w:rPr>
        <w:t>0.2</w:t>
      </w:r>
    </w:p>
    <w:p>
      <w:pPr>
        <w:pStyle w:val="BodyText"/>
        <w:spacing w:before="11"/>
        <w:rPr>
          <w:sz w:val="18"/>
        </w:rPr>
      </w:pPr>
    </w:p>
    <w:p>
      <w:pPr>
        <w:spacing w:before="0"/>
        <w:ind w:left="146" w:right="0" w:firstLine="0"/>
        <w:jc w:val="left"/>
        <w:rPr>
          <w:sz w:val="16"/>
        </w:rPr>
      </w:pPr>
      <w:r>
        <w:rPr>
          <w:color w:val="7E7E7E"/>
          <w:sz w:val="16"/>
        </w:rPr>
        <w:t>0.1</w:t>
      </w:r>
    </w:p>
    <w:p>
      <w:pPr>
        <w:pStyle w:val="BodyText"/>
        <w:rPr>
          <w:sz w:val="19"/>
        </w:rPr>
      </w:pPr>
    </w:p>
    <w:p>
      <w:pPr>
        <w:spacing w:before="0"/>
        <w:ind w:left="146" w:right="0" w:firstLine="0"/>
        <w:jc w:val="left"/>
        <w:rPr>
          <w:sz w:val="16"/>
        </w:rPr>
      </w:pPr>
      <w:r>
        <w:rPr>
          <w:color w:val="7E7E7E"/>
          <w:w w:val="99"/>
          <w:sz w:val="16"/>
        </w:rPr>
        <w:t>0</w:t>
      </w:r>
    </w:p>
    <w:p>
      <w:pPr>
        <w:pStyle w:val="BodyText"/>
        <w:rPr>
          <w:sz w:val="19"/>
        </w:rPr>
      </w:pPr>
    </w:p>
    <w:p>
      <w:pPr>
        <w:spacing w:before="0"/>
        <w:ind w:left="146" w:right="0" w:firstLine="0"/>
        <w:jc w:val="left"/>
        <w:rPr>
          <w:sz w:val="16"/>
        </w:rPr>
      </w:pPr>
      <w:r>
        <w:rPr>
          <w:color w:val="7E7E7E"/>
          <w:w w:val="95"/>
          <w:sz w:val="16"/>
        </w:rPr>
        <w:t>-0.1</w:t>
      </w:r>
    </w:p>
    <w:p>
      <w:pPr>
        <w:pStyle w:val="BodyText"/>
        <w:rPr>
          <w:sz w:val="19"/>
        </w:rPr>
      </w:pPr>
    </w:p>
    <w:p>
      <w:pPr>
        <w:spacing w:before="0"/>
        <w:ind w:left="146" w:right="0" w:firstLine="0"/>
        <w:jc w:val="left"/>
        <w:rPr>
          <w:sz w:val="16"/>
        </w:rPr>
      </w:pPr>
      <w:r>
        <w:rPr>
          <w:color w:val="7E7E7E"/>
          <w:w w:val="95"/>
          <w:sz w:val="16"/>
        </w:rPr>
        <w:t>-0.2</w:t>
      </w:r>
    </w:p>
    <w:p>
      <w:pPr>
        <w:pStyle w:val="BodyText"/>
        <w:rPr>
          <w:sz w:val="19"/>
        </w:rPr>
      </w:pPr>
    </w:p>
    <w:p>
      <w:pPr>
        <w:spacing w:before="0"/>
        <w:ind w:left="146" w:right="0" w:firstLine="0"/>
        <w:jc w:val="left"/>
        <w:rPr>
          <w:sz w:val="16"/>
        </w:rPr>
      </w:pPr>
      <w:r>
        <w:rPr>
          <w:color w:val="7E7E7E"/>
          <w:w w:val="95"/>
          <w:sz w:val="16"/>
        </w:rPr>
        <w:t>-0.3</w:t>
      </w:r>
    </w:p>
    <w:p>
      <w:pPr>
        <w:pStyle w:val="BodyText"/>
        <w:spacing w:before="11"/>
        <w:rPr>
          <w:sz w:val="18"/>
        </w:rPr>
      </w:pPr>
    </w:p>
    <w:p>
      <w:pPr>
        <w:spacing w:before="0"/>
        <w:ind w:left="146" w:right="0" w:firstLine="0"/>
        <w:jc w:val="left"/>
        <w:rPr>
          <w:sz w:val="16"/>
        </w:rPr>
      </w:pPr>
      <w:r>
        <w:rPr>
          <w:color w:val="7E7E7E"/>
          <w:w w:val="95"/>
          <w:sz w:val="16"/>
        </w:rPr>
        <w:t>-0.4</w:t>
      </w:r>
    </w:p>
    <w:p>
      <w:pPr>
        <w:pStyle w:val="BodyText"/>
        <w:rPr>
          <w:sz w:val="18"/>
        </w:rPr>
      </w:pPr>
    </w:p>
    <w:p>
      <w:pPr>
        <w:pStyle w:val="BodyText"/>
        <w:rPr>
          <w:sz w:val="18"/>
        </w:rPr>
      </w:pPr>
    </w:p>
    <w:p>
      <w:pPr>
        <w:spacing w:before="128"/>
        <w:ind w:left="0" w:right="41" w:firstLine="0"/>
        <w:jc w:val="right"/>
        <w:rPr>
          <w:sz w:val="16"/>
        </w:rPr>
      </w:pPr>
      <w:r>
        <w:rPr/>
        <w:pict>
          <v:group style="position:absolute;margin-left:63.905998pt;margin-top:4.539836pt;width:226.95pt;height:157pt;mso-position-horizontal-relative:page;mso-position-vertical-relative:paragraph;z-index:251743232" coordorigin="1278,91" coordsize="4539,3140">
            <v:line style="position:absolute" from="1591,1760" to="1999,1760" stroked="true" strokeweight="3.6pt" strokecolor="#b8cde4">
              <v:stroke dashstyle="solid"/>
            </v:line>
            <v:rect style="position:absolute;left:1999;top:1467;width:407;height:257" filled="true" fillcolor="#006fc0" stroked="false">
              <v:fill type="solid"/>
            </v:rect>
            <v:line style="position:absolute" from="2406,1774" to="2814,1774" stroked="true" strokeweight="4.92pt" strokecolor="#e6b8b8">
              <v:stroke dashstyle="solid"/>
            </v:line>
            <v:rect style="position:absolute;left:2814;top:1724;width:407;height:454" filled="true" fillcolor="#c00000" stroked="false">
              <v:fill type="solid"/>
            </v:rect>
            <v:rect style="position:absolute;left:3832;top:1724;width:407;height:394" filled="true" fillcolor="#b8cde4" stroked="false">
              <v:fill type="solid"/>
            </v:rect>
            <v:rect style="position:absolute;left:4239;top:1724;width:408;height:1065" filled="true" fillcolor="#006fc0" stroked="false">
              <v:fill type="solid"/>
            </v:rect>
            <v:rect style="position:absolute;left:4647;top:1521;width:408;height:203" filled="true" fillcolor="#e6b8b8" stroked="false">
              <v:fill type="solid"/>
            </v:rect>
            <v:rect style="position:absolute;left:5055;top:472;width:407;height:1252" filled="true" fillcolor="#c00000" stroked="false">
              <v:fill type="solid"/>
            </v:rect>
            <v:shape style="position:absolute;left:1285;top:226;width:4531;height:2996" coordorigin="1286,226" coordsize="4531,2996" path="m5768,3222l5768,226m5768,3222l5816,3222m5768,2848l5816,2848m5768,2473l5816,2473m5768,2099l5816,2099m5768,1724l5816,1724m5768,1350l5816,1350m5768,976l5816,976m5768,601l5816,601m5768,226l5816,226m1286,1724l5768,1724m1286,1676l1286,1724m3527,1676l3527,1724m5768,1676l5768,1724e" filled="false" stroked="true" strokeweight=".75pt" strokecolor="#7e7e7e">
              <v:path arrowok="t"/>
              <v:stroke dashstyle="solid"/>
            </v:shape>
            <v:rect style="position:absolute;left:1952;top:291;width:81;height:81" filled="true" fillcolor="#b8cde4" stroked="false">
              <v:fill type="solid"/>
            </v:rect>
            <v:rect style="position:absolute;left:1952;top:486;width:81;height:81" filled="true" fillcolor="#006fc0" stroked="false">
              <v:fill type="solid"/>
            </v:rect>
            <v:rect style="position:absolute;left:1952;top:681;width:81;height:81" filled="true" fillcolor="#e6b8b8" stroked="false">
              <v:fill type="solid"/>
            </v:rect>
            <v:rect style="position:absolute;left:1952;top:876;width:81;height:81" filled="true" fillcolor="#c00000" stroked="false">
              <v:fill type="solid"/>
            </v:rect>
            <v:shape style="position:absolute;left:5204;top:90;width:278;height:179" type="#_x0000_t202" filled="false" stroked="false">
              <v:textbox inset="0,0,0,0">
                <w:txbxContent>
                  <w:p>
                    <w:pPr>
                      <w:spacing w:line="178" w:lineRule="exact" w:before="0"/>
                      <w:ind w:left="0" w:right="0" w:firstLine="0"/>
                      <w:jc w:val="left"/>
                      <w:rPr>
                        <w:sz w:val="16"/>
                      </w:rPr>
                    </w:pPr>
                    <w:r>
                      <w:rPr>
                        <w:color w:val="7E7E7E"/>
                        <w:sz w:val="16"/>
                      </w:rPr>
                      <w:t>bps</w:t>
                    </w:r>
                  </w:p>
                </w:txbxContent>
              </v:textbox>
              <w10:wrap type="none"/>
            </v:shape>
            <v:shape style="position:absolute;left:2066;top:238;width:1567;height:764" type="#_x0000_t202" filled="false" stroked="false">
              <v:textbox inset="0,0,0,0">
                <w:txbxContent>
                  <w:p>
                    <w:pPr>
                      <w:spacing w:line="254" w:lineRule="auto" w:before="0"/>
                      <w:ind w:left="0" w:right="-1" w:firstLine="0"/>
                      <w:jc w:val="left"/>
                      <w:rPr>
                        <w:sz w:val="16"/>
                      </w:rPr>
                    </w:pPr>
                    <w:r>
                      <w:rPr>
                        <w:color w:val="7E7E7E"/>
                        <w:sz w:val="16"/>
                      </w:rPr>
                      <w:t>2018 - Positive news 2019 - Positive news 2018 - Negative news 2019 - Negative news</w:t>
                    </w:r>
                  </w:p>
                </w:txbxContent>
              </v:textbox>
              <w10:wrap type="none"/>
            </v:shape>
            <w10:wrap type="none"/>
          </v:group>
        </w:pict>
      </w:r>
      <w:r>
        <w:rPr>
          <w:color w:val="7E7E7E"/>
          <w:w w:val="99"/>
          <w:sz w:val="16"/>
        </w:rPr>
        <w:t>8</w:t>
      </w:r>
    </w:p>
    <w:p>
      <w:pPr>
        <w:pStyle w:val="BodyText"/>
        <w:spacing w:before="6"/>
        <w:rPr>
          <w:sz w:val="16"/>
        </w:rPr>
      </w:pPr>
    </w:p>
    <w:p>
      <w:pPr>
        <w:spacing w:before="0"/>
        <w:ind w:left="0" w:right="41" w:firstLine="0"/>
        <w:jc w:val="right"/>
        <w:rPr>
          <w:sz w:val="16"/>
        </w:rPr>
      </w:pPr>
      <w:r>
        <w:rPr>
          <w:color w:val="7E7E7E"/>
          <w:w w:val="99"/>
          <w:sz w:val="16"/>
        </w:rPr>
        <w:t>6</w:t>
      </w:r>
    </w:p>
    <w:p>
      <w:pPr>
        <w:pStyle w:val="BodyText"/>
        <w:spacing w:before="7"/>
        <w:rPr>
          <w:sz w:val="16"/>
        </w:rPr>
      </w:pPr>
    </w:p>
    <w:p>
      <w:pPr>
        <w:spacing w:before="0"/>
        <w:ind w:left="0" w:right="41" w:firstLine="0"/>
        <w:jc w:val="right"/>
        <w:rPr>
          <w:sz w:val="16"/>
        </w:rPr>
      </w:pPr>
      <w:r>
        <w:rPr>
          <w:color w:val="7E7E7E"/>
          <w:w w:val="99"/>
          <w:sz w:val="16"/>
        </w:rPr>
        <w:t>4</w:t>
      </w:r>
    </w:p>
    <w:p>
      <w:pPr>
        <w:spacing w:line="276" w:lineRule="auto" w:before="21"/>
        <w:ind w:left="757" w:right="349" w:firstLine="0"/>
        <w:jc w:val="left"/>
        <w:rPr>
          <w:sz w:val="16"/>
        </w:rPr>
      </w:pPr>
      <w:r>
        <w:rPr/>
        <w:br w:type="column"/>
      </w:r>
      <w:r>
        <w:rPr>
          <w:color w:val="7E7E7E"/>
          <w:sz w:val="16"/>
        </w:rPr>
        <w:t>2018 - Positive news 2019 - Positive news 2018 - Negative news 2019 - Negative news</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tabs>
          <w:tab w:pos="1953" w:val="left" w:leader="none"/>
        </w:tabs>
        <w:spacing w:before="110"/>
        <w:ind w:left="1909" w:right="0" w:hanging="1274"/>
        <w:jc w:val="right"/>
        <w:rPr>
          <w:sz w:val="16"/>
        </w:rPr>
      </w:pPr>
      <w:r>
        <w:rPr/>
        <w:pict>
          <v:group style="position:absolute;margin-left:317.614990pt;margin-top:-122.681076pt;width:203.75pt;height:124pt;mso-position-horizontal-relative:page;mso-position-vertical-relative:paragraph;z-index:-254468096" coordorigin="6352,-2454" coordsize="4075,2480">
            <v:rect style="position:absolute;left:6542;top:-1356;width:244;height:388" filled="true" fillcolor="#b8cde4" stroked="false">
              <v:fill type="solid"/>
            </v:rect>
            <v:rect style="position:absolute;left:6786;top:-1688;width:244;height:720" filled="true" fillcolor="#006fc0" stroked="false">
              <v:fill type="solid"/>
            </v:rect>
            <v:line style="position:absolute" from="7030,-909" to="7273,-909" stroked="true" strokeweight="5.88pt" strokecolor="#e6b8b8">
              <v:stroke dashstyle="solid"/>
            </v:line>
            <v:rect style="position:absolute;left:7273;top:-968;width:244;height:581" filled="true" fillcolor="#c00000" stroked="false">
              <v:fill type="solid"/>
            </v:rect>
            <v:rect style="position:absolute;left:7881;top:-1309;width:244;height:341" filled="true" fillcolor="#b8cde4" stroked="false">
              <v:fill type="solid"/>
            </v:rect>
            <v:rect style="position:absolute;left:8125;top:-2113;width:244;height:1145" filled="true" fillcolor="#006fc0" stroked="false">
              <v:fill type="solid"/>
            </v:rect>
            <v:rect style="position:absolute;left:8368;top:-968;width:244;height:722" filled="true" fillcolor="#e6b8b8" stroked="false">
              <v:fill type="solid"/>
            </v:rect>
            <v:rect style="position:absolute;left:8612;top:-968;width:244;height:524" filled="true" fillcolor="#c00000" stroked="false">
              <v:fill type="solid"/>
            </v:rect>
            <v:rect style="position:absolute;left:9222;top:-968;width:244;height:695" filled="true" fillcolor="#b8cde4" stroked="false">
              <v:fill type="solid"/>
            </v:rect>
            <v:rect style="position:absolute;left:9465;top:-968;width:244;height:462" filled="true" fillcolor="#006fc0" stroked="false">
              <v:fill type="solid"/>
            </v:rect>
            <v:rect style="position:absolute;left:9709;top:-1356;width:244;height:388" filled="true" fillcolor="#e6b8b8" stroked="false">
              <v:fill type="solid"/>
            </v:rect>
            <v:rect style="position:absolute;left:9952;top:-1709;width:244;height:741" filled="true" fillcolor="#c00000" stroked="false">
              <v:fill type="solid"/>
            </v:rect>
            <v:shape style="position:absolute;left:6359;top:-2447;width:4067;height:2465" coordorigin="6360,-2446" coordsize="4067,2465" path="m10379,18l10379,-2446m10379,18l10427,18m10379,-229l10427,-229m10379,-475l10427,-475m10379,-721l10427,-721m10379,-968l10427,-968m10379,-1214l10427,-1214m10379,-1460l10427,-1460m10379,-1707l10427,-1707m10379,-1953l10427,-1953m10379,-2199l10427,-2199m10379,-2446l10427,-2446m6360,-968l10379,-968m6360,-1016l6360,-968m7699,-1016l7699,-968m9038,-1016l9038,-968m10379,-1016l10379,-968e" filled="false" stroked="true" strokeweight=".75pt" strokecolor="#7e7e7e">
              <v:path arrowok="t"/>
              <v:stroke dashstyle="solid"/>
            </v:shape>
            <v:rect style="position:absolute;left:6722;top:-2434;width:81;height:81" filled="true" fillcolor="#e6b8b8" stroked="false">
              <v:fill type="solid"/>
            </v:rect>
            <v:rect style="position:absolute;left:6722;top:-2222;width:81;height:81" filled="true" fillcolor="#c00000" stroked="false">
              <v:fill type="solid"/>
            </v:rect>
            <w10:wrap type="none"/>
          </v:group>
        </w:pict>
      </w:r>
      <w:r>
        <w:rPr/>
        <w:pict>
          <v:rect style="position:absolute;margin-left:336.100006pt;margin-top:-142.856873pt;width:4.020800pt;height:4.020800pt;mso-position-horizontal-relative:page;mso-position-vertical-relative:paragraph;z-index:251739136" filled="true" fillcolor="#b8cde4" stroked="false">
            <v:fill type="solid"/>
            <w10:wrap type="none"/>
          </v:rect>
        </w:pict>
      </w:r>
      <w:r>
        <w:rPr/>
        <w:pict>
          <v:rect style="position:absolute;margin-left:336.100006pt;margin-top:-132.256882pt;width:4.020800pt;height:4.020800pt;mso-position-horizontal-relative:page;mso-position-vertical-relative:paragraph;z-index:251740160" filled="true" fillcolor="#006fc0" stroked="false">
            <v:fill type="solid"/>
            <w10:wrap type="none"/>
          </v:rect>
        </w:pict>
      </w:r>
      <w:r>
        <w:rPr>
          <w:color w:val="7E7E7E"/>
          <w:sz w:val="16"/>
        </w:rPr>
        <w:t>S&amp;P</w:t>
      </w:r>
      <w:r>
        <w:rPr>
          <w:color w:val="7E7E7E"/>
          <w:spacing w:val="-2"/>
          <w:sz w:val="16"/>
        </w:rPr>
        <w:t> </w:t>
      </w:r>
      <w:r>
        <w:rPr>
          <w:color w:val="7E7E7E"/>
          <w:sz w:val="16"/>
        </w:rPr>
        <w:t>500</w:t>
        <w:tab/>
        <w:tab/>
      </w:r>
      <w:r>
        <w:rPr>
          <w:color w:val="7E7E7E"/>
          <w:w w:val="95"/>
          <w:sz w:val="16"/>
        </w:rPr>
        <w:t>Shanghai Composite</w:t>
      </w:r>
    </w:p>
    <w:p>
      <w:pPr>
        <w:spacing w:before="36"/>
        <w:ind w:left="659" w:right="-20" w:firstLine="34"/>
        <w:jc w:val="left"/>
        <w:rPr>
          <w:sz w:val="16"/>
        </w:rPr>
      </w:pPr>
      <w:r>
        <w:rPr/>
        <w:br w:type="column"/>
      </w:r>
      <w:r>
        <w:rPr>
          <w:color w:val="7E7E7E"/>
          <w:sz w:val="16"/>
        </w:rPr>
        <w:t>Per cent, pp for VIX</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59"/>
        <w:ind w:left="789" w:right="0" w:firstLine="0"/>
        <w:jc w:val="left"/>
        <w:rPr>
          <w:sz w:val="16"/>
        </w:rPr>
      </w:pPr>
      <w:r>
        <w:rPr>
          <w:color w:val="7E7E7E"/>
          <w:sz w:val="16"/>
        </w:rPr>
        <w:t>VIX</w:t>
      </w:r>
    </w:p>
    <w:p>
      <w:pPr>
        <w:pStyle w:val="BodyText"/>
        <w:rPr>
          <w:sz w:val="18"/>
        </w:rPr>
      </w:pPr>
      <w:r>
        <w:rPr/>
        <w:br w:type="column"/>
      </w:r>
      <w:r>
        <w:rPr>
          <w:sz w:val="18"/>
        </w:rPr>
      </w:r>
    </w:p>
    <w:p>
      <w:pPr>
        <w:pStyle w:val="BodyText"/>
        <w:spacing w:before="1"/>
        <w:rPr>
          <w:sz w:val="16"/>
        </w:rPr>
      </w:pPr>
    </w:p>
    <w:p>
      <w:pPr>
        <w:spacing w:before="0"/>
        <w:ind w:left="315" w:right="0" w:firstLine="0"/>
        <w:jc w:val="left"/>
        <w:rPr>
          <w:sz w:val="16"/>
        </w:rPr>
      </w:pPr>
      <w:r>
        <w:rPr>
          <w:color w:val="7E7E7E"/>
          <w:sz w:val="16"/>
        </w:rPr>
        <w:t>1.2</w:t>
      </w:r>
    </w:p>
    <w:p>
      <w:pPr>
        <w:spacing w:before="62"/>
        <w:ind w:left="315" w:right="0" w:firstLine="0"/>
        <w:jc w:val="left"/>
        <w:rPr>
          <w:sz w:val="16"/>
        </w:rPr>
      </w:pPr>
      <w:r>
        <w:rPr>
          <w:color w:val="7E7E7E"/>
          <w:w w:val="99"/>
          <w:sz w:val="16"/>
        </w:rPr>
        <w:t>1</w:t>
      </w:r>
    </w:p>
    <w:p>
      <w:pPr>
        <w:spacing w:before="63"/>
        <w:ind w:left="315" w:right="0" w:firstLine="0"/>
        <w:jc w:val="left"/>
        <w:rPr>
          <w:sz w:val="16"/>
        </w:rPr>
      </w:pPr>
      <w:r>
        <w:rPr>
          <w:color w:val="7E7E7E"/>
          <w:sz w:val="16"/>
        </w:rPr>
        <w:t>0.8</w:t>
      </w:r>
    </w:p>
    <w:p>
      <w:pPr>
        <w:spacing w:before="62"/>
        <w:ind w:left="315" w:right="0" w:firstLine="0"/>
        <w:jc w:val="left"/>
        <w:rPr>
          <w:sz w:val="16"/>
        </w:rPr>
      </w:pPr>
      <w:r>
        <w:rPr>
          <w:color w:val="7E7E7E"/>
          <w:sz w:val="16"/>
        </w:rPr>
        <w:t>0.6</w:t>
      </w:r>
    </w:p>
    <w:p>
      <w:pPr>
        <w:spacing w:before="63"/>
        <w:ind w:left="315" w:right="0" w:firstLine="0"/>
        <w:jc w:val="left"/>
        <w:rPr>
          <w:sz w:val="16"/>
        </w:rPr>
      </w:pPr>
      <w:r>
        <w:rPr>
          <w:color w:val="7E7E7E"/>
          <w:sz w:val="16"/>
        </w:rPr>
        <w:t>0.4</w:t>
      </w:r>
    </w:p>
    <w:p>
      <w:pPr>
        <w:spacing w:before="62"/>
        <w:ind w:left="315" w:right="0" w:firstLine="0"/>
        <w:jc w:val="left"/>
        <w:rPr>
          <w:sz w:val="16"/>
        </w:rPr>
      </w:pPr>
      <w:r>
        <w:rPr>
          <w:color w:val="7E7E7E"/>
          <w:sz w:val="16"/>
        </w:rPr>
        <w:t>0.2</w:t>
      </w:r>
    </w:p>
    <w:p>
      <w:pPr>
        <w:spacing w:before="63"/>
        <w:ind w:left="315" w:right="0" w:firstLine="0"/>
        <w:jc w:val="left"/>
        <w:rPr>
          <w:sz w:val="16"/>
        </w:rPr>
      </w:pPr>
      <w:r>
        <w:rPr>
          <w:color w:val="7E7E7E"/>
          <w:w w:val="99"/>
          <w:sz w:val="16"/>
        </w:rPr>
        <w:t>0</w:t>
      </w:r>
    </w:p>
    <w:p>
      <w:pPr>
        <w:spacing w:before="62"/>
        <w:ind w:left="315" w:right="0" w:firstLine="0"/>
        <w:jc w:val="left"/>
        <w:rPr>
          <w:sz w:val="16"/>
        </w:rPr>
      </w:pPr>
      <w:r>
        <w:rPr>
          <w:color w:val="7E7E7E"/>
          <w:sz w:val="16"/>
        </w:rPr>
        <w:t>-0.2</w:t>
      </w:r>
    </w:p>
    <w:p>
      <w:pPr>
        <w:spacing w:before="63"/>
        <w:ind w:left="315" w:right="0" w:firstLine="0"/>
        <w:jc w:val="left"/>
        <w:rPr>
          <w:sz w:val="16"/>
        </w:rPr>
      </w:pPr>
      <w:r>
        <w:rPr>
          <w:color w:val="7E7E7E"/>
          <w:sz w:val="16"/>
        </w:rPr>
        <w:t>-0.4</w:t>
      </w:r>
    </w:p>
    <w:p>
      <w:pPr>
        <w:spacing w:before="62"/>
        <w:ind w:left="315" w:right="0" w:firstLine="0"/>
        <w:jc w:val="left"/>
        <w:rPr>
          <w:sz w:val="16"/>
        </w:rPr>
      </w:pPr>
      <w:r>
        <w:rPr>
          <w:color w:val="7E7E7E"/>
          <w:sz w:val="16"/>
        </w:rPr>
        <w:t>-0.6</w:t>
      </w:r>
    </w:p>
    <w:p>
      <w:pPr>
        <w:spacing w:before="63"/>
        <w:ind w:left="315" w:right="0" w:firstLine="0"/>
        <w:jc w:val="left"/>
        <w:rPr>
          <w:sz w:val="16"/>
        </w:rPr>
      </w:pPr>
      <w:r>
        <w:rPr>
          <w:color w:val="7E7E7E"/>
          <w:sz w:val="16"/>
        </w:rPr>
        <w:t>-0.8</w:t>
      </w:r>
    </w:p>
    <w:p>
      <w:pPr>
        <w:spacing w:after="0"/>
        <w:jc w:val="left"/>
        <w:rPr>
          <w:sz w:val="16"/>
        </w:rPr>
        <w:sectPr>
          <w:type w:val="continuous"/>
          <w:pgSz w:w="11910" w:h="16840"/>
          <w:pgMar w:top="1180" w:bottom="1520" w:left="800" w:right="820"/>
          <w:cols w:num="6" w:equalWidth="0">
            <w:col w:w="3910" w:space="40"/>
            <w:col w:w="828" w:space="39"/>
            <w:col w:w="422" w:space="39"/>
            <w:col w:w="2674" w:space="40"/>
            <w:col w:w="1371" w:space="39"/>
            <w:col w:w="888"/>
          </w:cols>
        </w:sectPr>
      </w:pPr>
    </w:p>
    <w:p>
      <w:pPr>
        <w:pStyle w:val="BodyText"/>
        <w:spacing w:before="6"/>
        <w:rPr>
          <w:sz w:val="16"/>
        </w:rPr>
      </w:pPr>
    </w:p>
    <w:p>
      <w:pPr>
        <w:spacing w:before="1"/>
        <w:ind w:left="15" w:right="0" w:firstLine="0"/>
        <w:jc w:val="center"/>
        <w:rPr>
          <w:sz w:val="16"/>
        </w:rPr>
      </w:pPr>
      <w:r>
        <w:rPr>
          <w:color w:val="7E7E7E"/>
          <w:w w:val="99"/>
          <w:sz w:val="16"/>
        </w:rPr>
        <w:t>2</w:t>
      </w:r>
    </w:p>
    <w:p>
      <w:pPr>
        <w:pStyle w:val="BodyText"/>
        <w:spacing w:before="6"/>
        <w:rPr>
          <w:sz w:val="16"/>
        </w:rPr>
      </w:pPr>
    </w:p>
    <w:p>
      <w:pPr>
        <w:spacing w:before="0"/>
        <w:ind w:left="15" w:right="0" w:firstLine="0"/>
        <w:jc w:val="center"/>
        <w:rPr>
          <w:sz w:val="16"/>
        </w:rPr>
      </w:pPr>
      <w:r>
        <w:rPr>
          <w:color w:val="7E7E7E"/>
          <w:w w:val="99"/>
          <w:sz w:val="16"/>
        </w:rPr>
        <w:t>0</w:t>
      </w:r>
    </w:p>
    <w:p>
      <w:pPr>
        <w:pStyle w:val="BodyText"/>
        <w:spacing w:before="7"/>
        <w:rPr>
          <w:sz w:val="16"/>
        </w:rPr>
      </w:pPr>
    </w:p>
    <w:p>
      <w:pPr>
        <w:spacing w:before="0"/>
        <w:ind w:left="67" w:right="0" w:firstLine="0"/>
        <w:jc w:val="center"/>
        <w:rPr>
          <w:sz w:val="16"/>
        </w:rPr>
      </w:pPr>
      <w:r>
        <w:rPr>
          <w:color w:val="7E7E7E"/>
          <w:sz w:val="16"/>
        </w:rPr>
        <w:t>-2</w:t>
      </w:r>
    </w:p>
    <w:p>
      <w:pPr>
        <w:pStyle w:val="BodyText"/>
        <w:spacing w:before="6"/>
        <w:rPr>
          <w:sz w:val="16"/>
        </w:rPr>
      </w:pPr>
    </w:p>
    <w:p>
      <w:pPr>
        <w:spacing w:before="0"/>
        <w:ind w:left="67" w:right="0" w:firstLine="0"/>
        <w:jc w:val="center"/>
        <w:rPr>
          <w:sz w:val="16"/>
        </w:rPr>
      </w:pPr>
      <w:r>
        <w:rPr>
          <w:color w:val="7E7E7E"/>
          <w:sz w:val="16"/>
        </w:rPr>
        <w:t>-4</w:t>
      </w:r>
    </w:p>
    <w:p>
      <w:pPr>
        <w:pStyle w:val="BodyText"/>
        <w:spacing w:before="7"/>
        <w:rPr>
          <w:sz w:val="16"/>
        </w:rPr>
      </w:pPr>
    </w:p>
    <w:p>
      <w:pPr>
        <w:spacing w:before="0"/>
        <w:ind w:left="67" w:right="0" w:firstLine="0"/>
        <w:jc w:val="center"/>
        <w:rPr>
          <w:sz w:val="16"/>
        </w:rPr>
      </w:pPr>
      <w:r>
        <w:rPr>
          <w:color w:val="7E7E7E"/>
          <w:sz w:val="16"/>
        </w:rPr>
        <w:t>-6</w:t>
      </w:r>
    </w:p>
    <w:p>
      <w:pPr>
        <w:pStyle w:val="BodyText"/>
        <w:spacing w:before="6"/>
        <w:rPr>
          <w:sz w:val="16"/>
        </w:rPr>
      </w:pPr>
    </w:p>
    <w:p>
      <w:pPr>
        <w:spacing w:before="1"/>
        <w:ind w:left="5106" w:right="0" w:firstLine="0"/>
        <w:jc w:val="left"/>
        <w:rPr>
          <w:sz w:val="16"/>
        </w:rPr>
      </w:pPr>
      <w:r>
        <w:rPr>
          <w:color w:val="7E7E7E"/>
          <w:sz w:val="16"/>
        </w:rPr>
        <w:t>-8</w:t>
      </w:r>
    </w:p>
    <w:p>
      <w:pPr>
        <w:spacing w:before="6"/>
        <w:ind w:left="637" w:right="0" w:firstLine="0"/>
        <w:jc w:val="left"/>
        <w:rPr>
          <w:sz w:val="16"/>
        </w:rPr>
      </w:pPr>
      <w:r>
        <w:rPr>
          <w:color w:val="7E7E7E"/>
          <w:sz w:val="16"/>
        </w:rPr>
        <w:t>10-year US Treasury yields High-Yield US corporate credit</w:t>
      </w:r>
    </w:p>
    <w:p>
      <w:pPr>
        <w:spacing w:line="280" w:lineRule="auto" w:before="0"/>
        <w:ind w:left="334" w:right="5546" w:firstLine="3229"/>
        <w:jc w:val="left"/>
        <w:rPr>
          <w:sz w:val="16"/>
        </w:rPr>
      </w:pPr>
      <w:r>
        <w:rPr>
          <w:color w:val="7E7E7E"/>
          <w:sz w:val="16"/>
        </w:rPr>
        <w:t>spreads </w:t>
      </w:r>
      <w:r>
        <w:rPr>
          <w:sz w:val="16"/>
        </w:rPr>
        <w:t>Sources: Bloomberg LP and Bank of England calculations.</w:t>
      </w:r>
    </w:p>
    <w:p>
      <w:pPr>
        <w:pStyle w:val="BodyText"/>
      </w:pPr>
    </w:p>
    <w:p>
      <w:pPr>
        <w:pStyle w:val="BodyText"/>
        <w:spacing w:before="1"/>
        <w:rPr>
          <w:sz w:val="29"/>
        </w:rPr>
      </w:pPr>
    </w:p>
    <w:p>
      <w:pPr>
        <w:pStyle w:val="BodyText"/>
        <w:spacing w:line="355" w:lineRule="auto" w:before="94"/>
        <w:ind w:left="334" w:right="422"/>
      </w:pPr>
      <w:r>
        <w:rPr/>
        <w:t>Trade tensions are also taking their toll on companies’ sentiment and activity. Global goods trade has slowed (Chart 27). But the weakening has been even more striking in business surveys of sentiment, manufacturing and export orders. This weakening has been broadly-based across the world’s major trading economies, with simultaneous falls in sentiment across the United States, Asia, Europe and China.</w:t>
      </w:r>
    </w:p>
    <w:p>
      <w:pPr>
        <w:spacing w:after="0" w:line="355" w:lineRule="auto"/>
        <w:sectPr>
          <w:type w:val="continuous"/>
          <w:pgSz w:w="11910" w:h="16840"/>
          <w:pgMar w:top="1180" w:bottom="1520" w:left="800" w:right="820"/>
        </w:sect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57"/>
      </w:tblGrid>
      <w:tr>
        <w:trPr>
          <w:trHeight w:val="423" w:hRule="atLeast"/>
        </w:trPr>
        <w:tc>
          <w:tcPr>
            <w:tcW w:w="9757" w:type="dxa"/>
          </w:tcPr>
          <w:p>
            <w:pPr>
              <w:pStyle w:val="TableParagraph"/>
              <w:spacing w:line="220" w:lineRule="exact"/>
              <w:ind w:left="200"/>
              <w:rPr>
                <w:b/>
                <w:sz w:val="20"/>
              </w:rPr>
            </w:pPr>
            <w:r>
              <w:rPr>
                <w:b/>
                <w:sz w:val="20"/>
              </w:rPr>
              <w:t>Chart 27: Global activity indicators</w:t>
            </w:r>
          </w:p>
        </w:tc>
      </w:tr>
      <w:tr>
        <w:trPr>
          <w:trHeight w:val="5115" w:hRule="atLeast"/>
        </w:trPr>
        <w:tc>
          <w:tcPr>
            <w:tcW w:w="9757" w:type="dxa"/>
          </w:tcPr>
          <w:p>
            <w:pPr>
              <w:pStyle w:val="TableParagraph"/>
              <w:tabs>
                <w:tab w:pos="5831" w:val="left" w:leader="none"/>
              </w:tabs>
              <w:spacing w:before="191"/>
              <w:ind w:left="559"/>
              <w:rPr>
                <w:sz w:val="16"/>
              </w:rPr>
            </w:pPr>
            <w:r>
              <w:rPr>
                <w:color w:val="7E7E7E"/>
                <w:position w:val="5"/>
                <w:sz w:val="16"/>
              </w:rPr>
              <w:t>Index, 50 =</w:t>
            </w:r>
            <w:r>
              <w:rPr>
                <w:color w:val="7E7E7E"/>
                <w:spacing w:val="-2"/>
                <w:position w:val="5"/>
                <w:sz w:val="16"/>
              </w:rPr>
              <w:t> </w:t>
            </w:r>
            <w:r>
              <w:rPr>
                <w:color w:val="7E7E7E"/>
                <w:position w:val="5"/>
                <w:sz w:val="16"/>
              </w:rPr>
              <w:t>no</w:t>
            </w:r>
            <w:r>
              <w:rPr>
                <w:color w:val="7E7E7E"/>
                <w:spacing w:val="-2"/>
                <w:position w:val="5"/>
                <w:sz w:val="16"/>
              </w:rPr>
              <w:t> </w:t>
            </w:r>
            <w:r>
              <w:rPr>
                <w:color w:val="7E7E7E"/>
                <w:position w:val="5"/>
                <w:sz w:val="16"/>
              </w:rPr>
              <w:t>change</w:t>
              <w:tab/>
            </w:r>
            <w:r>
              <w:rPr>
                <w:color w:val="7E7E7E"/>
                <w:sz w:val="16"/>
              </w:rPr>
              <w:t>Percentage change, 3 months on 3 months</w:t>
            </w:r>
            <w:r>
              <w:rPr>
                <w:color w:val="7E7E7E"/>
                <w:spacing w:val="-2"/>
                <w:sz w:val="16"/>
              </w:rPr>
              <w:t> </w:t>
            </w:r>
            <w:r>
              <w:rPr>
                <w:color w:val="7E7E7E"/>
                <w:sz w:val="16"/>
              </w:rPr>
              <w:t>ago</w:t>
            </w:r>
          </w:p>
          <w:p>
            <w:pPr>
              <w:pStyle w:val="TableParagraph"/>
              <w:tabs>
                <w:tab w:pos="2256" w:val="left" w:leader="none"/>
                <w:tab w:pos="9497" w:val="right" w:leader="none"/>
              </w:tabs>
              <w:spacing w:before="167"/>
              <w:ind w:left="315"/>
              <w:rPr>
                <w:sz w:val="18"/>
              </w:rPr>
            </w:pPr>
            <w:r>
              <w:rPr>
                <w:color w:val="7E7E7E"/>
                <w:position w:val="-9"/>
                <w:sz w:val="16"/>
              </w:rPr>
              <w:t>56</w:t>
              <w:tab/>
            </w:r>
            <w:r>
              <w:rPr>
                <w:color w:val="EEAEE0"/>
                <w:sz w:val="16"/>
              </w:rPr>
              <w:t>Global manufacturing new orders</w:t>
            </w:r>
            <w:r>
              <w:rPr>
                <w:color w:val="EEAEE0"/>
                <w:spacing w:val="1"/>
                <w:sz w:val="16"/>
              </w:rPr>
              <w:t> </w:t>
            </w:r>
            <w:r>
              <w:rPr>
                <w:color w:val="EEAEE0"/>
                <w:sz w:val="16"/>
              </w:rPr>
              <w:t>PMI</w:t>
            </w:r>
            <w:r>
              <w:rPr>
                <w:color w:val="EEAEE0"/>
                <w:spacing w:val="1"/>
                <w:sz w:val="16"/>
              </w:rPr>
              <w:t> </w:t>
            </w:r>
            <w:r>
              <w:rPr>
                <w:color w:val="EEAEE0"/>
                <w:sz w:val="16"/>
              </w:rPr>
              <w:t>(lhs)</w:t>
              <w:tab/>
            </w:r>
            <w:r>
              <w:rPr>
                <w:color w:val="7E7E7E"/>
                <w:position w:val="-9"/>
                <w:sz w:val="18"/>
              </w:rPr>
              <w:t>5</w:t>
            </w:r>
          </w:p>
          <w:p>
            <w:pPr>
              <w:pStyle w:val="TableParagraph"/>
              <w:tabs>
                <w:tab w:pos="9497" w:val="right" w:leader="none"/>
              </w:tabs>
              <w:spacing w:before="178"/>
              <w:ind w:left="6454"/>
              <w:rPr>
                <w:sz w:val="18"/>
              </w:rPr>
            </w:pPr>
            <w:r>
              <w:rPr>
                <w:color w:val="F1B800"/>
                <w:sz w:val="16"/>
              </w:rPr>
              <w:t>Global services PMI</w:t>
            </w:r>
            <w:r>
              <w:rPr>
                <w:color w:val="F1B800"/>
                <w:spacing w:val="-1"/>
                <w:sz w:val="16"/>
              </w:rPr>
              <w:t> </w:t>
            </w:r>
            <w:r>
              <w:rPr>
                <w:color w:val="F1B800"/>
                <w:sz w:val="16"/>
              </w:rPr>
              <w:t>(lhs)</w:t>
              <w:tab/>
            </w:r>
            <w:r>
              <w:rPr>
                <w:color w:val="7E7E7E"/>
                <w:position w:val="-1"/>
                <w:sz w:val="18"/>
              </w:rPr>
              <w:t>4</w:t>
            </w:r>
          </w:p>
          <w:p>
            <w:pPr>
              <w:pStyle w:val="TableParagraph"/>
              <w:spacing w:line="150" w:lineRule="exact" w:before="65"/>
              <w:ind w:left="315"/>
              <w:rPr>
                <w:sz w:val="16"/>
              </w:rPr>
            </w:pPr>
            <w:r>
              <w:rPr>
                <w:color w:val="7E7E7E"/>
                <w:sz w:val="16"/>
              </w:rPr>
              <w:t>54</w:t>
            </w:r>
          </w:p>
          <w:p>
            <w:pPr>
              <w:pStyle w:val="TableParagraph"/>
              <w:spacing w:line="173" w:lineRule="exact"/>
              <w:ind w:left="9397"/>
              <w:rPr>
                <w:sz w:val="18"/>
              </w:rPr>
            </w:pPr>
            <w:r>
              <w:rPr>
                <w:color w:val="7E7E7E"/>
                <w:w w:val="99"/>
                <w:sz w:val="18"/>
              </w:rPr>
              <w:t>3</w:t>
            </w:r>
          </w:p>
          <w:p>
            <w:pPr>
              <w:pStyle w:val="TableParagraph"/>
              <w:spacing w:line="174" w:lineRule="exact" w:before="178"/>
              <w:ind w:left="9397"/>
              <w:rPr>
                <w:sz w:val="18"/>
              </w:rPr>
            </w:pPr>
            <w:r>
              <w:rPr>
                <w:color w:val="7E7E7E"/>
                <w:w w:val="99"/>
                <w:sz w:val="18"/>
              </w:rPr>
              <w:t>2</w:t>
            </w:r>
          </w:p>
          <w:p>
            <w:pPr>
              <w:pStyle w:val="TableParagraph"/>
              <w:spacing w:line="151" w:lineRule="exact"/>
              <w:ind w:left="315"/>
              <w:rPr>
                <w:sz w:val="16"/>
              </w:rPr>
            </w:pPr>
            <w:r>
              <w:rPr>
                <w:color w:val="7E7E7E"/>
                <w:sz w:val="16"/>
              </w:rPr>
              <w:t>52</w:t>
            </w:r>
          </w:p>
          <w:p>
            <w:pPr>
              <w:pStyle w:val="TableParagraph"/>
              <w:spacing w:before="60"/>
              <w:ind w:left="9397"/>
              <w:rPr>
                <w:sz w:val="18"/>
              </w:rPr>
            </w:pPr>
            <w:r>
              <w:rPr>
                <w:color w:val="7E7E7E"/>
                <w:w w:val="99"/>
                <w:sz w:val="18"/>
              </w:rPr>
              <w:t>1</w:t>
            </w:r>
          </w:p>
          <w:p>
            <w:pPr>
              <w:pStyle w:val="TableParagraph"/>
              <w:tabs>
                <w:tab w:pos="9397" w:val="left" w:leader="none"/>
              </w:tabs>
              <w:spacing w:line="186" w:lineRule="exact" w:before="178"/>
              <w:ind w:left="315"/>
              <w:rPr>
                <w:sz w:val="18"/>
              </w:rPr>
            </w:pPr>
            <w:r>
              <w:rPr>
                <w:color w:val="7E7E7E"/>
                <w:position w:val="1"/>
                <w:sz w:val="16"/>
              </w:rPr>
              <w:t>50</w:t>
              <w:tab/>
            </w:r>
            <w:r>
              <w:rPr>
                <w:color w:val="7E7E7E"/>
                <w:sz w:val="18"/>
              </w:rPr>
              <w:t>0</w:t>
            </w:r>
          </w:p>
          <w:p>
            <w:pPr>
              <w:pStyle w:val="TableParagraph"/>
              <w:spacing w:line="163" w:lineRule="exact"/>
              <w:ind w:left="1127"/>
              <w:rPr>
                <w:sz w:val="16"/>
              </w:rPr>
            </w:pPr>
            <w:r>
              <w:rPr>
                <w:color w:val="001F5F"/>
                <w:sz w:val="16"/>
              </w:rPr>
              <w:t>CPB world IP</w:t>
            </w:r>
          </w:p>
          <w:p>
            <w:pPr>
              <w:pStyle w:val="TableParagraph"/>
              <w:spacing w:before="35"/>
              <w:ind w:left="9397"/>
              <w:rPr>
                <w:sz w:val="18"/>
              </w:rPr>
            </w:pPr>
            <w:r>
              <w:rPr>
                <w:color w:val="7E7E7E"/>
                <w:sz w:val="18"/>
              </w:rPr>
              <w:t>-1</w:t>
            </w:r>
          </w:p>
          <w:p>
            <w:pPr>
              <w:pStyle w:val="TableParagraph"/>
              <w:tabs>
                <w:tab w:pos="4186" w:val="left" w:leader="none"/>
                <w:tab w:pos="6763" w:val="left" w:leader="none"/>
                <w:tab w:pos="9397" w:val="left" w:leader="none"/>
              </w:tabs>
              <w:spacing w:before="27"/>
              <w:ind w:left="315"/>
              <w:rPr>
                <w:sz w:val="18"/>
              </w:rPr>
            </w:pPr>
            <w:r>
              <w:rPr>
                <w:color w:val="7E7E7E"/>
                <w:position w:val="5"/>
                <w:sz w:val="16"/>
              </w:rPr>
              <w:t>48</w:t>
              <w:tab/>
            </w:r>
            <w:r>
              <w:rPr>
                <w:color w:val="6D4823"/>
                <w:position w:val="9"/>
                <w:sz w:val="16"/>
              </w:rPr>
              <w:t>CPB world trade in</w:t>
            </w:r>
            <w:r>
              <w:rPr>
                <w:color w:val="6D4823"/>
                <w:spacing w:val="-2"/>
                <w:position w:val="9"/>
                <w:sz w:val="16"/>
              </w:rPr>
              <w:t> </w:t>
            </w:r>
            <w:r>
              <w:rPr>
                <w:color w:val="6D4823"/>
                <w:position w:val="9"/>
                <w:sz w:val="16"/>
              </w:rPr>
              <w:t>goods</w:t>
              <w:tab/>
            </w:r>
            <w:r>
              <w:rPr>
                <w:color w:val="CF395C"/>
                <w:sz w:val="16"/>
              </w:rPr>
              <w:t>Global manufacturing</w:t>
            </w:r>
            <w:r>
              <w:rPr>
                <w:color w:val="CF395C"/>
                <w:spacing w:val="1"/>
                <w:sz w:val="16"/>
              </w:rPr>
              <w:t> </w:t>
            </w:r>
            <w:r>
              <w:rPr>
                <w:color w:val="CF395C"/>
                <w:sz w:val="16"/>
              </w:rPr>
              <w:t>PMI</w:t>
            </w:r>
            <w:r>
              <w:rPr>
                <w:color w:val="CF395C"/>
                <w:spacing w:val="-1"/>
                <w:sz w:val="16"/>
              </w:rPr>
              <w:t> </w:t>
            </w:r>
            <w:r>
              <w:rPr>
                <w:color w:val="CF395C"/>
                <w:sz w:val="16"/>
              </w:rPr>
              <w:t>(lhs)</w:t>
              <w:tab/>
            </w:r>
            <w:r>
              <w:rPr>
                <w:color w:val="7E7E7E"/>
                <w:position w:val="-7"/>
                <w:sz w:val="18"/>
              </w:rPr>
              <w:t>-2</w:t>
            </w:r>
          </w:p>
          <w:p>
            <w:pPr>
              <w:pStyle w:val="TableParagraph"/>
              <w:spacing w:line="174" w:lineRule="exact" w:before="179"/>
              <w:ind w:left="9397"/>
              <w:rPr>
                <w:sz w:val="18"/>
              </w:rPr>
            </w:pPr>
            <w:r>
              <w:rPr>
                <w:color w:val="7E7E7E"/>
                <w:sz w:val="18"/>
              </w:rPr>
              <w:t>-3</w:t>
            </w:r>
          </w:p>
          <w:p>
            <w:pPr>
              <w:pStyle w:val="TableParagraph"/>
              <w:spacing w:line="151" w:lineRule="exact"/>
              <w:ind w:left="315"/>
              <w:rPr>
                <w:sz w:val="16"/>
              </w:rPr>
            </w:pPr>
            <w:r>
              <w:rPr>
                <w:color w:val="7E7E7E"/>
                <w:sz w:val="16"/>
              </w:rPr>
              <w:t>46</w:t>
            </w:r>
          </w:p>
          <w:p>
            <w:pPr>
              <w:pStyle w:val="TableParagraph"/>
              <w:spacing w:before="60"/>
              <w:ind w:left="9397"/>
              <w:rPr>
                <w:sz w:val="18"/>
              </w:rPr>
            </w:pPr>
            <w:r>
              <w:rPr>
                <w:color w:val="7E7E7E"/>
                <w:sz w:val="18"/>
              </w:rPr>
              <w:t>-4</w:t>
            </w:r>
          </w:p>
          <w:p>
            <w:pPr>
              <w:pStyle w:val="TableParagraph"/>
              <w:tabs>
                <w:tab w:pos="9397" w:val="left" w:leader="none"/>
              </w:tabs>
              <w:spacing w:line="205" w:lineRule="exact" w:before="178"/>
              <w:ind w:left="315"/>
              <w:rPr>
                <w:sz w:val="18"/>
              </w:rPr>
            </w:pPr>
            <w:r>
              <w:rPr>
                <w:color w:val="7E7E7E"/>
                <w:position w:val="1"/>
                <w:sz w:val="16"/>
              </w:rPr>
              <w:t>44</w:t>
              <w:tab/>
            </w:r>
            <w:r>
              <w:rPr>
                <w:color w:val="7E7E7E"/>
                <w:sz w:val="18"/>
              </w:rPr>
              <w:t>-5</w:t>
            </w:r>
          </w:p>
          <w:p>
            <w:pPr>
              <w:pStyle w:val="TableParagraph"/>
              <w:tabs>
                <w:tab w:pos="3956" w:val="left" w:leader="none"/>
                <w:tab w:pos="7458" w:val="left" w:leader="none"/>
              </w:tabs>
              <w:spacing w:line="182" w:lineRule="exact"/>
              <w:ind w:left="453"/>
              <w:rPr>
                <w:sz w:val="16"/>
              </w:rPr>
            </w:pPr>
            <w:r>
              <w:rPr>
                <w:color w:val="7E7E7E"/>
                <w:sz w:val="16"/>
              </w:rPr>
              <w:t>2017</w:t>
              <w:tab/>
              <w:t>2018</w:t>
              <w:tab/>
              <w:t>2019</w:t>
            </w:r>
          </w:p>
        </w:tc>
      </w:tr>
      <w:tr>
        <w:trPr>
          <w:trHeight w:val="375" w:hRule="atLeast"/>
        </w:trPr>
        <w:tc>
          <w:tcPr>
            <w:tcW w:w="9757" w:type="dxa"/>
          </w:tcPr>
          <w:p>
            <w:pPr>
              <w:pStyle w:val="TableParagraph"/>
              <w:spacing w:before="4"/>
              <w:rPr>
                <w:sz w:val="16"/>
              </w:rPr>
            </w:pPr>
          </w:p>
          <w:p>
            <w:pPr>
              <w:pStyle w:val="TableParagraph"/>
              <w:spacing w:line="167" w:lineRule="exact"/>
              <w:ind w:left="200"/>
              <w:rPr>
                <w:sz w:val="16"/>
              </w:rPr>
            </w:pPr>
            <w:r>
              <w:rPr>
                <w:sz w:val="16"/>
              </w:rPr>
              <w:t>Sources: IHS Markit, CPB and Bank of England calculations.</w:t>
            </w:r>
          </w:p>
        </w:tc>
      </w:tr>
    </w:tbl>
    <w:p>
      <w:pPr>
        <w:pStyle w:val="BodyText"/>
      </w:pPr>
    </w:p>
    <w:p>
      <w:pPr>
        <w:pStyle w:val="BodyText"/>
        <w:spacing w:before="9"/>
        <w:rPr>
          <w:sz w:val="18"/>
        </w:rPr>
      </w:pPr>
    </w:p>
    <w:p>
      <w:pPr>
        <w:pStyle w:val="BodyText"/>
        <w:spacing w:line="352" w:lineRule="auto"/>
        <w:ind w:left="334" w:right="485"/>
      </w:pPr>
      <w:r>
        <w:rPr/>
        <w:pict>
          <v:group style="position:absolute;margin-left:77.364998pt;margin-top:-257.555115pt;width:431.55pt;height:195.1pt;mso-position-horizontal-relative:page;mso-position-vertical-relative:paragraph;z-index:-254460928" coordorigin="1547,-5151" coordsize="8631,3902">
            <v:shape style="position:absolute;left:1565;top:-5149;width:49;height:3851" coordorigin="1566,-5149" coordsize="49,3851" path="m1566,-1298l1566,-5149m1566,-1298l1614,-1298m1566,-1939l1614,-1939m1566,-2581l1614,-2581m1566,-3223l1614,-3223m1566,-3865l1614,-3865m1566,-4507l1614,-4507m1566,-5149l1614,-5149e" filled="false" stroked="true" strokeweight=".25pt" strokecolor="#858585">
              <v:path arrowok="t"/>
              <v:stroke dashstyle="solid"/>
            </v:shape>
            <v:shape style="position:absolute;left:1565;top:-5149;width:8610;height:3900" coordorigin="1566,-5149" coordsize="8610,3900" path="m10175,-1298l10175,-5149m10121,-1298l10175,-1298m10121,-1682l10175,-1682m10121,-2068l10175,-2068m10121,-2453l10175,-2453m10121,-2838l10175,-2838m10121,-3223l10175,-3223m10121,-3608l10175,-3608m10121,-3994l10175,-3994m10121,-4379l10175,-4379m10121,-4764l10175,-4764m10121,-5149l10175,-5149m1566,-1298l10175,-1298m1566,-1298l1566,-1249m5068,-1298l5068,-1249m8570,-1298l8570,-1249e" filled="false" stroked="true" strokeweight=".25pt" strokecolor="#7e7e7e">
              <v:path arrowok="t"/>
              <v:stroke dashstyle="solid"/>
            </v:shape>
            <v:shape style="position:absolute;left:1564;top:-4345;width:7881;height:1579" coordorigin="1565,-4345" coordsize="7881,1579" path="m1565,-4147l1566,-4148,1858,-4026,2149,-3828,2441,-3484,2732,-3706,3025,-3462,3317,-3616,3608,-3436,3900,-3676,4192,-3491,4484,-3667,4776,-3827,5068,-4345,5359,-4094,5652,-3552,5944,-2923,6235,-2957,6527,-3286,6818,-3632,7111,-3727,7403,-3644,7694,-3518,7986,-3217,8278,-3011,8570,-2766,8862,-2820,9154,-3132,9445,-3145e" filled="false" stroked="true" strokeweight="1.75pt" strokecolor="#622422">
              <v:path arrowok="t"/>
              <v:stroke dashstyle="solid"/>
            </v:shape>
            <v:shape style="position:absolute;left:1564;top:-3754;width:7881;height:527" coordorigin="1565,-3754" coordsize="7881,527" path="m1565,-3754l1566,-3754,1858,-3584,2149,-3418,2441,-3439,2732,-3571,3025,-3624,3317,-3643,3608,-3659,3900,-3664,4192,-3614,4484,-3588,4776,-3643,5068,-3701,5359,-3570,5652,-3450,5944,-3355,6235,-3438,6527,-3408,6818,-3400,7111,-3388,7403,-3394,7694,-3419,7986,-3331,8278,-3296,8570,-3228,8862,-3227,9154,-3346,9445,-3310e" filled="false" stroked="true" strokeweight="1.75pt" strokecolor="#205868">
              <v:path arrowok="t"/>
              <v:stroke dashstyle="solid"/>
            </v:shape>
            <v:line style="position:absolute" from="1563,-3223" to="10031,-3223" stroked="true" strokeweight=".140pt" strokecolor="#000000">
              <v:stroke dashstyle="solid"/>
            </v:line>
            <v:shape style="position:absolute;left:1564;top:-4636;width:8465;height:1605" coordorigin="1565,-4635" coordsize="8465,1605" path="m1565,-4057l1566,-4057,1858,-4154,2149,-4154,2441,-4057,2732,-4026,3025,-4026,3317,-4057,3608,-4218,3900,-4250,4192,-4314,4484,-4475,4776,-4635,5068,-4603,5359,-4507,5652,-4250,5944,-4314,6235,-4186,6527,-4154,6818,-4090,7111,-4026,7403,-3898,7694,-3865,7986,-3833,8278,-3672,8570,-3480,8862,-3415,9154,-3384,9445,-3352,9737,-3160,10029,-3031e" filled="false" stroked="true" strokeweight="1.75pt" strokecolor="#cf395c">
              <v:path arrowok="t"/>
              <v:stroke dashstyle="solid"/>
            </v:shape>
            <v:shape style="position:absolute;left:1564;top:-5056;width:8465;height:2138" coordorigin="1565,-5056" coordsize="8465,2138" path="m1565,-4459l1566,-4459,1858,-4519,2149,-4532,2441,-4333,2732,-4321,3025,-4256,3317,-4352,3608,-4552,3900,-4404,4192,-4523,4484,-4824,4776,-5056,5068,-4914,5359,-4808,5652,-4394,5944,-4400,6235,-4292,6527,-4160,6818,-4026,7111,-4003,7403,-3842,7694,-3798,7986,-3810,8278,-3593,8570,-3239,8862,-3236,9154,-3194,9445,-3256,9737,-3050,10029,-2918e" filled="false" stroked="true" strokeweight="1.75pt" strokecolor="#eeaee0">
              <v:path arrowok="t"/>
              <v:stroke dashstyle="solid"/>
            </v:shape>
            <v:shape style="position:absolute;left:1564;top:-4764;width:8465;height:1028" coordorigin="1565,-4764" coordsize="8465,1028" path="m1565,-4474l1566,-4475,1858,-4283,2149,-4379,2441,-4410,2732,-4475,3025,-4442,3317,-4379,3608,-4507,3900,-4442,4192,-4538,4484,-4410,4776,-4442,5068,-4571,5359,-4764,5652,-4250,5944,-4442,6235,-4603,6527,-4699,6818,-4507,7111,-4346,7403,-4154,7694,-4314,7986,-4410,8278,-4186,8570,-4057,8862,-4283,9154,-4410,9445,-4090,9737,-3737,10029,-3833e" filled="false" stroked="true" strokeweight="1.75pt" strokecolor="#f1b800">
              <v:path arrowok="t"/>
              <v:stroke dashstyle="solid"/>
            </v:shape>
            <w10:wrap type="none"/>
          </v:group>
        </w:pict>
      </w:r>
      <w:r>
        <w:rPr/>
        <w:t>It is notable that movements in global asset prices and companies’ expectations appear to have been large relative to the modest announced tariff increases. Based on the higher trade tariffs announced so far, and using standard trade models, we would expect a negative impact on global growth of a few tens of basis points.</w:t>
      </w:r>
      <w:r>
        <w:rPr>
          <w:position w:val="7"/>
          <w:sz w:val="13"/>
        </w:rPr>
        <w:t>25 </w:t>
      </w:r>
      <w:r>
        <w:rPr/>
        <w:t>The adjustments in asset prices and business survey responses have been multiples of that.</w:t>
      </w:r>
    </w:p>
    <w:p>
      <w:pPr>
        <w:pStyle w:val="BodyText"/>
        <w:spacing w:before="10"/>
        <w:rPr>
          <w:sz w:val="29"/>
        </w:rPr>
      </w:pPr>
    </w:p>
    <w:p>
      <w:pPr>
        <w:pStyle w:val="BodyText"/>
        <w:spacing w:line="355" w:lineRule="auto"/>
        <w:ind w:left="334" w:right="344"/>
      </w:pPr>
      <w:r>
        <w:rPr/>
        <w:t>One way of beginning to make sense of this puzzle comes from casting our minds back a decade. Back then, we also saw outsized responses in global asset and output markets following a modestly-sized shock – a collapse in the US sub-prime market which at the time accounted for less than 1% of global wealth. This market’s collapse prompted the sharpest fall in global output and asset prices since the</w:t>
      </w:r>
      <w:r>
        <w:rPr>
          <w:spacing w:val="-10"/>
        </w:rPr>
        <w:t> </w:t>
      </w:r>
      <w:r>
        <w:rPr/>
        <w:t>1930s.</w:t>
      </w:r>
    </w:p>
    <w:p>
      <w:pPr>
        <w:pStyle w:val="BodyText"/>
        <w:spacing w:line="352" w:lineRule="auto"/>
        <w:ind w:left="334"/>
      </w:pPr>
      <w:r>
        <w:rPr/>
        <w:t>We now have a much better sense of why: closely inter-connected global markets, once disrupted by deep uncertainty, can cause contagious collapses in confidence, output and asset prices as participants take precautionary action through fight or flight.</w:t>
      </w:r>
      <w:r>
        <w:rPr>
          <w:position w:val="7"/>
          <w:sz w:val="13"/>
        </w:rPr>
        <w:t>26 </w:t>
      </w:r>
      <w:r>
        <w:rPr/>
        <w:t>This is the economics of infectious diseases. The stronger the connections, and the greater the uncertainty about them, the larger the potential scale of the epidemic.</w:t>
      </w:r>
    </w:p>
    <w:p>
      <w:pPr>
        <w:pStyle w:val="BodyText"/>
        <w:spacing w:before="9"/>
        <w:rPr>
          <w:sz w:val="29"/>
        </w:rPr>
      </w:pPr>
    </w:p>
    <w:p>
      <w:pPr>
        <w:pStyle w:val="BodyText"/>
        <w:spacing w:line="355" w:lineRule="auto"/>
        <w:ind w:left="334" w:right="319"/>
      </w:pPr>
      <w:r>
        <w:rPr/>
        <w:t>A version of this contagion problem may be operating now. The network is the world trading system and global supply chains rather than global interbank and security markets. And the uncertainty surrounds import tariffs rather than sub-prime defaults. But the same precautionary responses, whether fight or flight, appears to be in play, causing out-sized responses in asset prices and activity.</w:t>
      </w:r>
    </w:p>
    <w:p>
      <w:pPr>
        <w:pStyle w:val="BodyText"/>
      </w:pPr>
    </w:p>
    <w:p>
      <w:pPr>
        <w:pStyle w:val="BodyText"/>
        <w:spacing w:before="8"/>
        <w:rPr>
          <w:sz w:val="18"/>
        </w:rPr>
      </w:pPr>
      <w:r>
        <w:rPr/>
        <w:pict>
          <v:shape style="position:absolute;margin-left:56.700001pt;margin-top:12.992724pt;width:144.050pt;height:.1pt;mso-position-horizontal-relative:page;mso-position-vertical-relative:paragraph;z-index:-251572224;mso-wrap-distance-left:0;mso-wrap-distance-right:0" coordorigin="1134,260" coordsize="2881,0" path="m1134,260l4014,260e" filled="false" stroked="true" strokeweight=".47998pt" strokecolor="#000000">
            <v:path arrowok="t"/>
            <v:stroke dashstyle="solid"/>
            <w10:wrap type="topAndBottom"/>
          </v:shape>
        </w:pict>
      </w:r>
    </w:p>
    <w:p>
      <w:pPr>
        <w:spacing w:line="186" w:lineRule="exact" w:before="51"/>
        <w:ind w:left="334" w:right="0" w:firstLine="0"/>
        <w:jc w:val="left"/>
        <w:rPr>
          <w:sz w:val="16"/>
        </w:rPr>
      </w:pPr>
      <w:r>
        <w:rPr>
          <w:position w:val="6"/>
          <w:sz w:val="10"/>
        </w:rPr>
        <w:t>25 </w:t>
      </w:r>
      <w:r>
        <w:rPr>
          <w:sz w:val="16"/>
        </w:rPr>
        <w:t>Carney (2019).</w:t>
      </w:r>
    </w:p>
    <w:p>
      <w:pPr>
        <w:spacing w:line="186" w:lineRule="exact" w:before="0"/>
        <w:ind w:left="334" w:right="0" w:firstLine="0"/>
        <w:jc w:val="left"/>
        <w:rPr>
          <w:sz w:val="16"/>
        </w:rPr>
      </w:pPr>
      <w:r>
        <w:rPr>
          <w:position w:val="6"/>
          <w:sz w:val="10"/>
        </w:rPr>
        <w:t>26 </w:t>
      </w:r>
      <w:r>
        <w:rPr>
          <w:sz w:val="16"/>
        </w:rPr>
        <w:t>Haldane and May (2011), Allen and Gale (2000) and Watts (2002).</w:t>
      </w:r>
    </w:p>
    <w:p>
      <w:pPr>
        <w:spacing w:after="0" w:line="186" w:lineRule="exact"/>
        <w:jc w:val="left"/>
        <w:rPr>
          <w:sz w:val="16"/>
        </w:rPr>
        <w:sectPr>
          <w:pgSz w:w="11910" w:h="16840"/>
          <w:pgMar w:header="0" w:footer="1338" w:top="1540" w:bottom="1520" w:left="800" w:right="820"/>
        </w:sectPr>
      </w:pPr>
    </w:p>
    <w:p>
      <w:pPr>
        <w:pStyle w:val="BodyText"/>
        <w:spacing w:line="355" w:lineRule="auto" w:before="69"/>
        <w:ind w:left="334" w:right="364"/>
      </w:pPr>
      <w:r>
        <w:rPr/>
        <w:t>Chart 28 plots the global trade network on two dates – 1980 and 2018. The wiring of the global trading system has become conspicuously more dense over that period, with the ratio of trade to GDP increasing by 50%. This increased connectivity in the world trading system has generated huge benefits. But that same connectivity has also increased the system’s potential to transmit recent fear and loathing, as uncertainties have clouded its future.</w:t>
      </w:r>
    </w:p>
    <w:p>
      <w:pPr>
        <w:pStyle w:val="BodyText"/>
      </w:pPr>
    </w:p>
    <w:p>
      <w:pPr>
        <w:pStyle w:val="BodyText"/>
        <w:spacing w:before="1"/>
        <w:rPr>
          <w:sz w:val="10"/>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51"/>
        <w:gridCol w:w="4865"/>
      </w:tblGrid>
      <w:tr>
        <w:trPr>
          <w:trHeight w:val="281" w:hRule="atLeast"/>
        </w:trPr>
        <w:tc>
          <w:tcPr>
            <w:tcW w:w="5051" w:type="dxa"/>
          </w:tcPr>
          <w:p>
            <w:pPr>
              <w:pStyle w:val="TableParagraph"/>
              <w:spacing w:line="224" w:lineRule="exact"/>
              <w:ind w:left="209" w:right="244"/>
              <w:jc w:val="center"/>
              <w:rPr>
                <w:b/>
                <w:sz w:val="20"/>
              </w:rPr>
            </w:pPr>
            <w:r>
              <w:rPr>
                <w:b/>
                <w:sz w:val="20"/>
              </w:rPr>
              <w:t>Chart 28: Global trade network in 1980 and 2018</w:t>
            </w:r>
          </w:p>
        </w:tc>
        <w:tc>
          <w:tcPr>
            <w:tcW w:w="4865" w:type="dxa"/>
          </w:tcPr>
          <w:p>
            <w:pPr>
              <w:pStyle w:val="TableParagraph"/>
              <w:rPr>
                <w:rFonts w:ascii="Times New Roman"/>
                <w:sz w:val="18"/>
              </w:rPr>
            </w:pPr>
          </w:p>
        </w:tc>
      </w:tr>
      <w:tr>
        <w:trPr>
          <w:trHeight w:val="5577" w:hRule="atLeast"/>
        </w:trPr>
        <w:tc>
          <w:tcPr>
            <w:tcW w:w="5051" w:type="dxa"/>
          </w:tcPr>
          <w:p>
            <w:pPr>
              <w:pStyle w:val="TableParagraph"/>
              <w:spacing w:before="51"/>
              <w:ind w:left="209" w:right="148"/>
              <w:jc w:val="center"/>
              <w:rPr>
                <w:sz w:val="20"/>
              </w:rPr>
            </w:pPr>
            <w:r>
              <w:rPr>
                <w:sz w:val="20"/>
              </w:rPr>
              <w:t>1980</w:t>
            </w:r>
          </w:p>
          <w:p>
            <w:pPr>
              <w:pStyle w:val="TableParagraph"/>
              <w:spacing w:before="4"/>
              <w:rPr>
                <w:sz w:val="25"/>
              </w:rPr>
            </w:pPr>
          </w:p>
          <w:p>
            <w:pPr>
              <w:pStyle w:val="TableParagraph"/>
              <w:ind w:left="524"/>
              <w:rPr>
                <w:sz w:val="20"/>
              </w:rPr>
            </w:pPr>
            <w:r>
              <w:rPr>
                <w:sz w:val="20"/>
              </w:rPr>
              <w:drawing>
                <wp:inline distT="0" distB="0" distL="0" distR="0">
                  <wp:extent cx="2722902" cy="2834640"/>
                  <wp:effectExtent l="0" t="0" r="0" b="0"/>
                  <wp:docPr id="11" name="image13.jpeg" descr="C:\Users\987107\AppData\Local\Microsoft\Windows\INetCache\Content.Outlook\I1GT0J60\trade_1980_network chart.png"/>
                  <wp:cNvGraphicFramePr>
                    <a:graphicFrameLocks noChangeAspect="1"/>
                  </wp:cNvGraphicFramePr>
                  <a:graphic>
                    <a:graphicData uri="http://schemas.openxmlformats.org/drawingml/2006/picture">
                      <pic:pic>
                        <pic:nvPicPr>
                          <pic:cNvPr id="12" name="image13.jpeg"/>
                          <pic:cNvPicPr/>
                        </pic:nvPicPr>
                        <pic:blipFill>
                          <a:blip r:embed="rId32" cstate="print"/>
                          <a:stretch>
                            <a:fillRect/>
                          </a:stretch>
                        </pic:blipFill>
                        <pic:spPr>
                          <a:xfrm>
                            <a:off x="0" y="0"/>
                            <a:ext cx="2722902" cy="2834640"/>
                          </a:xfrm>
                          <a:prstGeom prst="rect">
                            <a:avLst/>
                          </a:prstGeom>
                        </pic:spPr>
                      </pic:pic>
                    </a:graphicData>
                  </a:graphic>
                </wp:inline>
              </w:drawing>
            </w:r>
            <w:r>
              <w:rPr>
                <w:sz w:val="20"/>
              </w:rPr>
            </w:r>
          </w:p>
          <w:p>
            <w:pPr>
              <w:pStyle w:val="TableParagraph"/>
              <w:rPr>
                <w:sz w:val="20"/>
              </w:rPr>
            </w:pPr>
          </w:p>
          <w:p>
            <w:pPr>
              <w:pStyle w:val="TableParagraph"/>
              <w:rPr>
                <w:sz w:val="27"/>
              </w:rPr>
            </w:pPr>
          </w:p>
        </w:tc>
        <w:tc>
          <w:tcPr>
            <w:tcW w:w="4865" w:type="dxa"/>
          </w:tcPr>
          <w:p>
            <w:pPr>
              <w:pStyle w:val="TableParagraph"/>
              <w:spacing w:before="51"/>
              <w:ind w:left="2191" w:right="2188"/>
              <w:jc w:val="center"/>
              <w:rPr>
                <w:sz w:val="20"/>
              </w:rPr>
            </w:pPr>
            <w:r>
              <w:rPr>
                <w:sz w:val="20"/>
              </w:rPr>
              <w:t>2018</w:t>
            </w:r>
          </w:p>
          <w:p>
            <w:pPr>
              <w:pStyle w:val="TableParagraph"/>
              <w:rPr>
                <w:sz w:val="20"/>
              </w:rPr>
            </w:pPr>
          </w:p>
          <w:p>
            <w:pPr>
              <w:pStyle w:val="TableParagraph"/>
              <w:spacing w:before="5" w:after="1"/>
              <w:rPr>
                <w:sz w:val="14"/>
              </w:rPr>
            </w:pPr>
          </w:p>
          <w:p>
            <w:pPr>
              <w:pStyle w:val="TableParagraph"/>
              <w:ind w:left="282"/>
              <w:rPr>
                <w:sz w:val="20"/>
              </w:rPr>
            </w:pPr>
            <w:r>
              <w:rPr>
                <w:sz w:val="20"/>
              </w:rPr>
              <w:drawing>
                <wp:inline distT="0" distB="0" distL="0" distR="0">
                  <wp:extent cx="2759955" cy="2682240"/>
                  <wp:effectExtent l="0" t="0" r="0" b="0"/>
                  <wp:docPr id="13" name="image14.jpeg" descr="C:\Users\987107\AppData\Local\Microsoft\Windows\INetCache\Content.Outlook\I1GT0J60\Plain.png"/>
                  <wp:cNvGraphicFramePr>
                    <a:graphicFrameLocks noChangeAspect="1"/>
                  </wp:cNvGraphicFramePr>
                  <a:graphic>
                    <a:graphicData uri="http://schemas.openxmlformats.org/drawingml/2006/picture">
                      <pic:pic>
                        <pic:nvPicPr>
                          <pic:cNvPr id="14" name="image14.jpeg"/>
                          <pic:cNvPicPr/>
                        </pic:nvPicPr>
                        <pic:blipFill>
                          <a:blip r:embed="rId33" cstate="print"/>
                          <a:stretch>
                            <a:fillRect/>
                          </a:stretch>
                        </pic:blipFill>
                        <pic:spPr>
                          <a:xfrm>
                            <a:off x="0" y="0"/>
                            <a:ext cx="2759955" cy="2682240"/>
                          </a:xfrm>
                          <a:prstGeom prst="rect">
                            <a:avLst/>
                          </a:prstGeom>
                        </pic:spPr>
                      </pic:pic>
                    </a:graphicData>
                  </a:graphic>
                </wp:inline>
              </w:drawing>
            </w:r>
            <w:r>
              <w:rPr>
                <w:sz w:val="20"/>
              </w:rPr>
            </w:r>
          </w:p>
          <w:p>
            <w:pPr>
              <w:pStyle w:val="TableParagraph"/>
              <w:rPr>
                <w:sz w:val="20"/>
              </w:rPr>
            </w:pPr>
          </w:p>
          <w:p>
            <w:pPr>
              <w:pStyle w:val="TableParagraph"/>
              <w:rPr>
                <w:sz w:val="20"/>
              </w:rPr>
            </w:pPr>
          </w:p>
          <w:p>
            <w:pPr>
              <w:pStyle w:val="TableParagraph"/>
              <w:spacing w:before="8"/>
              <w:rPr>
                <w:sz w:val="18"/>
              </w:rPr>
            </w:pPr>
          </w:p>
        </w:tc>
      </w:tr>
      <w:tr>
        <w:trPr>
          <w:trHeight w:val="594" w:hRule="atLeast"/>
        </w:trPr>
        <w:tc>
          <w:tcPr>
            <w:tcW w:w="9916" w:type="dxa"/>
            <w:gridSpan w:val="2"/>
          </w:tcPr>
          <w:p>
            <w:pPr>
              <w:pStyle w:val="TableParagraph"/>
              <w:spacing w:line="181" w:lineRule="exact"/>
              <w:ind w:left="200"/>
              <w:rPr>
                <w:sz w:val="16"/>
              </w:rPr>
            </w:pPr>
            <w:r>
              <w:rPr>
                <w:sz w:val="16"/>
              </w:rPr>
              <w:t>Sources: IMF Direction of Trade Statistics and Bank of England calculations.</w:t>
            </w:r>
          </w:p>
          <w:p>
            <w:pPr>
              <w:pStyle w:val="TableParagraph"/>
              <w:spacing w:line="180" w:lineRule="atLeast" w:before="45"/>
              <w:ind w:left="200" w:right="86"/>
              <w:rPr>
                <w:sz w:val="16"/>
              </w:rPr>
            </w:pPr>
            <w:r>
              <w:rPr>
                <w:sz w:val="16"/>
              </w:rPr>
              <w:t>Notes: Line thickness is proportional to total goods trade between regions. Circle size is proportional to regions’ total goods trade with the other regions shown in the chart. Data based on nominal US dollars.</w:t>
            </w:r>
          </w:p>
        </w:tc>
      </w:tr>
    </w:tbl>
    <w:p>
      <w:pPr>
        <w:pStyle w:val="BodyText"/>
      </w:pPr>
    </w:p>
    <w:p>
      <w:pPr>
        <w:pStyle w:val="BodyText"/>
        <w:rPr>
          <w:sz w:val="19"/>
        </w:rPr>
      </w:pPr>
    </w:p>
    <w:p>
      <w:pPr>
        <w:pStyle w:val="BodyText"/>
        <w:spacing w:line="352" w:lineRule="auto" w:before="1"/>
        <w:ind w:left="334" w:right="430"/>
      </w:pPr>
      <w:r>
        <w:rPr/>
        <w:t>These concerns about global trade, output and asset prices have had significant knock-on effects to global financial conditions. Expectations of short-term interest rates in the major advanced economies have fallen by around 60 basis points, and global bond yields by around 70 basis points, since the start of the year.</w:t>
      </w:r>
      <w:r>
        <w:rPr>
          <w:position w:val="7"/>
          <w:sz w:val="13"/>
        </w:rPr>
        <w:t>27 </w:t>
      </w:r>
      <w:r>
        <w:rPr/>
        <w:t>This leaves global financial conditions 0.9 standard deviations looser than at the end of last year (Chart 29).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2"/>
        </w:rPr>
      </w:pPr>
      <w:r>
        <w:rPr/>
        <w:pict>
          <v:shape style="position:absolute;margin-left:56.700001pt;margin-top:15.175283pt;width:144.050pt;height:.1pt;mso-position-horizontal-relative:page;mso-position-vertical-relative:paragraph;z-index:-251570176;mso-wrap-distance-left:0;mso-wrap-distance-right:0" coordorigin="1134,304" coordsize="2881,0" path="m1134,304l4014,304e" filled="false" stroked="true" strokeweight=".47998pt" strokecolor="#000000">
            <v:path arrowok="t"/>
            <v:stroke dashstyle="solid"/>
            <w10:wrap type="topAndBottom"/>
          </v:shape>
        </w:pict>
      </w:r>
    </w:p>
    <w:p>
      <w:pPr>
        <w:spacing w:before="51"/>
        <w:ind w:left="334" w:right="0" w:firstLine="0"/>
        <w:jc w:val="left"/>
        <w:rPr>
          <w:sz w:val="16"/>
        </w:rPr>
      </w:pPr>
      <w:r>
        <w:rPr>
          <w:position w:val="6"/>
          <w:sz w:val="10"/>
        </w:rPr>
        <w:t>27 </w:t>
      </w:r>
      <w:r>
        <w:rPr>
          <w:sz w:val="16"/>
        </w:rPr>
        <w:t>Global taken as simple average of UK, US and euro-area 3-year and 10-year forward rates, respectively.</w:t>
      </w:r>
    </w:p>
    <w:p>
      <w:pPr>
        <w:spacing w:after="0"/>
        <w:jc w:val="left"/>
        <w:rPr>
          <w:sz w:val="16"/>
        </w:rPr>
        <w:sectPr>
          <w:footerReference w:type="default" r:id="rId31"/>
          <w:pgSz w:w="11910" w:h="16840"/>
          <w:pgMar w:footer="1338" w:header="0" w:top="1460" w:bottom="1520" w:left="800" w:right="820"/>
          <w:pgNumType w:start="26"/>
        </w:sect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9"/>
      </w:tblGrid>
      <w:tr>
        <w:trPr>
          <w:trHeight w:val="353" w:hRule="atLeast"/>
        </w:trPr>
        <w:tc>
          <w:tcPr>
            <w:tcW w:w="9979" w:type="dxa"/>
          </w:tcPr>
          <w:p>
            <w:pPr>
              <w:pStyle w:val="TableParagraph"/>
              <w:spacing w:line="220" w:lineRule="exact"/>
              <w:ind w:left="200"/>
              <w:rPr>
                <w:b/>
                <w:sz w:val="20"/>
              </w:rPr>
            </w:pPr>
            <w:r>
              <w:rPr>
                <w:b/>
                <w:sz w:val="20"/>
              </w:rPr>
              <w:t>Chart 29: Global financial conditions index</w:t>
            </w:r>
          </w:p>
        </w:tc>
      </w:tr>
      <w:tr>
        <w:trPr>
          <w:trHeight w:val="4640" w:hRule="atLeast"/>
        </w:trPr>
        <w:tc>
          <w:tcPr>
            <w:tcW w:w="9979" w:type="dxa"/>
          </w:tcPr>
          <w:p>
            <w:pPr>
              <w:pStyle w:val="TableParagraph"/>
              <w:spacing w:line="226" w:lineRule="exact" w:before="119"/>
              <w:ind w:left="5674"/>
              <w:rPr>
                <w:sz w:val="21"/>
              </w:rPr>
            </w:pPr>
            <w:r>
              <w:rPr>
                <w:color w:val="7E7E7E"/>
                <w:sz w:val="21"/>
              </w:rPr>
              <w:t>Standard deviations from average</w:t>
            </w:r>
          </w:p>
          <w:p>
            <w:pPr>
              <w:pStyle w:val="TableParagraph"/>
              <w:spacing w:line="215" w:lineRule="exact"/>
              <w:ind w:left="9154"/>
              <w:rPr>
                <w:sz w:val="20"/>
              </w:rPr>
            </w:pPr>
            <w:r>
              <w:rPr>
                <w:color w:val="7E7E7E"/>
                <w:sz w:val="20"/>
              </w:rPr>
              <w:t>2.5</w:t>
            </w:r>
          </w:p>
          <w:p>
            <w:pPr>
              <w:pStyle w:val="TableParagraph"/>
              <w:spacing w:before="11"/>
              <w:rPr>
                <w:sz w:val="18"/>
              </w:rPr>
            </w:pPr>
          </w:p>
          <w:p>
            <w:pPr>
              <w:pStyle w:val="TableParagraph"/>
              <w:ind w:left="9154"/>
              <w:rPr>
                <w:sz w:val="20"/>
              </w:rPr>
            </w:pPr>
            <w:r>
              <w:rPr>
                <w:color w:val="7E7E7E"/>
                <w:w w:val="100"/>
                <w:sz w:val="20"/>
              </w:rPr>
              <w:t>2</w:t>
            </w:r>
          </w:p>
          <w:p>
            <w:pPr>
              <w:pStyle w:val="TableParagraph"/>
              <w:spacing w:before="11"/>
              <w:rPr>
                <w:sz w:val="18"/>
              </w:rPr>
            </w:pPr>
          </w:p>
          <w:p>
            <w:pPr>
              <w:pStyle w:val="TableParagraph"/>
              <w:ind w:left="9154"/>
              <w:rPr>
                <w:sz w:val="20"/>
              </w:rPr>
            </w:pPr>
            <w:r>
              <w:rPr>
                <w:color w:val="7E7E7E"/>
                <w:sz w:val="20"/>
              </w:rPr>
              <w:t>1.5</w:t>
            </w:r>
          </w:p>
          <w:p>
            <w:pPr>
              <w:pStyle w:val="TableParagraph"/>
              <w:spacing w:before="11"/>
              <w:rPr>
                <w:sz w:val="18"/>
              </w:rPr>
            </w:pPr>
          </w:p>
          <w:p>
            <w:pPr>
              <w:pStyle w:val="TableParagraph"/>
              <w:ind w:left="9154"/>
              <w:rPr>
                <w:sz w:val="20"/>
              </w:rPr>
            </w:pPr>
            <w:r>
              <w:rPr>
                <w:color w:val="7E7E7E"/>
                <w:w w:val="100"/>
                <w:sz w:val="20"/>
              </w:rPr>
              <w:t>1</w:t>
            </w:r>
          </w:p>
          <w:p>
            <w:pPr>
              <w:pStyle w:val="TableParagraph"/>
              <w:spacing w:before="10"/>
              <w:rPr>
                <w:sz w:val="18"/>
              </w:rPr>
            </w:pPr>
          </w:p>
          <w:p>
            <w:pPr>
              <w:pStyle w:val="TableParagraph"/>
              <w:ind w:left="9154"/>
              <w:rPr>
                <w:sz w:val="20"/>
              </w:rPr>
            </w:pPr>
            <w:r>
              <w:rPr>
                <w:color w:val="7E7E7E"/>
                <w:sz w:val="20"/>
              </w:rPr>
              <w:t>0.5</w:t>
            </w:r>
          </w:p>
          <w:p>
            <w:pPr>
              <w:pStyle w:val="TableParagraph"/>
              <w:rPr>
                <w:sz w:val="19"/>
              </w:rPr>
            </w:pPr>
          </w:p>
          <w:p>
            <w:pPr>
              <w:pStyle w:val="TableParagraph"/>
              <w:ind w:left="9154"/>
              <w:rPr>
                <w:sz w:val="20"/>
              </w:rPr>
            </w:pPr>
            <w:r>
              <w:rPr>
                <w:color w:val="7E7E7E"/>
                <w:w w:val="100"/>
                <w:sz w:val="20"/>
              </w:rPr>
              <w:t>0</w:t>
            </w:r>
          </w:p>
          <w:p>
            <w:pPr>
              <w:pStyle w:val="TableParagraph"/>
              <w:spacing w:before="11"/>
              <w:rPr>
                <w:sz w:val="18"/>
              </w:rPr>
            </w:pPr>
          </w:p>
          <w:p>
            <w:pPr>
              <w:pStyle w:val="TableParagraph"/>
              <w:ind w:left="9154"/>
              <w:rPr>
                <w:sz w:val="20"/>
              </w:rPr>
            </w:pPr>
            <w:r>
              <w:rPr>
                <w:color w:val="7E7E7E"/>
                <w:sz w:val="20"/>
              </w:rPr>
              <w:t>-0.5</w:t>
            </w:r>
          </w:p>
          <w:p>
            <w:pPr>
              <w:pStyle w:val="TableParagraph"/>
              <w:spacing w:before="11"/>
              <w:rPr>
                <w:sz w:val="18"/>
              </w:rPr>
            </w:pPr>
          </w:p>
          <w:p>
            <w:pPr>
              <w:pStyle w:val="TableParagraph"/>
              <w:ind w:left="9154"/>
              <w:rPr>
                <w:sz w:val="20"/>
              </w:rPr>
            </w:pPr>
            <w:r>
              <w:rPr>
                <w:color w:val="7E7E7E"/>
                <w:sz w:val="20"/>
              </w:rPr>
              <w:t>-1</w:t>
            </w:r>
          </w:p>
          <w:p>
            <w:pPr>
              <w:pStyle w:val="TableParagraph"/>
              <w:spacing w:before="11"/>
              <w:rPr>
                <w:sz w:val="18"/>
              </w:rPr>
            </w:pPr>
          </w:p>
          <w:p>
            <w:pPr>
              <w:pStyle w:val="TableParagraph"/>
              <w:ind w:left="9154"/>
              <w:rPr>
                <w:sz w:val="20"/>
              </w:rPr>
            </w:pPr>
            <w:r>
              <w:rPr>
                <w:color w:val="7E7E7E"/>
                <w:sz w:val="20"/>
              </w:rPr>
              <w:t>-1.5</w:t>
            </w:r>
          </w:p>
          <w:p>
            <w:pPr>
              <w:pStyle w:val="TableParagraph"/>
              <w:tabs>
                <w:tab w:pos="2517" w:val="left" w:leader="none"/>
                <w:tab w:pos="4449" w:val="left" w:leader="none"/>
                <w:tab w:pos="6383" w:val="left" w:leader="none"/>
                <w:tab w:pos="8316" w:val="left" w:leader="none"/>
              </w:tabs>
              <w:spacing w:before="8"/>
              <w:ind w:left="584"/>
              <w:rPr>
                <w:sz w:val="20"/>
              </w:rPr>
            </w:pPr>
            <w:r>
              <w:rPr>
                <w:color w:val="7E7E7E"/>
                <w:sz w:val="20"/>
              </w:rPr>
              <w:t>2011</w:t>
              <w:tab/>
              <w:t>2013</w:t>
              <w:tab/>
              <w:t>2015</w:t>
              <w:tab/>
              <w:t>2017</w:t>
              <w:tab/>
              <w:t>2019</w:t>
            </w:r>
          </w:p>
        </w:tc>
      </w:tr>
      <w:tr>
        <w:trPr>
          <w:trHeight w:val="1399" w:hRule="atLeast"/>
        </w:trPr>
        <w:tc>
          <w:tcPr>
            <w:tcW w:w="9979" w:type="dxa"/>
          </w:tcPr>
          <w:p>
            <w:pPr>
              <w:pStyle w:val="TableParagraph"/>
              <w:spacing w:before="4"/>
              <w:rPr>
                <w:sz w:val="21"/>
              </w:rPr>
            </w:pPr>
          </w:p>
          <w:p>
            <w:pPr>
              <w:pStyle w:val="TableParagraph"/>
              <w:spacing w:before="1"/>
              <w:ind w:left="200"/>
              <w:rPr>
                <w:sz w:val="16"/>
              </w:rPr>
            </w:pPr>
            <w:r>
              <w:rPr>
                <w:sz w:val="16"/>
              </w:rPr>
              <w:t>Sources: Bloomberg Finance L.P., Eikon by Refinitiv and Bank calculations.</w:t>
            </w:r>
          </w:p>
          <w:p>
            <w:pPr>
              <w:pStyle w:val="TableParagraph"/>
              <w:spacing w:before="45"/>
              <w:ind w:left="200" w:right="180"/>
              <w:rPr>
                <w:sz w:val="16"/>
              </w:rPr>
            </w:pPr>
            <w:r>
              <w:rPr>
                <w:sz w:val="16"/>
              </w:rPr>
              <w:t>Notes: Financial conditions indices (FCIs) estimated for 43 economies using principal component analysis. The FCIs summarise information from the following financial series: term spreads, interbank spreads, corporate spreads, sovereign spreads, long-term interest rates, equity price returns, equity return volatility and relative financial market capitalisation. An increase in the index indicates a</w:t>
            </w:r>
          </w:p>
          <w:p>
            <w:pPr>
              <w:pStyle w:val="TableParagraph"/>
              <w:spacing w:line="184" w:lineRule="exact" w:before="3"/>
              <w:ind w:left="200"/>
              <w:rPr>
                <w:sz w:val="16"/>
              </w:rPr>
            </w:pPr>
            <w:r>
              <w:rPr>
                <w:sz w:val="16"/>
              </w:rPr>
              <w:t>tightening in conditions. Series shows the average of all country FCIs, weighted according to their shares in world GDP using the IMF’s purchasing power parity (PPP) weights.</w:t>
            </w:r>
          </w:p>
        </w:tc>
      </w:tr>
    </w:tbl>
    <w:p>
      <w:pPr>
        <w:pStyle w:val="BodyText"/>
      </w:pPr>
      <w:r>
        <w:rPr/>
        <w:pict>
          <v:group style="position:absolute;margin-left:84.623001pt;margin-top:117.904984pt;width:411.5pt;height:179.9pt;mso-position-horizontal-relative:page;mso-position-vertical-relative:page;z-index:-254457856" coordorigin="1692,2358" coordsize="8230,3598">
            <v:shape style="position:absolute;left:1699;top:2365;width:8215;height:3583" coordorigin="1700,2366" coordsize="8215,3583" path="m9914,5948l9914,2366m9854,5948l9914,5948m9854,5501l9914,5501m9854,5053l9914,5053m9854,4604l9914,4604m9854,4157l9914,4157m9854,3709l9914,3709m9854,3262l9914,3262m9854,2814l9914,2814m9854,2366l9914,2366m1700,4605l9914,4605m1700,4545l1700,4605m3632,4545l3632,4605m5566,4545l5566,4605m7499,4545l7499,4605m9431,4545l9431,4605e" filled="false" stroked="true" strokeweight=".75pt" strokecolor="#a6a6a6">
              <v:path arrowok="t"/>
              <v:stroke dashstyle="solid"/>
            </v:shape>
            <v:shape style="position:absolute;left:1740;top:2563;width:7973;height:2876" coordorigin="1740,2564" coordsize="7973,2876" path="m1740,4669l1820,4848,1901,4610,1982,4436,2063,4292,2143,3187,2224,2564,2304,2938,2384,2894,2465,3028,2545,3389,2626,3890,2707,4046,2788,3818,2868,3308,2948,3436,3029,3668,3109,4072,3190,4339,3270,4524,3350,4550,3432,4718,3512,4932,3593,4847,3673,4614,3754,4562,3834,4710,3914,4206,3995,4229,4075,4379,4157,4645,4237,4876,4318,4969,4398,5066,4478,4770,4559,4799,4639,4873,4720,4975,4800,5130,4882,5215,4962,5167,5042,5134,5123,5129,5203,4847,5284,4985,5364,4597,5444,4508,5525,4780,5606,4862,5687,4891,5767,4788,5848,4528,5928,4289,6008,3761,6089,3559,6169,4213,6250,4537,6331,4409,6412,3736,6492,3546,6572,4187,6653,4552,6733,4674,6814,4285,6894,4464,6974,4800,7056,4682,7136,4674,7217,4624,7297,4774,7378,4966,7458,5064,7538,5107,7619,5083,7699,5141,7781,5168,7861,5274,7942,5221,8022,5288,8102,5440,8183,5348,8263,5335,8344,5410,8424,5068,8506,4934,8586,4759,8666,4840,8747,4627,8827,4697,8908,4661,8988,4759,9068,4142,9149,4177,9230,3894,9311,4396,9391,4696,9472,4883,9552,4922,9632,4586,9713,4708e" filled="false" stroked="true" strokeweight="1.75pt" strokecolor="#497d8f">
              <v:path arrowok="t"/>
              <v:stroke dashstyle="solid"/>
            </v:shape>
            <w10:wrap type="none"/>
          </v:group>
        </w:pict>
      </w:r>
    </w:p>
    <w:p>
      <w:pPr>
        <w:pStyle w:val="BodyText"/>
        <w:spacing w:before="9"/>
        <w:rPr>
          <w:sz w:val="18"/>
        </w:rPr>
      </w:pPr>
    </w:p>
    <w:p>
      <w:pPr>
        <w:pStyle w:val="BodyText"/>
        <w:spacing w:line="355" w:lineRule="auto"/>
        <w:ind w:left="334" w:right="418"/>
      </w:pPr>
      <w:r>
        <w:rPr/>
        <w:t>The UK economy has also been facing high and rising degrees of uncertainty about future trade, though the source has been different – Brexit. According to our Decision Maker Panel, the number of companies reporting Brexit as among their top three risks have risen from one-third in April 2018 to around 50% now. Most recently, the perceived risk of a “no deal” Brexit has risen, with betting odds placing a roughly 30% probability on that event, double the probability earlier this year.</w:t>
      </w:r>
    </w:p>
    <w:p>
      <w:pPr>
        <w:pStyle w:val="BodyText"/>
        <w:spacing w:before="5"/>
        <w:rPr>
          <w:sz w:val="29"/>
        </w:rPr>
      </w:pPr>
    </w:p>
    <w:p>
      <w:pPr>
        <w:pStyle w:val="BodyText"/>
        <w:spacing w:line="352" w:lineRule="auto"/>
        <w:ind w:left="334" w:right="305"/>
        <w:rPr>
          <w:sz w:val="13"/>
        </w:rPr>
      </w:pPr>
      <w:r>
        <w:rPr/>
        <w:t>With no precedent, it is very difficult to gauge the economic impact of a “no-deal” Brexit. One simple way of doing so is simply to ask companies how they think it would affect them. This is something the Bank’s regional Agents have been doing since late-2018. Chart 30 shows companies’ expected responses for output, employment, investment and exports under “no deal/no transition” and “deal with transition” scenarios using the combined results of four surveys from December 2018 to April 2019.</w:t>
      </w:r>
      <w:r>
        <w:rPr>
          <w:position w:val="7"/>
          <w:sz w:val="13"/>
        </w:rPr>
        <w:t>28</w:t>
      </w:r>
    </w:p>
    <w:p>
      <w:pPr>
        <w:pStyle w:val="BodyText"/>
        <w:rPr>
          <w:sz w:val="30"/>
        </w:rPr>
      </w:pPr>
    </w:p>
    <w:p>
      <w:pPr>
        <w:pStyle w:val="BodyText"/>
        <w:spacing w:line="355" w:lineRule="auto"/>
        <w:ind w:left="334" w:right="388"/>
      </w:pPr>
      <w:r>
        <w:rPr/>
        <w:t>The expected responses to a “no deal” are negative, significantly so. Output is expected on average to fall by 3 ½%, employment by 3% and investment by 1 ¼%. By contrast, expected responses to a deal scenario are all positive. Looking at the different waves of the survey, the good news is the expected negative effects of “no deal” were somewhat smaller in the later waves compared to the first in December 2018. That likely reflects the significant increase in Brexit planning and preparation, by companies and the government, over that</w:t>
      </w:r>
      <w:r>
        <w:rPr>
          <w:spacing w:val="-1"/>
        </w:rPr>
        <w:t> </w:t>
      </w:r>
      <w:r>
        <w:rPr/>
        <w:t>period.</w:t>
      </w:r>
    </w:p>
    <w:p>
      <w:pPr>
        <w:pStyle w:val="BodyText"/>
        <w:spacing w:before="9"/>
        <w:rPr>
          <w:sz w:val="10"/>
        </w:rPr>
      </w:pPr>
      <w:r>
        <w:rPr/>
        <w:pict>
          <v:shape style="position:absolute;margin-left:56.700001pt;margin-top:8.408868pt;width:144.050pt;height:.1pt;mso-position-horizontal-relative:page;mso-position-vertical-relative:paragraph;z-index:-251569152;mso-wrap-distance-left:0;mso-wrap-distance-right:0" coordorigin="1134,168" coordsize="2881,0" path="m1134,168l4014,168e" filled="false" stroked="true" strokeweight=".47998pt" strokecolor="#000000">
            <v:path arrowok="t"/>
            <v:stroke dashstyle="solid"/>
            <w10:wrap type="topAndBottom"/>
          </v:shape>
        </w:pict>
      </w:r>
    </w:p>
    <w:p>
      <w:pPr>
        <w:spacing w:before="51"/>
        <w:ind w:left="334" w:right="0" w:firstLine="0"/>
        <w:jc w:val="left"/>
        <w:rPr>
          <w:sz w:val="16"/>
        </w:rPr>
      </w:pPr>
      <w:r>
        <w:rPr>
          <w:position w:val="6"/>
          <w:sz w:val="10"/>
        </w:rPr>
        <w:t>28 </w:t>
      </w:r>
      <w:r>
        <w:rPr>
          <w:sz w:val="16"/>
        </w:rPr>
        <w:t>Companies’ responses are translated to impacts using the assumptions described under Chart 30.</w:t>
      </w:r>
    </w:p>
    <w:p>
      <w:pPr>
        <w:spacing w:after="0"/>
        <w:jc w:val="left"/>
        <w:rPr>
          <w:sz w:val="16"/>
        </w:rPr>
        <w:sectPr>
          <w:footerReference w:type="default" r:id="rId34"/>
          <w:pgSz w:w="11910" w:h="16840"/>
          <w:pgMar w:footer="1338" w:header="0" w:top="1540" w:bottom="1520" w:left="800" w:right="820"/>
          <w:pgNumType w:start="27"/>
        </w:sect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3"/>
      </w:tblGrid>
      <w:tr>
        <w:trPr>
          <w:trHeight w:val="433" w:hRule="atLeast"/>
        </w:trPr>
        <w:tc>
          <w:tcPr>
            <w:tcW w:w="10033" w:type="dxa"/>
          </w:tcPr>
          <w:p>
            <w:pPr>
              <w:pStyle w:val="TableParagraph"/>
              <w:spacing w:line="220" w:lineRule="exact"/>
              <w:ind w:left="200"/>
              <w:rPr>
                <w:b/>
                <w:sz w:val="20"/>
              </w:rPr>
            </w:pPr>
            <w:r>
              <w:rPr>
                <w:b/>
                <w:sz w:val="20"/>
              </w:rPr>
              <w:t>Chart 30: Bank of England Agents’ Survey of impact of different Brexit scenarios</w:t>
            </w:r>
          </w:p>
        </w:tc>
      </w:tr>
      <w:tr>
        <w:trPr>
          <w:trHeight w:val="5107" w:hRule="atLeast"/>
        </w:trPr>
        <w:tc>
          <w:tcPr>
            <w:tcW w:w="10033" w:type="dxa"/>
          </w:tcPr>
          <w:p>
            <w:pPr>
              <w:pStyle w:val="TableParagraph"/>
              <w:spacing w:before="4"/>
              <w:rPr>
                <w:sz w:val="17"/>
              </w:rPr>
            </w:pPr>
          </w:p>
          <w:p>
            <w:pPr>
              <w:pStyle w:val="TableParagraph"/>
              <w:ind w:left="5653"/>
              <w:rPr>
                <w:sz w:val="20"/>
              </w:rPr>
            </w:pPr>
            <w:r>
              <w:rPr>
                <w:color w:val="7E7E7E"/>
                <w:sz w:val="20"/>
              </w:rPr>
              <w:t>Approximate estimated change (%)</w:t>
            </w:r>
          </w:p>
          <w:p>
            <w:pPr>
              <w:pStyle w:val="TableParagraph"/>
              <w:spacing w:before="117"/>
              <w:ind w:left="9051"/>
              <w:rPr>
                <w:sz w:val="20"/>
              </w:rPr>
            </w:pPr>
            <w:r>
              <w:rPr>
                <w:color w:val="7E7E7E"/>
                <w:w w:val="100"/>
                <w:sz w:val="20"/>
              </w:rPr>
              <w:t>3</w:t>
            </w:r>
          </w:p>
          <w:p>
            <w:pPr>
              <w:pStyle w:val="TableParagraph"/>
              <w:spacing w:before="19"/>
              <w:ind w:left="3245"/>
              <w:rPr>
                <w:sz w:val="20"/>
              </w:rPr>
            </w:pPr>
            <w:r>
              <w:rPr>
                <w:color w:val="7E7E7E"/>
                <w:sz w:val="20"/>
              </w:rPr>
              <w:t>Deal and transition</w:t>
            </w:r>
          </w:p>
          <w:p>
            <w:pPr>
              <w:pStyle w:val="TableParagraph"/>
              <w:tabs>
                <w:tab w:pos="9162" w:val="right" w:leader="none"/>
              </w:tabs>
              <w:spacing w:before="79"/>
              <w:ind w:left="3245"/>
              <w:rPr>
                <w:sz w:val="20"/>
              </w:rPr>
            </w:pPr>
            <w:r>
              <w:rPr>
                <w:color w:val="7E7E7E"/>
                <w:sz w:val="20"/>
              </w:rPr>
              <w:t>No deal and</w:t>
            </w:r>
            <w:r>
              <w:rPr>
                <w:color w:val="7E7E7E"/>
                <w:spacing w:val="-1"/>
                <w:sz w:val="20"/>
              </w:rPr>
              <w:t> </w:t>
            </w:r>
            <w:r>
              <w:rPr>
                <w:color w:val="7E7E7E"/>
                <w:sz w:val="20"/>
              </w:rPr>
              <w:t>no</w:t>
            </w:r>
            <w:r>
              <w:rPr>
                <w:color w:val="7E7E7E"/>
                <w:spacing w:val="-1"/>
                <w:sz w:val="20"/>
              </w:rPr>
              <w:t> </w:t>
            </w:r>
            <w:r>
              <w:rPr>
                <w:color w:val="7E7E7E"/>
                <w:sz w:val="20"/>
              </w:rPr>
              <w:t>transition</w:t>
              <w:tab/>
            </w:r>
            <w:r>
              <w:rPr>
                <w:color w:val="7E7E7E"/>
                <w:position w:val="4"/>
                <w:sz w:val="20"/>
              </w:rPr>
              <w:t>2</w:t>
            </w:r>
          </w:p>
          <w:p>
            <w:pPr>
              <w:pStyle w:val="TableParagraph"/>
              <w:spacing w:before="5"/>
              <w:rPr>
                <w:sz w:val="24"/>
              </w:rPr>
            </w:pPr>
          </w:p>
          <w:p>
            <w:pPr>
              <w:pStyle w:val="TableParagraph"/>
              <w:spacing w:before="1"/>
              <w:ind w:left="9051"/>
              <w:rPr>
                <w:sz w:val="20"/>
              </w:rPr>
            </w:pPr>
            <w:r>
              <w:rPr>
                <w:color w:val="7E7E7E"/>
                <w:w w:val="100"/>
                <w:sz w:val="20"/>
              </w:rPr>
              <w:t>1</w:t>
            </w:r>
          </w:p>
          <w:p>
            <w:pPr>
              <w:pStyle w:val="TableParagraph"/>
              <w:spacing w:before="2"/>
              <w:rPr>
                <w:sz w:val="28"/>
              </w:rPr>
            </w:pPr>
          </w:p>
          <w:p>
            <w:pPr>
              <w:pStyle w:val="TableParagraph"/>
              <w:ind w:left="9051"/>
              <w:rPr>
                <w:sz w:val="20"/>
              </w:rPr>
            </w:pPr>
            <w:r>
              <w:rPr>
                <w:color w:val="7E7E7E"/>
                <w:w w:val="100"/>
                <w:sz w:val="20"/>
              </w:rPr>
              <w:t>0</w:t>
            </w:r>
          </w:p>
          <w:p>
            <w:pPr>
              <w:pStyle w:val="TableParagraph"/>
              <w:spacing w:before="3"/>
              <w:rPr>
                <w:sz w:val="28"/>
              </w:rPr>
            </w:pPr>
          </w:p>
          <w:p>
            <w:pPr>
              <w:pStyle w:val="TableParagraph"/>
              <w:ind w:left="9051"/>
              <w:rPr>
                <w:sz w:val="20"/>
              </w:rPr>
            </w:pPr>
            <w:r>
              <w:rPr>
                <w:color w:val="7E7E7E"/>
                <w:sz w:val="20"/>
              </w:rPr>
              <w:t>-1</w:t>
            </w:r>
          </w:p>
          <w:p>
            <w:pPr>
              <w:pStyle w:val="TableParagraph"/>
              <w:spacing w:before="3"/>
              <w:rPr>
                <w:sz w:val="28"/>
              </w:rPr>
            </w:pPr>
          </w:p>
          <w:p>
            <w:pPr>
              <w:pStyle w:val="TableParagraph"/>
              <w:ind w:left="9051"/>
              <w:rPr>
                <w:sz w:val="20"/>
              </w:rPr>
            </w:pPr>
            <w:r>
              <w:rPr>
                <w:color w:val="7E7E7E"/>
                <w:sz w:val="20"/>
              </w:rPr>
              <w:t>-2</w:t>
            </w:r>
          </w:p>
          <w:p>
            <w:pPr>
              <w:pStyle w:val="TableParagraph"/>
              <w:spacing w:before="3"/>
              <w:rPr>
                <w:sz w:val="28"/>
              </w:rPr>
            </w:pPr>
          </w:p>
          <w:p>
            <w:pPr>
              <w:pStyle w:val="TableParagraph"/>
              <w:ind w:left="9051"/>
              <w:rPr>
                <w:sz w:val="20"/>
              </w:rPr>
            </w:pPr>
            <w:r>
              <w:rPr>
                <w:color w:val="7E7E7E"/>
                <w:sz w:val="20"/>
              </w:rPr>
              <w:t>-3</w:t>
            </w:r>
          </w:p>
          <w:p>
            <w:pPr>
              <w:pStyle w:val="TableParagraph"/>
              <w:spacing w:before="3"/>
              <w:rPr>
                <w:sz w:val="28"/>
              </w:rPr>
            </w:pPr>
          </w:p>
          <w:p>
            <w:pPr>
              <w:pStyle w:val="TableParagraph"/>
              <w:ind w:left="9051"/>
              <w:rPr>
                <w:sz w:val="20"/>
              </w:rPr>
            </w:pPr>
            <w:r>
              <w:rPr>
                <w:color w:val="7E7E7E"/>
                <w:sz w:val="20"/>
              </w:rPr>
              <w:t>-4</w:t>
            </w:r>
          </w:p>
          <w:p>
            <w:pPr>
              <w:pStyle w:val="TableParagraph"/>
              <w:tabs>
                <w:tab w:pos="1778" w:val="left" w:leader="none"/>
                <w:tab w:pos="3606" w:val="left" w:leader="none"/>
                <w:tab w:pos="6062" w:val="left" w:leader="none"/>
              </w:tabs>
              <w:spacing w:before="8"/>
              <w:ind w:right="369"/>
              <w:jc w:val="center"/>
              <w:rPr>
                <w:sz w:val="20"/>
              </w:rPr>
            </w:pPr>
            <w:r>
              <w:rPr>
                <w:color w:val="7E7E7E"/>
                <w:sz w:val="20"/>
              </w:rPr>
              <w:t>Output</w:t>
              <w:tab/>
              <w:t>Employment</w:t>
              <w:tab/>
              <w:t>Investment</w:t>
            </w:r>
            <w:r>
              <w:rPr>
                <w:color w:val="7E7E7E"/>
                <w:spacing w:val="-1"/>
                <w:sz w:val="20"/>
              </w:rPr>
              <w:t> </w:t>
            </w:r>
            <w:r>
              <w:rPr>
                <w:color w:val="7E7E7E"/>
                <w:sz w:val="20"/>
              </w:rPr>
              <w:t>in</w:t>
            </w:r>
            <w:r>
              <w:rPr>
                <w:color w:val="7E7E7E"/>
                <w:spacing w:val="-1"/>
                <w:sz w:val="20"/>
              </w:rPr>
              <w:t> </w:t>
            </w:r>
            <w:r>
              <w:rPr>
                <w:color w:val="7E7E7E"/>
                <w:sz w:val="20"/>
              </w:rPr>
              <w:t>UK</w:t>
              <w:tab/>
              <w:t>Exports</w:t>
            </w:r>
          </w:p>
        </w:tc>
      </w:tr>
      <w:tr>
        <w:trPr>
          <w:trHeight w:val="2960" w:hRule="atLeast"/>
        </w:trPr>
        <w:tc>
          <w:tcPr>
            <w:tcW w:w="10033" w:type="dxa"/>
          </w:tcPr>
          <w:p>
            <w:pPr>
              <w:pStyle w:val="TableParagraph"/>
              <w:spacing w:before="1"/>
              <w:rPr>
                <w:sz w:val="17"/>
              </w:rPr>
            </w:pPr>
          </w:p>
          <w:p>
            <w:pPr>
              <w:pStyle w:val="TableParagraph"/>
              <w:ind w:left="200"/>
              <w:rPr>
                <w:sz w:val="16"/>
              </w:rPr>
            </w:pPr>
            <w:r>
              <w:rPr>
                <w:sz w:val="16"/>
              </w:rPr>
              <w:t>Sources: Bank of England and Bank calculations.</w:t>
            </w:r>
          </w:p>
          <w:p>
            <w:pPr>
              <w:pStyle w:val="TableParagraph"/>
              <w:rPr>
                <w:sz w:val="16"/>
              </w:rPr>
            </w:pPr>
          </w:p>
          <w:p>
            <w:pPr>
              <w:pStyle w:val="TableParagraph"/>
              <w:ind w:left="200"/>
              <w:rPr>
                <w:sz w:val="16"/>
              </w:rPr>
            </w:pPr>
            <w:r>
              <w:rPr>
                <w:sz w:val="16"/>
              </w:rPr>
              <w:t>Notes: Chart shows aggregated results from surveys from December 2018 to April 2019.</w:t>
            </w:r>
          </w:p>
          <w:p>
            <w:pPr>
              <w:pStyle w:val="TableParagraph"/>
              <w:spacing w:before="1"/>
              <w:rPr>
                <w:sz w:val="16"/>
              </w:rPr>
            </w:pPr>
          </w:p>
          <w:p>
            <w:pPr>
              <w:pStyle w:val="TableParagraph"/>
              <w:ind w:left="200"/>
              <w:rPr>
                <w:sz w:val="16"/>
              </w:rPr>
            </w:pPr>
            <w:r>
              <w:rPr>
                <w:sz w:val="16"/>
              </w:rPr>
              <w:t>Companies were asked ‘Relative to the last 12 months, what is the likely impact on the following for your business over the next year in each scenario: a deal and transition period and no deal and no transition period?’ For each relevant business factor, respondents were asked to choose between ‘Fall greater than 10%’; ‘-10 to -2%’; ‘Little change’; ‘+2 to +10%’ and ‘Rise greater than 10%’.</w:t>
            </w:r>
          </w:p>
          <w:p>
            <w:pPr>
              <w:pStyle w:val="TableParagraph"/>
              <w:rPr>
                <w:sz w:val="16"/>
              </w:rPr>
            </w:pPr>
          </w:p>
          <w:p>
            <w:pPr>
              <w:pStyle w:val="TableParagraph"/>
              <w:ind w:left="200" w:right="207"/>
              <w:rPr>
                <w:sz w:val="16"/>
              </w:rPr>
            </w:pPr>
            <w:r>
              <w:rPr>
                <w:sz w:val="16"/>
              </w:rPr>
              <w:t>Responses weighted by employment. Half weight was given to the +/- 2-10% response and full weight was given to those that responded 'Rise/fall greater than 10%'.</w:t>
            </w:r>
          </w:p>
          <w:p>
            <w:pPr>
              <w:pStyle w:val="TableParagraph"/>
              <w:rPr>
                <w:sz w:val="16"/>
              </w:rPr>
            </w:pPr>
          </w:p>
          <w:p>
            <w:pPr>
              <w:pStyle w:val="TableParagraph"/>
              <w:ind w:left="200" w:right="181"/>
              <w:rPr>
                <w:sz w:val="16"/>
              </w:rPr>
            </w:pPr>
            <w:r>
              <w:rPr>
                <w:sz w:val="16"/>
              </w:rPr>
              <w:t>The approximate estimated change for output, employment, investment and exports are based on a simple calculation assuming a mid- point figure for each of the response categories. For “Fall greater than 10%” the mid-point was -15%; for “-10 to -2%” the mid-point was - 6%; for “Little change” the mid-point was 0%; for “2 to10%” the mid-point was +6%; for “Rise greater than 10%” the mid-point was</w:t>
            </w:r>
          </w:p>
          <w:p>
            <w:pPr>
              <w:pStyle w:val="TableParagraph"/>
              <w:spacing w:line="167" w:lineRule="exact"/>
              <w:ind w:left="200"/>
              <w:rPr>
                <w:sz w:val="16"/>
              </w:rPr>
            </w:pPr>
            <w:r>
              <w:rPr>
                <w:sz w:val="16"/>
              </w:rPr>
              <w:t>+15%.</w:t>
            </w:r>
          </w:p>
        </w:tc>
      </w:tr>
    </w:tbl>
    <w:p>
      <w:pPr>
        <w:pStyle w:val="BodyText"/>
      </w:pPr>
      <w:r>
        <w:rPr/>
        <w:pict>
          <v:group style="position:absolute;margin-left:83.882004pt;margin-top:132.859985pt;width:406.95pt;height:194.7pt;mso-position-horizontal-relative:page;mso-position-vertical-relative:page;z-index:-254456832" coordorigin="1678,2657" coordsize="8139,3894">
            <v:rect style="position:absolute;left:2176;top:3069;width:456;height:1257" filled="true" fillcolor="#375f92" stroked="false">
              <v:fill type="solid"/>
            </v:rect>
            <v:rect style="position:absolute;left:2176;top:3069;width:456;height:1257" filled="false" stroked="true" strokeweight=".75pt" strokecolor="#375f92">
              <v:stroke dashstyle="solid"/>
            </v:rect>
            <v:rect style="position:absolute;left:4210;top:4154;width:456;height:172" filled="true" fillcolor="#375f92" stroked="false">
              <v:fill type="solid"/>
            </v:rect>
            <v:rect style="position:absolute;left:4210;top:4154;width:456;height:172" filled="false" stroked="true" strokeweight=".75pt" strokecolor="#375f92">
              <v:stroke dashstyle="solid"/>
            </v:rect>
            <v:rect style="position:absolute;left:6243;top:4051;width:456;height:275" filled="true" fillcolor="#375f92" stroked="false">
              <v:fill type="solid"/>
            </v:rect>
            <v:rect style="position:absolute;left:6243;top:4051;width:456;height:275" filled="false" stroked="true" strokeweight=".75pt" strokecolor="#375f92">
              <v:stroke dashstyle="solid"/>
            </v:rect>
            <v:rect style="position:absolute;left:8277;top:3318;width:456;height:1008" filled="true" fillcolor="#375f92" stroked="false">
              <v:fill type="solid"/>
            </v:rect>
            <v:rect style="position:absolute;left:8277;top:3318;width:456;height:1008" filled="false" stroked="true" strokeweight=".75pt" strokecolor="#375f92">
              <v:stroke dashstyle="solid"/>
            </v:rect>
            <v:rect style="position:absolute;left:2756;top:4326;width:456;height:1870" filled="true" fillcolor="#b8635b" stroked="false">
              <v:fill type="solid"/>
            </v:rect>
            <v:rect style="position:absolute;left:2756;top:4326;width:456;height:1870" filled="false" stroked="true" strokeweight=".75pt" strokecolor="#b8635b">
              <v:stroke dashstyle="solid"/>
            </v:rect>
            <v:rect style="position:absolute;left:4789;top:4326;width:456;height:1684" filled="true" fillcolor="#b8635b" stroked="false">
              <v:fill type="solid"/>
            </v:rect>
            <v:rect style="position:absolute;left:4789;top:4326;width:456;height:1684" filled="false" stroked="true" strokeweight=".75pt" strokecolor="#b8635b">
              <v:stroke dashstyle="solid"/>
            </v:rect>
            <v:rect style="position:absolute;left:6823;top:4326;width:456;height:747" filled="true" fillcolor="#b8635b" stroked="false">
              <v:fill type="solid"/>
            </v:rect>
            <v:rect style="position:absolute;left:6823;top:4326;width:456;height:747" filled="false" stroked="true" strokeweight=".75pt" strokecolor="#b8635b">
              <v:stroke dashstyle="solid"/>
            </v:rect>
            <v:rect style="position:absolute;left:8856;top:4326;width:456;height:1754" filled="true" fillcolor="#b8635b" stroked="false">
              <v:fill type="solid"/>
            </v:rect>
            <v:rect style="position:absolute;left:8856;top:4326;width:456;height:1754" filled="false" stroked="true" strokeweight=".75pt" strokecolor="#b8635b">
              <v:stroke dashstyle="solid"/>
            </v:rect>
            <v:shape style="position:absolute;left:1677;top:2662;width:8134;height:3884" coordorigin="1678,2662" coordsize="8134,3884" path="m9812,6546l9812,2662m9751,6546l9812,6546m9751,5990l9812,5990m9751,5436l9812,5436m9751,4882l9812,4882m9751,4326l9812,4326m9751,3772l9812,3772m9751,3217l9812,3217m9751,2662l9812,2662m1678,4326l9812,4326e" filled="false" stroked="true" strokeweight=".5pt" strokecolor="#7e7e7e">
              <v:path arrowok="t"/>
              <v:stroke dashstyle="solid"/>
            </v:shape>
            <v:rect style="position:absolute;left:4035;top:2860;width:101;height:101" filled="true" fillcolor="#375f92" stroked="false">
              <v:fill type="solid"/>
            </v:rect>
            <v:rect style="position:absolute;left:4035;top:2860;width:101;height:101" filled="false" stroked="true" strokeweight=".75pt" strokecolor="#375f92">
              <v:stroke dashstyle="solid"/>
            </v:rect>
            <v:rect style="position:absolute;left:4035;top:3210;width:101;height:101" filled="true" fillcolor="#b8635b" stroked="false">
              <v:fill type="solid"/>
            </v:rect>
            <v:rect style="position:absolute;left:4035;top:3210;width:101;height:101" filled="false" stroked="true" strokeweight=".75pt" strokecolor="#b8635b">
              <v:stroke dashstyle="solid"/>
            </v:rect>
            <w10:wrap type="none"/>
          </v:group>
        </w:pict>
      </w:r>
    </w:p>
    <w:p>
      <w:pPr>
        <w:pStyle w:val="BodyText"/>
        <w:spacing w:before="10"/>
        <w:rPr>
          <w:sz w:val="18"/>
        </w:rPr>
      </w:pPr>
    </w:p>
    <w:p>
      <w:pPr>
        <w:pStyle w:val="BodyText"/>
        <w:spacing w:line="355" w:lineRule="auto"/>
        <w:ind w:left="334" w:right="353"/>
      </w:pPr>
      <w:r>
        <w:rPr/>
        <w:t>The likely accuracy of these expected responses is extremely unclear. But “no deal” expectations are already affecting financial markets. As the perceived probability of a “no deal” Brexit has risen, sterling has weakened and UK short-term interest rates have shifted downward (Chart 31). Having expected rates to rise modestly at the time of the May </w:t>
      </w:r>
      <w:r>
        <w:rPr>
          <w:i/>
        </w:rPr>
        <w:t>Inflation Report</w:t>
      </w:r>
      <w:r>
        <w:rPr/>
        <w:t>, financial markets now expect UK interest rates to fall over the next year or so, before rising</w:t>
      </w:r>
      <w:r>
        <w:rPr>
          <w:spacing w:val="-6"/>
        </w:rPr>
        <w:t> </w:t>
      </w:r>
      <w:r>
        <w:rPr/>
        <w:t>gradually.</w:t>
      </w:r>
    </w:p>
    <w:p>
      <w:pPr>
        <w:spacing w:after="0" w:line="355" w:lineRule="auto"/>
        <w:sectPr>
          <w:pgSz w:w="11910" w:h="16840"/>
          <w:pgMar w:header="0" w:footer="1338" w:top="1540" w:bottom="1520" w:left="800" w:right="820"/>
        </w:sect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6"/>
      </w:tblGrid>
      <w:tr>
        <w:trPr>
          <w:trHeight w:val="433" w:hRule="atLeast"/>
        </w:trPr>
        <w:tc>
          <w:tcPr>
            <w:tcW w:w="9466" w:type="dxa"/>
          </w:tcPr>
          <w:p>
            <w:pPr>
              <w:pStyle w:val="TableParagraph"/>
              <w:spacing w:line="220" w:lineRule="exact"/>
              <w:ind w:left="200"/>
              <w:rPr>
                <w:b/>
                <w:sz w:val="20"/>
              </w:rPr>
            </w:pPr>
            <w:r>
              <w:rPr>
                <w:b/>
                <w:sz w:val="20"/>
              </w:rPr>
              <w:t>Chart 31: UK short rates</w:t>
            </w:r>
          </w:p>
        </w:tc>
      </w:tr>
      <w:tr>
        <w:trPr>
          <w:trHeight w:val="5407" w:hRule="atLeast"/>
        </w:trPr>
        <w:tc>
          <w:tcPr>
            <w:tcW w:w="9466" w:type="dxa"/>
          </w:tcPr>
          <w:p>
            <w:pPr>
              <w:pStyle w:val="TableParagraph"/>
              <w:spacing w:before="4"/>
              <w:rPr>
                <w:sz w:val="17"/>
              </w:rPr>
            </w:pPr>
          </w:p>
          <w:p>
            <w:pPr>
              <w:pStyle w:val="TableParagraph"/>
              <w:spacing w:line="200" w:lineRule="exact"/>
              <w:ind w:left="7726"/>
              <w:rPr>
                <w:sz w:val="20"/>
              </w:rPr>
            </w:pPr>
            <w:r>
              <w:rPr>
                <w:color w:val="7E7E7E"/>
                <w:sz w:val="20"/>
              </w:rPr>
              <w:t>Per cent</w:t>
            </w:r>
          </w:p>
          <w:p>
            <w:pPr>
              <w:pStyle w:val="TableParagraph"/>
              <w:spacing w:line="200" w:lineRule="exact"/>
              <w:ind w:left="8875"/>
              <w:rPr>
                <w:sz w:val="20"/>
              </w:rPr>
            </w:pPr>
            <w:r>
              <w:rPr>
                <w:color w:val="7E7E7E"/>
                <w:w w:val="100"/>
                <w:sz w:val="20"/>
              </w:rPr>
              <w:t>2</w:t>
            </w:r>
          </w:p>
          <w:p>
            <w:pPr>
              <w:pStyle w:val="TableParagraph"/>
              <w:spacing w:before="3"/>
              <w:rPr>
                <w:sz w:val="22"/>
              </w:rPr>
            </w:pPr>
          </w:p>
          <w:p>
            <w:pPr>
              <w:pStyle w:val="TableParagraph"/>
              <w:ind w:left="8875"/>
              <w:rPr>
                <w:sz w:val="20"/>
              </w:rPr>
            </w:pPr>
            <w:r>
              <w:rPr>
                <w:color w:val="7E7E7E"/>
                <w:sz w:val="20"/>
              </w:rPr>
              <w:t>1.75</w:t>
            </w:r>
          </w:p>
          <w:p>
            <w:pPr>
              <w:pStyle w:val="TableParagraph"/>
              <w:spacing w:before="3"/>
              <w:rPr>
                <w:sz w:val="22"/>
              </w:rPr>
            </w:pPr>
          </w:p>
          <w:p>
            <w:pPr>
              <w:pStyle w:val="TableParagraph"/>
              <w:ind w:left="8875"/>
              <w:rPr>
                <w:sz w:val="20"/>
              </w:rPr>
            </w:pPr>
            <w:r>
              <w:rPr>
                <w:color w:val="7E7E7E"/>
                <w:sz w:val="20"/>
              </w:rPr>
              <w:t>1.5</w:t>
            </w:r>
          </w:p>
          <w:p>
            <w:pPr>
              <w:pStyle w:val="TableParagraph"/>
              <w:spacing w:before="2"/>
              <w:rPr>
                <w:sz w:val="22"/>
              </w:rPr>
            </w:pPr>
          </w:p>
          <w:p>
            <w:pPr>
              <w:pStyle w:val="TableParagraph"/>
              <w:ind w:left="8875"/>
              <w:rPr>
                <w:sz w:val="20"/>
              </w:rPr>
            </w:pPr>
            <w:r>
              <w:rPr>
                <w:color w:val="7E7E7E"/>
                <w:sz w:val="20"/>
              </w:rPr>
              <w:t>1.25</w:t>
            </w:r>
          </w:p>
          <w:p>
            <w:pPr>
              <w:pStyle w:val="TableParagraph"/>
              <w:spacing w:before="3"/>
              <w:rPr>
                <w:sz w:val="22"/>
              </w:rPr>
            </w:pPr>
          </w:p>
          <w:p>
            <w:pPr>
              <w:pStyle w:val="TableParagraph"/>
              <w:ind w:left="8875"/>
              <w:rPr>
                <w:sz w:val="20"/>
              </w:rPr>
            </w:pPr>
            <w:r>
              <w:rPr>
                <w:color w:val="7E7E7E"/>
                <w:w w:val="100"/>
                <w:sz w:val="20"/>
              </w:rPr>
              <w:t>1</w:t>
            </w:r>
          </w:p>
          <w:p>
            <w:pPr>
              <w:pStyle w:val="TableParagraph"/>
              <w:spacing w:before="3"/>
              <w:rPr>
                <w:sz w:val="22"/>
              </w:rPr>
            </w:pPr>
          </w:p>
          <w:p>
            <w:pPr>
              <w:pStyle w:val="TableParagraph"/>
              <w:ind w:left="8875"/>
              <w:rPr>
                <w:sz w:val="20"/>
              </w:rPr>
            </w:pPr>
            <w:r>
              <w:rPr>
                <w:color w:val="7E7E7E"/>
                <w:sz w:val="20"/>
              </w:rPr>
              <w:t>0.75</w:t>
            </w:r>
          </w:p>
          <w:p>
            <w:pPr>
              <w:pStyle w:val="TableParagraph"/>
              <w:spacing w:before="3"/>
              <w:rPr>
                <w:sz w:val="22"/>
              </w:rPr>
            </w:pPr>
          </w:p>
          <w:p>
            <w:pPr>
              <w:pStyle w:val="TableParagraph"/>
              <w:ind w:left="8875"/>
              <w:rPr>
                <w:sz w:val="20"/>
              </w:rPr>
            </w:pPr>
            <w:r>
              <w:rPr>
                <w:color w:val="7E7E7E"/>
                <w:sz w:val="20"/>
              </w:rPr>
              <w:t>0.5</w:t>
            </w:r>
          </w:p>
          <w:p>
            <w:pPr>
              <w:pStyle w:val="TableParagraph"/>
              <w:spacing w:before="3"/>
              <w:rPr>
                <w:sz w:val="22"/>
              </w:rPr>
            </w:pPr>
          </w:p>
          <w:p>
            <w:pPr>
              <w:pStyle w:val="TableParagraph"/>
              <w:ind w:left="8875"/>
              <w:rPr>
                <w:sz w:val="20"/>
              </w:rPr>
            </w:pPr>
            <w:r>
              <w:rPr>
                <w:color w:val="7E7E7E"/>
                <w:sz w:val="20"/>
              </w:rPr>
              <w:t>0.25</w:t>
            </w:r>
          </w:p>
          <w:p>
            <w:pPr>
              <w:pStyle w:val="TableParagraph"/>
              <w:spacing w:before="2"/>
              <w:rPr>
                <w:sz w:val="22"/>
              </w:rPr>
            </w:pPr>
          </w:p>
          <w:p>
            <w:pPr>
              <w:pStyle w:val="TableParagraph"/>
              <w:ind w:left="8875"/>
              <w:rPr>
                <w:sz w:val="20"/>
              </w:rPr>
            </w:pPr>
            <w:r>
              <w:rPr>
                <w:color w:val="7E7E7E"/>
                <w:w w:val="100"/>
                <w:sz w:val="20"/>
              </w:rPr>
              <w:t>0</w:t>
            </w:r>
          </w:p>
          <w:p>
            <w:pPr>
              <w:pStyle w:val="TableParagraph"/>
              <w:tabs>
                <w:tab w:pos="2673" w:val="left" w:leader="none"/>
                <w:tab w:pos="4415" w:val="left" w:leader="none"/>
                <w:tab w:pos="6157" w:val="left" w:leader="none"/>
                <w:tab w:pos="7900" w:val="left" w:leader="none"/>
              </w:tabs>
              <w:spacing w:before="9"/>
              <w:ind w:left="931"/>
              <w:rPr>
                <w:sz w:val="20"/>
              </w:rPr>
            </w:pPr>
            <w:r>
              <w:rPr>
                <w:color w:val="7E7E7E"/>
                <w:sz w:val="20"/>
              </w:rPr>
              <w:t>2014</w:t>
              <w:tab/>
              <w:t>2016</w:t>
              <w:tab/>
              <w:t>2018</w:t>
              <w:tab/>
              <w:t>2020</w:t>
              <w:tab/>
              <w:t>2022</w:t>
            </w:r>
          </w:p>
          <w:p>
            <w:pPr>
              <w:pStyle w:val="TableParagraph"/>
              <w:spacing w:before="5"/>
              <w:rPr>
                <w:sz w:val="30"/>
              </w:rPr>
            </w:pPr>
          </w:p>
          <w:p>
            <w:pPr>
              <w:pStyle w:val="TableParagraph"/>
              <w:tabs>
                <w:tab w:pos="6450" w:val="left" w:leader="none"/>
              </w:tabs>
              <w:spacing w:before="1"/>
              <w:ind w:left="2684"/>
              <w:rPr>
                <w:sz w:val="20"/>
              </w:rPr>
            </w:pPr>
            <w:r>
              <w:rPr>
                <w:color w:val="7E7E7E"/>
                <w:sz w:val="20"/>
              </w:rPr>
              <w:t>Latest (cob</w:t>
            </w:r>
            <w:r>
              <w:rPr>
                <w:color w:val="7E7E7E"/>
                <w:spacing w:val="-2"/>
                <w:sz w:val="20"/>
              </w:rPr>
              <w:t> </w:t>
            </w:r>
            <w:r>
              <w:rPr>
                <w:color w:val="7E7E7E"/>
                <w:sz w:val="20"/>
              </w:rPr>
              <w:t>18</w:t>
            </w:r>
            <w:r>
              <w:rPr>
                <w:color w:val="7E7E7E"/>
                <w:spacing w:val="-1"/>
                <w:sz w:val="20"/>
              </w:rPr>
              <w:t> </w:t>
            </w:r>
            <w:r>
              <w:rPr>
                <w:color w:val="7E7E7E"/>
                <w:sz w:val="20"/>
              </w:rPr>
              <w:t>July)</w:t>
              <w:tab/>
              <w:t>May 2019</w:t>
            </w:r>
            <w:r>
              <w:rPr>
                <w:color w:val="7E7E7E"/>
                <w:spacing w:val="-1"/>
                <w:sz w:val="20"/>
              </w:rPr>
              <w:t> </w:t>
            </w:r>
            <w:r>
              <w:rPr>
                <w:color w:val="7E7E7E"/>
                <w:sz w:val="20"/>
              </w:rPr>
              <w:t>IR</w:t>
            </w:r>
          </w:p>
        </w:tc>
      </w:tr>
      <w:tr>
        <w:trPr>
          <w:trHeight w:val="540" w:hRule="atLeast"/>
        </w:trPr>
        <w:tc>
          <w:tcPr>
            <w:tcW w:w="9466" w:type="dxa"/>
          </w:tcPr>
          <w:p>
            <w:pPr>
              <w:pStyle w:val="TableParagraph"/>
              <w:spacing w:before="89"/>
              <w:ind w:left="200"/>
              <w:rPr>
                <w:sz w:val="16"/>
              </w:rPr>
            </w:pPr>
            <w:r>
              <w:rPr>
                <w:sz w:val="16"/>
              </w:rPr>
              <w:t>Sources: Bloomberg LP and Bank calculations.</w:t>
            </w:r>
          </w:p>
          <w:p>
            <w:pPr>
              <w:pStyle w:val="TableParagraph"/>
              <w:spacing w:line="167" w:lineRule="exact" w:before="80"/>
              <w:ind w:left="200"/>
              <w:rPr>
                <w:sz w:val="16"/>
              </w:rPr>
            </w:pPr>
            <w:r>
              <w:rPr>
                <w:sz w:val="16"/>
              </w:rPr>
              <w:t>Notes: May 2019 IR line refers to 15-day average curve used to condition the May Inflation Report projections.</w:t>
            </w:r>
          </w:p>
        </w:tc>
      </w:tr>
    </w:tbl>
    <w:p>
      <w:pPr>
        <w:pStyle w:val="BodyText"/>
      </w:pPr>
      <w:r>
        <w:rPr/>
        <w:pict>
          <v:group style="position:absolute;margin-left:103.339996pt;margin-top:123.914986pt;width:379.5pt;height:195.05pt;mso-position-horizontal-relative:page;mso-position-vertical-relative:page;z-index:-254454784" coordorigin="2067,2478" coordsize="7590,3901">
            <v:shape style="position:absolute;left:2087;top:2485;width:7549;height:3886" coordorigin="2088,2486" coordsize="7549,3886" path="m9636,6372l9636,2486m9576,6372l9636,6372m9576,5886l9636,5886m9576,5400l9636,5400m9576,4914l9636,4914m9576,4429l9636,4429m9576,3943l9636,3943m9576,3457l9636,3457m9576,2971l9636,2971m9576,2486l9636,2486m2088,6372l9636,6372m2088,6311l2088,6372m3829,6311l3829,6372m5572,6311l5572,6372m7314,6311l7314,6372m9056,6311l9056,6372e" filled="false" stroked="true" strokeweight=".75pt" strokecolor="#858585">
              <v:path arrowok="t"/>
              <v:stroke dashstyle="solid"/>
            </v:shape>
            <v:line style="position:absolute" from="6805,2485" to="6805,6371" stroked="true" strokeweight="0pt" strokecolor="#000000">
              <v:stroke dashstyle="solid"/>
            </v:line>
            <v:line style="position:absolute" from="6805,6371" to="6805,2485" stroked="true" strokeweight=".75pt" strokecolor="#bebebe">
              <v:stroke dashstyle="solid"/>
            </v:line>
            <v:shape style="position:absolute;left:2086;top:4914;width:7550;height:972" coordorigin="2087,4914" coordsize="7550,972" path="m2087,5400l2087,5400,4193,5400,4410,5707,4628,5886,4846,5886,5064,5886,5281,5886,5500,5578,5717,5400,5934,5400,6152,5089,6370,4914,6588,4914,6805,4914,7024,4996,7241,5156,7459,5308,7676,5381,7895,5407,8112,5402,8330,5382,8548,5354,8765,5324,8983,5294,9200,5264,9419,5236,9636,5206e" filled="false" stroked="true" strokeweight="2.0pt" strokecolor="#00afef">
              <v:path arrowok="t"/>
              <v:stroke dashstyle="dash"/>
            </v:shape>
            <v:shape style="position:absolute;left:2086;top:4402;width:7332;height:1484" coordorigin="2087,4403" coordsize="7332,1484" path="m2087,5400l2087,5400,4193,5400,4410,5707,4628,5886,4846,5886,5064,5886,5281,5886,5500,5578,5717,5400,5934,5400,6152,5089,6370,4914,6588,4914,6805,4976,7024,4996,7241,4950,7459,4898,7676,4842,7895,4775,8112,4706,8330,4642,8548,4584,8765,4531,8983,4483,9200,4441,9419,4403e" filled="false" stroked="true" strokeweight="2pt" strokecolor="#ff9900">
              <v:path arrowok="t"/>
              <v:stroke dashstyle="solid"/>
            </v:shape>
            <w10:wrap type="none"/>
          </v:group>
        </w:pict>
      </w:r>
    </w:p>
    <w:p>
      <w:pPr>
        <w:pStyle w:val="BodyText"/>
        <w:spacing w:before="3"/>
        <w:rPr>
          <w:sz w:val="21"/>
        </w:rPr>
      </w:pPr>
    </w:p>
    <w:p>
      <w:pPr>
        <w:pStyle w:val="BodyText"/>
        <w:spacing w:line="355" w:lineRule="auto"/>
        <w:ind w:left="334" w:right="452"/>
      </w:pPr>
      <w:r>
        <w:rPr/>
        <w:pict>
          <v:line style="position:absolute;mso-position-horizontal-relative:page;mso-position-vertical-relative:paragraph;z-index:-254453760" from="152.889999pt,-61.210129pt" to="178.089999pt,-61.210129pt" stroked="true" strokeweight="2pt" strokecolor="#00afef">
            <v:stroke dashstyle="dash"/>
            <w10:wrap type="none"/>
          </v:line>
        </w:pict>
      </w:r>
      <w:r>
        <w:rPr/>
        <w:pict>
          <v:line style="position:absolute;mso-position-horizontal-relative:page;mso-position-vertical-relative:paragraph;z-index:-254452736" from="341.220001pt,-61.210129pt" to="366.420001pt,-61.210129pt" stroked="true" strokeweight="2pt" strokecolor="#ff9900">
            <v:stroke dashstyle="solid"/>
            <w10:wrap type="none"/>
          </v:line>
        </w:pict>
      </w:r>
      <w:r>
        <w:rPr/>
        <w:t>This forward path of interest rates is, in practice, a rather peculiar one. It is likely to reflect a probability- weighted mix of two quite different possible outcomes for the economy – a “deal” scenario in which the economy grows and a “no deal” scenario in which some expect it could shrink. In that sense, the market path of interest rates is not an accurate reflection of the most likely path of interest rates.</w:t>
      </w:r>
    </w:p>
    <w:p>
      <w:pPr>
        <w:pStyle w:val="BodyText"/>
        <w:spacing w:before="4"/>
        <w:rPr>
          <w:sz w:val="29"/>
        </w:rPr>
      </w:pPr>
    </w:p>
    <w:p>
      <w:pPr>
        <w:pStyle w:val="BodyText"/>
        <w:spacing w:line="352" w:lineRule="auto" w:before="1"/>
        <w:ind w:left="334" w:right="351"/>
      </w:pPr>
      <w:r>
        <w:rPr/>
        <w:t>To illustrate, consider a simple thought-experiment. Assume, in the event of a “no-deal”, the economy followed the course expected by companies in Chart 30. Assume also, in that event, that monetary policy followed a simple Taylor Rule and that inflation was unaffected.</w:t>
      </w:r>
      <w:r>
        <w:rPr>
          <w:position w:val="7"/>
          <w:sz w:val="13"/>
        </w:rPr>
        <w:t>29 </w:t>
      </w:r>
      <w:r>
        <w:rPr/>
        <w:t>These are clearly very stylised assumptions. Nonetheless, on those assumptions, a Taylor Rule would suggest interest rates would need to be cut sharply to their zero bound, to cushion the hit to growth.</w:t>
      </w:r>
    </w:p>
    <w:p>
      <w:pPr>
        <w:pStyle w:val="BodyText"/>
        <w:rPr>
          <w:sz w:val="30"/>
        </w:rPr>
      </w:pPr>
    </w:p>
    <w:p>
      <w:pPr>
        <w:pStyle w:val="BodyText"/>
        <w:spacing w:line="352" w:lineRule="auto"/>
        <w:ind w:left="334" w:right="452"/>
        <w:rPr>
          <w:sz w:val="13"/>
        </w:rPr>
      </w:pPr>
      <w:r>
        <w:rPr/>
        <w:t>If we do the same thought-experiment under the “deal” scenario, again using a simple Taylor Rule, we get instead an upwards-sloped trajectory for expected interest rates, on average 25-50 basis points higher than the slightly upward-sloped market path for interest rates prevailing in May. Clearly, these are two very different interest rate trajectories, reflecting two quite different Brexit economic outcomes.</w:t>
      </w:r>
      <w:r>
        <w:rPr>
          <w:position w:val="7"/>
          <w:sz w:val="13"/>
        </w:rPr>
        <w:t>30</w:t>
      </w:r>
    </w:p>
    <w:p>
      <w:pPr>
        <w:pStyle w:val="BodyText"/>
      </w:pPr>
    </w:p>
    <w:p>
      <w:pPr>
        <w:pStyle w:val="BodyText"/>
      </w:pPr>
    </w:p>
    <w:p>
      <w:pPr>
        <w:pStyle w:val="BodyText"/>
        <w:spacing w:before="8"/>
        <w:rPr>
          <w:sz w:val="21"/>
        </w:rPr>
      </w:pPr>
      <w:r>
        <w:rPr/>
        <w:pict>
          <v:shape style="position:absolute;margin-left:56.700001pt;margin-top:14.704551pt;width:144.050pt;height:.1pt;mso-position-horizontal-relative:page;mso-position-vertical-relative:paragraph;z-index:-251566080;mso-wrap-distance-left:0;mso-wrap-distance-right:0" coordorigin="1134,294" coordsize="2881,0" path="m1134,294l4014,294e" filled="false" stroked="true" strokeweight=".47998pt" strokecolor="#000000">
            <v:path arrowok="t"/>
            <v:stroke dashstyle="solid"/>
            <w10:wrap type="topAndBottom"/>
          </v:shape>
        </w:pict>
      </w:r>
    </w:p>
    <w:p>
      <w:pPr>
        <w:spacing w:line="276" w:lineRule="auto" w:before="51"/>
        <w:ind w:left="334" w:right="319" w:firstLine="0"/>
        <w:jc w:val="left"/>
        <w:rPr>
          <w:sz w:val="16"/>
        </w:rPr>
      </w:pPr>
      <w:r>
        <w:rPr>
          <w:position w:val="6"/>
          <w:sz w:val="10"/>
        </w:rPr>
        <w:t>29 </w:t>
      </w:r>
      <w:r>
        <w:rPr>
          <w:sz w:val="16"/>
        </w:rPr>
        <w:t>In the event of a ‘deal’, upward pressure on demand would also likely be accompanied with a stronger exchange rate, so the ex-ante impact on inflation is ambiguous.</w:t>
      </w:r>
    </w:p>
    <w:p>
      <w:pPr>
        <w:spacing w:line="184" w:lineRule="exact" w:before="0"/>
        <w:ind w:left="334" w:right="0" w:firstLine="0"/>
        <w:jc w:val="left"/>
        <w:rPr>
          <w:sz w:val="16"/>
        </w:rPr>
      </w:pPr>
      <w:r>
        <w:rPr>
          <w:position w:val="6"/>
          <w:sz w:val="10"/>
        </w:rPr>
        <w:t>30 </w:t>
      </w:r>
      <w:r>
        <w:rPr>
          <w:sz w:val="16"/>
        </w:rPr>
        <w:t>My MPC colleague, Jan Vlieghe, made a similar point in his recent speech (Vlieghe (2019)).</w:t>
      </w:r>
    </w:p>
    <w:p>
      <w:pPr>
        <w:spacing w:after="0" w:line="184" w:lineRule="exact"/>
        <w:jc w:val="left"/>
        <w:rPr>
          <w:sz w:val="16"/>
        </w:rPr>
        <w:sectPr>
          <w:pgSz w:w="11910" w:h="16840"/>
          <w:pgMar w:header="0" w:footer="1338" w:top="1540" w:bottom="1520" w:left="800" w:right="820"/>
        </w:sectPr>
      </w:pPr>
    </w:p>
    <w:p>
      <w:pPr>
        <w:pStyle w:val="BodyText"/>
        <w:spacing w:line="355" w:lineRule="auto" w:before="69"/>
        <w:ind w:left="334" w:right="753"/>
      </w:pPr>
      <w:r>
        <w:rPr/>
        <w:t>The market-implied path for interest rates is a probability-weighted mix of these two paths. With a 30% probability of “no deal”, this expected path would have interest rates falling in the near term before rising gently thereafter. Despite our scenarios being highly stylised and simplified, this expected path broadly mirrors the current market yield curve.</w:t>
      </w:r>
    </w:p>
    <w:p>
      <w:pPr>
        <w:pStyle w:val="BodyText"/>
        <w:spacing w:before="6"/>
        <w:rPr>
          <w:sz w:val="29"/>
        </w:rPr>
      </w:pPr>
    </w:p>
    <w:p>
      <w:pPr>
        <w:pStyle w:val="BodyText"/>
        <w:spacing w:line="355" w:lineRule="auto"/>
        <w:ind w:left="334" w:right="422"/>
      </w:pPr>
      <w:r>
        <w:rPr/>
        <w:t>In practice, as the MPC has emphasised, the </w:t>
      </w:r>
      <w:r>
        <w:rPr>
          <w:i/>
        </w:rPr>
        <w:t>actual </w:t>
      </w:r>
      <w:r>
        <w:rPr/>
        <w:t>path of interest rates in the event of either Brexit outcome would never be automatic; it will depend on the response of demand, supply and the exchange rate to these outcomes. This is impossible to predict in advance. If a “no deal” were to lead to a sharp fall in sterling and a sharp rise in inflation expectations, it is not clear the MPC could cut interest rates, as the market expects, if it was to meet its inflation mandate. The risks to rates in a “no deal” scenario are in that sense two-sided, if not necessarily</w:t>
      </w:r>
      <w:r>
        <w:rPr>
          <w:spacing w:val="-5"/>
        </w:rPr>
        <w:t> </w:t>
      </w:r>
      <w:r>
        <w:rPr/>
        <w:t>symmetric.</w:t>
      </w:r>
    </w:p>
    <w:p>
      <w:pPr>
        <w:pStyle w:val="BodyText"/>
        <w:spacing w:before="3"/>
        <w:rPr>
          <w:sz w:val="29"/>
        </w:rPr>
      </w:pPr>
    </w:p>
    <w:p>
      <w:pPr>
        <w:pStyle w:val="BodyText"/>
        <w:spacing w:line="355" w:lineRule="auto" w:before="1"/>
        <w:ind w:left="334" w:right="343"/>
      </w:pPr>
      <w:r>
        <w:rPr/>
        <w:t>This bi-polarity in possible economic outcomes poses a dilemma for UK monetary policy. Monetary policymakers are often cast as one-club golfers. In the current conjuncture, the problem is more that the MPC does not know which of two quite different fairways it should be aiming at. Brexit uncertainty is not, by itself, a reason for leaving interest rates on hold, as the two tightenings in monetary policy by the MPC since the Brexit referendum demonstrate. Nonetheless, with the economic road ahead potentially forking, the case for holding rates until the road becomes clearer is</w:t>
      </w:r>
      <w:r>
        <w:rPr>
          <w:spacing w:val="-4"/>
        </w:rPr>
        <w:t> </w:t>
      </w:r>
      <w:r>
        <w:rPr/>
        <w:t>strong.</w:t>
      </w:r>
    </w:p>
    <w:p>
      <w:pPr>
        <w:pStyle w:val="BodyText"/>
        <w:spacing w:before="3"/>
        <w:rPr>
          <w:sz w:val="29"/>
        </w:rPr>
      </w:pPr>
    </w:p>
    <w:p>
      <w:pPr>
        <w:pStyle w:val="BodyText"/>
        <w:spacing w:line="355" w:lineRule="auto" w:before="1"/>
        <w:ind w:left="334" w:right="365"/>
      </w:pPr>
      <w:r>
        <w:rPr/>
        <w:t>With Brexit uncertainty high, the global economy softening and other major central banks expected to loosen monetary policy, it is not difficult to see why short-term interest rates have fallen and are now pricing a near- term loosening of UK monetary policy. UK growth is expected to stall in the second quarter. Companies’ investment remains strikingly and significantly subdued.  Business sentiment is weak.  And UK growth for the year as a whole, at less than 1.5%, is expected to lie below</w:t>
      </w:r>
      <w:r>
        <w:rPr>
          <w:spacing w:val="-9"/>
        </w:rPr>
        <w:t> </w:t>
      </w:r>
      <w:r>
        <w:rPr/>
        <w:t>potential.</w:t>
      </w:r>
    </w:p>
    <w:p>
      <w:pPr>
        <w:pStyle w:val="BodyText"/>
        <w:spacing w:before="4"/>
        <w:rPr>
          <w:sz w:val="29"/>
        </w:rPr>
      </w:pPr>
    </w:p>
    <w:p>
      <w:pPr>
        <w:pStyle w:val="BodyText"/>
        <w:spacing w:line="355" w:lineRule="auto" w:before="1"/>
        <w:ind w:left="334" w:right="597"/>
      </w:pPr>
      <w:r>
        <w:rPr/>
        <w:t>My personal view, though, is that I would be very cautious about considering a monetary policy loosening, barring some sharp economic downturn.</w:t>
      </w:r>
    </w:p>
    <w:p>
      <w:pPr>
        <w:pStyle w:val="BodyText"/>
        <w:spacing w:before="5"/>
        <w:rPr>
          <w:sz w:val="29"/>
        </w:rPr>
      </w:pPr>
    </w:p>
    <w:p>
      <w:pPr>
        <w:pStyle w:val="BodyText"/>
        <w:spacing w:line="355" w:lineRule="auto"/>
        <w:ind w:left="334" w:right="319"/>
      </w:pPr>
      <w:r>
        <w:rPr/>
        <w:t>First, despite some Brexit-related volatility quarter-to-quarter, underlying UK growth remains fairly steady, if not spectacular, at a fraction below its cruising altitude. Consumer confidence and spending remain robust, underpinned by a still-strong jobs market and rising real pay. The UK housing market may be bottoming-out. When British consumers have more money in their pockets, it takes a lot to persuade them not to spend it.</w:t>
      </w:r>
    </w:p>
    <w:p>
      <w:pPr>
        <w:pStyle w:val="BodyText"/>
        <w:spacing w:line="229" w:lineRule="exact"/>
        <w:ind w:left="334"/>
      </w:pPr>
      <w:r>
        <w:rPr/>
        <w:t>Nothing so far has dissuaded them. And they are three-quarters of all spending in the economy.</w:t>
      </w:r>
    </w:p>
    <w:p>
      <w:pPr>
        <w:pStyle w:val="BodyText"/>
        <w:rPr>
          <w:sz w:val="22"/>
        </w:rPr>
      </w:pPr>
    </w:p>
    <w:p>
      <w:pPr>
        <w:pStyle w:val="BodyText"/>
        <w:spacing w:line="355" w:lineRule="auto" w:before="197"/>
        <w:ind w:left="334" w:right="344"/>
      </w:pPr>
      <w:r>
        <w:rPr/>
        <w:t>Second, the starting position for both the economy and monetary policy need importantly to be borne in mind. As best we can tell, there is little, if any, slack left in the UK economy. That is why pay is picking up at pace. UK inflation, meanwhile, is already at target and the monetary stance remains accommodative, with short-term real interest rates still negative, augmented by almost £½ trillion of asset</w:t>
      </w:r>
      <w:r>
        <w:rPr>
          <w:spacing w:val="-10"/>
        </w:rPr>
        <w:t> </w:t>
      </w:r>
      <w:r>
        <w:rPr/>
        <w:t>purchases.</w:t>
      </w:r>
    </w:p>
    <w:p>
      <w:pPr>
        <w:spacing w:after="0" w:line="355" w:lineRule="auto"/>
        <w:sectPr>
          <w:pgSz w:w="11910" w:h="16840"/>
          <w:pgMar w:header="0" w:footer="1338" w:top="1460" w:bottom="1520" w:left="800" w:right="820"/>
        </w:sectPr>
      </w:pPr>
    </w:p>
    <w:p>
      <w:pPr>
        <w:pStyle w:val="BodyText"/>
        <w:spacing w:line="355" w:lineRule="auto" w:before="69"/>
        <w:ind w:left="334" w:right="319"/>
      </w:pPr>
      <w:r>
        <w:rPr/>
        <w:t>Third, there is sometimes a tendency in the current environment to extrapolate from international experience, or recent historical experience, to the current stance of UK monetary policy. That is dangerous when the starting point for the UK economy, and the shocks to which it is potentially subject to, are very different to our overseas counterparts or indeed the UK’s own recent</w:t>
      </w:r>
      <w:r>
        <w:rPr>
          <w:spacing w:val="-5"/>
        </w:rPr>
        <w:t> </w:t>
      </w:r>
      <w:r>
        <w:rPr/>
        <w:t>past.</w:t>
      </w:r>
    </w:p>
    <w:p>
      <w:pPr>
        <w:pStyle w:val="BodyText"/>
        <w:spacing w:before="6"/>
        <w:rPr>
          <w:sz w:val="29"/>
        </w:rPr>
      </w:pPr>
    </w:p>
    <w:p>
      <w:pPr>
        <w:pStyle w:val="BodyText"/>
        <w:spacing w:line="355" w:lineRule="auto"/>
        <w:ind w:left="334" w:right="319"/>
      </w:pPr>
      <w:r>
        <w:rPr/>
        <w:t>Since the start of the year, UK short-term interest rates have moved in lockstep with those in the major economies, notably the US and the euro area. The correlation of daily changes between them has been around 0.7, a little above its historical average. Common exposures to a slowing global trade cycle can explain some, if not all, of this correlation. But what stands out, for me, are the differences as much as the similarities between the UK, US and euro-area</w:t>
      </w:r>
      <w:r>
        <w:rPr>
          <w:spacing w:val="-3"/>
        </w:rPr>
        <w:t> </w:t>
      </w:r>
      <w:r>
        <w:rPr/>
        <w:t>economies.</w:t>
      </w:r>
    </w:p>
    <w:p>
      <w:pPr>
        <w:pStyle w:val="BodyText"/>
        <w:spacing w:before="4"/>
        <w:rPr>
          <w:sz w:val="29"/>
        </w:rPr>
      </w:pPr>
    </w:p>
    <w:p>
      <w:pPr>
        <w:pStyle w:val="BodyText"/>
        <w:spacing w:line="355" w:lineRule="auto"/>
        <w:ind w:left="334" w:right="377"/>
      </w:pPr>
      <w:r>
        <w:rPr/>
        <w:t>Chart 32 is a simple plot of unemployment against short-term real interest rates in the UK, US and euro area over the past 20 years. You might expect a negative relationship between the two:  the lower unemployment, the smaller slack in the economy and the higher the level of real interest rates necessary to prevent inflation rising. This is broadly what you see in the</w:t>
      </w:r>
      <w:r>
        <w:rPr>
          <w:spacing w:val="-7"/>
        </w:rPr>
        <w:t> </w:t>
      </w:r>
      <w:r>
        <w:rPr/>
        <w:t>data.</w:t>
      </w:r>
    </w:p>
    <w:p>
      <w:pPr>
        <w:pStyle w:val="BodyText"/>
        <w:spacing w:before="4"/>
        <w:rPr>
          <w:sz w:val="29"/>
        </w:rPr>
      </w:pPr>
    </w:p>
    <w:p>
      <w:pPr>
        <w:pStyle w:val="BodyText"/>
        <w:spacing w:line="355" w:lineRule="auto" w:before="1"/>
        <w:ind w:left="334" w:right="319"/>
      </w:pPr>
      <w:r>
        <w:rPr/>
        <w:pict>
          <v:group style="position:absolute;margin-left:73.162003pt;margin-top:124.234886pt;width:450.3pt;height:200.6pt;mso-position-horizontal-relative:page;mso-position-vertical-relative:paragraph;z-index:-254451712" coordorigin="1463,2485" coordsize="9006,4012">
            <v:shape style="position:absolute;left:1470;top:2492;width:8991;height:3997" coordorigin="1471,2492" coordsize="8991,3997" path="m5324,6489l5324,2492m5263,6489l5324,6489m5263,5918l5324,5918m5263,5347l5324,5347m5263,4776l5324,4776m5263,4205l5324,4205m5263,3635l5324,3635m5263,3063l5324,3063m5263,2492l5324,2492m1471,6489l10461,6489m1471,6428l1471,6489m2755,6428l2755,6489m4039,6428l4039,6489m5323,6428l5323,6489m6608,6428l6608,6489m7892,6428l7892,6489m9176,6428l9176,6489m10461,6428l10461,6489e" filled="false" stroked="true" strokeweight=".75pt" strokecolor="#bebebe">
              <v:path arrowok="t"/>
              <v:stroke dashstyle="solid"/>
            </v:shape>
            <v:shape style="position:absolute;left:8379;top:4775;width:532;height:342" type="#_x0000_t75" stroked="false">
              <v:imagedata r:id="rId35" o:title=""/>
            </v:shape>
            <v:shape style="position:absolute;left:8049;top:5031;width:114;height:114" type="#_x0000_t75" stroked="false">
              <v:imagedata r:id="rId23" o:title=""/>
            </v:shape>
            <v:shape style="position:absolute;left:2247;top:2977;width:6071;height:3132" type="#_x0000_t75" stroked="false">
              <v:imagedata r:id="rId36" o:title=""/>
            </v:shape>
            <v:shape style="position:absolute;left:8204;top:2593;width:114;height:114" type="#_x0000_t75" stroked="false">
              <v:imagedata r:id="rId26" o:title=""/>
            </v:shape>
            <w10:wrap type="none"/>
          </v:group>
        </w:pict>
      </w:r>
      <w:r>
        <w:rPr/>
        <w:t>Also shown in the chart are the current settings for the UK, US and euro area (the darker dots). The US has low levels of unemployment and, courtesy of a progressive tightening of policy over recent years, a now- positive – if still low – real interest rate. The euro area is in the opposite place, with a higher level of unemployment and a still-negative short-term real rate.</w:t>
      </w:r>
    </w:p>
    <w:p>
      <w:pPr>
        <w:pStyle w:val="BodyText"/>
      </w:pPr>
    </w:p>
    <w:p>
      <w:pPr>
        <w:pStyle w:val="BodyText"/>
        <w:spacing w:before="1"/>
        <w:rPr>
          <w:sz w:val="10"/>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84"/>
      </w:tblGrid>
      <w:tr>
        <w:trPr>
          <w:trHeight w:val="366" w:hRule="atLeast"/>
        </w:trPr>
        <w:tc>
          <w:tcPr>
            <w:tcW w:w="9784" w:type="dxa"/>
          </w:tcPr>
          <w:p>
            <w:pPr>
              <w:pStyle w:val="TableParagraph"/>
              <w:spacing w:line="224" w:lineRule="exact"/>
              <w:ind w:left="200"/>
              <w:rPr>
                <w:b/>
                <w:sz w:val="20"/>
              </w:rPr>
            </w:pPr>
            <w:r>
              <w:rPr>
                <w:b/>
                <w:sz w:val="20"/>
              </w:rPr>
              <w:t>Chart 32: Real interest rates and unemployment (1999 – latest)</w:t>
            </w:r>
          </w:p>
        </w:tc>
      </w:tr>
      <w:tr>
        <w:trPr>
          <w:trHeight w:val="5194" w:hRule="atLeast"/>
        </w:trPr>
        <w:tc>
          <w:tcPr>
            <w:tcW w:w="9784" w:type="dxa"/>
          </w:tcPr>
          <w:p>
            <w:pPr>
              <w:pStyle w:val="TableParagraph"/>
              <w:spacing w:line="193" w:lineRule="exact" w:before="137"/>
              <w:ind w:left="1000"/>
              <w:rPr>
                <w:sz w:val="20"/>
              </w:rPr>
            </w:pPr>
            <w:r>
              <w:rPr>
                <w:color w:val="7E7E7E"/>
                <w:sz w:val="20"/>
              </w:rPr>
              <w:t>Unemployment rate (per cent)</w:t>
            </w:r>
          </w:p>
          <w:p>
            <w:pPr>
              <w:pStyle w:val="TableParagraph"/>
              <w:spacing w:line="157" w:lineRule="exact"/>
              <w:ind w:left="247" w:right="1814"/>
              <w:jc w:val="center"/>
              <w:rPr>
                <w:sz w:val="20"/>
              </w:rPr>
            </w:pPr>
            <w:r>
              <w:rPr>
                <w:color w:val="7E7E7E"/>
                <w:sz w:val="20"/>
              </w:rPr>
              <w:t>14</w:t>
            </w:r>
          </w:p>
          <w:p>
            <w:pPr>
              <w:pStyle w:val="TableParagraph"/>
              <w:spacing w:line="194" w:lineRule="exact"/>
              <w:ind w:left="7423"/>
              <w:rPr>
                <w:sz w:val="20"/>
              </w:rPr>
            </w:pPr>
            <w:r>
              <w:rPr>
                <w:color w:val="7E7E7E"/>
                <w:sz w:val="20"/>
              </w:rPr>
              <w:t>UK</w:t>
            </w:r>
          </w:p>
          <w:p>
            <w:pPr>
              <w:pStyle w:val="TableParagraph"/>
              <w:spacing w:line="219" w:lineRule="exact" w:before="182"/>
              <w:ind w:left="247" w:right="1814"/>
              <w:jc w:val="center"/>
              <w:rPr>
                <w:sz w:val="20"/>
              </w:rPr>
            </w:pPr>
            <w:r>
              <w:rPr>
                <w:color w:val="7E7E7E"/>
                <w:sz w:val="20"/>
              </w:rPr>
              <w:t>12</w:t>
            </w:r>
          </w:p>
          <w:p>
            <w:pPr>
              <w:pStyle w:val="TableParagraph"/>
              <w:spacing w:line="219" w:lineRule="exact"/>
              <w:ind w:left="7423"/>
              <w:rPr>
                <w:sz w:val="20"/>
              </w:rPr>
            </w:pPr>
            <w:r>
              <w:rPr>
                <w:color w:val="7E7E7E"/>
                <w:sz w:val="20"/>
              </w:rPr>
              <w:t>US</w:t>
            </w:r>
          </w:p>
          <w:p>
            <w:pPr>
              <w:pStyle w:val="TableParagraph"/>
              <w:spacing w:before="134"/>
              <w:ind w:left="247" w:right="1814"/>
              <w:jc w:val="center"/>
              <w:rPr>
                <w:sz w:val="20"/>
              </w:rPr>
            </w:pPr>
            <w:r>
              <w:rPr>
                <w:color w:val="7E7E7E"/>
                <w:sz w:val="20"/>
              </w:rPr>
              <w:t>10</w:t>
            </w:r>
          </w:p>
          <w:p>
            <w:pPr>
              <w:pStyle w:val="TableParagraph"/>
              <w:spacing w:before="25"/>
              <w:ind w:left="5940"/>
              <w:jc w:val="center"/>
              <w:rPr>
                <w:sz w:val="20"/>
              </w:rPr>
            </w:pPr>
            <w:r>
              <w:rPr>
                <w:color w:val="7E7E7E"/>
                <w:sz w:val="20"/>
              </w:rPr>
              <w:t>Euro area</w:t>
            </w:r>
          </w:p>
          <w:p>
            <w:pPr>
              <w:pStyle w:val="TableParagraph"/>
              <w:spacing w:before="85"/>
              <w:ind w:right="1456"/>
              <w:jc w:val="center"/>
              <w:rPr>
                <w:sz w:val="20"/>
              </w:rPr>
            </w:pPr>
            <w:r>
              <w:rPr>
                <w:color w:val="7E7E7E"/>
                <w:w w:val="100"/>
                <w:sz w:val="20"/>
              </w:rPr>
              <w:t>8</w:t>
            </w:r>
          </w:p>
          <w:p>
            <w:pPr>
              <w:pStyle w:val="TableParagraph"/>
              <w:tabs>
                <w:tab w:pos="4218" w:val="right" w:leader="none"/>
              </w:tabs>
              <w:spacing w:before="341"/>
              <w:ind w:left="1036"/>
              <w:rPr>
                <w:sz w:val="20"/>
              </w:rPr>
            </w:pPr>
            <w:r>
              <w:rPr>
                <w:position w:val="2"/>
                <w:sz w:val="16"/>
              </w:rPr>
              <w:t>Euro area</w:t>
              <w:tab/>
            </w:r>
            <w:r>
              <w:rPr>
                <w:color w:val="7E7E7E"/>
                <w:sz w:val="20"/>
              </w:rPr>
              <w:t>6</w:t>
            </w:r>
          </w:p>
          <w:p>
            <w:pPr>
              <w:pStyle w:val="TableParagraph"/>
              <w:spacing w:before="131"/>
              <w:ind w:left="1036"/>
              <w:rPr>
                <w:sz w:val="16"/>
              </w:rPr>
            </w:pPr>
            <w:r>
              <w:rPr>
                <w:sz w:val="16"/>
              </w:rPr>
              <w:t>latest</w:t>
            </w:r>
          </w:p>
          <w:p>
            <w:pPr>
              <w:pStyle w:val="TableParagraph"/>
              <w:spacing w:before="27"/>
              <w:ind w:right="1456"/>
              <w:jc w:val="center"/>
              <w:rPr>
                <w:sz w:val="20"/>
              </w:rPr>
            </w:pPr>
            <w:r>
              <w:rPr>
                <w:color w:val="7E7E7E"/>
                <w:w w:val="100"/>
                <w:sz w:val="20"/>
              </w:rPr>
              <w:t>4</w:t>
            </w:r>
          </w:p>
          <w:p>
            <w:pPr>
              <w:pStyle w:val="TableParagraph"/>
              <w:spacing w:before="7"/>
              <w:rPr>
                <w:sz w:val="29"/>
              </w:rPr>
            </w:pPr>
          </w:p>
          <w:p>
            <w:pPr>
              <w:pStyle w:val="TableParagraph"/>
              <w:ind w:right="1456"/>
              <w:jc w:val="center"/>
              <w:rPr>
                <w:sz w:val="20"/>
              </w:rPr>
            </w:pPr>
            <w:r>
              <w:rPr>
                <w:color w:val="7E7E7E"/>
                <w:w w:val="100"/>
                <w:sz w:val="20"/>
              </w:rPr>
              <w:t>2</w:t>
            </w:r>
          </w:p>
          <w:p>
            <w:pPr>
              <w:pStyle w:val="TableParagraph"/>
              <w:spacing w:before="45"/>
              <w:ind w:left="1804"/>
              <w:rPr>
                <w:sz w:val="16"/>
              </w:rPr>
            </w:pPr>
            <w:r>
              <w:rPr>
                <w:sz w:val="16"/>
              </w:rPr>
              <w:t>UK latest</w:t>
            </w:r>
          </w:p>
          <w:p>
            <w:pPr>
              <w:pStyle w:val="TableParagraph"/>
              <w:tabs>
                <w:tab w:pos="5249" w:val="left" w:leader="none"/>
              </w:tabs>
              <w:spacing w:before="18"/>
              <w:ind w:left="4106"/>
              <w:rPr>
                <w:sz w:val="16"/>
              </w:rPr>
            </w:pPr>
            <w:r>
              <w:rPr>
                <w:color w:val="7E7E7E"/>
                <w:position w:val="-12"/>
                <w:sz w:val="20"/>
              </w:rPr>
              <w:t>0</w:t>
              <w:tab/>
            </w:r>
            <w:r>
              <w:rPr>
                <w:sz w:val="16"/>
              </w:rPr>
              <w:t>US</w:t>
            </w:r>
            <w:r>
              <w:rPr>
                <w:spacing w:val="-2"/>
                <w:sz w:val="16"/>
              </w:rPr>
              <w:t> </w:t>
            </w:r>
            <w:r>
              <w:rPr>
                <w:sz w:val="16"/>
              </w:rPr>
              <w:t>latest</w:t>
            </w:r>
          </w:p>
          <w:p>
            <w:pPr>
              <w:pStyle w:val="TableParagraph"/>
              <w:tabs>
                <w:tab w:pos="1532" w:val="left" w:leader="none"/>
                <w:tab w:pos="2816" w:val="left" w:leader="none"/>
                <w:tab w:pos="4134" w:val="left" w:leader="none"/>
                <w:tab w:pos="5418" w:val="left" w:leader="none"/>
                <w:tab w:pos="6703" w:val="left" w:leader="none"/>
                <w:tab w:pos="7987" w:val="left" w:leader="none"/>
                <w:tab w:pos="9272" w:val="left" w:leader="none"/>
              </w:tabs>
              <w:spacing w:before="10"/>
              <w:ind w:left="247"/>
              <w:jc w:val="center"/>
              <w:rPr>
                <w:sz w:val="20"/>
              </w:rPr>
            </w:pPr>
            <w:r>
              <w:rPr>
                <w:color w:val="7E7E7E"/>
                <w:sz w:val="20"/>
              </w:rPr>
              <w:t>-6</w:t>
              <w:tab/>
              <w:t>-4</w:t>
              <w:tab/>
              <w:t>-2</w:t>
              <w:tab/>
              <w:t>0</w:t>
              <w:tab/>
              <w:t>2</w:t>
              <w:tab/>
              <w:t>4</w:t>
              <w:tab/>
              <w:t>6</w:t>
              <w:tab/>
              <w:t>8</w:t>
            </w:r>
          </w:p>
          <w:p>
            <w:pPr>
              <w:pStyle w:val="TableParagraph"/>
              <w:spacing w:before="9"/>
              <w:ind w:left="247" w:right="144"/>
              <w:jc w:val="center"/>
              <w:rPr>
                <w:sz w:val="20"/>
              </w:rPr>
            </w:pPr>
            <w:r>
              <w:rPr>
                <w:color w:val="7E7E7E"/>
                <w:sz w:val="20"/>
              </w:rPr>
              <w:t>Real interest rate (per cent)</w:t>
            </w:r>
          </w:p>
        </w:tc>
      </w:tr>
      <w:tr>
        <w:trPr>
          <w:trHeight w:val="605" w:hRule="atLeast"/>
        </w:trPr>
        <w:tc>
          <w:tcPr>
            <w:tcW w:w="9784" w:type="dxa"/>
          </w:tcPr>
          <w:p>
            <w:pPr>
              <w:pStyle w:val="TableParagraph"/>
              <w:spacing w:before="7"/>
              <w:rPr>
                <w:sz w:val="16"/>
              </w:rPr>
            </w:pPr>
          </w:p>
          <w:p>
            <w:pPr>
              <w:pStyle w:val="TableParagraph"/>
              <w:spacing w:before="1"/>
              <w:ind w:left="200"/>
              <w:rPr>
                <w:sz w:val="16"/>
              </w:rPr>
            </w:pPr>
            <w:r>
              <w:rPr>
                <w:sz w:val="16"/>
              </w:rPr>
              <w:t>Sources: Thomson Reuters Datastream, ONS and Bank of England calculations.</w:t>
            </w:r>
          </w:p>
          <w:p>
            <w:pPr>
              <w:pStyle w:val="TableParagraph"/>
              <w:spacing w:line="164" w:lineRule="exact" w:before="45"/>
              <w:ind w:left="200"/>
              <w:rPr>
                <w:sz w:val="16"/>
              </w:rPr>
            </w:pPr>
            <w:r>
              <w:rPr>
                <w:sz w:val="16"/>
              </w:rPr>
              <w:t>Notes: Real interest rates defined in simple terms as current short-term central bank policy rate minus headline CPI inflation rate.</w:t>
            </w:r>
          </w:p>
        </w:tc>
      </w:tr>
    </w:tbl>
    <w:p>
      <w:pPr>
        <w:spacing w:after="0" w:line="164" w:lineRule="exact"/>
        <w:rPr>
          <w:sz w:val="16"/>
        </w:rPr>
        <w:sectPr>
          <w:pgSz w:w="11910" w:h="16840"/>
          <w:pgMar w:header="0" w:footer="1338" w:top="1460" w:bottom="1520" w:left="800" w:right="820"/>
        </w:sectPr>
      </w:pPr>
    </w:p>
    <w:p>
      <w:pPr>
        <w:pStyle w:val="BodyText"/>
        <w:spacing w:line="355" w:lineRule="auto" w:before="69"/>
        <w:ind w:left="334" w:right="452"/>
      </w:pPr>
      <w:r>
        <w:rPr/>
        <w:t>The UK occupies an unusual, mid-Atlantic position. It has similar levels of real interest rates to those in the euro area, at the same as having similar levels of unemployment to those in the US. Put differently, relative to both the US and the euro area, and its historical past, the current UK monetary stance looks relatively accommodative. For the same output gap and a higher rate of inflation, the UK’s monetary stance is</w:t>
      </w:r>
    </w:p>
    <w:p>
      <w:pPr>
        <w:pStyle w:val="BodyText"/>
        <w:spacing w:line="228" w:lineRule="exact"/>
        <w:ind w:left="334"/>
      </w:pPr>
      <w:r>
        <w:rPr/>
        <w:t>2 percentage points looser than in the US.</w:t>
      </w:r>
    </w:p>
    <w:p>
      <w:pPr>
        <w:pStyle w:val="BodyText"/>
        <w:rPr>
          <w:sz w:val="22"/>
        </w:rPr>
      </w:pPr>
    </w:p>
    <w:p>
      <w:pPr>
        <w:pStyle w:val="BodyText"/>
        <w:spacing w:line="355" w:lineRule="auto" w:before="197"/>
        <w:ind w:left="334" w:right="319"/>
      </w:pPr>
      <w:r>
        <w:rPr/>
        <w:t>There may well be good grounds for these international differences – for example, differing levels of neutral real rates and different natural unemployment rates. Nonetheless, the very different starting positions of the economy and monetary policy should give us cause to pause before simply assuming central banks should be moving synchronously, even when faced by a common global shock.</w:t>
      </w:r>
    </w:p>
    <w:p>
      <w:pPr>
        <w:pStyle w:val="BodyText"/>
        <w:spacing w:before="6"/>
        <w:rPr>
          <w:sz w:val="29"/>
        </w:rPr>
      </w:pPr>
    </w:p>
    <w:p>
      <w:pPr>
        <w:pStyle w:val="BodyText"/>
        <w:spacing w:line="352" w:lineRule="auto"/>
        <w:ind w:left="334" w:right="497"/>
        <w:rPr>
          <w:sz w:val="13"/>
        </w:rPr>
      </w:pPr>
      <w:r>
        <w:rPr/>
        <w:t>One reason why financial markets might be over-extrapolating international experience is because, at least since the crisis, monetary policy internationally has borne most of the burden of supporting growth in advanced economies. Over that period, central banks have often been “the only game in town”.</w:t>
      </w:r>
      <w:r>
        <w:rPr>
          <w:position w:val="7"/>
          <w:sz w:val="13"/>
        </w:rPr>
        <w:t>31</w:t>
      </w:r>
    </w:p>
    <w:p>
      <w:pPr>
        <w:pStyle w:val="BodyText"/>
        <w:spacing w:before="7"/>
        <w:rPr>
          <w:sz w:val="29"/>
        </w:rPr>
      </w:pPr>
    </w:p>
    <w:p>
      <w:pPr>
        <w:pStyle w:val="BodyText"/>
        <w:spacing w:line="355" w:lineRule="auto"/>
        <w:ind w:left="334" w:right="452"/>
      </w:pPr>
      <w:r>
        <w:rPr/>
        <w:t>I believe that game made economic sense. The crisis led to a large gap opening-up between aggregate demand and supply in the economy. Pump-priming aggregate demand back towards aggregate supply, through accommodative monetary policy, was the right policy response. And this monetary medicine, as best we can tell, worked. In the UK and US, aggregate demand is now back in line with supply. And in the euro area and Japan, the output gap has shrunk materially.</w:t>
      </w:r>
    </w:p>
    <w:p>
      <w:pPr>
        <w:pStyle w:val="BodyText"/>
        <w:spacing w:before="5"/>
        <w:rPr>
          <w:sz w:val="29"/>
        </w:rPr>
      </w:pPr>
    </w:p>
    <w:p>
      <w:pPr>
        <w:pStyle w:val="BodyText"/>
        <w:spacing w:line="355" w:lineRule="auto"/>
        <w:ind w:left="334" w:right="452"/>
      </w:pPr>
      <w:r>
        <w:rPr/>
        <w:t>Today, however, the conjunctural starting position for most advanced economies is very different than a decade ago. With the output gap closed in the UK, economic growth and pay rises in future can no longer rely on monetary policy pump-priming demand. It will instead require a lasting expansion in the economy’s supply potential, if capacity constraints are not to bite and inflationary pressures are not to snuff out pay rises.</w:t>
      </w:r>
    </w:p>
    <w:p>
      <w:pPr>
        <w:pStyle w:val="BodyText"/>
        <w:spacing w:before="5"/>
        <w:rPr>
          <w:sz w:val="29"/>
        </w:rPr>
      </w:pPr>
    </w:p>
    <w:p>
      <w:pPr>
        <w:pStyle w:val="BodyText"/>
        <w:spacing w:line="355" w:lineRule="auto"/>
        <w:ind w:left="334" w:right="452"/>
      </w:pPr>
      <w:r>
        <w:rPr/>
        <w:t>It is not just the economic starting point that differs, now versus a decade ago. So too do the potential shocks. A decade ago, the world faced a sharp shock to aggregate demand courtesy of the global financial crisis. This opened-up yawning output gaps and fed fears of the scourge of 1930s-style mass unemployment returning. Monetary policy responded with a force never previously seen in history.</w:t>
      </w:r>
    </w:p>
    <w:p>
      <w:pPr>
        <w:pStyle w:val="BodyText"/>
        <w:spacing w:before="5"/>
        <w:rPr>
          <w:sz w:val="29"/>
        </w:rPr>
      </w:pPr>
    </w:p>
    <w:p>
      <w:pPr>
        <w:pStyle w:val="BodyText"/>
        <w:spacing w:line="355" w:lineRule="auto" w:before="1"/>
        <w:ind w:left="334" w:right="342"/>
      </w:pPr>
      <w:r>
        <w:rPr/>
        <w:t>Today, the most likely shocks or downside risks to the economy are very different in their source and impact. They arise from factors such as global trade wars and Brexit. These shocks are different in their duration – more slow-burn than spontaneous conflagration. And they are radically different in their source, as they hit the supply potential of the economy, as much as its demand side.</w:t>
      </w:r>
    </w:p>
    <w:p>
      <w:pPr>
        <w:pStyle w:val="BodyText"/>
      </w:pPr>
    </w:p>
    <w:p>
      <w:pPr>
        <w:pStyle w:val="BodyText"/>
      </w:pPr>
    </w:p>
    <w:p>
      <w:pPr>
        <w:pStyle w:val="BodyText"/>
      </w:pPr>
    </w:p>
    <w:p>
      <w:pPr>
        <w:pStyle w:val="BodyText"/>
        <w:spacing w:before="7"/>
        <w:rPr>
          <w:sz w:val="16"/>
        </w:rPr>
      </w:pPr>
      <w:r>
        <w:rPr/>
        <w:pict>
          <v:shape style="position:absolute;margin-left:56.700001pt;margin-top:11.761133pt;width:144.050pt;height:.1pt;mso-position-horizontal-relative:page;mso-position-vertical-relative:paragraph;z-index:-251560960;mso-wrap-distance-left:0;mso-wrap-distance-right:0" coordorigin="1134,235" coordsize="2881,0" path="m1134,235l4014,235e" filled="false" stroked="true" strokeweight=".47998pt" strokecolor="#000000">
            <v:path arrowok="t"/>
            <v:stroke dashstyle="solid"/>
            <w10:wrap type="topAndBottom"/>
          </v:shape>
        </w:pict>
      </w:r>
    </w:p>
    <w:p>
      <w:pPr>
        <w:spacing w:before="51"/>
        <w:ind w:left="334" w:right="0" w:firstLine="0"/>
        <w:jc w:val="left"/>
        <w:rPr>
          <w:sz w:val="16"/>
        </w:rPr>
      </w:pPr>
      <w:r>
        <w:rPr>
          <w:position w:val="6"/>
          <w:sz w:val="10"/>
        </w:rPr>
        <w:t>31 </w:t>
      </w:r>
      <w:r>
        <w:rPr>
          <w:sz w:val="16"/>
        </w:rPr>
        <w:t>El-Erian (2016).</w:t>
      </w:r>
    </w:p>
    <w:p>
      <w:pPr>
        <w:spacing w:after="0"/>
        <w:jc w:val="left"/>
        <w:rPr>
          <w:sz w:val="16"/>
        </w:rPr>
        <w:sectPr>
          <w:pgSz w:w="11910" w:h="16840"/>
          <w:pgMar w:header="0" w:footer="1338" w:top="1460" w:bottom="1520" w:left="800" w:right="820"/>
        </w:sectPr>
      </w:pPr>
    </w:p>
    <w:p>
      <w:pPr>
        <w:pStyle w:val="BodyText"/>
        <w:spacing w:line="352" w:lineRule="auto" w:before="69"/>
        <w:ind w:left="334" w:right="414"/>
      </w:pPr>
      <w:r>
        <w:rPr/>
        <w:t>Consider the effects of Brexit uncertainty on the UK economy. By far the largest effects have been on companies’ investment and productivity. According to our Decision Maker Panel, investment among UK companies is estimated to be between 6-14% lower, and firms’ Total Factor Productivity (TFP) around 2-5% lower.</w:t>
      </w:r>
      <w:r>
        <w:rPr>
          <w:position w:val="7"/>
          <w:sz w:val="13"/>
        </w:rPr>
        <w:t>32 </w:t>
      </w:r>
      <w:r>
        <w:rPr/>
        <w:t>These are large negative shocks to the economy’s supply-side potential. They are hits that monetary policy is not itself well-placed to mitigate.</w:t>
      </w:r>
    </w:p>
    <w:p>
      <w:pPr>
        <w:pStyle w:val="BodyText"/>
        <w:rPr>
          <w:sz w:val="30"/>
        </w:rPr>
      </w:pPr>
    </w:p>
    <w:p>
      <w:pPr>
        <w:pStyle w:val="BodyText"/>
        <w:spacing w:line="352" w:lineRule="auto" w:before="1"/>
        <w:ind w:left="334" w:right="364"/>
      </w:pPr>
      <w:r>
        <w:rPr/>
        <w:t>There is a risk of people normalising the deviance in monetary policy since the crisis. Around a quarter of adults in the UK working population have never experienced Bank Rate above 1% in their adult lives.</w:t>
      </w:r>
      <w:r>
        <w:rPr>
          <w:position w:val="7"/>
          <w:sz w:val="13"/>
        </w:rPr>
        <w:t>33 </w:t>
      </w:r>
      <w:r>
        <w:rPr/>
        <w:t>In these changed circumstances compared with a decade ago, it is important that monetary policy is not a prisoner of its past, that the monetary cavalry are not called at the first whiff of grapeshot, that a dependency culture around monetary policy is not allowed to develop.</w:t>
      </w:r>
    </w:p>
    <w:p>
      <w:pPr>
        <w:pStyle w:val="BodyText"/>
        <w:rPr>
          <w:sz w:val="30"/>
        </w:rPr>
      </w:pPr>
    </w:p>
    <w:p>
      <w:pPr>
        <w:pStyle w:val="BodyText"/>
        <w:spacing w:line="355" w:lineRule="auto"/>
        <w:ind w:left="334" w:right="363"/>
      </w:pPr>
      <w:r>
        <w:rPr/>
        <w:t>A decade ago, central banks were the only game in town and monetary medicine was the right prescription. A decade on, the game has changed and so too might the policy prescription needed in dealing with any downturn. When the challenges, as well as the huge opportunities, lie on the supply-side of the economy, the right medical prescription is fiscal and structural policies. Super-charging the supply-side of the economy is what is now needed. That is every bit as true here in Scunthorpe as it is elsewhere across the</w:t>
      </w:r>
      <w:r>
        <w:rPr>
          <w:spacing w:val="-13"/>
        </w:rPr>
        <w:t> </w:t>
      </w:r>
      <w:r>
        <w:rPr/>
        <w:t>UK.</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r>
        <w:rPr/>
        <w:pict>
          <v:shape style="position:absolute;margin-left:56.700001pt;margin-top:15.089737pt;width:144.050pt;height:.1pt;mso-position-horizontal-relative:page;mso-position-vertical-relative:paragraph;z-index:-251559936;mso-wrap-distance-left:0;mso-wrap-distance-right:0" coordorigin="1134,302" coordsize="2881,0" path="m1134,302l4014,302e" filled="false" stroked="true" strokeweight=".47998pt" strokecolor="#000000">
            <v:path arrowok="t"/>
            <v:stroke dashstyle="solid"/>
            <w10:wrap type="topAndBottom"/>
          </v:shape>
        </w:pict>
      </w:r>
    </w:p>
    <w:p>
      <w:pPr>
        <w:spacing w:line="186" w:lineRule="exact" w:before="51"/>
        <w:ind w:left="334" w:right="0" w:firstLine="0"/>
        <w:jc w:val="left"/>
        <w:rPr>
          <w:sz w:val="16"/>
        </w:rPr>
      </w:pPr>
      <w:r>
        <w:rPr>
          <w:position w:val="6"/>
          <w:sz w:val="10"/>
        </w:rPr>
        <w:t>32 </w:t>
      </w:r>
      <w:r>
        <w:rPr>
          <w:sz w:val="16"/>
        </w:rPr>
        <w:t>See </w:t>
      </w:r>
      <w:hyperlink r:id="rId38">
        <w:r>
          <w:rPr>
            <w:color w:val="0000FF"/>
            <w:sz w:val="16"/>
            <w:u w:val="single" w:color="0000FF"/>
          </w:rPr>
          <w:t>https://decisionmakerpanel.co.uk/</w:t>
        </w:r>
        <w:r>
          <w:rPr>
            <w:color w:val="0000FF"/>
            <w:sz w:val="16"/>
          </w:rPr>
          <w:t> </w:t>
        </w:r>
      </w:hyperlink>
      <w:r>
        <w:rPr>
          <w:sz w:val="16"/>
        </w:rPr>
        <w:t>and Bloom et al (2017) for information about the DMP dataset.</w:t>
      </w:r>
    </w:p>
    <w:p>
      <w:pPr>
        <w:spacing w:line="186" w:lineRule="exact" w:before="0"/>
        <w:ind w:left="334" w:right="0" w:firstLine="0"/>
        <w:jc w:val="left"/>
        <w:rPr>
          <w:sz w:val="16"/>
        </w:rPr>
      </w:pPr>
      <w:r>
        <w:rPr>
          <w:position w:val="6"/>
          <w:sz w:val="10"/>
        </w:rPr>
        <w:t>33 </w:t>
      </w:r>
      <w:r>
        <w:rPr>
          <w:sz w:val="16"/>
        </w:rPr>
        <w:t>Economically active individuals aged 16-30 as a share of economically active population.</w:t>
      </w:r>
    </w:p>
    <w:p>
      <w:pPr>
        <w:spacing w:after="0" w:line="186" w:lineRule="exact"/>
        <w:jc w:val="left"/>
        <w:rPr>
          <w:sz w:val="16"/>
        </w:rPr>
        <w:sectPr>
          <w:footerReference w:type="default" r:id="rId37"/>
          <w:pgSz w:w="11910" w:h="16840"/>
          <w:pgMar w:footer="1338" w:header="0" w:top="1460" w:bottom="1520" w:left="800" w:right="820"/>
          <w:pgNumType w:start="33"/>
        </w:sectPr>
      </w:pPr>
    </w:p>
    <w:p>
      <w:pPr>
        <w:pStyle w:val="Heading1"/>
        <w:spacing w:before="80"/>
      </w:pPr>
      <w:r>
        <w:rPr/>
        <w:t>References</w:t>
      </w:r>
    </w:p>
    <w:p>
      <w:pPr>
        <w:pStyle w:val="BodyText"/>
        <w:spacing w:before="2"/>
        <w:rPr>
          <w:b/>
        </w:rPr>
      </w:pPr>
    </w:p>
    <w:p>
      <w:pPr>
        <w:spacing w:before="1"/>
        <w:ind w:left="334" w:right="0" w:firstLine="0"/>
        <w:jc w:val="left"/>
        <w:rPr>
          <w:sz w:val="18"/>
        </w:rPr>
      </w:pPr>
      <w:r>
        <w:rPr>
          <w:b/>
          <w:sz w:val="18"/>
        </w:rPr>
        <w:t>Abel, W, Tenreyro, S and Thwaites, G (2018)</w:t>
      </w:r>
      <w:r>
        <w:rPr>
          <w:sz w:val="18"/>
        </w:rPr>
        <w:t>, ‘Monopsony in the UK’, 10 October 2018, available online.</w:t>
      </w:r>
    </w:p>
    <w:p>
      <w:pPr>
        <w:pStyle w:val="BodyText"/>
        <w:spacing w:before="4"/>
        <w:rPr>
          <w:sz w:val="23"/>
        </w:rPr>
      </w:pPr>
    </w:p>
    <w:p>
      <w:pPr>
        <w:spacing w:before="0"/>
        <w:ind w:left="334" w:right="0" w:firstLine="0"/>
        <w:jc w:val="left"/>
        <w:rPr>
          <w:sz w:val="18"/>
        </w:rPr>
      </w:pPr>
      <w:r>
        <w:rPr>
          <w:b/>
          <w:sz w:val="18"/>
        </w:rPr>
        <w:t>Allen, F and Gale, D (2000)</w:t>
      </w:r>
      <w:r>
        <w:rPr>
          <w:sz w:val="18"/>
        </w:rPr>
        <w:t>, “Financial Contagion”, </w:t>
      </w:r>
      <w:r>
        <w:rPr>
          <w:i/>
          <w:sz w:val="18"/>
        </w:rPr>
        <w:t>Journal of Political Economy</w:t>
      </w:r>
      <w:r>
        <w:rPr>
          <w:sz w:val="18"/>
        </w:rPr>
        <w:t>, Vol. 108, No. 1, pp. 1- 33.</w:t>
      </w:r>
    </w:p>
    <w:p>
      <w:pPr>
        <w:pStyle w:val="BodyText"/>
        <w:spacing w:before="6"/>
        <w:rPr>
          <w:sz w:val="23"/>
        </w:rPr>
      </w:pPr>
    </w:p>
    <w:p>
      <w:pPr>
        <w:spacing w:line="276" w:lineRule="auto" w:before="0"/>
        <w:ind w:left="334" w:right="431" w:firstLine="0"/>
        <w:jc w:val="left"/>
        <w:rPr>
          <w:sz w:val="18"/>
        </w:rPr>
      </w:pPr>
      <w:r>
        <w:rPr>
          <w:b/>
          <w:sz w:val="18"/>
        </w:rPr>
        <w:t>Autor, D (2014)</w:t>
      </w:r>
      <w:r>
        <w:rPr>
          <w:sz w:val="18"/>
        </w:rPr>
        <w:t>, ‘Education, and the Rise of Earnings Inequality Among the “Other 99 Percent”, </w:t>
      </w:r>
      <w:r>
        <w:rPr>
          <w:i/>
          <w:sz w:val="18"/>
        </w:rPr>
        <w:t>Science</w:t>
      </w:r>
      <w:r>
        <w:rPr>
          <w:sz w:val="18"/>
        </w:rPr>
        <w:t>, 23 May 2014, pp. 843-851.</w:t>
      </w:r>
    </w:p>
    <w:p>
      <w:pPr>
        <w:pStyle w:val="BodyText"/>
        <w:spacing w:before="8"/>
      </w:pPr>
    </w:p>
    <w:p>
      <w:pPr>
        <w:spacing w:line="276" w:lineRule="auto" w:before="0"/>
        <w:ind w:left="334" w:right="691" w:firstLine="0"/>
        <w:jc w:val="left"/>
        <w:rPr>
          <w:sz w:val="18"/>
        </w:rPr>
      </w:pPr>
      <w:r>
        <w:rPr>
          <w:b/>
          <w:sz w:val="18"/>
        </w:rPr>
        <w:t>Autor, D (2017)</w:t>
      </w:r>
      <w:r>
        <w:rPr>
          <w:sz w:val="18"/>
        </w:rPr>
        <w:t>, ‘Economic and political consequences of China’s rise for the United States: lessons from the China shock’, </w:t>
      </w:r>
      <w:r>
        <w:rPr>
          <w:i/>
          <w:sz w:val="18"/>
        </w:rPr>
        <w:t>IFS Annual Lecture 2017</w:t>
      </w:r>
      <w:r>
        <w:rPr>
          <w:sz w:val="18"/>
        </w:rPr>
        <w:t>, 22 June 2017.</w:t>
      </w:r>
    </w:p>
    <w:p>
      <w:pPr>
        <w:pStyle w:val="BodyText"/>
        <w:spacing w:before="8"/>
      </w:pPr>
    </w:p>
    <w:p>
      <w:pPr>
        <w:spacing w:line="276" w:lineRule="auto" w:before="0"/>
        <w:ind w:left="334" w:right="319" w:firstLine="0"/>
        <w:jc w:val="left"/>
        <w:rPr>
          <w:sz w:val="18"/>
        </w:rPr>
      </w:pPr>
      <w:r>
        <w:rPr>
          <w:b/>
          <w:sz w:val="18"/>
        </w:rPr>
        <w:t>Baldwin, R (2016)</w:t>
      </w:r>
      <w:r>
        <w:rPr>
          <w:sz w:val="18"/>
        </w:rPr>
        <w:t>, </w:t>
      </w:r>
      <w:r>
        <w:rPr>
          <w:i/>
          <w:sz w:val="18"/>
        </w:rPr>
        <w:t>The Great Convergence: Information Technology and the New Globalization</w:t>
      </w:r>
      <w:r>
        <w:rPr>
          <w:sz w:val="18"/>
        </w:rPr>
        <w:t>, Harvard University Press.</w:t>
      </w:r>
    </w:p>
    <w:p>
      <w:pPr>
        <w:pStyle w:val="BodyText"/>
        <w:spacing w:before="7"/>
      </w:pPr>
    </w:p>
    <w:p>
      <w:pPr>
        <w:spacing w:line="276" w:lineRule="auto" w:before="1"/>
        <w:ind w:left="334" w:right="642" w:firstLine="0"/>
        <w:jc w:val="left"/>
        <w:rPr>
          <w:sz w:val="18"/>
        </w:rPr>
      </w:pPr>
      <w:r>
        <w:rPr>
          <w:b/>
          <w:sz w:val="18"/>
        </w:rPr>
        <w:t>Bernard, A, Van Beveren, I and Vandenbussche, H (2014)</w:t>
      </w:r>
      <w:r>
        <w:rPr>
          <w:sz w:val="18"/>
        </w:rPr>
        <w:t>, ‘Multi-product exporters and the margins of trade’, </w:t>
      </w:r>
      <w:r>
        <w:rPr>
          <w:i/>
          <w:sz w:val="18"/>
        </w:rPr>
        <w:t>The </w:t>
      </w:r>
      <w:r>
        <w:rPr>
          <w:i/>
          <w:sz w:val="18"/>
        </w:rPr>
        <w:t>Japanese Economic Review</w:t>
      </w:r>
      <w:r>
        <w:rPr>
          <w:sz w:val="18"/>
        </w:rPr>
        <w:t>, Vol. 65, No. 2, pp. 142-157.</w:t>
      </w:r>
    </w:p>
    <w:p>
      <w:pPr>
        <w:pStyle w:val="BodyText"/>
        <w:spacing w:before="7"/>
      </w:pPr>
    </w:p>
    <w:p>
      <w:pPr>
        <w:spacing w:line="276" w:lineRule="auto" w:before="1"/>
        <w:ind w:left="334" w:right="1044" w:firstLine="0"/>
        <w:jc w:val="left"/>
        <w:rPr>
          <w:sz w:val="18"/>
        </w:rPr>
      </w:pPr>
      <w:r>
        <w:rPr>
          <w:b/>
          <w:sz w:val="18"/>
        </w:rPr>
        <w:t>Bloom, N, Bunn, P, Mizen, P, Smietanka, P, Thwaites, G and Young, G (2017)</w:t>
      </w:r>
      <w:r>
        <w:rPr>
          <w:sz w:val="18"/>
        </w:rPr>
        <w:t>, ‘Tracking the views of British businesses: evidence from the Decision Maker Panel’, </w:t>
      </w:r>
      <w:r>
        <w:rPr>
          <w:i/>
          <w:sz w:val="18"/>
        </w:rPr>
        <w:t>Bank of England Quarterly Bulletin</w:t>
      </w:r>
      <w:r>
        <w:rPr>
          <w:sz w:val="18"/>
        </w:rPr>
        <w:t>, 2017 Q2.</w:t>
      </w:r>
    </w:p>
    <w:p>
      <w:pPr>
        <w:pStyle w:val="BodyText"/>
        <w:spacing w:before="7"/>
      </w:pPr>
    </w:p>
    <w:p>
      <w:pPr>
        <w:spacing w:line="276" w:lineRule="auto" w:before="1"/>
        <w:ind w:left="334" w:right="1846" w:firstLine="0"/>
        <w:jc w:val="left"/>
        <w:rPr>
          <w:sz w:val="18"/>
        </w:rPr>
      </w:pPr>
      <w:r>
        <w:rPr>
          <w:b/>
          <w:sz w:val="18"/>
        </w:rPr>
        <w:t>Broadbent, B (2017)</w:t>
      </w:r>
      <w:r>
        <w:rPr>
          <w:sz w:val="18"/>
        </w:rPr>
        <w:t>, ‘Brexit and interest rates’, speech available at: </w:t>
      </w:r>
      <w:hyperlink r:id="rId40">
        <w:r>
          <w:rPr>
            <w:color w:val="0000FF"/>
            <w:sz w:val="18"/>
            <w:u w:val="single" w:color="0000FF"/>
          </w:rPr>
          <w:t>https://www.bankofengland.co.uk/speech/2017/ben-broadbent-speech-at-london-school-of-economics</w:t>
        </w:r>
      </w:hyperlink>
    </w:p>
    <w:p>
      <w:pPr>
        <w:pStyle w:val="BodyText"/>
        <w:spacing w:before="5"/>
        <w:rPr>
          <w:sz w:val="12"/>
        </w:rPr>
      </w:pPr>
    </w:p>
    <w:p>
      <w:pPr>
        <w:spacing w:line="276" w:lineRule="auto" w:before="95"/>
        <w:ind w:left="334" w:right="2345" w:firstLine="0"/>
        <w:jc w:val="left"/>
        <w:rPr>
          <w:sz w:val="18"/>
        </w:rPr>
      </w:pPr>
      <w:r>
        <w:rPr>
          <w:b/>
          <w:sz w:val="18"/>
        </w:rPr>
        <w:t>Carney, M (2019)</w:t>
      </w:r>
      <w:r>
        <w:rPr>
          <w:sz w:val="18"/>
        </w:rPr>
        <w:t>, ‘Sea Change’, speech available at: </w:t>
      </w:r>
      <w:hyperlink r:id="rId41">
        <w:r>
          <w:rPr>
            <w:color w:val="0000FF"/>
            <w:sz w:val="18"/>
            <w:u w:val="single" w:color="0000FF"/>
          </w:rPr>
          <w:t>https://www.bankofengland.co.uk/speech/2019/mark-carney-speech-bournemouth-regional-visit</w:t>
        </w:r>
      </w:hyperlink>
    </w:p>
    <w:p>
      <w:pPr>
        <w:pStyle w:val="BodyText"/>
        <w:spacing w:before="5"/>
        <w:rPr>
          <w:sz w:val="12"/>
        </w:rPr>
      </w:pPr>
    </w:p>
    <w:p>
      <w:pPr>
        <w:spacing w:before="94"/>
        <w:ind w:left="334" w:right="0" w:firstLine="0"/>
        <w:jc w:val="left"/>
        <w:rPr>
          <w:sz w:val="18"/>
        </w:rPr>
      </w:pPr>
      <w:r>
        <w:rPr>
          <w:b/>
          <w:sz w:val="18"/>
        </w:rPr>
        <w:t>Clarke, S (2017)</w:t>
      </w:r>
      <w:r>
        <w:rPr>
          <w:sz w:val="18"/>
        </w:rPr>
        <w:t>, ‘The Get a Move on? The decline in regional job-to-job moves and its impact on productivity and pay’,</w:t>
      </w:r>
    </w:p>
    <w:p>
      <w:pPr>
        <w:spacing w:before="32"/>
        <w:ind w:left="334" w:right="0" w:firstLine="0"/>
        <w:jc w:val="left"/>
        <w:rPr>
          <w:sz w:val="18"/>
        </w:rPr>
      </w:pPr>
      <w:r>
        <w:rPr>
          <w:i/>
          <w:sz w:val="18"/>
        </w:rPr>
        <w:t>Resolution Foundation</w:t>
      </w:r>
      <w:r>
        <w:rPr>
          <w:sz w:val="18"/>
        </w:rPr>
        <w:t>.</w:t>
      </w:r>
    </w:p>
    <w:p>
      <w:pPr>
        <w:pStyle w:val="BodyText"/>
        <w:spacing w:before="1"/>
        <w:rPr>
          <w:sz w:val="23"/>
        </w:rPr>
      </w:pPr>
    </w:p>
    <w:p>
      <w:pPr>
        <w:spacing w:before="0"/>
        <w:ind w:left="334" w:right="0" w:firstLine="0"/>
        <w:jc w:val="left"/>
        <w:rPr>
          <w:sz w:val="12"/>
        </w:rPr>
      </w:pPr>
      <w:r>
        <w:rPr>
          <w:b/>
          <w:sz w:val="18"/>
        </w:rPr>
        <w:t>Datta, N, Giupponi, G and Machin, S (2018)</w:t>
      </w:r>
      <w:r>
        <w:rPr>
          <w:sz w:val="18"/>
        </w:rPr>
        <w:t>, ‘Zero Hours Contracts and Labour Market Policy’, paper for the 68</w:t>
      </w:r>
      <w:r>
        <w:rPr>
          <w:position w:val="6"/>
          <w:sz w:val="12"/>
        </w:rPr>
        <w:t>th</w:t>
      </w:r>
    </w:p>
    <w:p>
      <w:pPr>
        <w:spacing w:before="33"/>
        <w:ind w:left="334" w:right="0" w:firstLine="0"/>
        <w:jc w:val="left"/>
        <w:rPr>
          <w:sz w:val="18"/>
        </w:rPr>
      </w:pPr>
      <w:r>
        <w:rPr>
          <w:i/>
          <w:sz w:val="18"/>
        </w:rPr>
        <w:t>Economic Policy Panel Meeting</w:t>
      </w:r>
      <w:r>
        <w:rPr>
          <w:sz w:val="18"/>
        </w:rPr>
        <w:t>, Vienna, 4-5 October 2018.</w:t>
      </w:r>
    </w:p>
    <w:p>
      <w:pPr>
        <w:pStyle w:val="BodyText"/>
        <w:spacing w:before="2"/>
        <w:rPr>
          <w:sz w:val="23"/>
        </w:rPr>
      </w:pPr>
    </w:p>
    <w:p>
      <w:pPr>
        <w:spacing w:line="278" w:lineRule="auto" w:before="0"/>
        <w:ind w:left="334" w:right="319" w:firstLine="0"/>
        <w:jc w:val="left"/>
        <w:rPr>
          <w:sz w:val="18"/>
        </w:rPr>
      </w:pPr>
      <w:r>
        <w:rPr>
          <w:b/>
          <w:sz w:val="18"/>
        </w:rPr>
        <w:t>El-Erian, M (2016)</w:t>
      </w:r>
      <w:r>
        <w:rPr>
          <w:sz w:val="18"/>
        </w:rPr>
        <w:t>, </w:t>
      </w:r>
      <w:r>
        <w:rPr>
          <w:i/>
          <w:sz w:val="18"/>
        </w:rPr>
        <w:t>The Only Game in Town: Central Banks, Instability, and Avoiding the Next Collapse</w:t>
      </w:r>
      <w:r>
        <w:rPr>
          <w:sz w:val="18"/>
        </w:rPr>
        <w:t>, Penguin Random House.</w:t>
      </w:r>
    </w:p>
    <w:p>
      <w:pPr>
        <w:pStyle w:val="BodyText"/>
        <w:spacing w:before="4"/>
      </w:pPr>
    </w:p>
    <w:p>
      <w:pPr>
        <w:spacing w:line="278" w:lineRule="auto" w:before="0"/>
        <w:ind w:left="334" w:right="1814" w:firstLine="0"/>
        <w:jc w:val="left"/>
        <w:rPr>
          <w:sz w:val="18"/>
        </w:rPr>
      </w:pPr>
      <w:r>
        <w:rPr>
          <w:b/>
          <w:sz w:val="18"/>
        </w:rPr>
        <w:t>Haldane, A (2018)</w:t>
      </w:r>
      <w:r>
        <w:rPr>
          <w:sz w:val="18"/>
        </w:rPr>
        <w:t>, ‘Ideas and Institutions’, speech available at: </w:t>
      </w:r>
      <w:hyperlink r:id="rId42">
        <w:r>
          <w:rPr>
            <w:color w:val="0000FF"/>
            <w:w w:val="95"/>
            <w:sz w:val="18"/>
            <w:u w:val="single" w:color="0000FF"/>
          </w:rPr>
          <w:t>https://www.bankofengland.co.uk/speech/2018/andy-haldane-speech-given-at-the-oxford-guild-society</w:t>
        </w:r>
      </w:hyperlink>
    </w:p>
    <w:p>
      <w:pPr>
        <w:pStyle w:val="BodyText"/>
        <w:spacing w:before="2"/>
        <w:rPr>
          <w:sz w:val="12"/>
        </w:rPr>
      </w:pPr>
    </w:p>
    <w:p>
      <w:pPr>
        <w:spacing w:before="94"/>
        <w:ind w:left="334" w:right="0" w:firstLine="0"/>
        <w:jc w:val="left"/>
        <w:rPr>
          <w:sz w:val="18"/>
        </w:rPr>
      </w:pPr>
      <w:r>
        <w:rPr>
          <w:b/>
          <w:sz w:val="18"/>
        </w:rPr>
        <w:t>Haldane, A and May, R (2011)</w:t>
      </w:r>
      <w:r>
        <w:rPr>
          <w:sz w:val="18"/>
        </w:rPr>
        <w:t>, ‘Systemic risk in banking ecosystems’, </w:t>
      </w:r>
      <w:r>
        <w:rPr>
          <w:i/>
          <w:sz w:val="18"/>
        </w:rPr>
        <w:t>Nature</w:t>
      </w:r>
      <w:r>
        <w:rPr>
          <w:sz w:val="18"/>
        </w:rPr>
        <w:t>, Vol. 469, pp.</w:t>
      </w:r>
      <w:r>
        <w:rPr>
          <w:spacing w:val="-24"/>
          <w:sz w:val="18"/>
        </w:rPr>
        <w:t> </w:t>
      </w:r>
      <w:r>
        <w:rPr>
          <w:sz w:val="18"/>
        </w:rPr>
        <w:t>351-355.</w:t>
      </w:r>
    </w:p>
    <w:p>
      <w:pPr>
        <w:pStyle w:val="BodyText"/>
        <w:spacing w:before="5"/>
        <w:rPr>
          <w:sz w:val="23"/>
        </w:rPr>
      </w:pPr>
    </w:p>
    <w:p>
      <w:pPr>
        <w:spacing w:line="276" w:lineRule="auto" w:before="0"/>
        <w:ind w:left="334" w:right="552" w:firstLine="0"/>
        <w:jc w:val="left"/>
        <w:rPr>
          <w:sz w:val="18"/>
        </w:rPr>
      </w:pPr>
      <w:r>
        <w:rPr>
          <w:b/>
          <w:sz w:val="18"/>
        </w:rPr>
        <w:t>Mas, A and Pallais, A (2017)</w:t>
      </w:r>
      <w:r>
        <w:rPr>
          <w:sz w:val="18"/>
        </w:rPr>
        <w:t>, ‘Valuing Alternative Work Arrangements’, </w:t>
      </w:r>
      <w:r>
        <w:rPr>
          <w:i/>
          <w:sz w:val="18"/>
        </w:rPr>
        <w:t>American Economic Review</w:t>
      </w:r>
      <w:r>
        <w:rPr>
          <w:sz w:val="18"/>
        </w:rPr>
        <w:t>, Vol. 107, No. 2, pp. 3722-3759.</w:t>
      </w:r>
    </w:p>
    <w:p>
      <w:pPr>
        <w:pStyle w:val="BodyText"/>
        <w:spacing w:before="8"/>
      </w:pPr>
    </w:p>
    <w:p>
      <w:pPr>
        <w:spacing w:before="0"/>
        <w:ind w:left="334" w:right="0" w:firstLine="0"/>
        <w:jc w:val="left"/>
        <w:rPr>
          <w:sz w:val="18"/>
        </w:rPr>
      </w:pPr>
      <w:r>
        <w:rPr>
          <w:b/>
          <w:sz w:val="18"/>
        </w:rPr>
        <w:t>Melosi, L and Faccini, R (2019)</w:t>
      </w:r>
      <w:r>
        <w:rPr>
          <w:sz w:val="18"/>
        </w:rPr>
        <w:t>, ‘Bad Jobs and Low Inflation’, </w:t>
      </w:r>
      <w:r>
        <w:rPr>
          <w:i/>
          <w:sz w:val="18"/>
        </w:rPr>
        <w:t>CEPR Discussion Paper Series</w:t>
      </w:r>
      <w:r>
        <w:rPr>
          <w:sz w:val="18"/>
        </w:rPr>
        <w:t>, DP13628.</w:t>
      </w:r>
    </w:p>
    <w:p>
      <w:pPr>
        <w:pStyle w:val="BodyText"/>
        <w:spacing w:before="5"/>
        <w:rPr>
          <w:sz w:val="23"/>
        </w:rPr>
      </w:pPr>
    </w:p>
    <w:p>
      <w:pPr>
        <w:spacing w:line="276" w:lineRule="auto" w:before="0"/>
        <w:ind w:left="334" w:right="612" w:firstLine="0"/>
        <w:jc w:val="left"/>
        <w:rPr>
          <w:sz w:val="18"/>
        </w:rPr>
      </w:pPr>
      <w:r>
        <w:rPr>
          <w:b/>
          <w:sz w:val="18"/>
        </w:rPr>
        <w:t>Moscarini, G and Postel-Vinay (2016)</w:t>
      </w:r>
      <w:r>
        <w:rPr>
          <w:sz w:val="18"/>
        </w:rPr>
        <w:t>, ‘Wage Posting and Business Cycles’, </w:t>
      </w:r>
      <w:r>
        <w:rPr>
          <w:i/>
          <w:sz w:val="18"/>
        </w:rPr>
        <w:t>American Economic Review</w:t>
      </w:r>
      <w:r>
        <w:rPr>
          <w:sz w:val="18"/>
        </w:rPr>
        <w:t>, Vol. 106, No. 5, pp. 208-213.</w:t>
      </w:r>
    </w:p>
    <w:p>
      <w:pPr>
        <w:pStyle w:val="BodyText"/>
        <w:spacing w:before="8"/>
      </w:pPr>
    </w:p>
    <w:p>
      <w:pPr>
        <w:spacing w:before="0"/>
        <w:ind w:left="334" w:right="0" w:firstLine="0"/>
        <w:jc w:val="left"/>
        <w:rPr>
          <w:sz w:val="18"/>
        </w:rPr>
      </w:pPr>
      <w:r>
        <w:rPr>
          <w:b/>
          <w:sz w:val="18"/>
        </w:rPr>
        <w:t>Moscarini, G and Postel-Vinay (2018)</w:t>
      </w:r>
      <w:r>
        <w:rPr>
          <w:sz w:val="18"/>
        </w:rPr>
        <w:t>, ‘The Cyclical Job Ladder’, </w:t>
      </w:r>
      <w:r>
        <w:rPr>
          <w:i/>
          <w:sz w:val="18"/>
        </w:rPr>
        <w:t>Annual Review of Economics</w:t>
      </w:r>
      <w:r>
        <w:rPr>
          <w:sz w:val="18"/>
        </w:rPr>
        <w:t>, Vol. 10, pp. 165-188.</w:t>
      </w:r>
    </w:p>
    <w:p>
      <w:pPr>
        <w:pStyle w:val="BodyText"/>
        <w:spacing w:before="4"/>
        <w:rPr>
          <w:sz w:val="23"/>
        </w:rPr>
      </w:pPr>
    </w:p>
    <w:p>
      <w:pPr>
        <w:spacing w:line="276" w:lineRule="auto" w:before="1"/>
        <w:ind w:left="334" w:right="561" w:firstLine="0"/>
        <w:jc w:val="left"/>
        <w:rPr>
          <w:sz w:val="18"/>
        </w:rPr>
      </w:pPr>
      <w:r>
        <w:rPr>
          <w:b/>
          <w:sz w:val="18"/>
        </w:rPr>
        <w:t>Phillips, AW (1958)</w:t>
      </w:r>
      <w:r>
        <w:rPr>
          <w:sz w:val="18"/>
        </w:rPr>
        <w:t>, ‘The Relationship between Unemployment and the Rate of Change of Money Wage Rates in the United Kingdom, 1861-1957’, </w:t>
      </w:r>
      <w:r>
        <w:rPr>
          <w:i/>
          <w:sz w:val="18"/>
        </w:rPr>
        <w:t>Economica</w:t>
      </w:r>
      <w:r>
        <w:rPr>
          <w:sz w:val="18"/>
        </w:rPr>
        <w:t>, Vol. 25, pp. 283-99.</w:t>
      </w:r>
    </w:p>
    <w:p>
      <w:pPr>
        <w:pStyle w:val="BodyText"/>
        <w:spacing w:before="8"/>
      </w:pPr>
    </w:p>
    <w:p>
      <w:pPr>
        <w:spacing w:before="0"/>
        <w:ind w:left="334" w:right="0" w:firstLine="0"/>
        <w:jc w:val="left"/>
        <w:rPr>
          <w:sz w:val="18"/>
        </w:rPr>
      </w:pPr>
      <w:r>
        <w:rPr>
          <w:b/>
          <w:sz w:val="18"/>
        </w:rPr>
        <w:t>Pissarides, C (2000)</w:t>
      </w:r>
      <w:r>
        <w:rPr>
          <w:sz w:val="18"/>
        </w:rPr>
        <w:t>, </w:t>
      </w:r>
      <w:r>
        <w:rPr>
          <w:i/>
          <w:sz w:val="18"/>
        </w:rPr>
        <w:t>Equilibrium Unemployment Theory</w:t>
      </w:r>
      <w:r>
        <w:rPr>
          <w:sz w:val="18"/>
        </w:rPr>
        <w:t>, MIT Press.</w:t>
      </w:r>
    </w:p>
    <w:p>
      <w:pPr>
        <w:pStyle w:val="BodyText"/>
        <w:spacing w:before="5"/>
        <w:rPr>
          <w:sz w:val="23"/>
        </w:rPr>
      </w:pPr>
    </w:p>
    <w:p>
      <w:pPr>
        <w:spacing w:before="0"/>
        <w:ind w:left="334" w:right="0" w:firstLine="0"/>
        <w:jc w:val="left"/>
        <w:rPr>
          <w:sz w:val="18"/>
        </w:rPr>
      </w:pPr>
      <w:r>
        <w:rPr>
          <w:b/>
          <w:sz w:val="18"/>
        </w:rPr>
        <w:t>Taylor, M (2017)</w:t>
      </w:r>
      <w:r>
        <w:rPr>
          <w:sz w:val="18"/>
        </w:rPr>
        <w:t>, ‘Good work: the Taylor review of modern working practices’, report published on 11 July 2017.</w:t>
      </w:r>
    </w:p>
    <w:p>
      <w:pPr>
        <w:spacing w:after="0"/>
        <w:jc w:val="left"/>
        <w:rPr>
          <w:sz w:val="18"/>
        </w:rPr>
        <w:sectPr>
          <w:footerReference w:type="default" r:id="rId39"/>
          <w:pgSz w:w="11910" w:h="16840"/>
          <w:pgMar w:footer="1338" w:header="0" w:top="1340" w:bottom="1520" w:left="800" w:right="820"/>
          <w:pgNumType w:start="34"/>
        </w:sectPr>
      </w:pPr>
    </w:p>
    <w:p>
      <w:pPr>
        <w:spacing w:before="76"/>
        <w:ind w:left="334" w:right="0" w:firstLine="0"/>
        <w:jc w:val="left"/>
        <w:rPr>
          <w:sz w:val="18"/>
        </w:rPr>
      </w:pPr>
      <w:r>
        <w:rPr>
          <w:b/>
          <w:sz w:val="18"/>
        </w:rPr>
        <w:t>Tomlinson, D (2018)</w:t>
      </w:r>
      <w:r>
        <w:rPr>
          <w:sz w:val="18"/>
        </w:rPr>
        <w:t>, ‘Irregular payments: Assessing the breadth and depth of month to month earnings volatility’,</w:t>
      </w:r>
    </w:p>
    <w:p>
      <w:pPr>
        <w:spacing w:before="33"/>
        <w:ind w:left="334" w:right="0" w:firstLine="0"/>
        <w:jc w:val="left"/>
        <w:rPr>
          <w:sz w:val="18"/>
        </w:rPr>
      </w:pPr>
      <w:r>
        <w:rPr>
          <w:i/>
          <w:sz w:val="18"/>
        </w:rPr>
        <w:t>Resolution Foundation</w:t>
      </w:r>
      <w:r>
        <w:rPr>
          <w:sz w:val="18"/>
        </w:rPr>
        <w:t>, October 2018.</w:t>
      </w:r>
    </w:p>
    <w:p>
      <w:pPr>
        <w:pStyle w:val="BodyText"/>
        <w:spacing w:before="2"/>
        <w:rPr>
          <w:sz w:val="23"/>
        </w:rPr>
      </w:pPr>
    </w:p>
    <w:p>
      <w:pPr>
        <w:spacing w:line="278" w:lineRule="auto" w:before="0"/>
        <w:ind w:left="334" w:right="1758" w:firstLine="0"/>
        <w:jc w:val="left"/>
        <w:rPr>
          <w:sz w:val="18"/>
        </w:rPr>
      </w:pPr>
      <w:r>
        <w:rPr>
          <w:b/>
          <w:sz w:val="18"/>
        </w:rPr>
        <w:t>Vlieghe, G (2019)</w:t>
      </w:r>
      <w:r>
        <w:rPr>
          <w:sz w:val="18"/>
        </w:rPr>
        <w:t>, ‘Continuous Improvements in Communicating Monetary Policy’, speech available at </w:t>
      </w:r>
      <w:hyperlink r:id="rId43">
        <w:r>
          <w:rPr>
            <w:color w:val="0000FF"/>
            <w:sz w:val="18"/>
            <w:u w:val="single" w:color="0000FF"/>
          </w:rPr>
          <w:t>https://www.bankofengland.co.uk/speech/2019/gertjan-vlieghe-thomson-reuters</w:t>
        </w:r>
      </w:hyperlink>
    </w:p>
    <w:p>
      <w:pPr>
        <w:pStyle w:val="BodyText"/>
        <w:spacing w:before="3"/>
        <w:rPr>
          <w:sz w:val="12"/>
        </w:rPr>
      </w:pPr>
    </w:p>
    <w:p>
      <w:pPr>
        <w:spacing w:line="276" w:lineRule="auto" w:before="95"/>
        <w:ind w:left="334" w:right="943" w:firstLine="0"/>
        <w:jc w:val="left"/>
        <w:rPr>
          <w:sz w:val="18"/>
        </w:rPr>
      </w:pPr>
      <w:r>
        <w:rPr>
          <w:b/>
          <w:sz w:val="18"/>
        </w:rPr>
        <w:t>Wales, P, Black, R, Dolby, T and Awano, G (2018)</w:t>
      </w:r>
      <w:r>
        <w:rPr>
          <w:sz w:val="18"/>
        </w:rPr>
        <w:t>, ‘UK trade in goods and productivity: New findings’, </w:t>
      </w:r>
      <w:r>
        <w:rPr>
          <w:i/>
          <w:sz w:val="18"/>
        </w:rPr>
        <w:t>ESCoE </w:t>
      </w:r>
      <w:r>
        <w:rPr>
          <w:i/>
          <w:sz w:val="18"/>
        </w:rPr>
        <w:t>Discussion Paper</w:t>
      </w:r>
      <w:r>
        <w:rPr>
          <w:sz w:val="18"/>
        </w:rPr>
        <w:t>, July 2018.</w:t>
      </w:r>
    </w:p>
    <w:p>
      <w:pPr>
        <w:pStyle w:val="BodyText"/>
        <w:spacing w:before="7"/>
      </w:pPr>
    </w:p>
    <w:p>
      <w:pPr>
        <w:spacing w:line="276" w:lineRule="auto" w:before="1"/>
        <w:ind w:left="334" w:right="701" w:firstLine="0"/>
        <w:jc w:val="left"/>
        <w:rPr>
          <w:sz w:val="18"/>
        </w:rPr>
      </w:pPr>
      <w:r>
        <w:rPr>
          <w:b/>
          <w:sz w:val="18"/>
        </w:rPr>
        <w:t>Watts, D (2002)</w:t>
      </w:r>
      <w:r>
        <w:rPr>
          <w:sz w:val="18"/>
        </w:rPr>
        <w:t>, ‘A simple model of global cascades on random networks’, </w:t>
      </w:r>
      <w:r>
        <w:rPr>
          <w:i/>
          <w:sz w:val="18"/>
        </w:rPr>
        <w:t>Proceedings of the National Academy of </w:t>
      </w:r>
      <w:r>
        <w:rPr>
          <w:i/>
          <w:sz w:val="18"/>
        </w:rPr>
        <w:t>Sciences</w:t>
      </w:r>
      <w:r>
        <w:rPr>
          <w:sz w:val="18"/>
        </w:rPr>
        <w:t>, Vol. 9, pp. 5766-5771.</w:t>
      </w:r>
    </w:p>
    <w:sectPr>
      <w:pgSz w:w="11910" w:h="16840"/>
      <w:pgMar w:header="0" w:footer="1338" w:top="1580" w:bottom="1520" w:left="80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4547968"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380005pt;margin-top:760.256592pt;width:2.6pt;height:3.15pt;mso-position-horizontal-relative:page;mso-position-vertical-relative:page;z-index:-254546944" type="#_x0000_t202" filled="false" stroked="false">
          <v:textbox inset="0,0,0,0">
            <w:txbxContent>
              <w:p>
                <w:pPr>
                  <w:pStyle w:val="BodyText"/>
                  <w:rPr>
                    <w:rFonts w:ascii="Times New Roman"/>
                    <w:sz w:val="2"/>
                  </w:rPr>
                </w:pPr>
              </w:p>
              <w:p>
                <w:pPr>
                  <w:spacing w:before="0"/>
                  <w:ind w:left="0" w:right="0" w:firstLine="0"/>
                  <w:jc w:val="center"/>
                  <w:rPr>
                    <w:sz w:val="2"/>
                  </w:rPr>
                </w:pPr>
                <w:r>
                  <w:rPr>
                    <w:w w:val="101"/>
                    <w:sz w:val="2"/>
                  </w:rPr>
                  <w:t>1</w:t>
                </w:r>
              </w:p>
            </w:txbxContent>
          </v:textbox>
          <w10:wrap type="none"/>
        </v:shape>
      </w:pict>
    </w:r>
    <w:r>
      <w:rPr/>
      <w:pict>
        <v:shape style="position:absolute;margin-left:43.34pt;margin-top:771.969116pt;width:323.8pt;height:13.2pt;mso-position-horizontal-relative:page;mso-position-vertical-relative:page;z-index:-254545920"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4512128"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451110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23</w:t>
                </w:r>
                <w:r>
                  <w:rPr/>
                  <w:fldChar w:fldCharType="end"/>
                </w:r>
              </w:p>
            </w:txbxContent>
          </v:textbox>
          <w10:wrap type="none"/>
        </v:shape>
      </w:pict>
    </w:r>
    <w:r>
      <w:rPr/>
      <w:pict>
        <v:shape style="position:absolute;margin-left:43.34pt;margin-top:771.969116pt;width:323.850pt;height:13.2pt;mso-position-horizontal-relative:page;mso-position-vertical-relative:page;z-index:-254510080"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09131pt;width:13.2pt;height:13.2pt;mso-position-horizontal-relative:page;mso-position-vertical-relative:page;z-index:-254509056" type="#_x0000_t202" filled="false" stroked="false">
          <v:textbox inset="0,0,0,0">
            <w:txbxContent>
              <w:p>
                <w:pPr>
                  <w:pStyle w:val="BodyText"/>
                  <w:spacing w:before="14"/>
                  <w:ind w:left="20"/>
                </w:pPr>
                <w:r>
                  <w:rPr/>
                  <w:t>23</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4508032"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450700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26</w:t>
                </w:r>
                <w:r>
                  <w:rPr/>
                  <w:fldChar w:fldCharType="end"/>
                </w:r>
              </w:p>
            </w:txbxContent>
          </v:textbox>
          <w10:wrap type="none"/>
        </v:shape>
      </w:pict>
    </w:r>
    <w:r>
      <w:rPr/>
      <w:pict>
        <v:shape style="position:absolute;margin-left:43.34pt;margin-top:771.969116pt;width:323.850pt;height:13.2pt;mso-position-horizontal-relative:page;mso-position-vertical-relative:page;z-index:-254505984"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09131pt;width:13.2pt;height:13.2pt;mso-position-horizontal-relative:page;mso-position-vertical-relative:page;z-index:-254504960" type="#_x0000_t202" filled="false" stroked="false">
          <v:textbox inset="0,0,0,0">
            <w:txbxContent>
              <w:p>
                <w:pPr>
                  <w:pStyle w:val="BodyText"/>
                  <w:spacing w:before="14"/>
                  <w:ind w:left="20"/>
                </w:pPr>
                <w:r>
                  <w:rPr/>
                  <w:t>26</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4503936"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450291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27</w:t>
                </w:r>
                <w:r>
                  <w:rPr/>
                  <w:fldChar w:fldCharType="end"/>
                </w:r>
              </w:p>
            </w:txbxContent>
          </v:textbox>
          <w10:wrap type="none"/>
        </v:shape>
      </w:pict>
    </w:r>
    <w:r>
      <w:rPr/>
      <w:pict>
        <v:shape style="position:absolute;margin-left:43.34pt;margin-top:771.969116pt;width:323.850pt;height:13.2pt;mso-position-horizontal-relative:page;mso-position-vertical-relative:page;z-index:-254501888"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09131pt;width:13.2pt;height:13.2pt;mso-position-horizontal-relative:page;mso-position-vertical-relative:page;z-index:-254500864" type="#_x0000_t202" filled="false" stroked="false">
          <v:textbox inset="0,0,0,0">
            <w:txbxContent>
              <w:p>
                <w:pPr>
                  <w:pStyle w:val="BodyText"/>
                  <w:spacing w:before="14"/>
                  <w:ind w:left="20"/>
                </w:pPr>
                <w:r>
                  <w:rPr/>
                  <w:t>27</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4499840"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449881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33</w:t>
                </w:r>
                <w:r>
                  <w:rPr/>
                  <w:fldChar w:fldCharType="end"/>
                </w:r>
              </w:p>
            </w:txbxContent>
          </v:textbox>
          <w10:wrap type="none"/>
        </v:shape>
      </w:pict>
    </w:r>
    <w:r>
      <w:rPr/>
      <w:pict>
        <v:shape style="position:absolute;margin-left:43.34pt;margin-top:771.969116pt;width:323.850pt;height:13.2pt;mso-position-horizontal-relative:page;mso-position-vertical-relative:page;z-index:-254497792"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09131pt;width:13.2pt;height:13.2pt;mso-position-horizontal-relative:page;mso-position-vertical-relative:page;z-index:-254496768" type="#_x0000_t202" filled="false" stroked="false">
          <v:textbox inset="0,0,0,0">
            <w:txbxContent>
              <w:p>
                <w:pPr>
                  <w:pStyle w:val="BodyText"/>
                  <w:spacing w:before="14"/>
                  <w:ind w:left="20"/>
                </w:pPr>
                <w:r>
                  <w:rPr/>
                  <w:t>33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4495744"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449472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34</w:t>
                </w:r>
                <w:r>
                  <w:rPr/>
                  <w:fldChar w:fldCharType="end"/>
                </w:r>
              </w:p>
            </w:txbxContent>
          </v:textbox>
          <w10:wrap type="none"/>
        </v:shape>
      </w:pict>
    </w:r>
    <w:r>
      <w:rPr/>
      <w:pict>
        <v:shape style="position:absolute;margin-left:43.34pt;margin-top:771.969116pt;width:323.850pt;height:13.2pt;mso-position-horizontal-relative:page;mso-position-vertical-relative:page;z-index:-254493696"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09131pt;width:13.2pt;height:13.2pt;mso-position-horizontal-relative:page;mso-position-vertical-relative:page;z-index:-254492672" type="#_x0000_t202" filled="false" stroked="false">
          <v:textbox inset="0,0,0,0">
            <w:txbxContent>
              <w:p>
                <w:pPr>
                  <w:pStyle w:val="BodyText"/>
                  <w:spacing w:before="14"/>
                  <w:ind w:left="20"/>
                </w:pPr>
                <w:r>
                  <w:rPr/>
                  <w:t>34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4544896"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4543872"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43.34pt;margin-top:771.969116pt;width:323.850pt;height:13.2pt;mso-position-horizontal-relative:page;mso-position-vertical-relative:page;z-index:-254542848"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400024pt;margin-top:773.109131pt;width:7.6pt;height:13.2pt;mso-position-horizontal-relative:page;mso-position-vertical-relative:page;z-index:-254541824"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4540800"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4539776" type="#_x0000_t202" filled="false" stroked="false">
          <v:textbox inset="0,0,0,0">
            <w:txbxContent>
              <w:p>
                <w:pPr>
                  <w:pStyle w:val="BodyText"/>
                  <w:rPr>
                    <w:sz w:val="2"/>
                  </w:rPr>
                </w:pPr>
              </w:p>
              <w:p>
                <w:pPr>
                  <w:spacing w:before="0"/>
                  <w:ind w:left="0" w:right="0" w:firstLine="0"/>
                  <w:jc w:val="center"/>
                  <w:rPr>
                    <w:sz w:val="2"/>
                  </w:rPr>
                </w:pPr>
                <w:r>
                  <w:rPr>
                    <w:w w:val="101"/>
                    <w:sz w:val="2"/>
                  </w:rPr>
                  <w:t>3</w:t>
                </w:r>
              </w:p>
            </w:txbxContent>
          </v:textbox>
          <w10:wrap type="none"/>
        </v:shape>
      </w:pict>
    </w:r>
    <w:r>
      <w:rPr/>
      <w:pict>
        <v:shape style="position:absolute;margin-left:43.34pt;margin-top:771.969116pt;width:323.850pt;height:13.2pt;mso-position-horizontal-relative:page;mso-position-vertical-relative:page;z-index:-254538752"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400024pt;margin-top:773.109131pt;width:7.6pt;height:13.2pt;mso-position-horizontal-relative:page;mso-position-vertical-relative:page;z-index:-254537728"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4536704"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45356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4</w:t>
                </w:r>
                <w:r>
                  <w:rPr/>
                  <w:fldChar w:fldCharType="end"/>
                </w:r>
              </w:p>
            </w:txbxContent>
          </v:textbox>
          <w10:wrap type="none"/>
        </v:shape>
      </w:pict>
    </w:r>
    <w:r>
      <w:rPr/>
      <w:pict>
        <v:shape style="position:absolute;margin-left:43.34pt;margin-top:771.969116pt;width:323.850pt;height:13.2pt;mso-position-horizontal-relative:page;mso-position-vertical-relative:page;z-index:-254534656"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400024pt;margin-top:773.109131pt;width:7.6pt;height:13.2pt;mso-position-horizontal-relative:page;mso-position-vertical-relative:page;z-index:-254533632"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4532608"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453158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pt;margin-top:771.969116pt;width:323.850pt;height:13.2pt;mso-position-horizontal-relative:page;mso-position-vertical-relative:page;z-index:-254530560"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09131pt;width:13.2pt;height:13.2pt;mso-position-horizontal-relative:page;mso-position-vertical-relative:page;z-index:-254529536" type="#_x0000_t202" filled="false" stroked="false">
          <v:textbox inset="0,0,0,0">
            <w:txbxContent>
              <w:p>
                <w:pPr>
                  <w:pStyle w:val="BodyText"/>
                  <w:spacing w:before="14"/>
                  <w:ind w:left="20"/>
                </w:pPr>
                <w:r>
                  <w:rPr/>
                  <w:t>10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4528512"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452748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34pt;margin-top:771.969116pt;width:323.850pt;height:13.2pt;mso-position-horizontal-relative:page;mso-position-vertical-relative:page;z-index:-254526464"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09131pt;width:13.2pt;height:13.2pt;mso-position-horizontal-relative:page;mso-position-vertical-relative:page;z-index:-254525440" type="#_x0000_t202" filled="false" stroked="false">
          <v:textbox inset="0,0,0,0">
            <w:txbxContent>
              <w:p>
                <w:pPr>
                  <w:pStyle w:val="BodyText"/>
                  <w:spacing w:before="14"/>
                  <w:ind w:left="20"/>
                </w:pPr>
                <w:r>
                  <w:rPr/>
                  <w:t>12</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4524416"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452339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34pt;margin-top:771.969116pt;width:323.850pt;height:13.2pt;mso-position-horizontal-relative:page;mso-position-vertical-relative:page;z-index:-254522368"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09131pt;width:13.2pt;height:13.2pt;mso-position-horizontal-relative:page;mso-position-vertical-relative:page;z-index:-254521344" type="#_x0000_t202" filled="false" stroked="false">
          <v:textbox inset="0,0,0,0">
            <w:txbxContent>
              <w:p>
                <w:pPr>
                  <w:pStyle w:val="BodyText"/>
                  <w:spacing w:before="14"/>
                  <w:ind w:left="20"/>
                </w:pPr>
                <w:r>
                  <w:rPr/>
                  <w:t>13</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4520320"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451929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18</w:t>
                </w:r>
                <w:r>
                  <w:rPr/>
                  <w:fldChar w:fldCharType="end"/>
                </w:r>
              </w:p>
            </w:txbxContent>
          </v:textbox>
          <w10:wrap type="none"/>
        </v:shape>
      </w:pict>
    </w:r>
    <w:r>
      <w:rPr/>
      <w:pict>
        <v:shape style="position:absolute;margin-left:43.34pt;margin-top:771.969116pt;width:323.850pt;height:13.2pt;mso-position-horizontal-relative:page;mso-position-vertical-relative:page;z-index:-254518272"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09131pt;width:13.2pt;height:13.2pt;mso-position-horizontal-relative:page;mso-position-vertical-relative:page;z-index:-254517248" type="#_x0000_t202" filled="false" stroked="false">
          <v:textbox inset="0,0,0,0">
            <w:txbxContent>
              <w:p>
                <w:pPr>
                  <w:pStyle w:val="BodyText"/>
                  <w:spacing w:before="14"/>
                  <w:ind w:left="20"/>
                </w:pPr>
                <w:r>
                  <w:rPr/>
                  <w:t>18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4516224"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451520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22</w:t>
                </w:r>
                <w:r>
                  <w:rPr/>
                  <w:fldChar w:fldCharType="end"/>
                </w:r>
              </w:p>
            </w:txbxContent>
          </v:textbox>
          <w10:wrap type="none"/>
        </v:shape>
      </w:pict>
    </w:r>
    <w:r>
      <w:rPr/>
      <w:pict>
        <v:shape style="position:absolute;margin-left:43.34pt;margin-top:771.969116pt;width:323.850pt;height:13.2pt;mso-position-horizontal-relative:page;mso-position-vertical-relative:page;z-index:-254514176"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09131pt;width:13.2pt;height:13.2pt;mso-position-horizontal-relative:page;mso-position-vertical-relative:page;z-index:-254513152" type="#_x0000_t202" filled="false" stroked="false">
          <v:textbox inset="0,0,0,0">
            <w:txbxContent>
              <w:p>
                <w:pPr>
                  <w:pStyle w:val="BodyText"/>
                  <w:spacing w:before="14"/>
                  <w:ind w:left="20"/>
                </w:pPr>
                <w:r>
                  <w:rPr/>
                  <w:t>22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760" w:hanging="426"/>
        <w:jc w:val="left"/>
      </w:pPr>
      <w:rPr>
        <w:rFonts w:hint="default" w:ascii="Arial" w:hAnsi="Arial" w:eastAsia="Arial" w:cs="Arial"/>
        <w:i/>
        <w:w w:val="100"/>
        <w:sz w:val="20"/>
        <w:szCs w:val="20"/>
        <w:lang w:val="en-gb" w:eastAsia="en-gb" w:bidi="en-gb"/>
      </w:rPr>
    </w:lvl>
    <w:lvl w:ilvl="1">
      <w:start w:val="0"/>
      <w:numFmt w:val="bullet"/>
      <w:lvlText w:val="•"/>
      <w:lvlJc w:val="left"/>
      <w:pPr>
        <w:ind w:left="860" w:hanging="426"/>
      </w:pPr>
      <w:rPr>
        <w:rFonts w:hint="default"/>
        <w:lang w:val="en-gb" w:eastAsia="en-gb" w:bidi="en-gb"/>
      </w:rPr>
    </w:lvl>
    <w:lvl w:ilvl="2">
      <w:start w:val="0"/>
      <w:numFmt w:val="bullet"/>
      <w:lvlText w:val="•"/>
      <w:lvlJc w:val="left"/>
      <w:pPr>
        <w:ind w:left="1907" w:hanging="426"/>
      </w:pPr>
      <w:rPr>
        <w:rFonts w:hint="default"/>
        <w:lang w:val="en-gb" w:eastAsia="en-gb" w:bidi="en-gb"/>
      </w:rPr>
    </w:lvl>
    <w:lvl w:ilvl="3">
      <w:start w:val="0"/>
      <w:numFmt w:val="bullet"/>
      <w:lvlText w:val="•"/>
      <w:lvlJc w:val="left"/>
      <w:pPr>
        <w:ind w:left="2954" w:hanging="426"/>
      </w:pPr>
      <w:rPr>
        <w:rFonts w:hint="default"/>
        <w:lang w:val="en-gb" w:eastAsia="en-gb" w:bidi="en-gb"/>
      </w:rPr>
    </w:lvl>
    <w:lvl w:ilvl="4">
      <w:start w:val="0"/>
      <w:numFmt w:val="bullet"/>
      <w:lvlText w:val="•"/>
      <w:lvlJc w:val="left"/>
      <w:pPr>
        <w:ind w:left="4002" w:hanging="426"/>
      </w:pPr>
      <w:rPr>
        <w:rFonts w:hint="default"/>
        <w:lang w:val="en-gb" w:eastAsia="en-gb" w:bidi="en-gb"/>
      </w:rPr>
    </w:lvl>
    <w:lvl w:ilvl="5">
      <w:start w:val="0"/>
      <w:numFmt w:val="bullet"/>
      <w:lvlText w:val="•"/>
      <w:lvlJc w:val="left"/>
      <w:pPr>
        <w:ind w:left="5049" w:hanging="426"/>
      </w:pPr>
      <w:rPr>
        <w:rFonts w:hint="default"/>
        <w:lang w:val="en-gb" w:eastAsia="en-gb" w:bidi="en-gb"/>
      </w:rPr>
    </w:lvl>
    <w:lvl w:ilvl="6">
      <w:start w:val="0"/>
      <w:numFmt w:val="bullet"/>
      <w:lvlText w:val="•"/>
      <w:lvlJc w:val="left"/>
      <w:pPr>
        <w:ind w:left="6096" w:hanging="426"/>
      </w:pPr>
      <w:rPr>
        <w:rFonts w:hint="default"/>
        <w:lang w:val="en-gb" w:eastAsia="en-gb" w:bidi="en-gb"/>
      </w:rPr>
    </w:lvl>
    <w:lvl w:ilvl="7">
      <w:start w:val="0"/>
      <w:numFmt w:val="bullet"/>
      <w:lvlText w:val="•"/>
      <w:lvlJc w:val="left"/>
      <w:pPr>
        <w:ind w:left="7144" w:hanging="426"/>
      </w:pPr>
      <w:rPr>
        <w:rFonts w:hint="default"/>
        <w:lang w:val="en-gb" w:eastAsia="en-gb" w:bidi="en-gb"/>
      </w:rPr>
    </w:lvl>
    <w:lvl w:ilvl="8">
      <w:start w:val="0"/>
      <w:numFmt w:val="bullet"/>
      <w:lvlText w:val="•"/>
      <w:lvlJc w:val="left"/>
      <w:pPr>
        <w:ind w:left="8191" w:hanging="426"/>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334"/>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spacing w:before="80"/>
      <w:ind w:left="760" w:hanging="426"/>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s://www.bbc.co.uk/news/business-48365241"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s://www.tuc.org.uk/news/two-thirds-zero-hours-workers-want-jobs-guaranteed-hours-tuc-polling-reveals" TargetMode="External"/><Relationship Id="rId16" Type="http://schemas.openxmlformats.org/officeDocument/2006/relationships/hyperlink" Target="https://www.tuc.org.uk/news/1-9-workers-are-insecure-jobs-says-tuc" TargetMode="External"/><Relationship Id="rId17" Type="http://schemas.openxmlformats.org/officeDocument/2006/relationships/hyperlink" Target="https://www.bankofengland.co.uk/events/2018/november/townhall-blog-scotland-november-2018" TargetMode="Externa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footer" Target="footer8.xml"/><Relationship Id="rId29" Type="http://schemas.openxmlformats.org/officeDocument/2006/relationships/footer" Target="footer9.xml"/><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image" Target="media/image13.jpeg"/><Relationship Id="rId33" Type="http://schemas.openxmlformats.org/officeDocument/2006/relationships/image" Target="media/image14.jpeg"/><Relationship Id="rId34" Type="http://schemas.openxmlformats.org/officeDocument/2006/relationships/footer" Target="footer12.xml"/><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footer" Target="footer13.xml"/><Relationship Id="rId38" Type="http://schemas.openxmlformats.org/officeDocument/2006/relationships/hyperlink" Target="https://decisionmakerpanel.co.uk/" TargetMode="External"/><Relationship Id="rId39" Type="http://schemas.openxmlformats.org/officeDocument/2006/relationships/footer" Target="footer14.xml"/><Relationship Id="rId40" Type="http://schemas.openxmlformats.org/officeDocument/2006/relationships/hyperlink" Target="https://www.bankofengland.co.uk/speech/2017/ben-broadbent-speech-at-london-school-of-economics" TargetMode="External"/><Relationship Id="rId41" Type="http://schemas.openxmlformats.org/officeDocument/2006/relationships/hyperlink" Target="https://www.bankofengland.co.uk/speech/2019/mark-carney-speech-bournemouth-regional-visit" TargetMode="External"/><Relationship Id="rId42" Type="http://schemas.openxmlformats.org/officeDocument/2006/relationships/hyperlink" Target="https://www.bankofengland.co.uk/speech/2018/andy-haldane-speech-given-at-the-oxford-guild-society" TargetMode="External"/><Relationship Id="rId43" Type="http://schemas.openxmlformats.org/officeDocument/2006/relationships/hyperlink" Target="https://www.bankofengland.co.uk/speech/2019/gertjan-vlieghe-thomson-reuters" TargetMode="External"/><Relationship Id="rId4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Andy Haldane at Glanford Park Stadium, Scunthorpe, on Tuesday 23 July 2019</dc:title>
  <dcterms:created xsi:type="dcterms:W3CDTF">2020-06-02T17:20:23Z</dcterms:created>
  <dcterms:modified xsi:type="dcterms:W3CDTF">2020-06-02T17:20:23Z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2019-07-23T00:00:00Z</vt:filetime>
  </property>
  <property fmtid="{D5CDD505-2E9C-101B-9397-08002B2CF9AE}" pid="3" name="LastSaved">
    <vt:filetime>2020-06-02T00:00:00Z</vt:filetime>
  </property>
</Properties>
</file>