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Override PartName="/word/footer2.xml" ContentType="application/vnd.openxmlformats-officedocument.wordprocessingml.footer+xml"/>
  <Default Extension="png" ContentType="image/png"/>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56"/>
        <w:rPr>
          <w:rFonts w:ascii="Times New Roman"/>
        </w:rPr>
      </w:pPr>
      <w:r>
        <w:rPr>
          <w:rFonts w:ascii="Times New Roman"/>
        </w:rPr>
        <w:drawing>
          <wp:inline distT="0" distB="0" distL="0" distR="0">
            <wp:extent cx="2326444" cy="1234440"/>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6" cstate="print"/>
                    <a:stretch>
                      <a:fillRect/>
                    </a:stretch>
                  </pic:blipFill>
                  <pic:spPr>
                    <a:xfrm>
                      <a:off x="0" y="0"/>
                      <a:ext cx="2326444" cy="1234440"/>
                    </a:xfrm>
                    <a:prstGeom prst="rect">
                      <a:avLst/>
                    </a:prstGeom>
                  </pic:spPr>
                </pic:pic>
              </a:graphicData>
            </a:graphic>
          </wp:inline>
        </w:drawing>
      </w:r>
      <w:r>
        <w:rPr>
          <w:rFonts w:ascii="Times New Roman"/>
        </w:rPr>
      </w:r>
    </w:p>
    <w:p>
      <w:pPr>
        <w:pStyle w:val="BodyText"/>
        <w:spacing w:before="9"/>
        <w:rPr>
          <w:rFonts w:ascii="Times New Roman"/>
          <w:sz w:val="10"/>
        </w:rPr>
      </w:pPr>
    </w:p>
    <w:p>
      <w:pPr>
        <w:pStyle w:val="BodyText"/>
        <w:spacing w:line="30" w:lineRule="exact"/>
        <w:ind w:left="95"/>
        <w:rPr>
          <w:rFonts w:ascii="Times New Roman"/>
          <w:sz w:val="3"/>
        </w:rPr>
      </w:pPr>
      <w:r>
        <w:rPr>
          <w:rFonts w:ascii="Times New Roman"/>
          <w:position w:val="0"/>
          <w:sz w:val="3"/>
        </w:rPr>
        <w:pict>
          <v:group style="width:488.4pt;height:1.45pt;mso-position-horizontal-relative:char;mso-position-vertical-relative:line" coordorigin="0,0" coordsize="9768,29">
            <v:line style="position:absolute" from="0,14" to="7219,14" stroked="true" strokeweight="1.44pt" strokecolor="#000000">
              <v:stroke dashstyle="solid"/>
            </v:line>
            <v:rect style="position:absolute;left:7204;top:0;width:29;height:29" filled="true" fillcolor="#000000" stroked="false">
              <v:fill type="solid"/>
            </v:rect>
            <v:line style="position:absolute" from="7233,14" to="9768,14" stroked="true" strokeweight="1.44pt" strokecolor="#000000">
              <v:stroke dashstyle="solid"/>
            </v:line>
          </v:group>
        </w:pict>
      </w:r>
      <w:r>
        <w:rPr>
          <w:rFonts w:ascii="Times New Roman"/>
          <w:position w:val="0"/>
          <w:sz w:val="3"/>
        </w:rPr>
      </w:r>
    </w:p>
    <w:p>
      <w:pPr>
        <w:pStyle w:val="BodyText"/>
        <w:rPr>
          <w:rFonts w:ascii="Times New Roman"/>
        </w:rPr>
      </w:pPr>
    </w:p>
    <w:p>
      <w:pPr>
        <w:pStyle w:val="BodyText"/>
        <w:spacing w:before="7"/>
        <w:rPr>
          <w:rFonts w:ascii="Times New Roman"/>
          <w:sz w:val="15"/>
        </w:rPr>
      </w:pPr>
    </w:p>
    <w:p>
      <w:pPr>
        <w:spacing w:before="89"/>
        <w:ind w:left="233" w:right="0" w:firstLine="0"/>
        <w:jc w:val="left"/>
        <w:rPr>
          <w:b/>
          <w:sz w:val="32"/>
        </w:rPr>
      </w:pPr>
      <w:r>
        <w:rPr>
          <w:b/>
          <w:color w:val="6A709F"/>
          <w:sz w:val="32"/>
        </w:rPr>
        <w:t>Conditional guidance as a response to supply uncertainty</w:t>
      </w:r>
    </w:p>
    <w:p>
      <w:pPr>
        <w:spacing w:before="281"/>
        <w:ind w:left="233" w:right="0" w:firstLine="0"/>
        <w:jc w:val="left"/>
        <w:rPr>
          <w:sz w:val="24"/>
        </w:rPr>
      </w:pPr>
      <w:r>
        <w:rPr>
          <w:sz w:val="24"/>
        </w:rPr>
        <w:t>Speech given by</w:t>
      </w:r>
    </w:p>
    <w:p>
      <w:pPr>
        <w:spacing w:before="137"/>
        <w:ind w:left="233" w:right="0" w:firstLine="0"/>
        <w:jc w:val="left"/>
        <w:rPr>
          <w:sz w:val="24"/>
        </w:rPr>
      </w:pPr>
      <w:r>
        <w:rPr>
          <w:sz w:val="24"/>
        </w:rPr>
        <w:t>Ben Broadbent, External Member of the Monetary Policy Committee, Bank of England</w:t>
      </w:r>
    </w:p>
    <w:p>
      <w:pPr>
        <w:pStyle w:val="BodyText"/>
        <w:rPr>
          <w:sz w:val="26"/>
        </w:rPr>
      </w:pPr>
    </w:p>
    <w:p>
      <w:pPr>
        <w:pStyle w:val="BodyText"/>
        <w:rPr>
          <w:sz w:val="22"/>
        </w:rPr>
      </w:pPr>
    </w:p>
    <w:p>
      <w:pPr>
        <w:spacing w:line="360" w:lineRule="auto" w:before="0"/>
        <w:ind w:left="233" w:right="5513" w:firstLine="0"/>
        <w:jc w:val="left"/>
        <w:rPr>
          <w:sz w:val="24"/>
        </w:rPr>
      </w:pPr>
      <w:r>
        <w:rPr>
          <w:sz w:val="24"/>
        </w:rPr>
        <w:t>At the London Business School, Regents Park Monday 23 September 2013</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1"/>
        <w:rPr>
          <w:sz w:val="28"/>
        </w:rPr>
      </w:pPr>
    </w:p>
    <w:p>
      <w:pPr>
        <w:pStyle w:val="BodyText"/>
        <w:spacing w:before="93"/>
        <w:ind w:left="233" w:right="1454"/>
      </w:pPr>
      <w:r>
        <w:rPr/>
        <w:t>I would like to thank Alina Barnett, Adrian Chiu and David Barkshire for research assistance, and I am also grateful for helpful comments from other colleagues, especially Spencer Dale, Gabor Pinter,</w:t>
      </w:r>
    </w:p>
    <w:p>
      <w:pPr>
        <w:pStyle w:val="BodyText"/>
        <w:ind w:left="233" w:right="1454"/>
      </w:pPr>
      <w:r>
        <w:rPr/>
        <w:t>Matt Waldron and Martin Weale. The views expressed are my own and do not necessarily reflect those of the Bank of England or other members of the Monetary Policy Committee.</w:t>
      </w:r>
    </w:p>
    <w:p>
      <w:pPr>
        <w:spacing w:after="0"/>
        <w:sectPr>
          <w:footerReference w:type="default" r:id="rId5"/>
          <w:type w:val="continuous"/>
          <w:pgSz w:w="11910" w:h="16840"/>
          <w:pgMar w:footer="1338" w:top="1180" w:bottom="1520" w:left="900" w:right="320"/>
          <w:pgNumType w:start="1"/>
        </w:sectPr>
      </w:pPr>
    </w:p>
    <w:p>
      <w:pPr>
        <w:pStyle w:val="Heading1"/>
        <w:spacing w:before="127"/>
      </w:pPr>
      <w:r>
        <w:rPr/>
        <w:t>Conditional guidance as a response to supply uncertainty</w:t>
      </w:r>
    </w:p>
    <w:p>
      <w:pPr>
        <w:pStyle w:val="BodyText"/>
        <w:spacing w:before="7"/>
        <w:rPr>
          <w:b/>
          <w:sz w:val="29"/>
        </w:rPr>
      </w:pPr>
    </w:p>
    <w:p>
      <w:pPr>
        <w:pStyle w:val="BodyText"/>
        <w:spacing w:line="360" w:lineRule="auto" w:before="1"/>
        <w:ind w:left="233" w:right="970"/>
      </w:pPr>
      <w:r>
        <w:rPr/>
        <w:t>The economy is growing. It’s hard to say exactly how fast it’s growing. Official third-quarter GDP estimates aren’t published for another month and will be subject to significant revision for some time afterwards. But what output data we do have for the quarter are strong</w:t>
      </w:r>
      <w:r>
        <w:rPr>
          <w:vertAlign w:val="superscript"/>
        </w:rPr>
        <w:t>1</w:t>
      </w:r>
      <w:r>
        <w:rPr>
          <w:vertAlign w:val="baseline"/>
        </w:rPr>
        <w:t>. And if you take survey readings as a guide – the red line in Chart 1 is a weighted average of the sectoral CIPS surveys – they suggest output in the market sector of the economy is expanding at an annualised rate of 5% or so. This may be an over-estimate. But the economy has clearly picked up significantly faster than the majority of forecasts (including those of the MPC) made last year</w:t>
      </w:r>
      <w:r>
        <w:rPr>
          <w:vertAlign w:val="superscript"/>
        </w:rPr>
        <w:t>2</w:t>
      </w:r>
      <w:r>
        <w:rPr>
          <w:vertAlign w:val="baseline"/>
        </w:rPr>
        <w:t>.</w:t>
      </w:r>
    </w:p>
    <w:p>
      <w:pPr>
        <w:pStyle w:val="BodyText"/>
        <w:spacing w:before="3"/>
        <w:rPr>
          <w:sz w:val="21"/>
        </w:rPr>
      </w:pPr>
    </w:p>
    <w:p>
      <w:pPr>
        <w:spacing w:after="0"/>
        <w:rPr>
          <w:sz w:val="21"/>
        </w:rPr>
        <w:sectPr>
          <w:footerReference w:type="default" r:id="rId7"/>
          <w:pgSz w:w="11910" w:h="16840"/>
          <w:pgMar w:footer="1338" w:header="0" w:top="1580" w:bottom="1520" w:left="900" w:right="320"/>
          <w:pgNumType w:start="2"/>
        </w:sectPr>
      </w:pPr>
    </w:p>
    <w:p>
      <w:pPr>
        <w:pStyle w:val="Heading1"/>
        <w:spacing w:line="357" w:lineRule="auto"/>
        <w:ind w:right="19"/>
      </w:pPr>
      <w:r>
        <w:rPr/>
        <w:t>Chart 1: Surveys suggest significant pick-up in growth</w:t>
      </w:r>
    </w:p>
    <w:p>
      <w:pPr>
        <w:spacing w:line="357" w:lineRule="auto" w:before="93"/>
        <w:ind w:left="233" w:right="390" w:firstLine="0"/>
        <w:jc w:val="left"/>
        <w:rPr>
          <w:b/>
          <w:sz w:val="20"/>
        </w:rPr>
      </w:pPr>
      <w:r>
        <w:rPr/>
        <w:br w:type="column"/>
      </w:r>
      <w:r>
        <w:rPr>
          <w:b/>
          <w:sz w:val="20"/>
        </w:rPr>
        <w:t>Chart 2: Follows large drop in banks’ funding costs through second half of 2012</w:t>
      </w:r>
      <w:r>
        <w:rPr>
          <w:b/>
          <w:sz w:val="20"/>
          <w:vertAlign w:val="superscript"/>
        </w:rPr>
        <w:t>(a)</w:t>
      </w:r>
    </w:p>
    <w:p>
      <w:pPr>
        <w:spacing w:after="0" w:line="357" w:lineRule="auto"/>
        <w:jc w:val="left"/>
        <w:rPr>
          <w:sz w:val="20"/>
        </w:rPr>
        <w:sectPr>
          <w:type w:val="continuous"/>
          <w:pgSz w:w="11910" w:h="16840"/>
          <w:pgMar w:top="1180" w:bottom="1520" w:left="900" w:right="320"/>
          <w:cols w:num="2" w:equalWidth="0">
            <w:col w:w="4740" w:space="428"/>
            <w:col w:w="5522"/>
          </w:cols>
        </w:sectPr>
      </w:pPr>
    </w:p>
    <w:p>
      <w:pPr>
        <w:tabs>
          <w:tab w:pos="6166" w:val="left" w:leader="none"/>
          <w:tab w:pos="6530" w:val="left" w:leader="none"/>
          <w:tab w:pos="7467" w:val="left" w:leader="none"/>
          <w:tab w:pos="8389" w:val="left" w:leader="none"/>
        </w:tabs>
        <w:spacing w:line="238" w:lineRule="exact" w:before="75"/>
        <w:ind w:left="1084" w:right="0" w:firstLine="0"/>
        <w:jc w:val="left"/>
        <w:rPr>
          <w:rFonts w:ascii="Calibri"/>
          <w:sz w:val="16"/>
        </w:rPr>
      </w:pPr>
      <w:r>
        <w:rPr/>
        <w:pict>
          <v:line style="position:absolute;mso-position-horizontal-relative:page;mso-position-vertical-relative:paragraph;z-index:251661312" from="81.155304pt,12.709475pt" to="97.507028pt,12.709475pt" stroked="true" strokeweight="1.885522pt" strokecolor="#497dba">
            <v:stroke dashstyle="solid"/>
            <w10:wrap type="none"/>
          </v:line>
        </w:pict>
      </w:r>
      <w:r>
        <w:rPr/>
        <w:pict>
          <v:line style="position:absolute;mso-position-horizontal-relative:page;mso-position-vertical-relative:paragraph;z-index:-252686336" from="400.125946pt,11.024605pt" to="416.141968pt,11.024605pt" stroked="true" strokeweight="1.919677pt" strokecolor="#993366">
            <v:stroke dashstyle="solid"/>
            <w10:wrap type="none"/>
          </v:line>
        </w:pict>
      </w:r>
      <w:r>
        <w:rPr/>
        <w:pict>
          <v:line style="position:absolute;mso-position-horizontal-relative:page;mso-position-vertical-relative:paragraph;z-index:-252685312" from="446.268646pt,11.024605pt" to="462.28894pt,11.024605pt" stroked="true" strokeweight="1.919677pt" strokecolor="#c00000">
            <v:stroke dashstyle="solid"/>
            <w10:wrap type="none"/>
          </v:line>
        </w:pict>
      </w:r>
      <w:r>
        <w:rPr>
          <w:rFonts w:ascii="Calibri"/>
          <w:w w:val="105"/>
          <w:sz w:val="16"/>
        </w:rPr>
        <w:t>Combined CIPS &amp; CBI Dist. Trades (LHS, lagged</w:t>
      </w:r>
      <w:r>
        <w:rPr>
          <w:rFonts w:ascii="Calibri"/>
          <w:spacing w:val="-21"/>
          <w:w w:val="105"/>
          <w:sz w:val="16"/>
        </w:rPr>
        <w:t> </w:t>
      </w:r>
      <w:r>
        <w:rPr>
          <w:rFonts w:ascii="Calibri"/>
          <w:spacing w:val="2"/>
          <w:w w:val="105"/>
          <w:sz w:val="16"/>
        </w:rPr>
        <w:t>1Q)</w:t>
      </w:r>
      <w:r>
        <w:rPr>
          <w:rFonts w:ascii="Calibri"/>
          <w:spacing w:val="-9"/>
          <w:w w:val="105"/>
          <w:sz w:val="16"/>
        </w:rPr>
        <w:t> </w:t>
      </w:r>
      <w:r>
        <w:rPr>
          <w:rFonts w:ascii="Calibri"/>
          <w:spacing w:val="2"/>
          <w:w w:val="105"/>
          <w:position w:val="9"/>
          <w:sz w:val="15"/>
        </w:rPr>
        <w:t>(a)</w:t>
        <w:tab/>
      </w:r>
      <w:r>
        <w:rPr>
          <w:rFonts w:ascii="Calibri"/>
          <w:spacing w:val="2"/>
          <w:w w:val="105"/>
          <w:position w:val="9"/>
          <w:sz w:val="15"/>
          <w:u w:val="thick" w:color="3366FF"/>
        </w:rPr>
        <w:t> </w:t>
        <w:tab/>
      </w:r>
      <w:r>
        <w:rPr>
          <w:rFonts w:ascii="Calibri"/>
          <w:spacing w:val="-3"/>
          <w:w w:val="105"/>
          <w:position w:val="4"/>
          <w:sz w:val="16"/>
        </w:rPr>
        <w:t>UK</w:t>
        <w:tab/>
        <w:t>US</w:t>
        <w:tab/>
      </w:r>
      <w:r>
        <w:rPr>
          <w:rFonts w:ascii="Calibri"/>
          <w:w w:val="105"/>
          <w:position w:val="4"/>
          <w:sz w:val="16"/>
        </w:rPr>
        <w:t>Euroarea</w:t>
      </w:r>
    </w:p>
    <w:p>
      <w:pPr>
        <w:spacing w:before="73"/>
        <w:ind w:left="550" w:right="795" w:firstLine="0"/>
        <w:jc w:val="center"/>
        <w:rPr>
          <w:rFonts w:ascii="Calibri"/>
          <w:sz w:val="16"/>
        </w:rPr>
      </w:pPr>
      <w:r>
        <w:rPr/>
        <w:br w:type="column"/>
      </w:r>
      <w:r>
        <w:rPr>
          <w:rFonts w:ascii="Calibri"/>
          <w:w w:val="105"/>
          <w:sz w:val="16"/>
        </w:rPr>
        <w:t>bps</w:t>
      </w:r>
    </w:p>
    <w:p>
      <w:pPr>
        <w:spacing w:after="0"/>
        <w:jc w:val="center"/>
        <w:rPr>
          <w:rFonts w:ascii="Calibri"/>
          <w:sz w:val="16"/>
        </w:rPr>
        <w:sectPr>
          <w:type w:val="continuous"/>
          <w:pgSz w:w="11910" w:h="16840"/>
          <w:pgMar w:top="1180" w:bottom="1520" w:left="900" w:right="320"/>
          <w:cols w:num="2" w:equalWidth="0">
            <w:col w:w="9021" w:space="40"/>
            <w:col w:w="1629"/>
          </w:cols>
        </w:sectPr>
      </w:pPr>
    </w:p>
    <w:p>
      <w:pPr>
        <w:tabs>
          <w:tab w:pos="1084" w:val="left" w:leader="none"/>
          <w:tab w:pos="4678" w:val="left" w:leader="none"/>
        </w:tabs>
        <w:spacing w:line="218" w:lineRule="auto" w:before="0"/>
        <w:ind w:left="292" w:right="0" w:firstLine="0"/>
        <w:jc w:val="left"/>
        <w:rPr>
          <w:rFonts w:ascii="Calibri"/>
          <w:b/>
          <w:sz w:val="16"/>
        </w:rPr>
      </w:pPr>
      <w:r>
        <w:rPr/>
        <w:pict>
          <v:group style="position:absolute;margin-left:73.608353pt;margin-top:7.243438pt;width:210.1pt;height:155.25pt;mso-position-horizontal-relative:page;mso-position-vertical-relative:paragraph;z-index:-252689408" coordorigin="1472,145" coordsize="4202,3105">
            <v:shape style="position:absolute;left:367;top:6829;width:5011;height:3570" coordorigin="367,6830" coordsize="5011,3570" path="m1522,1660l5623,1660m1522,1660l1522,1710m2013,1660l2013,1710m2491,1660l2491,1710m2969,1660l2969,1710m3447,1660l3447,1710m3938,1660l3938,1710m4416,1660l4416,1710m4894,1660l4894,1710m5372,1660l5372,1710m5623,3243l5623,252m5623,3243l5673,3243m5623,2891l5673,2891m5623,2539l5673,2539m5623,2187l5673,2187m5623,1836l5673,1836m5623,1484l5673,1484m5623,1132l5673,1132m5623,780l5673,780m5623,428l5673,428m1522,3243l1522,252m1472,3243l1522,3243m1472,2640l1522,2640m1472,2049l1522,2049m1472,1446l1522,1446m1472,843l1522,843m1472,252l1522,252e" filled="false" stroked="true" strokeweight=".62871pt" strokecolor="#858585">
              <v:path arrowok="t"/>
              <v:stroke dashstyle="solid"/>
            </v:shape>
            <v:shape style="position:absolute;left:1698;top:440;width:3887;height:2577" coordorigin="1699,440" coordsize="3887,2577" path="m1699,440l1761,918,1812,893,1875,805,1938,1081,2000,1458,2051,2037,2114,1748,2177,1094,2239,968,2302,943,2353,1031,2416,968,2478,1056,2541,1119,2592,1069,2655,1509,2717,1672,2780,1949,2831,1496,2893,1169,2956,1358,3019,1320,3070,1697,3132,1572,3195,1069,3258,893,3309,843,3372,880,3434,1132,3497,1132,3548,1245,3611,1308,3673,1295,3736,1232,3787,1157,3850,943,3912,1094,3975,843,4026,931,4089,956,4151,931,4214,1433,4277,1572,4328,1898,4390,2313,4453,3017,4516,2879,4567,1949,4629,1546,4692,1194,4755,1220,4805,1119,4868,1396,4931,1408,4994,1144,5044,1358,5107,1546,5170,1597,5233,1282,5283,1509,5346,1660,5409,1697,5472,1634,5522,1345,5585,729e" filled="false" stroked="true" strokeweight="1.885893pt" strokecolor="#497dba">
              <v:path arrowok="t"/>
              <v:stroke dashstyle="solid"/>
            </v:shape>
            <v:shape style="position:absolute;left:547;top:6724;width:4606;height:3525" coordorigin="547,6725" coordsize="4606,3525" path="m1636,717l1699,729,1761,641,1824,843,1875,905,1938,956,2000,1006,2063,1144,2114,1282,2177,1119,2239,1094,2302,843,2365,604,2416,830,2478,1018,2541,1069,2604,1295,2655,1282,2717,1333,2780,1484,2843,1458,2906,1320,2956,1157,3019,1081,3082,868,3145,830,3208,729,3258,729,3321,931,3384,1169,3447,1282,3497,1282,3560,1106,3623,943,3686,805,3749,843,3799,993,3862,1081,3925,1169,3988,1069,4038,893,4101,692,4164,868,4227,1069,4290,1471,4340,2074,4403,2539,4466,3080,4529,3118,4579,2841,4642,2326,4705,1634,4768,1257,4831,1081,4881,1245,4944,1245,5007,1345,5070,1345,5133,1308,5183,1471,5246,1710,5309,1710,5372,1722,5422,1647,5485,1370m1623,164l1950,164e" filled="false" stroked="true" strokeweight="1.88613pt" strokecolor="#bd4a47">
              <v:path arrowok="t"/>
              <v:stroke dashstyle="solid"/>
            </v:shape>
            <w10:wrap type="none"/>
          </v:group>
        </w:pict>
      </w:r>
      <w:r>
        <w:rPr>
          <w:rFonts w:ascii="Calibri"/>
          <w:spacing w:val="2"/>
          <w:w w:val="105"/>
          <w:position w:val="-8"/>
          <w:sz w:val="16"/>
        </w:rPr>
        <w:t>63</w:t>
        <w:tab/>
      </w:r>
      <w:r>
        <w:rPr>
          <w:rFonts w:ascii="Calibri"/>
          <w:w w:val="105"/>
          <w:sz w:val="16"/>
        </w:rPr>
        <w:t>Market sector GDP</w:t>
      </w:r>
      <w:r>
        <w:rPr>
          <w:rFonts w:ascii="Calibri"/>
          <w:spacing w:val="-17"/>
          <w:w w:val="105"/>
          <w:sz w:val="16"/>
        </w:rPr>
        <w:t> </w:t>
      </w:r>
      <w:r>
        <w:rPr>
          <w:rFonts w:ascii="Calibri"/>
          <w:w w:val="105"/>
          <w:sz w:val="16"/>
        </w:rPr>
        <w:t>growth</w:t>
      </w:r>
      <w:r>
        <w:rPr>
          <w:rFonts w:ascii="Calibri"/>
          <w:spacing w:val="5"/>
          <w:w w:val="105"/>
          <w:sz w:val="16"/>
        </w:rPr>
        <w:t> </w:t>
      </w:r>
      <w:r>
        <w:rPr>
          <w:rFonts w:ascii="Calibri"/>
          <w:w w:val="105"/>
          <w:sz w:val="16"/>
        </w:rPr>
        <w:t>(RHS)</w:t>
        <w:tab/>
      </w:r>
      <w:r>
        <w:rPr>
          <w:rFonts w:ascii="Calibri"/>
          <w:b/>
          <w:w w:val="105"/>
          <w:position w:val="7"/>
          <w:sz w:val="16"/>
        </w:rPr>
        <w:t>%</w:t>
      </w:r>
    </w:p>
    <w:p>
      <w:pPr>
        <w:spacing w:line="185" w:lineRule="exact" w:before="0"/>
        <w:ind w:left="4882" w:right="0" w:firstLine="0"/>
        <w:jc w:val="left"/>
        <w:rPr>
          <w:rFonts w:ascii="Calibri"/>
          <w:sz w:val="16"/>
        </w:rPr>
      </w:pPr>
      <w:r>
        <w:rPr>
          <w:rFonts w:ascii="Calibri"/>
          <w:w w:val="102"/>
          <w:sz w:val="16"/>
        </w:rPr>
        <w:t>7</w:t>
      </w:r>
    </w:p>
    <w:p>
      <w:pPr>
        <w:tabs>
          <w:tab w:pos="4882" w:val="left" w:leader="none"/>
        </w:tabs>
        <w:spacing w:before="136"/>
        <w:ind w:left="292" w:right="0" w:firstLine="0"/>
        <w:jc w:val="left"/>
        <w:rPr>
          <w:rFonts w:ascii="Calibri"/>
          <w:sz w:val="16"/>
        </w:rPr>
      </w:pPr>
      <w:r>
        <w:rPr>
          <w:rFonts w:ascii="Calibri"/>
          <w:spacing w:val="2"/>
          <w:sz w:val="16"/>
        </w:rPr>
        <w:t>58</w:t>
        <w:tab/>
      </w:r>
      <w:r>
        <w:rPr>
          <w:rFonts w:ascii="Calibri"/>
          <w:position w:val="7"/>
          <w:sz w:val="16"/>
        </w:rPr>
        <w:t>5</w:t>
      </w:r>
    </w:p>
    <w:p>
      <w:pPr>
        <w:spacing w:before="87"/>
        <w:ind w:left="4882" w:right="0" w:firstLine="0"/>
        <w:jc w:val="left"/>
        <w:rPr>
          <w:rFonts w:ascii="Calibri"/>
          <w:sz w:val="16"/>
        </w:rPr>
      </w:pPr>
      <w:r>
        <w:rPr>
          <w:rFonts w:ascii="Calibri"/>
          <w:w w:val="102"/>
          <w:sz w:val="16"/>
        </w:rPr>
        <w:t>3</w:t>
      </w:r>
    </w:p>
    <w:p>
      <w:pPr>
        <w:tabs>
          <w:tab w:pos="4882" w:val="left" w:leader="none"/>
        </w:tabs>
        <w:spacing w:before="122"/>
        <w:ind w:left="292" w:right="0" w:firstLine="0"/>
        <w:jc w:val="left"/>
        <w:rPr>
          <w:rFonts w:ascii="Calibri"/>
          <w:sz w:val="16"/>
        </w:rPr>
      </w:pPr>
      <w:r>
        <w:rPr>
          <w:rFonts w:ascii="Calibri"/>
          <w:spacing w:val="2"/>
          <w:sz w:val="16"/>
        </w:rPr>
        <w:t>53</w:t>
        <w:tab/>
      </w:r>
      <w:r>
        <w:rPr>
          <w:rFonts w:ascii="Calibri"/>
          <w:position w:val="-3"/>
          <w:sz w:val="16"/>
        </w:rPr>
        <w:t>1</w:t>
      </w:r>
    </w:p>
    <w:p>
      <w:pPr>
        <w:spacing w:before="152"/>
        <w:ind w:left="4882" w:right="0" w:firstLine="0"/>
        <w:jc w:val="left"/>
        <w:rPr>
          <w:rFonts w:ascii="Calibri"/>
          <w:sz w:val="16"/>
        </w:rPr>
      </w:pPr>
      <w:r>
        <w:rPr>
          <w:rFonts w:ascii="Calibri"/>
          <w:sz w:val="16"/>
        </w:rPr>
        <w:t>-1</w:t>
      </w:r>
    </w:p>
    <w:p>
      <w:pPr>
        <w:spacing w:line="168" w:lineRule="exact" w:before="17"/>
        <w:ind w:left="292" w:right="0" w:firstLine="0"/>
        <w:jc w:val="left"/>
        <w:rPr>
          <w:rFonts w:ascii="Calibri"/>
          <w:sz w:val="16"/>
        </w:rPr>
      </w:pPr>
      <w:r>
        <w:rPr>
          <w:rFonts w:ascii="Calibri"/>
          <w:sz w:val="16"/>
        </w:rPr>
        <w:t>48</w:t>
      </w:r>
    </w:p>
    <w:p>
      <w:pPr>
        <w:spacing w:line="168" w:lineRule="exact" w:before="0"/>
        <w:ind w:left="4882" w:right="0" w:firstLine="0"/>
        <w:jc w:val="left"/>
        <w:rPr>
          <w:rFonts w:ascii="Calibri"/>
          <w:sz w:val="16"/>
        </w:rPr>
      </w:pPr>
      <w:r>
        <w:rPr>
          <w:rFonts w:ascii="Calibri"/>
          <w:sz w:val="16"/>
        </w:rPr>
        <w:t>-3</w:t>
      </w:r>
    </w:p>
    <w:p>
      <w:pPr>
        <w:pStyle w:val="BodyText"/>
        <w:spacing w:before="10"/>
        <w:rPr>
          <w:rFonts w:ascii="Calibri"/>
          <w:sz w:val="12"/>
        </w:rPr>
      </w:pPr>
    </w:p>
    <w:p>
      <w:pPr>
        <w:tabs>
          <w:tab w:pos="4882" w:val="left" w:leader="none"/>
        </w:tabs>
        <w:spacing w:before="0"/>
        <w:ind w:left="292" w:right="0" w:firstLine="0"/>
        <w:jc w:val="left"/>
        <w:rPr>
          <w:rFonts w:ascii="Calibri"/>
          <w:sz w:val="16"/>
        </w:rPr>
      </w:pPr>
      <w:r>
        <w:rPr>
          <w:rFonts w:ascii="Calibri"/>
          <w:spacing w:val="2"/>
          <w:position w:val="-10"/>
          <w:sz w:val="16"/>
        </w:rPr>
        <w:t>43</w:t>
        <w:tab/>
      </w:r>
      <w:r>
        <w:rPr>
          <w:rFonts w:ascii="Calibri"/>
          <w:sz w:val="16"/>
        </w:rPr>
        <w:t>-5</w:t>
      </w:r>
    </w:p>
    <w:p>
      <w:pPr>
        <w:spacing w:before="48"/>
        <w:ind w:left="4882" w:right="0" w:firstLine="0"/>
        <w:jc w:val="left"/>
        <w:rPr>
          <w:rFonts w:ascii="Calibri"/>
          <w:sz w:val="16"/>
        </w:rPr>
      </w:pPr>
      <w:r>
        <w:rPr>
          <w:rFonts w:ascii="Calibri"/>
          <w:sz w:val="16"/>
        </w:rPr>
        <w:t>-7</w:t>
      </w:r>
    </w:p>
    <w:p>
      <w:pPr>
        <w:pStyle w:val="BodyText"/>
        <w:spacing w:before="10"/>
        <w:rPr>
          <w:rFonts w:ascii="Calibri"/>
          <w:sz w:val="12"/>
        </w:rPr>
      </w:pPr>
    </w:p>
    <w:p>
      <w:pPr>
        <w:tabs>
          <w:tab w:pos="4882" w:val="left" w:leader="none"/>
        </w:tabs>
        <w:spacing w:before="0"/>
        <w:ind w:left="292" w:right="0" w:firstLine="0"/>
        <w:jc w:val="left"/>
        <w:rPr>
          <w:rFonts w:ascii="Calibri"/>
          <w:sz w:val="16"/>
        </w:rPr>
      </w:pPr>
      <w:r>
        <w:rPr>
          <w:rFonts w:ascii="Calibri"/>
          <w:spacing w:val="2"/>
          <w:sz w:val="16"/>
        </w:rPr>
        <w:t>38</w:t>
        <w:tab/>
      </w:r>
      <w:r>
        <w:rPr>
          <w:rFonts w:ascii="Calibri"/>
          <w:sz w:val="16"/>
        </w:rPr>
        <w:t>-9</w:t>
      </w:r>
    </w:p>
    <w:p>
      <w:pPr>
        <w:spacing w:line="194" w:lineRule="exact" w:before="0"/>
        <w:ind w:left="297" w:right="0" w:firstLine="0"/>
        <w:jc w:val="left"/>
        <w:rPr>
          <w:rFonts w:ascii="Calibri"/>
          <w:sz w:val="16"/>
        </w:rPr>
      </w:pPr>
      <w:r>
        <w:rPr/>
        <w:br w:type="column"/>
      </w:r>
      <w:r>
        <w:rPr>
          <w:rFonts w:ascii="Calibri"/>
          <w:spacing w:val="5"/>
          <w:w w:val="105"/>
          <w:sz w:val="16"/>
        </w:rPr>
        <w:t>400</w:t>
      </w:r>
    </w:p>
    <w:p>
      <w:pPr>
        <w:pStyle w:val="BodyText"/>
        <w:spacing w:before="9"/>
        <w:rPr>
          <w:rFonts w:ascii="Calibri"/>
          <w:sz w:val="15"/>
        </w:rPr>
      </w:pPr>
    </w:p>
    <w:p>
      <w:pPr>
        <w:spacing w:before="0"/>
        <w:ind w:left="297" w:right="0" w:firstLine="0"/>
        <w:jc w:val="left"/>
        <w:rPr>
          <w:rFonts w:ascii="Calibri"/>
          <w:sz w:val="16"/>
        </w:rPr>
      </w:pPr>
      <w:r>
        <w:rPr/>
        <w:pict>
          <v:group style="position:absolute;margin-left:330.598846pt;margin-top:-14.689446pt;width:207.35pt;height:155.5pt;mso-position-horizontal-relative:page;mso-position-vertical-relative:paragraph;z-index:251662336" coordorigin="6612,-294" coordsize="4147,3110">
            <v:shape style="position:absolute;left:352;top:6346;width:4831;height:3630" coordorigin="353,6347" coordsize="4831,3630" path="m10694,2810l10694,-287m10694,2810l10758,2810m10694,2426l10758,2426m10694,2029l10758,2029m10694,1645l10758,1645m10694,1261l10758,1261m10694,877l10758,877m10694,480l10758,480m10694,97l10758,97m10694,-287l10758,-287m6631,2810l10694,2810m6631,2758l6631,2810m7349,2758l7349,2810m8067,2758l8067,2810m8784,2758l8784,2810m9502,2758l9502,2810m10220,2758l10220,2810e" filled="false" stroked="true" strokeweight=".640352pt" strokecolor="#a6a6a6">
              <v:path arrowok="t"/>
              <v:stroke dashstyle="solid"/>
            </v:shape>
            <v:shape style="position:absolute;left:6611;top:-179;width:4102;height:2624" type="#_x0000_t75" stroked="false">
              <v:imagedata r:id="rId8" o:title=""/>
            </v:shape>
            <w10:wrap type="none"/>
          </v:group>
        </w:pict>
      </w:r>
      <w:r>
        <w:rPr>
          <w:rFonts w:ascii="Calibri"/>
          <w:spacing w:val="5"/>
          <w:w w:val="105"/>
          <w:sz w:val="16"/>
        </w:rPr>
        <w:t>350</w:t>
      </w:r>
    </w:p>
    <w:p>
      <w:pPr>
        <w:pStyle w:val="BodyText"/>
        <w:spacing w:before="11"/>
        <w:rPr>
          <w:rFonts w:ascii="Calibri"/>
          <w:sz w:val="15"/>
        </w:rPr>
      </w:pPr>
    </w:p>
    <w:p>
      <w:pPr>
        <w:spacing w:before="0"/>
        <w:ind w:left="297" w:right="0" w:firstLine="0"/>
        <w:jc w:val="left"/>
        <w:rPr>
          <w:rFonts w:ascii="Calibri"/>
          <w:sz w:val="16"/>
        </w:rPr>
      </w:pPr>
      <w:r>
        <w:rPr>
          <w:rFonts w:ascii="Calibri"/>
          <w:spacing w:val="5"/>
          <w:w w:val="105"/>
          <w:sz w:val="16"/>
        </w:rPr>
        <w:t>300</w:t>
      </w:r>
    </w:p>
    <w:p>
      <w:pPr>
        <w:pStyle w:val="BodyText"/>
        <w:spacing w:before="10"/>
        <w:rPr>
          <w:rFonts w:ascii="Calibri"/>
          <w:sz w:val="15"/>
        </w:rPr>
      </w:pPr>
    </w:p>
    <w:p>
      <w:pPr>
        <w:spacing w:before="0"/>
        <w:ind w:left="297" w:right="0" w:firstLine="0"/>
        <w:jc w:val="left"/>
        <w:rPr>
          <w:rFonts w:ascii="Calibri"/>
          <w:sz w:val="16"/>
        </w:rPr>
      </w:pPr>
      <w:r>
        <w:rPr>
          <w:rFonts w:ascii="Calibri"/>
          <w:spacing w:val="5"/>
          <w:w w:val="105"/>
          <w:sz w:val="16"/>
        </w:rPr>
        <w:t>250</w:t>
      </w:r>
    </w:p>
    <w:p>
      <w:pPr>
        <w:pStyle w:val="BodyText"/>
        <w:spacing w:before="10"/>
        <w:rPr>
          <w:rFonts w:ascii="Calibri"/>
          <w:sz w:val="15"/>
        </w:rPr>
      </w:pPr>
    </w:p>
    <w:p>
      <w:pPr>
        <w:spacing w:before="0"/>
        <w:ind w:left="297" w:right="0" w:firstLine="0"/>
        <w:jc w:val="left"/>
        <w:rPr>
          <w:rFonts w:ascii="Calibri"/>
          <w:sz w:val="16"/>
        </w:rPr>
      </w:pPr>
      <w:r>
        <w:rPr>
          <w:rFonts w:ascii="Calibri"/>
          <w:spacing w:val="4"/>
          <w:w w:val="105"/>
          <w:sz w:val="16"/>
        </w:rPr>
        <w:t>200</w:t>
      </w:r>
    </w:p>
    <w:p>
      <w:pPr>
        <w:pStyle w:val="BodyText"/>
        <w:spacing w:before="10"/>
        <w:rPr>
          <w:rFonts w:ascii="Calibri"/>
          <w:sz w:val="15"/>
        </w:rPr>
      </w:pPr>
    </w:p>
    <w:p>
      <w:pPr>
        <w:spacing w:before="0"/>
        <w:ind w:left="297" w:right="0" w:firstLine="0"/>
        <w:jc w:val="left"/>
        <w:rPr>
          <w:rFonts w:ascii="Calibri"/>
          <w:sz w:val="16"/>
        </w:rPr>
      </w:pPr>
      <w:r>
        <w:rPr>
          <w:rFonts w:ascii="Calibri"/>
          <w:spacing w:val="5"/>
          <w:w w:val="105"/>
          <w:sz w:val="16"/>
        </w:rPr>
        <w:t>150</w:t>
      </w:r>
    </w:p>
    <w:p>
      <w:pPr>
        <w:pStyle w:val="BodyText"/>
        <w:spacing w:before="10"/>
        <w:rPr>
          <w:rFonts w:ascii="Calibri"/>
          <w:sz w:val="15"/>
        </w:rPr>
      </w:pPr>
    </w:p>
    <w:p>
      <w:pPr>
        <w:spacing w:before="0"/>
        <w:ind w:left="297" w:right="0" w:firstLine="0"/>
        <w:jc w:val="left"/>
        <w:rPr>
          <w:rFonts w:ascii="Calibri"/>
          <w:sz w:val="16"/>
        </w:rPr>
      </w:pPr>
      <w:r>
        <w:rPr>
          <w:rFonts w:ascii="Calibri"/>
          <w:spacing w:val="5"/>
          <w:w w:val="105"/>
          <w:sz w:val="16"/>
        </w:rPr>
        <w:t>100</w:t>
      </w:r>
    </w:p>
    <w:p>
      <w:pPr>
        <w:pStyle w:val="BodyText"/>
        <w:spacing w:before="10"/>
        <w:rPr>
          <w:rFonts w:ascii="Calibri"/>
          <w:sz w:val="15"/>
        </w:rPr>
      </w:pPr>
    </w:p>
    <w:p>
      <w:pPr>
        <w:spacing w:before="0"/>
        <w:ind w:left="292" w:right="0" w:firstLine="0"/>
        <w:jc w:val="left"/>
        <w:rPr>
          <w:rFonts w:ascii="Calibri"/>
          <w:sz w:val="16"/>
        </w:rPr>
      </w:pPr>
      <w:r>
        <w:rPr>
          <w:rFonts w:ascii="Calibri"/>
          <w:w w:val="105"/>
          <w:sz w:val="16"/>
        </w:rPr>
        <w:t>50</w:t>
      </w:r>
    </w:p>
    <w:p>
      <w:pPr>
        <w:pStyle w:val="BodyText"/>
        <w:spacing w:before="10"/>
        <w:rPr>
          <w:rFonts w:ascii="Calibri"/>
          <w:sz w:val="15"/>
        </w:rPr>
      </w:pPr>
    </w:p>
    <w:p>
      <w:pPr>
        <w:spacing w:before="0"/>
        <w:ind w:left="300" w:right="0" w:firstLine="0"/>
        <w:jc w:val="left"/>
        <w:rPr>
          <w:rFonts w:ascii="Calibri"/>
          <w:sz w:val="16"/>
        </w:rPr>
      </w:pPr>
      <w:r>
        <w:rPr>
          <w:rFonts w:ascii="Calibri"/>
          <w:w w:val="104"/>
          <w:sz w:val="16"/>
        </w:rPr>
        <w:t>0</w:t>
      </w:r>
    </w:p>
    <w:p>
      <w:pPr>
        <w:spacing w:after="0"/>
        <w:jc w:val="left"/>
        <w:rPr>
          <w:rFonts w:ascii="Calibri"/>
          <w:sz w:val="16"/>
        </w:rPr>
        <w:sectPr>
          <w:type w:val="continuous"/>
          <w:pgSz w:w="11910" w:h="16840"/>
          <w:pgMar w:top="1180" w:bottom="1520" w:left="900" w:right="320"/>
          <w:cols w:num="2" w:equalWidth="0">
            <w:col w:w="5057" w:space="4609"/>
            <w:col w:w="1024"/>
          </w:cols>
        </w:sectPr>
      </w:pPr>
    </w:p>
    <w:p>
      <w:pPr>
        <w:spacing w:before="24"/>
        <w:ind w:left="455" w:right="0" w:firstLine="0"/>
        <w:jc w:val="left"/>
        <w:rPr>
          <w:rFonts w:ascii="Calibri"/>
          <w:sz w:val="16"/>
        </w:rPr>
      </w:pPr>
      <w:r>
        <w:rPr>
          <w:rFonts w:ascii="Calibri"/>
          <w:sz w:val="16"/>
        </w:rPr>
        <w:t>1997 1999 2001 2003 2005 2007 2009 2011 2013</w:t>
      </w:r>
    </w:p>
    <w:p>
      <w:pPr>
        <w:spacing w:before="116"/>
        <w:ind w:left="233" w:right="0" w:firstLine="0"/>
        <w:jc w:val="left"/>
        <w:rPr>
          <w:sz w:val="16"/>
        </w:rPr>
      </w:pPr>
      <w:r>
        <w:rPr>
          <w:sz w:val="16"/>
        </w:rPr>
        <w:t>Source: ONS, CBI, Markit Economics, Bank calculations</w:t>
      </w:r>
    </w:p>
    <w:p>
      <w:pPr>
        <w:spacing w:line="400" w:lineRule="auto" w:before="59"/>
        <w:ind w:left="233" w:right="321" w:firstLine="0"/>
        <w:jc w:val="left"/>
        <w:rPr>
          <w:sz w:val="16"/>
        </w:rPr>
      </w:pPr>
      <w:r>
        <w:rPr>
          <w:position w:val="10"/>
          <w:sz w:val="13"/>
        </w:rPr>
        <w:t>(a) </w:t>
      </w:r>
      <w:r>
        <w:rPr>
          <w:sz w:val="16"/>
        </w:rPr>
        <w:t>Weighted average of the Markit/CIPS PMIs and the CBI Distribution Trades surveys.</w:t>
      </w:r>
    </w:p>
    <w:p>
      <w:pPr>
        <w:tabs>
          <w:tab w:pos="1103" w:val="left" w:leader="none"/>
          <w:tab w:pos="1820" w:val="left" w:leader="none"/>
          <w:tab w:pos="2537" w:val="left" w:leader="none"/>
          <w:tab w:pos="3255" w:val="left" w:leader="none"/>
          <w:tab w:pos="3974" w:val="left" w:leader="none"/>
        </w:tabs>
        <w:spacing w:before="6"/>
        <w:ind w:left="384" w:right="0" w:firstLine="0"/>
        <w:jc w:val="left"/>
        <w:rPr>
          <w:rFonts w:ascii="Calibri"/>
          <w:sz w:val="16"/>
        </w:rPr>
      </w:pPr>
      <w:r>
        <w:rPr/>
        <w:br w:type="column"/>
      </w:r>
      <w:r>
        <w:rPr>
          <w:rFonts w:ascii="Calibri"/>
          <w:spacing w:val="3"/>
          <w:w w:val="105"/>
          <w:sz w:val="16"/>
        </w:rPr>
        <w:t>2008</w:t>
        <w:tab/>
        <w:t>2009</w:t>
        <w:tab/>
        <w:t>2010</w:t>
        <w:tab/>
        <w:t>2011</w:t>
        <w:tab/>
        <w:t>2012</w:t>
        <w:tab/>
      </w:r>
      <w:r>
        <w:rPr>
          <w:rFonts w:ascii="Calibri"/>
          <w:spacing w:val="5"/>
          <w:w w:val="105"/>
          <w:sz w:val="16"/>
        </w:rPr>
        <w:t>2013</w:t>
      </w:r>
    </w:p>
    <w:p>
      <w:pPr>
        <w:spacing w:before="134"/>
        <w:ind w:left="233" w:right="0" w:firstLine="0"/>
        <w:jc w:val="left"/>
        <w:rPr>
          <w:sz w:val="16"/>
        </w:rPr>
      </w:pPr>
      <w:r>
        <w:rPr>
          <w:sz w:val="16"/>
        </w:rPr>
        <w:t>Source: SNL Financial, Datastream and Bank</w:t>
      </w:r>
      <w:r>
        <w:rPr>
          <w:spacing w:val="-23"/>
          <w:sz w:val="16"/>
        </w:rPr>
        <w:t> </w:t>
      </w:r>
      <w:r>
        <w:rPr>
          <w:sz w:val="16"/>
        </w:rPr>
        <w:t>calculations.</w:t>
      </w:r>
    </w:p>
    <w:p>
      <w:pPr>
        <w:spacing w:before="59"/>
        <w:ind w:left="233" w:right="0" w:firstLine="0"/>
        <w:jc w:val="left"/>
        <w:rPr>
          <w:sz w:val="16"/>
        </w:rPr>
      </w:pPr>
      <w:r>
        <w:rPr>
          <w:position w:val="10"/>
          <w:sz w:val="13"/>
        </w:rPr>
        <w:t>(a) </w:t>
      </w:r>
      <w:r>
        <w:rPr>
          <w:sz w:val="16"/>
        </w:rPr>
        <w:t>CDS spreads of banks weighted by assets as of end 2012.</w:t>
      </w:r>
    </w:p>
    <w:p>
      <w:pPr>
        <w:spacing w:after="0"/>
        <w:jc w:val="left"/>
        <w:rPr>
          <w:sz w:val="16"/>
        </w:rPr>
        <w:sectPr>
          <w:type w:val="continuous"/>
          <w:pgSz w:w="11910" w:h="16840"/>
          <w:pgMar w:top="1180" w:bottom="1520" w:left="900" w:right="320"/>
          <w:cols w:num="2" w:equalWidth="0">
            <w:col w:w="4709" w:space="459"/>
            <w:col w:w="5522"/>
          </w:cols>
        </w:sectPr>
      </w:pPr>
    </w:p>
    <w:p>
      <w:pPr>
        <w:pStyle w:val="BodyText"/>
        <w:spacing w:before="3"/>
        <w:rPr>
          <w:sz w:val="13"/>
        </w:rPr>
      </w:pPr>
    </w:p>
    <w:p>
      <w:pPr>
        <w:pStyle w:val="BodyText"/>
        <w:spacing w:line="360" w:lineRule="auto" w:before="93"/>
        <w:ind w:left="233" w:right="970"/>
      </w:pPr>
      <w:r>
        <w:rPr/>
        <w:t>Some commentators have wondered how it can have done so. Citing high debt levels in the private sector and ongoing fiscal contraction in the public sector, they have also expressed doubts it can continue. But these have not proved insuperable barriers to growth in the past. The economy has grown through</w:t>
      </w:r>
    </w:p>
    <w:p>
      <w:pPr>
        <w:pStyle w:val="BodyText"/>
        <w:spacing w:line="360" w:lineRule="auto"/>
        <w:ind w:left="233" w:right="970"/>
      </w:pPr>
      <w:r>
        <w:rPr/>
        <w:t>similar-sized reductions in government borrowing before now</w:t>
      </w:r>
      <w:r>
        <w:rPr>
          <w:vertAlign w:val="superscript"/>
        </w:rPr>
        <w:t>3</w:t>
      </w:r>
      <w:r>
        <w:rPr>
          <w:vertAlign w:val="baseline"/>
        </w:rPr>
        <w:t>. And the clear pattern after other financial crises, here and elsewhere, is that economies turn up while private-sector debt ratios are still falling</w:t>
      </w:r>
      <w:r>
        <w:rPr>
          <w:vertAlign w:val="superscript"/>
        </w:rPr>
        <w:t>4</w:t>
      </w:r>
      <w:r>
        <w:rPr>
          <w:vertAlign w:val="baseline"/>
        </w:rPr>
        <w:t>.</w:t>
      </w:r>
    </w:p>
    <w:p>
      <w:pPr>
        <w:pStyle w:val="BodyText"/>
      </w:pPr>
    </w:p>
    <w:p>
      <w:pPr>
        <w:pStyle w:val="BodyText"/>
        <w:spacing w:before="8"/>
        <w:rPr>
          <w:sz w:val="15"/>
        </w:rPr>
      </w:pPr>
      <w:r>
        <w:rPr/>
        <w:pict>
          <v:shape style="position:absolute;margin-left:56.664001pt;margin-top:11.235572pt;width:144.050pt;height:.1pt;mso-position-horizontal-relative:page;mso-position-vertical-relative:paragraph;z-index:-251657216;mso-wrap-distance-left:0;mso-wrap-distance-right:0" coordorigin="1133,225" coordsize="2881,0" path="m1133,225l4014,225e" filled="false" stroked="true" strokeweight=".48004pt" strokecolor="#000000">
            <v:path arrowok="t"/>
            <v:stroke dashstyle="solid"/>
            <w10:wrap type="topAndBottom"/>
          </v:shape>
        </w:pict>
      </w:r>
    </w:p>
    <w:p>
      <w:pPr>
        <w:spacing w:before="30"/>
        <w:ind w:left="233" w:right="970" w:firstLine="0"/>
        <w:jc w:val="left"/>
        <w:rPr>
          <w:sz w:val="16"/>
        </w:rPr>
      </w:pPr>
      <w:r>
        <w:rPr>
          <w:position w:val="8"/>
          <w:sz w:val="10"/>
        </w:rPr>
        <w:t>1 </w:t>
      </w:r>
      <w:r>
        <w:rPr>
          <w:sz w:val="16"/>
        </w:rPr>
        <w:t>Taken together, early estimates have output in manufacturing, construction and retail distribution – 30% of the non-oil private-sector economy – 1.5% higher in July than (the monthly average) in 2013Q2.</w:t>
      </w:r>
    </w:p>
    <w:p>
      <w:pPr>
        <w:spacing w:line="184" w:lineRule="exact" w:before="2"/>
        <w:ind w:left="233" w:right="970" w:firstLine="0"/>
        <w:jc w:val="left"/>
        <w:rPr>
          <w:sz w:val="16"/>
        </w:rPr>
      </w:pPr>
      <w:r>
        <w:rPr>
          <w:position w:val="8"/>
          <w:sz w:val="10"/>
        </w:rPr>
        <w:t>2 </w:t>
      </w:r>
      <w:r>
        <w:rPr>
          <w:sz w:val="16"/>
        </w:rPr>
        <w:t>At the end of last year the central consensus and MPC forecasts for growth over the following year (to 2013Q4) were 1.2% and 1.6% respectively. The latest forecasts are 2.1% and 2.4%. My guess is they’ll both have to be revised up further in the next few months.</w:t>
      </w:r>
    </w:p>
    <w:p>
      <w:pPr>
        <w:spacing w:line="180" w:lineRule="exact" w:before="0"/>
        <w:ind w:left="233" w:right="0" w:firstLine="0"/>
        <w:jc w:val="left"/>
        <w:rPr>
          <w:sz w:val="16"/>
        </w:rPr>
      </w:pPr>
      <w:r>
        <w:rPr>
          <w:position w:val="8"/>
          <w:sz w:val="10"/>
        </w:rPr>
        <w:t>3 </w:t>
      </w:r>
      <w:r>
        <w:rPr>
          <w:sz w:val="16"/>
        </w:rPr>
        <w:t>The ratio of the cyclically-adjusted government deficit to GDP has fallen by 4.3% pts over the past four years. Since 1965, when the</w:t>
      </w:r>
    </w:p>
    <w:p>
      <w:pPr>
        <w:spacing w:before="1"/>
        <w:ind w:left="233" w:right="898" w:firstLine="0"/>
        <w:jc w:val="left"/>
        <w:rPr>
          <w:sz w:val="16"/>
        </w:rPr>
      </w:pPr>
      <w:r>
        <w:rPr>
          <w:sz w:val="16"/>
        </w:rPr>
        <w:t>OBR estimates begin, there have been three other (non-overlapping) episodes with a similar degree of fiscal tightening: financial years 1974-78, when the deficit:GDP ratio fell by 4.0% pts and GDP growth averaged 1.9%, 1978-1982 (4.2% pts and 0.5%) and 1993-97 (4.6% pts and 3.7%). We haven’t quite reached the end of the four-year period to 2013-14 but it looks as if GDP growth will have averaged around 1.3% during that time.</w:t>
      </w:r>
    </w:p>
    <w:p>
      <w:pPr>
        <w:spacing w:line="185" w:lineRule="exact" w:before="0"/>
        <w:ind w:left="233" w:right="0" w:firstLine="0"/>
        <w:jc w:val="left"/>
        <w:rPr>
          <w:sz w:val="16"/>
        </w:rPr>
      </w:pPr>
      <w:r>
        <w:rPr>
          <w:position w:val="8"/>
          <w:sz w:val="10"/>
        </w:rPr>
        <w:t>4 </w:t>
      </w:r>
      <w:r>
        <w:rPr>
          <w:sz w:val="16"/>
        </w:rPr>
        <w:t>Broadbent (2012a), especially Charts 20a and 20b.</w:t>
      </w:r>
    </w:p>
    <w:p>
      <w:pPr>
        <w:spacing w:after="0" w:line="185" w:lineRule="exact"/>
        <w:jc w:val="left"/>
        <w:rPr>
          <w:sz w:val="16"/>
        </w:rPr>
        <w:sectPr>
          <w:type w:val="continuous"/>
          <w:pgSz w:w="11910" w:h="16840"/>
          <w:pgMar w:top="1180" w:bottom="1520" w:left="900" w:right="320"/>
        </w:sectPr>
      </w:pPr>
    </w:p>
    <w:p>
      <w:pPr>
        <w:pStyle w:val="BodyText"/>
        <w:spacing w:line="360" w:lineRule="auto" w:before="79"/>
        <w:ind w:left="233" w:right="970"/>
      </w:pPr>
      <w:r>
        <w:rPr/>
        <w:t>Some acceleration in activity was always likely in 2013. Underlying growth in 2012 was masked by exceptional contractions in construction and oil output that were unlikely to be repeated. More importantly, the various central bank interventions through the course of last year were followed by a big decline in risk premia and funding costs across the advanced economies, not least for their banks (Chart 2). This wasn’t exactly the same thing as a cut in official interest rates. But it nonetheless amounted to a sharp easing in financial conditions, one that might have been expected – after the usual lag of around a year – to have boosted real activity, here and in other parts of the developed world.</w:t>
      </w:r>
    </w:p>
    <w:p>
      <w:pPr>
        <w:pStyle w:val="BodyText"/>
        <w:spacing w:before="9"/>
        <w:rPr>
          <w:sz w:val="29"/>
        </w:rPr>
      </w:pPr>
    </w:p>
    <w:p>
      <w:pPr>
        <w:pStyle w:val="BodyText"/>
        <w:spacing w:line="360" w:lineRule="auto"/>
        <w:ind w:left="233" w:right="854"/>
      </w:pPr>
      <w:r>
        <w:rPr/>
        <w:t>It is easy to be wise after the event. As I explained in a speech earlier this year, forecasters generally anticipate only around a third of changes in economic growth one year ahead, and we can be no more confident that the recovery can continue smoothly at this rate than in the view that it would never arrive. The survey readings in Chart 1 are near their series highs and, even if only from a statistical perspective, it would be reasonable to expect a degree of moderation from here. Domestic deleveraging pressures may not be enough to keep the economy in permanent stagnation but they nonetheless provide a headwind to growth. While they may have diminished, the underlying imbalances in the euro area, and the risks they entail, have not gone away.</w:t>
      </w:r>
    </w:p>
    <w:p>
      <w:pPr>
        <w:pStyle w:val="BodyText"/>
        <w:spacing w:before="2"/>
        <w:rPr>
          <w:sz w:val="30"/>
        </w:rPr>
      </w:pPr>
    </w:p>
    <w:p>
      <w:pPr>
        <w:pStyle w:val="BodyText"/>
        <w:spacing w:line="360" w:lineRule="auto"/>
        <w:ind w:left="233" w:right="862"/>
      </w:pPr>
      <w:r>
        <w:rPr/>
        <w:t>And if the path of actual output is inevitably unpredictable, we are also facing an unusually uncertain outlook for </w:t>
      </w:r>
      <w:r>
        <w:rPr>
          <w:u w:val="single"/>
        </w:rPr>
        <w:t>potential</w:t>
      </w:r>
      <w:r>
        <w:rPr/>
        <w:t> output – the capacity of the economy to meet demand without generating inflationary pressure. That capacity depends centrally on how productivity evolves. And because productivity growth has been unusually poor, even allowing for the weakness of economic activity, it is hard to be sure how it will behave as the economy recovers. (You can see the scale of the puzzle in Chart 3, which plots five-year average growth rates in GDP and employment. I included the same graph in a speech on productivity last year.) This is a central feature – perhaps the central feature – of the economic landscape in the UK and it is in this light, I</w:t>
      </w:r>
      <w:r>
        <w:rPr>
          <w:spacing w:val="-3"/>
        </w:rPr>
        <w:t> </w:t>
      </w:r>
      <w:r>
        <w:rPr/>
        <w:t>will</w:t>
      </w:r>
      <w:r>
        <w:rPr>
          <w:spacing w:val="-2"/>
        </w:rPr>
        <w:t> </w:t>
      </w:r>
      <w:r>
        <w:rPr/>
        <w:t>argue,</w:t>
      </w:r>
      <w:r>
        <w:rPr>
          <w:spacing w:val="-2"/>
        </w:rPr>
        <w:t> </w:t>
      </w:r>
      <w:r>
        <w:rPr/>
        <w:t>that</w:t>
      </w:r>
      <w:r>
        <w:rPr>
          <w:spacing w:val="-1"/>
        </w:rPr>
        <w:t> </w:t>
      </w:r>
      <w:r>
        <w:rPr/>
        <w:t>we</w:t>
      </w:r>
      <w:r>
        <w:rPr>
          <w:spacing w:val="-1"/>
        </w:rPr>
        <w:t> </w:t>
      </w:r>
      <w:r>
        <w:rPr/>
        <w:t>should</w:t>
      </w:r>
      <w:r>
        <w:rPr>
          <w:spacing w:val="-1"/>
        </w:rPr>
        <w:t> </w:t>
      </w:r>
      <w:r>
        <w:rPr/>
        <w:t>see</w:t>
      </w:r>
      <w:r>
        <w:rPr>
          <w:spacing w:val="-3"/>
        </w:rPr>
        <w:t> </w:t>
      </w:r>
      <w:r>
        <w:rPr/>
        <w:t>the</w:t>
      </w:r>
      <w:r>
        <w:rPr>
          <w:spacing w:val="-1"/>
        </w:rPr>
        <w:t> </w:t>
      </w:r>
      <w:r>
        <w:rPr/>
        <w:t>policy</w:t>
      </w:r>
      <w:r>
        <w:rPr>
          <w:spacing w:val="-5"/>
        </w:rPr>
        <w:t> </w:t>
      </w:r>
      <w:r>
        <w:rPr/>
        <w:t>of</w:t>
      </w:r>
      <w:r>
        <w:rPr>
          <w:spacing w:val="-1"/>
        </w:rPr>
        <w:t> </w:t>
      </w:r>
      <w:r>
        <w:rPr/>
        <w:t>“conditional</w:t>
      </w:r>
      <w:r>
        <w:rPr>
          <w:spacing w:val="-4"/>
        </w:rPr>
        <w:t> </w:t>
      </w:r>
      <w:r>
        <w:rPr/>
        <w:t>guidance”</w:t>
      </w:r>
      <w:r>
        <w:rPr>
          <w:spacing w:val="-2"/>
        </w:rPr>
        <w:t> </w:t>
      </w:r>
      <w:r>
        <w:rPr/>
        <w:t>recently</w:t>
      </w:r>
      <w:r>
        <w:rPr>
          <w:spacing w:val="-4"/>
        </w:rPr>
        <w:t> </w:t>
      </w:r>
      <w:r>
        <w:rPr/>
        <w:t>introduced</w:t>
      </w:r>
      <w:r>
        <w:rPr>
          <w:spacing w:val="-4"/>
        </w:rPr>
        <w:t> </w:t>
      </w:r>
      <w:r>
        <w:rPr/>
        <w:t>by</w:t>
      </w:r>
      <w:r>
        <w:rPr>
          <w:spacing w:val="-5"/>
        </w:rPr>
        <w:t> </w:t>
      </w:r>
      <w:r>
        <w:rPr/>
        <w:t>the</w:t>
      </w:r>
      <w:r>
        <w:rPr>
          <w:spacing w:val="-4"/>
        </w:rPr>
        <w:t> </w:t>
      </w:r>
      <w:r>
        <w:rPr/>
        <w:t>MPC.</w:t>
      </w:r>
    </w:p>
    <w:p>
      <w:pPr>
        <w:pStyle w:val="BodyText"/>
        <w:spacing w:before="1"/>
        <w:rPr>
          <w:sz w:val="30"/>
        </w:rPr>
      </w:pPr>
    </w:p>
    <w:p>
      <w:pPr>
        <w:pStyle w:val="BodyText"/>
        <w:spacing w:line="360" w:lineRule="auto"/>
        <w:ind w:left="233" w:right="1021"/>
      </w:pPr>
      <w:r>
        <w:rPr/>
        <w:t>This policy has a number of virtues, not least the reassurance to investing businesses that monetary policy will not rise until economic recovery has become firmly entrenched. What I want to do in this speech, specifically, is to explain why it is appropriate to measure that progress with the rate of unemployment: conditioning policy on the labour market is the natural response to higher uncertainty about the path of potential output.</w:t>
      </w:r>
    </w:p>
    <w:p>
      <w:pPr>
        <w:pStyle w:val="BodyText"/>
        <w:spacing w:before="8"/>
        <w:rPr>
          <w:sz w:val="29"/>
        </w:rPr>
      </w:pPr>
    </w:p>
    <w:p>
      <w:pPr>
        <w:pStyle w:val="Heading1"/>
        <w:spacing w:before="0"/>
      </w:pPr>
      <w:r>
        <w:rPr/>
        <w:t>Productivity revisited: explanations for the recent past</w:t>
      </w:r>
    </w:p>
    <w:p>
      <w:pPr>
        <w:pStyle w:val="BodyText"/>
        <w:rPr>
          <w:b/>
          <w:sz w:val="22"/>
        </w:rPr>
      </w:pPr>
    </w:p>
    <w:p>
      <w:pPr>
        <w:pStyle w:val="BodyText"/>
        <w:spacing w:before="4"/>
        <w:rPr>
          <w:b/>
          <w:sz w:val="18"/>
        </w:rPr>
      </w:pPr>
    </w:p>
    <w:p>
      <w:pPr>
        <w:pStyle w:val="BodyText"/>
        <w:spacing w:line="360" w:lineRule="auto"/>
        <w:ind w:left="233" w:right="782"/>
      </w:pPr>
      <w:r>
        <w:rPr/>
        <w:t>Not everyone is afflicted with such doubts. Since touching on the subject in a speech last year, I’ve read a number of pieces arguing that the solution to the productivity puzzle is “simple”: it’s “obviously” the result either of labour hoarding by firms and/or greater flexibility in pay. And because these are just cyclical phenomena, it must follow that productivity will rise, along with aggregate demand, as the economy recovers.</w:t>
      </w:r>
    </w:p>
    <w:p>
      <w:pPr>
        <w:spacing w:after="0" w:line="360" w:lineRule="auto"/>
        <w:sectPr>
          <w:pgSz w:w="11910" w:h="16840"/>
          <w:pgMar w:header="0" w:footer="1338" w:top="1520" w:bottom="1520" w:left="900" w:right="320"/>
        </w:sectPr>
      </w:pPr>
    </w:p>
    <w:p>
      <w:pPr>
        <w:pStyle w:val="BodyText"/>
        <w:spacing w:line="360" w:lineRule="auto" w:before="79"/>
        <w:ind w:left="233" w:right="898"/>
      </w:pPr>
      <w:r>
        <w:rPr/>
        <w:t>These factors help to explain why measured productivity is, in general, cyclical. They have almost certainly been at work in recent years. Some employees will have been retained in expectation of a pick-up in orders in the future, rather than to meet any today. Relative to the 1970s and 1980s, at least, real pay does indeed look more flexible than in the previous downturns.</w:t>
      </w:r>
    </w:p>
    <w:p>
      <w:pPr>
        <w:pStyle w:val="BodyText"/>
        <w:spacing w:before="6"/>
        <w:rPr>
          <w:sz w:val="21"/>
        </w:rPr>
      </w:pPr>
    </w:p>
    <w:p>
      <w:pPr>
        <w:spacing w:after="0"/>
        <w:rPr>
          <w:sz w:val="21"/>
        </w:rPr>
        <w:sectPr>
          <w:pgSz w:w="11910" w:h="16840"/>
          <w:pgMar w:header="0" w:footer="1338" w:top="1520" w:bottom="1520" w:left="900" w:right="320"/>
        </w:sectPr>
      </w:pPr>
    </w:p>
    <w:p>
      <w:pPr>
        <w:pStyle w:val="Heading1"/>
        <w:spacing w:line="360" w:lineRule="auto"/>
        <w:ind w:right="17"/>
      </w:pPr>
      <w:r>
        <w:rPr/>
        <w:pict>
          <v:group style="position:absolute;margin-left:71.782394pt;margin-top:45.001461pt;width:201.55pt;height:169.45pt;mso-position-horizontal-relative:page;mso-position-vertical-relative:paragraph;z-index:-252680192" coordorigin="1436,900" coordsize="4031,3389">
            <v:shape style="position:absolute;left:322;top:9460;width:4786;height:3720" coordorigin="323,9461" coordsize="4786,3720" path="m5416,4282l5416,1149m5416,4282l5466,4282m5416,3233l5466,3233m5416,2197l5466,2197m5416,1149l5466,1149m1486,4282l1486,1149m1436,4282l1486,4282m1436,3764l1486,3764m1436,3233l1486,3233m1436,2715l1486,2715m1436,2197l1486,2197m1436,1679l1486,1679m1436,1149l1486,1149m1486,3764l5416,3764m1486,3764l1486,3814m1903,3764l1903,3814m2307,3764l2307,3814m2712,3764l2712,3814m3116,3764l3116,3814m3520,3764l3520,3814m3925,3764l3925,3814m4329,3764l4329,3814m4733,3764l4733,3814m5138,3764l5138,3814e" filled="false" stroked="true" strokeweight=".631746pt" strokecolor="#858585">
              <v:path arrowok="t"/>
              <v:stroke dashstyle="solid"/>
            </v:shape>
            <v:shape style="position:absolute;left:1498;top:1439;width:3854;height:2742" coordorigin="1499,1439" coordsize="3854,2742" path="m1499,2210l1524,2526,1549,2361,1575,2589,1600,2639,1625,2437,1650,2437,1676,2753,1701,2703,1739,2741,1764,3233,1789,3183,1815,2993,1840,2892,1865,2728,1891,2475,1916,2842,1941,2602,1966,2741,1992,2753,2017,2766,2042,3031,2067,3271,2093,3157,2118,3120,2143,3334,2168,3309,2194,3132,2219,3208,2244,3296,2270,3195,2295,3208,2320,3195,2345,3145,2371,2955,2396,3461,2421,3157,2446,3120,2472,2880,2497,2526,2522,2500,2548,2311,2573,2084,2598,1957,2623,2020,2649,1818,2674,1806,2699,1806,2724,1553,2750,1490,2775,1464,2800,1490,2825,1464,2851,1515,2876,1578,2901,1439,2926,1464,2952,1591,2977,1578,3002,1667,3028,1780,3053,1919,3078,2096,3103,2273,3129,2387,3154,2551,3179,2551,3204,2677,3230,2829,3255,2854,3280,2930,3306,2917,3331,2968,3356,2943,3381,2842,3407,2766,3432,2627,3457,2564,3483,2677,3508,2677,3533,2425,3558,2311,3584,2159,3609,2071,3634,1957,3659,1869,3685,1780,3710,1667,3735,1667,3761,1654,3786,1679,3811,1667,3836,1704,3862,1692,3887,1806,3912,1970,3937,1919,3963,1881,3988,1780,4013,1742,4038,1843,4064,1869,4089,1919,4114,1894,4140,1932,4165,2033,4190,2121,4215,2172,4241,2172,4266,2172,4291,2210,4316,2147,4342,2084,4367,2058,4392,2020,4418,1970,4443,2159,4468,2235,4493,2298,4519,2260,4544,2197,4569,2096,4594,2134,4620,2172,4645,2185,4670,2121,4696,2071,4721,2020,4746,1970,4771,2071,4797,2109,4822,2349,4847,2652,4872,3018,4898,3347,4923,3435,4948,3448,4973,3473,4999,3499,5024,3524,5049,3587,5075,3739,5100,3726,5125,3751,5150,3726,5176,3814,5201,3916,5226,4105,5251,4156,5277,4181,5302,4168,5327,4004,5353,3764e" filled="false" stroked="true" strokeweight="1.895246pt" strokecolor="#17375e">
              <v:path arrowok="t"/>
              <v:stroke dashstyle="solid"/>
            </v:shape>
            <v:shape style="position:absolute;left:1498;top:1552;width:3804;height:1567" coordorigin="1499,1553" coordsize="3804,1567" path="m1499,2500l1524,2488,1549,2463,1575,2425,1600,2463,1625,2475,1650,2488,1676,2526,1701,2602,1739,2627,1764,2602,1789,2564,1815,2538,1840,2526,1865,2513,1891,2500,1916,2475,1941,2488,1966,2526,1992,2589,2017,2652,2042,2703,2067,2766,2093,2829,2118,2880,2143,2917,2168,2968,2194,3044,2219,3107,2244,3120,2270,3069,2295,3031,2320,3006,2345,2968,2371,2955,2396,2943,2421,2892,2446,2842,2472,2766,2497,2665,2522,2576,2548,2500,2573,2412,2598,2311,2623,2248,2649,2121,2674,1970,2699,1806,2724,1679,2750,1603,2775,1591,2800,1603,2825,1565,2851,1553,2876,1578,2901,1578,2926,1603,2952,1616,2977,1654,3002,1730,3028,1818,3053,1932,3078,2071,3103,2185,3129,2260,3154,2387,3179,2513,3204,2690,3230,2791,3255,2867,3280,2930,3306,3006,3331,3056,3356,3094,3381,3082,3407,3094,3432,3069,3457,3044,3483,2993,3508,2892,3533,2804,3558,2690,3584,2576,3609,2437,3634,2311,3659,2223,3685,2159,3710,2058,3735,2020,3761,2008,3786,1970,3811,1932,3836,1932,3862,1932,3887,1932,3912,1907,3937,1919,3963,1919,3988,1919,4013,1970,4038,1945,4064,1919,4089,1945,4114,1970,4140,2046,4165,2046,4190,2071,4215,2033,4241,2058,4266,2020,4291,2058,4316,2084,4342,2071,4367,2084,4392,2121,4418,2096,4443,2084,4468,2121,4493,2109,4519,2121,4544,2096,4569,2109,4594,2084,4620,2109,4645,2109,4670,2121,4696,2084,4721,2096,4746,2058,4771,2096,4797,2159,4822,2197,4847,2311,4872,2412,4898,2437,4923,2488,4948,2551,4973,2500,4999,2463,5024,2463,5049,2488,5075,2500,5100,2589,5125,2564,5150,2513,5176,2475,5201,2475,5226,2463,5251,2513,5277,2500,5302,2576e" filled="false" stroked="true" strokeweight="1.895255pt" strokecolor="#c00000">
              <v:path arrowok="t"/>
              <v:stroke dashstyle="solid"/>
            </v:shape>
            <v:shape style="position:absolute;left:1449;top:923;width:141;height:166" type="#_x0000_t202" filled="false" stroked="false">
              <v:textbox inset="0,0,0,0">
                <w:txbxContent>
                  <w:p>
                    <w:pPr>
                      <w:spacing w:line="165" w:lineRule="exact" w:before="0"/>
                      <w:ind w:left="0" w:right="0" w:firstLine="0"/>
                      <w:jc w:val="left"/>
                      <w:rPr>
                        <w:rFonts w:ascii="Calibri"/>
                        <w:b/>
                        <w:sz w:val="16"/>
                      </w:rPr>
                    </w:pPr>
                    <w:r>
                      <w:rPr>
                        <w:rFonts w:ascii="Calibri"/>
                        <w:b/>
                        <w:w w:val="103"/>
                        <w:sz w:val="16"/>
                      </w:rPr>
                      <w:t>%</w:t>
                    </w:r>
                  </w:p>
                </w:txbxContent>
              </v:textbox>
              <w10:wrap type="none"/>
            </v:shape>
            <v:shape style="position:absolute;left:1978;top:900;width:3229;height:426" type="#_x0000_t202" filled="false" stroked="false">
              <v:textbox inset="0,0,0,0">
                <w:txbxContent>
                  <w:p>
                    <w:pPr>
                      <w:spacing w:line="167" w:lineRule="exact" w:before="0"/>
                      <w:ind w:left="357" w:right="0" w:firstLine="0"/>
                      <w:jc w:val="left"/>
                      <w:rPr>
                        <w:rFonts w:ascii="Calibri"/>
                        <w:sz w:val="16"/>
                      </w:rPr>
                    </w:pPr>
                    <w:r>
                      <w:rPr>
                        <w:rFonts w:ascii="Calibri"/>
                        <w:w w:val="105"/>
                        <w:sz w:val="16"/>
                      </w:rPr>
                      <w:t>5-year average GDP growth (LHS)</w:t>
                    </w:r>
                  </w:p>
                  <w:p>
                    <w:pPr>
                      <w:tabs>
                        <w:tab w:pos="349" w:val="left" w:leader="none"/>
                      </w:tabs>
                      <w:spacing w:line="194" w:lineRule="exact" w:before="65"/>
                      <w:ind w:left="0" w:right="0" w:firstLine="0"/>
                      <w:jc w:val="left"/>
                      <w:rPr>
                        <w:rFonts w:ascii="Calibri"/>
                        <w:sz w:val="16"/>
                      </w:rPr>
                    </w:pPr>
                    <w:r>
                      <w:rPr>
                        <w:rFonts w:ascii="Calibri"/>
                        <w:w w:val="102"/>
                        <w:position w:val="8"/>
                        <w:sz w:val="16"/>
                        <w:u w:val="thick" w:color="C00000"/>
                      </w:rPr>
                      <w:t> </w:t>
                    </w:r>
                    <w:r>
                      <w:rPr>
                        <w:rFonts w:ascii="Calibri"/>
                        <w:position w:val="8"/>
                        <w:sz w:val="16"/>
                        <w:u w:val="thick" w:color="C00000"/>
                      </w:rPr>
                      <w:tab/>
                    </w:r>
                    <w:r>
                      <w:rPr>
                        <w:rFonts w:ascii="Calibri"/>
                        <w:w w:val="105"/>
                        <w:sz w:val="16"/>
                      </w:rPr>
                      <w:t>5-year average employment growth</w:t>
                    </w:r>
                    <w:r>
                      <w:rPr>
                        <w:rFonts w:ascii="Calibri"/>
                        <w:spacing w:val="-23"/>
                        <w:w w:val="105"/>
                        <w:sz w:val="16"/>
                      </w:rPr>
                      <w:t> </w:t>
                    </w:r>
                    <w:r>
                      <w:rPr>
                        <w:rFonts w:ascii="Calibri"/>
                        <w:w w:val="105"/>
                        <w:sz w:val="16"/>
                      </w:rPr>
                      <w:t>(RHS)</w:t>
                    </w:r>
                  </w:p>
                </w:txbxContent>
              </v:textbox>
              <w10:wrap type="none"/>
            </v:shape>
            <w10:wrap type="none"/>
          </v:group>
        </w:pict>
      </w:r>
      <w:r>
        <w:rPr/>
        <w:t>Chart 3: Productivity unusually weak even allowing for scale of downturn</w:t>
      </w:r>
    </w:p>
    <w:p>
      <w:pPr>
        <w:pStyle w:val="BodyText"/>
        <w:spacing w:before="4"/>
        <w:rPr>
          <w:b/>
          <w:sz w:val="11"/>
        </w:rPr>
      </w:pPr>
      <w:r>
        <w:rPr/>
        <w:pict>
          <v:shape style="position:absolute;margin-left:98.947182pt;margin-top:9.466331pt;width:15.8pt;height:.1pt;mso-position-horizontal-relative:page;mso-position-vertical-relative:paragraph;z-index:-251651072;mso-wrap-distance-left:0;mso-wrap-distance-right:0" coordorigin="1979,189" coordsize="316,0" path="m1979,189l2295,189e" filled="false" stroked="true" strokeweight="1.895261pt" strokecolor="#17375e">
            <v:path arrowok="t"/>
            <v:stroke dashstyle="solid"/>
            <w10:wrap type="topAndBottom"/>
          </v:shape>
        </w:pict>
      </w:r>
    </w:p>
    <w:p>
      <w:pPr>
        <w:spacing w:before="33"/>
        <w:ind w:left="342" w:right="0" w:firstLine="0"/>
        <w:jc w:val="left"/>
        <w:rPr>
          <w:rFonts w:ascii="Calibri"/>
          <w:sz w:val="16"/>
        </w:rPr>
      </w:pPr>
      <w:r>
        <w:rPr>
          <w:rFonts w:ascii="Calibri"/>
          <w:w w:val="102"/>
          <w:sz w:val="16"/>
        </w:rPr>
        <w:t>5</w:t>
      </w:r>
    </w:p>
    <w:p>
      <w:pPr>
        <w:pStyle w:val="BodyText"/>
        <w:rPr>
          <w:rFonts w:ascii="Calibri"/>
          <w:sz w:val="16"/>
        </w:rPr>
      </w:pPr>
    </w:p>
    <w:p>
      <w:pPr>
        <w:spacing w:before="133"/>
        <w:ind w:left="342" w:right="0" w:firstLine="0"/>
        <w:jc w:val="left"/>
        <w:rPr>
          <w:rFonts w:ascii="Calibri"/>
          <w:sz w:val="16"/>
        </w:rPr>
      </w:pPr>
      <w:r>
        <w:rPr>
          <w:rFonts w:ascii="Calibri"/>
          <w:w w:val="103"/>
          <w:sz w:val="16"/>
        </w:rPr>
        <w:t>4</w:t>
      </w:r>
    </w:p>
    <w:p>
      <w:pPr>
        <w:pStyle w:val="BodyText"/>
        <w:rPr>
          <w:rFonts w:ascii="Calibri"/>
          <w:sz w:val="16"/>
        </w:rPr>
      </w:pPr>
      <w:r>
        <w:rPr/>
        <w:br w:type="column"/>
      </w:r>
      <w:r>
        <w:rPr>
          <w:rFonts w:ascii="Calibri"/>
          <w:sz w:val="16"/>
        </w:rPr>
      </w:r>
    </w:p>
    <w:p>
      <w:pPr>
        <w:pStyle w:val="BodyText"/>
        <w:rPr>
          <w:rFonts w:ascii="Calibri"/>
          <w:sz w:val="16"/>
        </w:rPr>
      </w:pPr>
    </w:p>
    <w:p>
      <w:pPr>
        <w:pStyle w:val="BodyText"/>
        <w:rPr>
          <w:rFonts w:ascii="Calibri"/>
          <w:sz w:val="16"/>
        </w:rPr>
      </w:pPr>
    </w:p>
    <w:p>
      <w:pPr>
        <w:pStyle w:val="BodyText"/>
        <w:rPr>
          <w:rFonts w:ascii="Calibri"/>
          <w:sz w:val="16"/>
        </w:rPr>
      </w:pPr>
    </w:p>
    <w:p>
      <w:pPr>
        <w:spacing w:line="177" w:lineRule="exact" w:before="114"/>
        <w:ind w:left="306" w:right="0" w:firstLine="0"/>
        <w:jc w:val="left"/>
        <w:rPr>
          <w:rFonts w:ascii="Calibri"/>
          <w:b/>
          <w:sz w:val="16"/>
        </w:rPr>
      </w:pPr>
      <w:r>
        <w:rPr>
          <w:rFonts w:ascii="Calibri"/>
          <w:b/>
          <w:w w:val="103"/>
          <w:sz w:val="16"/>
        </w:rPr>
        <w:t>%</w:t>
      </w:r>
    </w:p>
    <w:p>
      <w:pPr>
        <w:spacing w:line="177" w:lineRule="exact" w:before="0"/>
        <w:ind w:left="233" w:right="0" w:firstLine="0"/>
        <w:jc w:val="left"/>
        <w:rPr>
          <w:rFonts w:ascii="Calibri"/>
          <w:sz w:val="16"/>
        </w:rPr>
      </w:pPr>
      <w:r>
        <w:rPr>
          <w:rFonts w:ascii="Calibri"/>
          <w:w w:val="105"/>
          <w:sz w:val="16"/>
        </w:rPr>
        <w:t>2.75</w:t>
      </w:r>
    </w:p>
    <w:p>
      <w:pPr>
        <w:pStyle w:val="Heading1"/>
        <w:spacing w:line="360" w:lineRule="auto"/>
      </w:pPr>
      <w:r>
        <w:rPr>
          <w:b w:val="0"/>
        </w:rPr>
        <w:br w:type="column"/>
      </w:r>
      <w:r>
        <w:rPr/>
        <w:t>Chart 4: Productivity growth involves significant reallocation across firms</w:t>
      </w:r>
      <w:r>
        <w:rPr>
          <w:vertAlign w:val="superscript"/>
        </w:rPr>
        <w:t>5</w:t>
      </w:r>
      <w:r>
        <w:rPr>
          <w:vertAlign w:val="baseline"/>
        </w:rPr>
        <w:t> </w:t>
      </w:r>
      <w:r>
        <w:rPr>
          <w:vertAlign w:val="superscript"/>
        </w:rPr>
        <w:t>6</w:t>
      </w:r>
    </w:p>
    <w:p>
      <w:pPr>
        <w:spacing w:before="36"/>
        <w:ind w:left="0" w:right="531" w:firstLine="0"/>
        <w:jc w:val="right"/>
        <w:rPr>
          <w:rFonts w:ascii="Calibri"/>
          <w:sz w:val="16"/>
        </w:rPr>
      </w:pPr>
      <w:r>
        <w:rPr/>
        <w:pict>
          <v:group style="position:absolute;margin-left:318.981171pt;margin-top:4.997041pt;width:224.05pt;height:170.4pt;mso-position-horizontal-relative:page;mso-position-vertical-relative:paragraph;z-index:-252677120" coordorigin="6380,100" coordsize="4481,3408">
            <v:rect style="position:absolute;left:6547;top:1319;width:220;height:503" filled="true" fillcolor="#548ed4" stroked="false">
              <v:fill type="solid"/>
            </v:rect>
            <v:rect style="position:absolute;left:6547;top:1228;width:220;height:91" filled="true" fillcolor="#b8cde4" stroked="false">
              <v:fill type="solid"/>
            </v:rect>
            <v:line style="position:absolute" from="6547,1828" to="6766,1828" stroked="true" strokeweight=".643707pt" strokecolor="#92d050">
              <v:stroke dashstyle="solid"/>
            </v:line>
            <v:rect style="position:absolute;left:6547;top:1074;width:220;height:155" filled="true" fillcolor="#404040" stroked="false">
              <v:fill type="solid"/>
            </v:rect>
            <v:rect style="position:absolute;left:7101;top:1821;width:220;height:309" filled="true" fillcolor="#548ed4" stroked="false">
              <v:fill type="solid"/>
            </v:rect>
            <v:rect style="position:absolute;left:7101;top:1100;width:220;height:721" filled="true" fillcolor="#b8cde4" stroked="false">
              <v:fill type="solid"/>
            </v:rect>
            <v:rect style="position:absolute;left:7101;top:2130;width:220;height:116" filled="true" fillcolor="#92d050" stroked="false">
              <v:fill type="solid"/>
            </v:rect>
            <v:rect style="position:absolute;left:7101;top:919;width:220;height:181" filled="true" fillcolor="#404040" stroked="false">
              <v:fill type="solid"/>
            </v:rect>
            <v:rect style="position:absolute;left:7656;top:1628;width:220;height:194" filled="true" fillcolor="#548ed4" stroked="false">
              <v:fill type="solid"/>
            </v:rect>
            <v:rect style="position:absolute;left:7656;top:713;width:220;height:915" filled="true" fillcolor="#b8cde4" stroked="false">
              <v:fill type="solid"/>
            </v:rect>
            <v:rect style="position:absolute;left:7656;top:1821;width:220;height:116" filled="true" fillcolor="#92d050" stroked="false">
              <v:fill type="solid"/>
            </v:rect>
            <v:rect style="position:absolute;left:7656;top:469;width:220;height:245" filled="true" fillcolor="#404040" stroked="false">
              <v:fill type="solid"/>
            </v:rect>
            <v:rect style="position:absolute;left:8197;top:1113;width:233;height:709" filled="true" fillcolor="#548ed4" stroked="false">
              <v:fill type="solid"/>
            </v:rect>
            <v:rect style="position:absolute;left:8197;top:765;width:233;height:348" filled="true" fillcolor="#b8cde4" stroked="false">
              <v:fill type="solid"/>
            </v:rect>
            <v:rect style="position:absolute;left:8197;top:1821;width:233;height:78" filled="true" fillcolor="#92d050" stroked="false">
              <v:fill type="solid"/>
            </v:rect>
            <v:rect style="position:absolute;left:8197;top:469;width:233;height:297" filled="true" fillcolor="#404040" stroked="false">
              <v:fill type="solid"/>
            </v:rect>
            <v:rect style="position:absolute;left:8752;top:1821;width:220;height:618" filled="true" fillcolor="#548ed4" stroked="false">
              <v:fill type="solid"/>
            </v:rect>
            <v:rect style="position:absolute;left:8752;top:1409;width:220;height:412" filled="true" fillcolor="#b8cde4" stroked="false">
              <v:fill type="solid"/>
            </v:rect>
            <v:rect style="position:absolute;left:8752;top:2439;width:220;height:39" filled="true" fillcolor="#92d050" stroked="false">
              <v:fill type="solid"/>
            </v:rect>
            <v:rect style="position:absolute;left:8752;top:1125;width:220;height:284" filled="true" fillcolor="#404040" stroked="false">
              <v:fill type="solid"/>
            </v:rect>
            <v:rect style="position:absolute;left:9306;top:1821;width:220;height:1121" filled="true" fillcolor="#548ed4" stroked="false">
              <v:fill type="solid"/>
            </v:rect>
            <v:rect style="position:absolute;left:9306;top:1666;width:220;height:155" filled="true" fillcolor="#b8cde4" stroked="false">
              <v:fill type="solid"/>
            </v:rect>
            <v:rect style="position:absolute;left:9306;top:2941;width:220;height:91" filled="true" fillcolor="#92d050" stroked="false">
              <v:fill type="solid"/>
            </v:rect>
            <v:rect style="position:absolute;left:9306;top:1409;width:220;height:258" filled="true" fillcolor="#404040" stroked="false">
              <v:fill type="solid"/>
            </v:rect>
            <v:rect style="position:absolute;left:9861;top:1512;width:220;height:309" filled="true" fillcolor="#548ed4" stroked="false">
              <v:fill type="solid"/>
            </v:rect>
            <v:rect style="position:absolute;left:9861;top:1821;width:220;height:39" filled="true" fillcolor="#b8cde4" stroked="false">
              <v:fill type="solid"/>
            </v:rect>
            <v:rect style="position:absolute;left:9861;top:1473;width:220;height:39" filled="true" fillcolor="#92d050" stroked="false">
              <v:fill type="solid"/>
            </v:rect>
            <v:line style="position:absolute" from="9861,1866" to="10080,1866" stroked="true" strokeweight=".643707pt" strokecolor="#404040">
              <v:stroke dashstyle="solid"/>
            </v:line>
            <v:rect style="position:absolute;left:10415;top:1821;width:220;height:490" filled="true" fillcolor="#548ed4" stroked="false">
              <v:fill type="solid"/>
            </v:rect>
            <v:rect style="position:absolute;left:10415;top:1743;width:220;height:78" filled="true" fillcolor="#b8cde4" stroked="false">
              <v:fill type="solid"/>
            </v:rect>
            <v:rect style="position:absolute;left:10415;top:2310;width:220;height:155" filled="true" fillcolor="#92d050" stroked="false">
              <v:fill type="solid"/>
            </v:rect>
            <v:rect style="position:absolute;left:10415;top:1628;width:220;height:116" filled="true" fillcolor="#404040" stroked="false">
              <v:fill type="solid"/>
            </v:rect>
            <v:shape style="position:absolute;left:202;top:8438;width:5206;height:3915" coordorigin="203,8438" coordsize="5206,3915" path="m10809,3501l10809,141m10809,3501l10860,3501m10809,3089l10860,3089m10809,2664l10860,2664m10809,2240l10860,2240m10809,1815l10860,1815m10809,1403l10860,1403m10809,978l10860,978m10809,553l10860,553m10809,141l10860,141m6386,1815l10809,1815m6386,1815l6386,1879m6941,1815l6941,1879m7495,1815l7495,1879m8036,1815l8036,1879m8591,1815l8591,1879m9145,1815l9145,1879m9700,1815l9700,1879m10254,1815l10254,1879m10809,1815l10809,1879e" filled="false" stroked="true" strokeweight=".644206pt" strokecolor="#000000">
              <v:path arrowok="t"/>
              <v:stroke dashstyle="solid"/>
            </v:shape>
            <v:shape style="position:absolute;left:6656;top:540;width:3869;height:2086" coordorigin="6657,540" coordsize="3869,2086" path="m6657,1094l7211,1338,7766,592,8320,540,8875,1789,9416,2626,9971,1532,10525,2278e" filled="false" stroked="true" strokeweight=".643932pt" strokecolor="#800080">
              <v:path arrowok="t"/>
              <v:stroke dashstyle="solid"/>
            </v:shape>
            <v:rect style="position:absolute;left:6392;top:2413;width:2257;height:1095" filled="true" fillcolor="#ffffff" stroked="false">
              <v:fill type="solid"/>
            </v:rect>
            <v:line style="position:absolute" from="6560,2529" to="6895,2529" stroked="true" strokeweight="5.149656pt" strokecolor="#404040">
              <v:stroke dashstyle="solid"/>
            </v:line>
            <v:line style="position:absolute" from="6560,2748" to="6895,2748" stroked="true" strokeweight="5.149656pt" strokecolor="#92d050">
              <v:stroke dashstyle="solid"/>
            </v:line>
            <v:line style="position:absolute" from="6560,2960" to="6895,2960" stroked="true" strokeweight="5.793363pt" strokecolor="#b8cde4">
              <v:stroke dashstyle="solid"/>
            </v:line>
            <v:line style="position:absolute" from="6560,3173" to="6895,3173" stroked="true" strokeweight="5.149656pt" strokecolor="#548ed4">
              <v:stroke dashstyle="solid"/>
            </v:line>
            <v:line style="position:absolute" from="6554,3385" to="6889,3385" stroked="true" strokeweight=".643707pt" strokecolor="#800080">
              <v:stroke dashstyle="solid"/>
            </v:line>
            <v:shape style="position:absolute;left:10565;top:99;width:141;height:169" type="#_x0000_t202" filled="false" stroked="false">
              <v:textbox inset="0,0,0,0">
                <w:txbxContent>
                  <w:p>
                    <w:pPr>
                      <w:spacing w:line="168" w:lineRule="exact" w:before="0"/>
                      <w:ind w:left="0" w:right="0" w:firstLine="0"/>
                      <w:jc w:val="left"/>
                      <w:rPr>
                        <w:rFonts w:ascii="Calibri"/>
                        <w:sz w:val="17"/>
                      </w:rPr>
                    </w:pPr>
                    <w:r>
                      <w:rPr>
                        <w:rFonts w:ascii="Calibri"/>
                        <w:w w:val="99"/>
                        <w:sz w:val="17"/>
                      </w:rPr>
                      <w:t>%</w:t>
                    </w:r>
                  </w:p>
                </w:txbxContent>
              </v:textbox>
              <w10:wrap type="none"/>
            </v:shape>
            <v:shape style="position:absolute;left:6923;top:2459;width:1573;height:1033" type="#_x0000_t202" filled="false" stroked="false">
              <v:textbox inset="0,0,0,0">
                <w:txbxContent>
                  <w:p>
                    <w:pPr>
                      <w:spacing w:line="172" w:lineRule="exact" w:before="0"/>
                      <w:ind w:left="0" w:right="0" w:firstLine="0"/>
                      <w:jc w:val="left"/>
                      <w:rPr>
                        <w:rFonts w:ascii="Calibri"/>
                        <w:sz w:val="17"/>
                      </w:rPr>
                    </w:pPr>
                    <w:r>
                      <w:rPr>
                        <w:rFonts w:ascii="Calibri"/>
                        <w:sz w:val="17"/>
                      </w:rPr>
                      <w:t>Exit</w:t>
                    </w:r>
                  </w:p>
                  <w:p>
                    <w:pPr>
                      <w:spacing w:before="18"/>
                      <w:ind w:left="0" w:right="0" w:firstLine="0"/>
                      <w:jc w:val="left"/>
                      <w:rPr>
                        <w:rFonts w:ascii="Calibri"/>
                        <w:sz w:val="16"/>
                      </w:rPr>
                    </w:pPr>
                    <w:r>
                      <w:rPr>
                        <w:rFonts w:ascii="Calibri"/>
                        <w:w w:val="105"/>
                        <w:sz w:val="16"/>
                      </w:rPr>
                      <w:t>Entry</w:t>
                    </w:r>
                  </w:p>
                  <w:p>
                    <w:pPr>
                      <w:spacing w:line="266" w:lineRule="auto" w:before="21"/>
                      <w:ind w:left="0" w:right="0" w:firstLine="0"/>
                      <w:jc w:val="left"/>
                      <w:rPr>
                        <w:rFonts w:ascii="Calibri"/>
                        <w:sz w:val="16"/>
                      </w:rPr>
                    </w:pPr>
                    <w:r>
                      <w:rPr>
                        <w:rFonts w:ascii="Calibri"/>
                        <w:w w:val="105"/>
                        <w:sz w:val="16"/>
                      </w:rPr>
                      <w:t>Survivors: reallocation Survivors: within firm Productivity growth</w:t>
                    </w:r>
                  </w:p>
                </w:txbxContent>
              </v:textbox>
              <w10:wrap type="none"/>
            </v:shape>
            <w10:wrap type="none"/>
          </v:group>
        </w:pict>
      </w:r>
      <w:r>
        <w:rPr>
          <w:rFonts w:ascii="Calibri"/>
          <w:w w:val="105"/>
          <w:sz w:val="16"/>
        </w:rPr>
        <w:t>8</w:t>
      </w:r>
    </w:p>
    <w:p>
      <w:pPr>
        <w:pStyle w:val="BodyText"/>
        <w:spacing w:before="11"/>
        <w:rPr>
          <w:rFonts w:ascii="Calibri"/>
          <w:sz w:val="17"/>
        </w:rPr>
      </w:pPr>
    </w:p>
    <w:p>
      <w:pPr>
        <w:spacing w:before="0"/>
        <w:ind w:left="0" w:right="531" w:firstLine="0"/>
        <w:jc w:val="right"/>
        <w:rPr>
          <w:rFonts w:ascii="Calibri"/>
          <w:sz w:val="17"/>
        </w:rPr>
      </w:pPr>
      <w:r>
        <w:rPr>
          <w:rFonts w:ascii="Calibri"/>
          <w:w w:val="99"/>
          <w:sz w:val="17"/>
        </w:rPr>
        <w:t>6</w:t>
      </w:r>
    </w:p>
    <w:p>
      <w:pPr>
        <w:pStyle w:val="BodyText"/>
        <w:spacing w:before="4"/>
        <w:rPr>
          <w:rFonts w:ascii="Calibri"/>
          <w:sz w:val="18"/>
        </w:rPr>
      </w:pPr>
    </w:p>
    <w:p>
      <w:pPr>
        <w:spacing w:before="1"/>
        <w:ind w:left="0" w:right="531" w:firstLine="0"/>
        <w:jc w:val="right"/>
        <w:rPr>
          <w:rFonts w:ascii="Calibri"/>
          <w:sz w:val="16"/>
        </w:rPr>
      </w:pPr>
      <w:r>
        <w:rPr>
          <w:rFonts w:ascii="Calibri"/>
          <w:w w:val="105"/>
          <w:sz w:val="16"/>
        </w:rPr>
        <w:t>4</w:t>
      </w:r>
    </w:p>
    <w:p>
      <w:pPr>
        <w:spacing w:after="0"/>
        <w:jc w:val="right"/>
        <w:rPr>
          <w:rFonts w:ascii="Calibri"/>
          <w:sz w:val="16"/>
        </w:rPr>
        <w:sectPr>
          <w:type w:val="continuous"/>
          <w:pgSz w:w="11910" w:h="16840"/>
          <w:pgMar w:top="1180" w:bottom="1520" w:left="900" w:right="320"/>
          <w:cols w:num="3" w:equalWidth="0">
            <w:col w:w="4283" w:space="167"/>
            <w:col w:w="533" w:space="68"/>
            <w:col w:w="5639"/>
          </w:cols>
        </w:sectPr>
      </w:pPr>
    </w:p>
    <w:p>
      <w:pPr>
        <w:pStyle w:val="BodyText"/>
        <w:spacing w:before="7"/>
        <w:rPr>
          <w:rFonts w:ascii="Calibri"/>
          <w:sz w:val="12"/>
        </w:rPr>
      </w:pPr>
    </w:p>
    <w:p>
      <w:pPr>
        <w:tabs>
          <w:tab w:pos="4683" w:val="left" w:leader="none"/>
          <w:tab w:pos="10067" w:val="left" w:leader="none"/>
        </w:tabs>
        <w:spacing w:before="67"/>
        <w:ind w:left="342" w:right="0" w:firstLine="0"/>
        <w:jc w:val="left"/>
        <w:rPr>
          <w:rFonts w:ascii="Calibri"/>
          <w:sz w:val="17"/>
        </w:rPr>
      </w:pPr>
      <w:r>
        <w:rPr>
          <w:rFonts w:ascii="Calibri"/>
          <w:sz w:val="16"/>
        </w:rPr>
        <w:t>3</w:t>
        <w:tab/>
        <w:t>0.75</w:t>
        <w:tab/>
      </w:r>
      <w:r>
        <w:rPr>
          <w:rFonts w:ascii="Calibri"/>
          <w:position w:val="1"/>
          <w:sz w:val="17"/>
        </w:rPr>
        <w:t>2</w:t>
      </w:r>
    </w:p>
    <w:p>
      <w:pPr>
        <w:pStyle w:val="BodyText"/>
        <w:spacing w:before="7"/>
        <w:rPr>
          <w:rFonts w:ascii="Calibri"/>
          <w:sz w:val="11"/>
        </w:rPr>
      </w:pPr>
    </w:p>
    <w:p>
      <w:pPr>
        <w:spacing w:after="0"/>
        <w:rPr>
          <w:rFonts w:ascii="Calibri"/>
          <w:sz w:val="11"/>
        </w:rPr>
        <w:sectPr>
          <w:type w:val="continuous"/>
          <w:pgSz w:w="11910" w:h="16840"/>
          <w:pgMar w:top="1180" w:bottom="1520" w:left="900" w:right="320"/>
        </w:sectPr>
      </w:pPr>
    </w:p>
    <w:p>
      <w:pPr>
        <w:pStyle w:val="BodyText"/>
        <w:spacing w:before="3"/>
        <w:rPr>
          <w:rFonts w:ascii="Calibri"/>
          <w:sz w:val="15"/>
        </w:rPr>
      </w:pPr>
    </w:p>
    <w:p>
      <w:pPr>
        <w:spacing w:before="0"/>
        <w:ind w:left="342" w:right="0" w:firstLine="0"/>
        <w:jc w:val="left"/>
        <w:rPr>
          <w:rFonts w:ascii="Calibri"/>
          <w:sz w:val="16"/>
        </w:rPr>
      </w:pPr>
      <w:r>
        <w:rPr>
          <w:rFonts w:ascii="Calibri"/>
          <w:w w:val="102"/>
          <w:sz w:val="16"/>
        </w:rPr>
        <w:t>2</w:t>
      </w:r>
    </w:p>
    <w:p>
      <w:pPr>
        <w:pStyle w:val="BodyText"/>
        <w:rPr>
          <w:rFonts w:ascii="Calibri"/>
          <w:sz w:val="16"/>
        </w:rPr>
      </w:pPr>
    </w:p>
    <w:p>
      <w:pPr>
        <w:spacing w:before="133"/>
        <w:ind w:left="342" w:right="0" w:firstLine="0"/>
        <w:jc w:val="left"/>
        <w:rPr>
          <w:rFonts w:ascii="Calibri"/>
          <w:sz w:val="16"/>
        </w:rPr>
      </w:pPr>
      <w:r>
        <w:rPr>
          <w:rFonts w:ascii="Calibri"/>
          <w:w w:val="102"/>
          <w:sz w:val="16"/>
        </w:rPr>
        <w:t>1</w:t>
      </w:r>
    </w:p>
    <w:p>
      <w:pPr>
        <w:pStyle w:val="BodyText"/>
        <w:rPr>
          <w:rFonts w:ascii="Calibri"/>
          <w:sz w:val="16"/>
        </w:rPr>
      </w:pPr>
    </w:p>
    <w:p>
      <w:pPr>
        <w:spacing w:before="132"/>
        <w:ind w:left="342" w:right="0" w:firstLine="0"/>
        <w:jc w:val="left"/>
        <w:rPr>
          <w:rFonts w:ascii="Calibri"/>
          <w:sz w:val="16"/>
        </w:rPr>
      </w:pPr>
      <w:r>
        <w:rPr>
          <w:rFonts w:ascii="Calibri"/>
          <w:w w:val="102"/>
          <w:sz w:val="16"/>
        </w:rPr>
        <w:t>0</w:t>
      </w:r>
    </w:p>
    <w:p>
      <w:pPr>
        <w:pStyle w:val="BodyText"/>
        <w:rPr>
          <w:rFonts w:ascii="Calibri"/>
          <w:sz w:val="16"/>
        </w:rPr>
      </w:pPr>
    </w:p>
    <w:p>
      <w:pPr>
        <w:spacing w:before="133"/>
        <w:ind w:left="290" w:right="0" w:firstLine="0"/>
        <w:jc w:val="left"/>
        <w:rPr>
          <w:rFonts w:ascii="Calibri"/>
          <w:sz w:val="16"/>
        </w:rPr>
      </w:pPr>
      <w:r>
        <w:rPr>
          <w:rFonts w:ascii="Calibri"/>
          <w:w w:val="105"/>
          <w:sz w:val="16"/>
        </w:rPr>
        <w:t>-1</w:t>
      </w:r>
    </w:p>
    <w:p>
      <w:pPr>
        <w:spacing w:before="25"/>
        <w:ind w:left="421" w:right="0" w:firstLine="0"/>
        <w:jc w:val="left"/>
        <w:rPr>
          <w:rFonts w:ascii="Calibri"/>
          <w:sz w:val="16"/>
        </w:rPr>
      </w:pPr>
      <w:r>
        <w:rPr>
          <w:rFonts w:ascii="Calibri"/>
          <w:w w:val="105"/>
          <w:sz w:val="16"/>
        </w:rPr>
        <w:t>1976 1980 1984 1988 1992 1996 2000 2004 2008 2012</w:t>
      </w:r>
    </w:p>
    <w:p>
      <w:pPr>
        <w:pStyle w:val="BodyText"/>
        <w:spacing w:before="11"/>
        <w:rPr>
          <w:rFonts w:ascii="Calibri"/>
          <w:sz w:val="12"/>
        </w:rPr>
      </w:pPr>
    </w:p>
    <w:p>
      <w:pPr>
        <w:spacing w:before="0"/>
        <w:ind w:left="233" w:right="0" w:firstLine="0"/>
        <w:jc w:val="left"/>
        <w:rPr>
          <w:sz w:val="16"/>
        </w:rPr>
      </w:pPr>
      <w:r>
        <w:rPr>
          <w:sz w:val="16"/>
        </w:rPr>
        <w:t>Source: ONS, CBI, Markit Economics, Bank calculations</w:t>
      </w:r>
    </w:p>
    <w:p>
      <w:pPr>
        <w:pStyle w:val="BodyText"/>
        <w:rPr>
          <w:sz w:val="16"/>
        </w:rPr>
      </w:pPr>
      <w:r>
        <w:rPr/>
        <w:br w:type="column"/>
      </w:r>
      <w:r>
        <w:rPr>
          <w:sz w:val="16"/>
        </w:rPr>
      </w:r>
    </w:p>
    <w:p>
      <w:pPr>
        <w:pStyle w:val="BodyText"/>
        <w:rPr>
          <w:sz w:val="16"/>
        </w:rPr>
      </w:pPr>
    </w:p>
    <w:p>
      <w:pPr>
        <w:pStyle w:val="BodyText"/>
        <w:rPr>
          <w:sz w:val="16"/>
        </w:rPr>
      </w:pPr>
    </w:p>
    <w:p>
      <w:pPr>
        <w:pStyle w:val="BodyText"/>
        <w:spacing w:before="8"/>
        <w:rPr>
          <w:sz w:val="13"/>
        </w:rPr>
      </w:pPr>
    </w:p>
    <w:p>
      <w:pPr>
        <w:spacing w:before="0"/>
        <w:ind w:left="211" w:right="0" w:firstLine="0"/>
        <w:jc w:val="left"/>
        <w:rPr>
          <w:rFonts w:ascii="Calibri"/>
          <w:sz w:val="16"/>
        </w:rPr>
      </w:pPr>
      <w:r>
        <w:rPr>
          <w:rFonts w:ascii="Calibri"/>
          <w:w w:val="105"/>
          <w:sz w:val="16"/>
        </w:rPr>
        <w:t>-1.25</w:t>
      </w:r>
    </w:p>
    <w:p>
      <w:pPr>
        <w:pStyle w:val="BodyText"/>
        <w:rPr>
          <w:rFonts w:ascii="Calibri"/>
          <w:sz w:val="16"/>
        </w:rPr>
      </w:pPr>
    </w:p>
    <w:p>
      <w:pPr>
        <w:pStyle w:val="BodyText"/>
        <w:rPr>
          <w:rFonts w:ascii="Calibri"/>
          <w:sz w:val="16"/>
        </w:rPr>
      </w:pPr>
    </w:p>
    <w:p>
      <w:pPr>
        <w:pStyle w:val="BodyText"/>
        <w:rPr>
          <w:rFonts w:ascii="Calibri"/>
          <w:sz w:val="16"/>
        </w:rPr>
      </w:pPr>
    </w:p>
    <w:p>
      <w:pPr>
        <w:pStyle w:val="BodyText"/>
        <w:spacing w:before="9"/>
        <w:rPr>
          <w:rFonts w:ascii="Calibri"/>
          <w:sz w:val="21"/>
        </w:rPr>
      </w:pPr>
    </w:p>
    <w:p>
      <w:pPr>
        <w:spacing w:before="0"/>
        <w:ind w:left="211" w:right="0" w:firstLine="0"/>
        <w:jc w:val="left"/>
        <w:rPr>
          <w:rFonts w:ascii="Calibri"/>
          <w:sz w:val="16"/>
        </w:rPr>
      </w:pPr>
      <w:r>
        <w:rPr>
          <w:rFonts w:ascii="Calibri"/>
          <w:w w:val="105"/>
          <w:sz w:val="16"/>
        </w:rPr>
        <w:t>-3.25</w:t>
      </w:r>
    </w:p>
    <w:p>
      <w:pPr>
        <w:spacing w:before="74"/>
        <w:ind w:left="4993" w:right="0" w:firstLine="0"/>
        <w:jc w:val="left"/>
        <w:rPr>
          <w:rFonts w:ascii="Calibri"/>
          <w:sz w:val="16"/>
        </w:rPr>
      </w:pPr>
      <w:r>
        <w:rPr/>
        <w:br w:type="column"/>
      </w:r>
      <w:r>
        <w:rPr>
          <w:rFonts w:ascii="Calibri"/>
          <w:w w:val="105"/>
          <w:sz w:val="16"/>
        </w:rPr>
        <w:t>0</w:t>
      </w:r>
    </w:p>
    <w:p>
      <w:pPr>
        <w:pStyle w:val="BodyText"/>
        <w:spacing w:before="10"/>
        <w:rPr>
          <w:rFonts w:ascii="Calibri"/>
          <w:sz w:val="17"/>
        </w:rPr>
      </w:pPr>
    </w:p>
    <w:p>
      <w:pPr>
        <w:spacing w:before="0"/>
        <w:ind w:left="4993" w:right="0" w:firstLine="0"/>
        <w:jc w:val="left"/>
        <w:rPr>
          <w:rFonts w:ascii="Calibri"/>
          <w:sz w:val="17"/>
        </w:rPr>
      </w:pPr>
      <w:r>
        <w:rPr>
          <w:rFonts w:ascii="Calibri"/>
          <w:sz w:val="17"/>
        </w:rPr>
        <w:t>-2</w:t>
      </w:r>
    </w:p>
    <w:p>
      <w:pPr>
        <w:pStyle w:val="BodyText"/>
        <w:spacing w:before="5"/>
        <w:rPr>
          <w:rFonts w:ascii="Calibri"/>
          <w:sz w:val="18"/>
        </w:rPr>
      </w:pPr>
    </w:p>
    <w:p>
      <w:pPr>
        <w:spacing w:before="0"/>
        <w:ind w:left="4993" w:right="0" w:firstLine="0"/>
        <w:jc w:val="left"/>
        <w:rPr>
          <w:rFonts w:ascii="Calibri"/>
          <w:sz w:val="16"/>
        </w:rPr>
      </w:pPr>
      <w:r>
        <w:rPr>
          <w:rFonts w:ascii="Calibri"/>
          <w:w w:val="105"/>
          <w:sz w:val="16"/>
        </w:rPr>
        <w:t>-4</w:t>
      </w:r>
    </w:p>
    <w:p>
      <w:pPr>
        <w:pStyle w:val="BodyText"/>
        <w:spacing w:before="8"/>
        <w:rPr>
          <w:rFonts w:ascii="Calibri"/>
          <w:sz w:val="18"/>
        </w:rPr>
      </w:pPr>
    </w:p>
    <w:p>
      <w:pPr>
        <w:spacing w:before="0"/>
        <w:ind w:left="4993" w:right="0" w:firstLine="0"/>
        <w:jc w:val="left"/>
        <w:rPr>
          <w:rFonts w:ascii="Calibri"/>
          <w:sz w:val="16"/>
        </w:rPr>
      </w:pPr>
      <w:r>
        <w:rPr>
          <w:rFonts w:ascii="Calibri"/>
          <w:w w:val="105"/>
          <w:sz w:val="16"/>
        </w:rPr>
        <w:t>-6</w:t>
      </w:r>
    </w:p>
    <w:p>
      <w:pPr>
        <w:pStyle w:val="BodyText"/>
        <w:spacing w:before="8"/>
        <w:rPr>
          <w:rFonts w:ascii="Calibri"/>
          <w:sz w:val="18"/>
        </w:rPr>
      </w:pPr>
    </w:p>
    <w:p>
      <w:pPr>
        <w:spacing w:before="0"/>
        <w:ind w:left="4993" w:right="0" w:firstLine="0"/>
        <w:jc w:val="left"/>
        <w:rPr>
          <w:rFonts w:ascii="Calibri"/>
          <w:sz w:val="16"/>
        </w:rPr>
      </w:pPr>
      <w:r>
        <w:rPr>
          <w:rFonts w:ascii="Calibri"/>
          <w:w w:val="105"/>
          <w:sz w:val="16"/>
        </w:rPr>
        <w:t>-8</w:t>
      </w:r>
    </w:p>
    <w:p>
      <w:pPr>
        <w:spacing w:before="19"/>
        <w:ind w:left="501" w:right="0" w:firstLine="0"/>
        <w:jc w:val="left"/>
        <w:rPr>
          <w:rFonts w:ascii="Calibri"/>
          <w:sz w:val="17"/>
        </w:rPr>
      </w:pPr>
      <w:r>
        <w:rPr>
          <w:rFonts w:ascii="Calibri"/>
          <w:sz w:val="17"/>
        </w:rPr>
        <w:t>2004 2005 2006 2007 2008 2009 2010 2011</w:t>
      </w:r>
    </w:p>
    <w:p>
      <w:pPr>
        <w:spacing w:before="142"/>
        <w:ind w:left="209" w:right="0" w:firstLine="0"/>
        <w:jc w:val="left"/>
        <w:rPr>
          <w:sz w:val="16"/>
        </w:rPr>
      </w:pPr>
      <w:r>
        <w:rPr>
          <w:sz w:val="16"/>
        </w:rPr>
        <w:t>Source: ONS and Bank calculations.</w:t>
      </w:r>
    </w:p>
    <w:p>
      <w:pPr>
        <w:spacing w:after="0"/>
        <w:jc w:val="left"/>
        <w:rPr>
          <w:sz w:val="16"/>
        </w:rPr>
        <w:sectPr>
          <w:type w:val="continuous"/>
          <w:pgSz w:w="11910" w:h="16840"/>
          <w:pgMar w:top="1180" w:bottom="1520" w:left="900" w:right="320"/>
          <w:cols w:num="3" w:equalWidth="0">
            <w:col w:w="4433" w:space="40"/>
            <w:col w:w="562" w:space="39"/>
            <w:col w:w="5616"/>
          </w:cols>
        </w:sectPr>
      </w:pPr>
    </w:p>
    <w:p>
      <w:pPr>
        <w:pStyle w:val="BodyText"/>
      </w:pPr>
    </w:p>
    <w:p>
      <w:pPr>
        <w:pStyle w:val="BodyText"/>
        <w:spacing w:before="1"/>
        <w:rPr>
          <w:sz w:val="18"/>
        </w:rPr>
      </w:pPr>
    </w:p>
    <w:p>
      <w:pPr>
        <w:pStyle w:val="BodyText"/>
        <w:spacing w:line="360" w:lineRule="auto"/>
        <w:ind w:left="233" w:right="906"/>
      </w:pPr>
      <w:r>
        <w:rPr/>
        <w:t>But it’s a real stretch, on any closer examination, to explain the divergence in Chart 3 using these things alone</w:t>
      </w:r>
      <w:r>
        <w:rPr>
          <w:vertAlign w:val="superscript"/>
        </w:rPr>
        <w:t>7</w:t>
      </w:r>
      <w:r>
        <w:rPr>
          <w:vertAlign w:val="baseline"/>
        </w:rPr>
        <w:t>. If, more generally, “aggregate demand” alone is responsible for weak growth it’s hard to explain why domestic cost and price growth has also been much stronger, relative to output, than in the past. And, as I suggested last year, there are also positive indications that the economy has been slow to adapt to significant shifts in relative economic conditions, across different sectors and firms. This will have reduced effective supply. What I want to do now is to present a little more evidence for this channel.  I will then qualify it by admitting that, even to the extent it matters over the recent past, it may not tell us much about how productivity behaves in</w:t>
      </w:r>
      <w:r>
        <w:rPr>
          <w:spacing w:val="-9"/>
          <w:vertAlign w:val="baseline"/>
        </w:rPr>
        <w:t> </w:t>
      </w:r>
      <w:r>
        <w:rPr>
          <w:vertAlign w:val="baseline"/>
        </w:rPr>
        <w:t>future.</w:t>
      </w:r>
    </w:p>
    <w:p>
      <w:pPr>
        <w:pStyle w:val="BodyText"/>
      </w:pPr>
    </w:p>
    <w:p>
      <w:pPr>
        <w:pStyle w:val="BodyText"/>
      </w:pPr>
    </w:p>
    <w:p>
      <w:pPr>
        <w:pStyle w:val="BodyText"/>
      </w:pPr>
    </w:p>
    <w:p>
      <w:pPr>
        <w:pStyle w:val="BodyText"/>
      </w:pPr>
    </w:p>
    <w:p>
      <w:pPr>
        <w:pStyle w:val="BodyText"/>
        <w:spacing w:before="2"/>
        <w:rPr>
          <w:sz w:val="29"/>
        </w:rPr>
      </w:pPr>
      <w:r>
        <w:rPr/>
        <w:pict>
          <v:shape style="position:absolute;margin-left:56.664001pt;margin-top:19.009277pt;width:144.050pt;height:.1pt;mso-position-horizontal-relative:page;mso-position-vertical-relative:paragraph;z-index:-251650048;mso-wrap-distance-left:0;mso-wrap-distance-right:0" coordorigin="1133,380" coordsize="2881,0" path="m1133,380l4014,380e" filled="false" stroked="true" strokeweight=".47998pt" strokecolor="#000000">
            <v:path arrowok="t"/>
            <v:stroke dashstyle="solid"/>
            <w10:wrap type="topAndBottom"/>
          </v:shape>
        </w:pict>
      </w:r>
    </w:p>
    <w:p>
      <w:pPr>
        <w:spacing w:before="30"/>
        <w:ind w:left="233" w:right="854" w:firstLine="0"/>
        <w:jc w:val="left"/>
        <w:rPr>
          <w:sz w:val="16"/>
        </w:rPr>
      </w:pPr>
      <w:r>
        <w:rPr>
          <w:position w:val="8"/>
          <w:sz w:val="10"/>
        </w:rPr>
        <w:t>5 </w:t>
      </w:r>
      <w:r>
        <w:rPr>
          <w:sz w:val="16"/>
        </w:rPr>
        <w:t>Chart 4 covers the entire population (~2m per year) of UK private non-financial companies, excluding those in the agriculture, mining and utilities sectors. Decomposition methodology is based on Baily, Bartelsman and Haltiwanger (2001). See Barnett, Barriel, Chiu and Franklin (2013), </w:t>
      </w:r>
      <w:r>
        <w:rPr>
          <w:i/>
          <w:sz w:val="16"/>
        </w:rPr>
        <w:t>Bank of England Working Paper</w:t>
      </w:r>
      <w:r>
        <w:rPr>
          <w:sz w:val="16"/>
        </w:rPr>
        <w:t>, forthcoming.</w:t>
      </w:r>
    </w:p>
    <w:p>
      <w:pPr>
        <w:spacing w:line="182" w:lineRule="exact" w:before="5"/>
        <w:ind w:left="233" w:right="898" w:firstLine="0"/>
        <w:jc w:val="left"/>
        <w:rPr>
          <w:sz w:val="16"/>
        </w:rPr>
      </w:pPr>
      <w:r>
        <w:rPr>
          <w:position w:val="8"/>
          <w:sz w:val="10"/>
        </w:rPr>
        <w:t>6 </w:t>
      </w:r>
      <w:r>
        <w:rPr>
          <w:sz w:val="16"/>
        </w:rPr>
        <w:t>This work contains statistical data from the ONS, which is Crown Copyright. The use of the ONS statistical data in this work does not imply the endorsement of the ONS in relation to the interpretation or analysis of the statistical data. This work uses research data sets</w:t>
      </w:r>
    </w:p>
    <w:p>
      <w:pPr>
        <w:spacing w:line="170" w:lineRule="exact" w:before="0"/>
        <w:ind w:left="233" w:right="0" w:firstLine="0"/>
        <w:jc w:val="left"/>
        <w:rPr>
          <w:sz w:val="16"/>
        </w:rPr>
      </w:pPr>
      <w:r>
        <w:rPr>
          <w:sz w:val="16"/>
        </w:rPr>
        <w:t>that may not exactly reproduce National Statistics aggregates.</w:t>
      </w:r>
    </w:p>
    <w:p>
      <w:pPr>
        <w:spacing w:line="184" w:lineRule="exact" w:before="14"/>
        <w:ind w:left="233" w:right="898" w:firstLine="0"/>
        <w:jc w:val="left"/>
        <w:rPr>
          <w:sz w:val="16"/>
        </w:rPr>
      </w:pPr>
      <w:r>
        <w:rPr>
          <w:position w:val="8"/>
          <w:sz w:val="10"/>
        </w:rPr>
        <w:t>7 </w:t>
      </w:r>
      <w:r>
        <w:rPr>
          <w:sz w:val="16"/>
        </w:rPr>
        <w:t>On wage flexibility, for example, the impact on productivity is likely to be around one half the impact on pay itself – see note 1 in the Appendix. While real pay does look to have fallen by more than in the pre-1990s recessions, all else equal, the gap is only around 2%,</w:t>
      </w:r>
    </w:p>
    <w:p>
      <w:pPr>
        <w:spacing w:before="0"/>
        <w:ind w:left="233" w:right="974" w:firstLine="0"/>
        <w:jc w:val="left"/>
        <w:rPr>
          <w:sz w:val="16"/>
        </w:rPr>
      </w:pPr>
      <w:r>
        <w:rPr>
          <w:sz w:val="16"/>
        </w:rPr>
        <w:t>smaller relative to the data in the recession in the early 1990s, and may in any case be due (at least in part) to a drop in underlying, effective supply. So my guess is that extra wage flexibility can account for no more than 1% point of the productivity shortfall, probably quite a bit less. The arguments against a big increase in labour hoarding – the strength of gross hiring, the pessimism of employers about future orders and the absence of any rise in hiring costs – I went through last year. They still apply.</w:t>
      </w:r>
    </w:p>
    <w:p>
      <w:pPr>
        <w:spacing w:after="0"/>
        <w:jc w:val="left"/>
        <w:rPr>
          <w:sz w:val="16"/>
        </w:rPr>
        <w:sectPr>
          <w:type w:val="continuous"/>
          <w:pgSz w:w="11910" w:h="16840"/>
          <w:pgMar w:top="1180" w:bottom="1520" w:left="900" w:right="320"/>
        </w:sectPr>
      </w:pPr>
    </w:p>
    <w:p>
      <w:pPr>
        <w:pStyle w:val="BodyText"/>
        <w:spacing w:line="360" w:lineRule="auto" w:before="79"/>
        <w:ind w:left="233" w:right="953"/>
      </w:pPr>
      <w:r>
        <w:rPr/>
        <w:t>Like Roman Gaul the evidence is in three parts: a general point about the importance of cross-firm reallocations in the economy, a bit on what relative price changes tell us and some results on the behaviour of investment. The first and third come from work led by colleagues here at the Bank</w:t>
      </w:r>
      <w:r>
        <w:rPr>
          <w:vertAlign w:val="superscript"/>
        </w:rPr>
        <w:t>8</w:t>
      </w:r>
      <w:r>
        <w:rPr>
          <w:vertAlign w:val="baseline"/>
        </w:rPr>
        <w:t>.</w:t>
      </w:r>
    </w:p>
    <w:p>
      <w:pPr>
        <w:pStyle w:val="BodyText"/>
        <w:rPr>
          <w:sz w:val="30"/>
        </w:rPr>
      </w:pPr>
    </w:p>
    <w:p>
      <w:pPr>
        <w:pStyle w:val="BodyText"/>
        <w:spacing w:line="360" w:lineRule="auto"/>
        <w:ind w:left="233" w:right="931"/>
      </w:pPr>
      <w:r>
        <w:rPr/>
        <w:t>Look first at Chart 4. This uses individual firm-level responses to the ONS surveys of output and employment to break down changes in aggregate productivity into various component parts – in dark blue, those that occur within individual firms; the effect of moving employment across existing firms, from the less to the more productive (light blue); the contribution of new entrants (green) and that of firm exits (in black).</w:t>
      </w:r>
    </w:p>
    <w:p>
      <w:pPr>
        <w:pStyle w:val="BodyText"/>
        <w:spacing w:before="10"/>
        <w:rPr>
          <w:sz w:val="29"/>
        </w:rPr>
      </w:pPr>
    </w:p>
    <w:p>
      <w:pPr>
        <w:pStyle w:val="BodyText"/>
        <w:ind w:left="233"/>
      </w:pPr>
      <w:r>
        <w:rPr/>
        <w:t>There are a few interesting things here. First, firms leaving the population are on average less productive</w:t>
      </w:r>
    </w:p>
    <w:p>
      <w:pPr>
        <w:pStyle w:val="BodyText"/>
        <w:spacing w:line="360" w:lineRule="auto" w:before="115"/>
        <w:ind w:left="233" w:right="953"/>
      </w:pPr>
      <w:r>
        <w:rPr/>
        <w:t>than others (that’s why the black bars are positive). This is why the surprisingly low level of firm exits in and since the last recession may not be an unmitigated good. Second, in the (brief) period before the financial crisis, only a minority of productivity growth took place within existing firms. Most was due to reallocation of one sort or another, principally across the existing population of companies. Third, that reallocation has since slowed down.</w:t>
      </w:r>
    </w:p>
    <w:p>
      <w:pPr>
        <w:pStyle w:val="BodyText"/>
        <w:rPr>
          <w:sz w:val="30"/>
        </w:rPr>
      </w:pPr>
    </w:p>
    <w:p>
      <w:pPr>
        <w:pStyle w:val="BodyText"/>
        <w:spacing w:line="360" w:lineRule="auto"/>
        <w:ind w:left="233" w:right="854"/>
      </w:pPr>
      <w:r>
        <w:rPr/>
        <w:t>This is hardly conclusive evidence. For one thing, the dark blue bars too have fallen significantly since the crisis, so it’s not as if slower reallocation, measured this way, is the only thing going on. Also, this is just a mechanical, accounting breakdown: we can’t be sure that we can legitimately imagine changes in one set of bars without affecting the others. And the sample only covers a few years. Ideally, one would want to know how the same breakdown looked in earlier recessions.</w:t>
      </w:r>
    </w:p>
    <w:p>
      <w:pPr>
        <w:pStyle w:val="BodyText"/>
        <w:spacing w:before="1"/>
        <w:rPr>
          <w:sz w:val="30"/>
        </w:rPr>
      </w:pPr>
    </w:p>
    <w:p>
      <w:pPr>
        <w:pStyle w:val="BodyText"/>
        <w:spacing w:line="360" w:lineRule="auto"/>
        <w:ind w:left="233" w:right="854"/>
      </w:pPr>
      <w:r>
        <w:rPr/>
        <w:t>The other two pieces of evidence do cover earlier recessions. As I explained a year ago, shifts in relative demand won’t affect aggregate productivity as long as productive resources move seamlessly in response. But if that does occur, relative prices won’t have to change either: it’s the fact that capital can move from one sector or firm to another that keeps marginal costs (and therefore prices) stable in the face of relative demand shifts. That’s why Chart 5 is interesting. It plots the variance of real prices, across 29 sectors of the economy, compared with their pre-crisis trends.</w:t>
      </w:r>
      <w:r>
        <w:rPr>
          <w:vertAlign w:val="superscript"/>
        </w:rPr>
        <w:t>9</w:t>
      </w:r>
      <w:r>
        <w:rPr>
          <w:vertAlign w:val="baseline"/>
        </w:rPr>
        <w:t> And it shows a significant increase in the dispersion since the crisis. This suggests marginal costs too have become more dispersed. To the extent this is due to (relative) demand shocks, it would necessarily imply a misallocation of resources and a loss of aggregate productivity.</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4"/>
        <w:rPr>
          <w:sz w:val="17"/>
        </w:rPr>
      </w:pPr>
      <w:r>
        <w:rPr/>
        <w:pict>
          <v:shape style="position:absolute;margin-left:56.664001pt;margin-top:12.176689pt;width:144.050pt;height:.1pt;mso-position-horizontal-relative:page;mso-position-vertical-relative:paragraph;z-index:-251642880;mso-wrap-distance-left:0;mso-wrap-distance-right:0" coordorigin="1133,244" coordsize="2881,0" path="m1133,244l4014,244e" filled="false" stroked="true" strokeweight=".48004pt" strokecolor="#000000">
            <v:path arrowok="t"/>
            <v:stroke dashstyle="solid"/>
            <w10:wrap type="topAndBottom"/>
          </v:shape>
        </w:pict>
      </w:r>
    </w:p>
    <w:p>
      <w:pPr>
        <w:spacing w:line="195" w:lineRule="exact" w:before="30"/>
        <w:ind w:left="233" w:right="0" w:firstLine="0"/>
        <w:jc w:val="both"/>
        <w:rPr>
          <w:sz w:val="16"/>
        </w:rPr>
      </w:pPr>
      <w:r>
        <w:rPr>
          <w:position w:val="8"/>
          <w:sz w:val="10"/>
        </w:rPr>
        <w:t>8 </w:t>
      </w:r>
      <w:r>
        <w:rPr>
          <w:sz w:val="16"/>
        </w:rPr>
        <w:t>Barnett, Barriel, Chiu and Franklin (2013), </w:t>
      </w:r>
      <w:r>
        <w:rPr>
          <w:i/>
          <w:sz w:val="16"/>
        </w:rPr>
        <w:t>Bank of England Working Paper</w:t>
      </w:r>
      <w:r>
        <w:rPr>
          <w:sz w:val="16"/>
        </w:rPr>
        <w:t>, forthcoming.</w:t>
      </w:r>
    </w:p>
    <w:p>
      <w:pPr>
        <w:spacing w:line="184" w:lineRule="exact" w:before="13"/>
        <w:ind w:left="233" w:right="898" w:firstLine="0"/>
        <w:jc w:val="both"/>
        <w:rPr>
          <w:sz w:val="16"/>
        </w:rPr>
      </w:pPr>
      <w:r>
        <w:rPr>
          <w:position w:val="8"/>
          <w:sz w:val="10"/>
        </w:rPr>
        <w:t>9 </w:t>
      </w:r>
      <w:r>
        <w:rPr>
          <w:sz w:val="16"/>
        </w:rPr>
        <w:t>There’s an important technical point here. If relative prices aren’t mean-reverting, at least relative to a fixed trend, you’d expect to see increasing divergence over time and the pattern in Chart 5 would be an artefact of the way we’d constructed the data. But according to statistical tests, this is not the case: nearly all these relative prices are, indeed, “trend stationary” prior to 2008.</w:t>
      </w:r>
    </w:p>
    <w:p>
      <w:pPr>
        <w:spacing w:after="0" w:line="184" w:lineRule="exact"/>
        <w:jc w:val="both"/>
        <w:rPr>
          <w:sz w:val="16"/>
        </w:rPr>
        <w:sectPr>
          <w:footerReference w:type="default" r:id="rId9"/>
          <w:pgSz w:w="11910" w:h="16840"/>
          <w:pgMar w:footer="1338" w:header="0" w:top="1520" w:bottom="1520" w:left="900" w:right="320"/>
          <w:pgNumType w:start="5"/>
        </w:sectPr>
      </w:pPr>
    </w:p>
    <w:p>
      <w:pPr>
        <w:pStyle w:val="Heading1"/>
        <w:tabs>
          <w:tab w:pos="5398" w:val="left" w:leader="none"/>
        </w:tabs>
        <w:spacing w:before="116"/>
      </w:pPr>
      <w:r>
        <w:rPr/>
        <w:t>Chart 5: Significant increase in</w:t>
      </w:r>
      <w:r>
        <w:rPr>
          <w:spacing w:val="-7"/>
        </w:rPr>
        <w:t> </w:t>
      </w:r>
      <w:r>
        <w:rPr/>
        <w:t>price</w:t>
      </w:r>
      <w:r>
        <w:rPr>
          <w:spacing w:val="-3"/>
        </w:rPr>
        <w:t> </w:t>
      </w:r>
      <w:r>
        <w:rPr/>
        <w:t>dispersion</w:t>
      </w:r>
      <w:r>
        <w:rPr>
          <w:vertAlign w:val="superscript"/>
        </w:rPr>
        <w:t>(a)</w:t>
      </w:r>
      <w:r>
        <w:rPr>
          <w:vertAlign w:val="baseline"/>
        </w:rPr>
        <w:tab/>
        <w:t>Table 1: Unlike in US, UK investment less sensitive</w:t>
      </w:r>
      <w:r>
        <w:rPr>
          <w:spacing w:val="-10"/>
          <w:vertAlign w:val="baseline"/>
        </w:rPr>
        <w:t> </w:t>
      </w:r>
      <w:r>
        <w:rPr>
          <w:vertAlign w:val="baseline"/>
        </w:rPr>
        <w:t>to</w:t>
      </w:r>
    </w:p>
    <w:p>
      <w:pPr>
        <w:spacing w:before="114"/>
        <w:ind w:left="5399" w:right="0" w:firstLine="0"/>
        <w:jc w:val="left"/>
        <w:rPr>
          <w:b/>
          <w:sz w:val="20"/>
        </w:rPr>
      </w:pPr>
      <w:r>
        <w:rPr>
          <w:b/>
          <w:sz w:val="20"/>
        </w:rPr>
        <w:t>profitability than in earlier recessions</w:t>
      </w:r>
    </w:p>
    <w:p>
      <w:pPr>
        <w:tabs>
          <w:tab w:pos="5398" w:val="left" w:leader="none"/>
        </w:tabs>
        <w:spacing w:before="129"/>
        <w:ind w:left="5016" w:right="0" w:firstLine="0"/>
        <w:jc w:val="left"/>
        <w:rPr>
          <w:b/>
          <w:sz w:val="18"/>
        </w:rPr>
      </w:pPr>
      <w:r>
        <w:rPr/>
        <w:pict>
          <v:group style="position:absolute;margin-left:314.950012pt;margin-top:6.011911pt;width:259.25pt;height:63.4pt;mso-position-horizontal-relative:page;mso-position-vertical-relative:paragraph;z-index:-252668928" coordorigin="6299,120" coordsize="5185,1268">
            <v:rect style="position:absolute;left:6299;top:1077;width:5185;height:310" filled="true" fillcolor="#001f5f" stroked="false">
              <v:fill type="solid"/>
            </v:rect>
            <v:shape style="position:absolute;left:6450;top:1078;width:280;height:202" type="#_x0000_t202" filled="false" stroked="false">
              <v:textbox inset="0,0,0,0">
                <w:txbxContent>
                  <w:p>
                    <w:pPr>
                      <w:spacing w:line="201" w:lineRule="exact" w:before="0"/>
                      <w:ind w:left="0" w:right="0" w:firstLine="0"/>
                      <w:jc w:val="left"/>
                      <w:rPr>
                        <w:b/>
                        <w:sz w:val="18"/>
                      </w:rPr>
                    </w:pPr>
                    <w:r>
                      <w:rPr>
                        <w:b/>
                        <w:color w:val="FFFFFF"/>
                        <w:sz w:val="18"/>
                      </w:rPr>
                      <w:t>UK</w:t>
                    </w:r>
                  </w:p>
                </w:txbxContent>
              </v:textbox>
              <w10:wrap type="none"/>
            </v:shape>
            <v:shape style="position:absolute;left:10356;top:120;width:1128;height:958" type="#_x0000_t202" filled="true" fillcolor="#d5e2bb" stroked="false">
              <v:textbox inset="0,0,0,0">
                <w:txbxContent>
                  <w:p>
                    <w:pPr>
                      <w:spacing w:before="8"/>
                      <w:ind w:left="103" w:right="0" w:firstLine="0"/>
                      <w:jc w:val="left"/>
                      <w:rPr>
                        <w:b/>
                        <w:sz w:val="18"/>
                      </w:rPr>
                    </w:pPr>
                    <w:r>
                      <w:rPr>
                        <w:b/>
                        <w:sz w:val="18"/>
                      </w:rPr>
                      <w:t>1980’s &amp;</w:t>
                    </w:r>
                  </w:p>
                  <w:p>
                    <w:pPr>
                      <w:spacing w:before="105"/>
                      <w:ind w:left="103" w:right="0" w:firstLine="0"/>
                      <w:jc w:val="left"/>
                      <w:rPr>
                        <w:b/>
                        <w:sz w:val="18"/>
                      </w:rPr>
                    </w:pPr>
                    <w:r>
                      <w:rPr>
                        <w:b/>
                        <w:sz w:val="18"/>
                      </w:rPr>
                      <w:t>1990’s</w:t>
                    </w:r>
                  </w:p>
                  <w:p>
                    <w:pPr>
                      <w:spacing w:before="103"/>
                      <w:ind w:left="103" w:right="0" w:firstLine="0"/>
                      <w:jc w:val="left"/>
                      <w:rPr>
                        <w:b/>
                        <w:sz w:val="18"/>
                      </w:rPr>
                    </w:pPr>
                    <w:r>
                      <w:rPr>
                        <w:b/>
                        <w:sz w:val="18"/>
                      </w:rPr>
                      <w:t>recession</w:t>
                    </w:r>
                  </w:p>
                </w:txbxContent>
              </v:textbox>
              <v:fill type="solid"/>
              <w10:wrap type="none"/>
            </v:shape>
            <v:shape style="position:absolute;left:9362;top:120;width:985;height:958" type="#_x0000_t202" filled="true" fillcolor="#d5e2bb" stroked="false">
              <v:textbox inset="0,0,0,0">
                <w:txbxContent>
                  <w:p>
                    <w:pPr>
                      <w:spacing w:before="164"/>
                      <w:ind w:left="0" w:right="0" w:firstLine="0"/>
                      <w:jc w:val="left"/>
                      <w:rPr>
                        <w:b/>
                        <w:sz w:val="18"/>
                      </w:rPr>
                    </w:pPr>
                    <w:r>
                      <w:rPr>
                        <w:b/>
                        <w:sz w:val="18"/>
                      </w:rPr>
                      <w:t>2007</w:t>
                    </w:r>
                  </w:p>
                  <w:p>
                    <w:pPr>
                      <w:spacing w:before="103"/>
                      <w:ind w:left="0" w:right="0" w:firstLine="0"/>
                      <w:jc w:val="left"/>
                      <w:rPr>
                        <w:b/>
                        <w:sz w:val="18"/>
                      </w:rPr>
                    </w:pPr>
                    <w:r>
                      <w:rPr>
                        <w:b/>
                        <w:sz w:val="18"/>
                      </w:rPr>
                      <w:t>recession</w:t>
                    </w:r>
                  </w:p>
                </w:txbxContent>
              </v:textbox>
              <v:fill type="solid"/>
              <w10:wrap type="none"/>
            </v:shape>
            <v:shape style="position:absolute;left:8361;top:120;width:992;height:958" type="#_x0000_t202" filled="true" fillcolor="#d5e2bb" stroked="false">
              <v:textbox inset="0,0,0,0">
                <w:txbxContent>
                  <w:p>
                    <w:pPr>
                      <w:spacing w:line="360" w:lineRule="auto" w:before="164"/>
                      <w:ind w:left="112" w:right="389" w:firstLine="0"/>
                      <w:jc w:val="left"/>
                      <w:rPr>
                        <w:b/>
                        <w:sz w:val="18"/>
                      </w:rPr>
                    </w:pPr>
                    <w:r>
                      <w:rPr>
                        <w:b/>
                        <w:sz w:val="18"/>
                      </w:rPr>
                      <w:t>Pre- crisis</w:t>
                    </w:r>
                  </w:p>
                </w:txbxContent>
              </v:textbox>
              <v:fill type="solid"/>
              <w10:wrap type="none"/>
            </v:shape>
            <w10:wrap type="none"/>
          </v:group>
        </w:pict>
      </w:r>
      <w:r>
        <w:rPr/>
        <w:pict>
          <v:group style="position:absolute;margin-left:75.688705pt;margin-top:10.674112pt;width:214.75pt;height:170.8pt;mso-position-horizontal-relative:page;mso-position-vertical-relative:paragraph;z-index:251682816" coordorigin="1514,213" coordsize="4295,3416">
            <v:shape style="position:absolute;left:412;top:10322;width:4966;height:3855" coordorigin="413,10322" coordsize="4966,3855" path="m5756,3577l5756,295m5756,3577l5808,3577m5756,3253l5808,3253m5756,2916l5808,2916m5756,2592l5808,2592m5756,2267l5808,2267m5756,1943l5808,1943m5756,1606l5808,1606m5756,1281l5808,1281m5756,957l5808,957m5756,633l5808,633m5756,295l5808,295m1520,3577l5756,3577m1520,3577l1520,3629m2013,3577l2013,3629m2505,3577l2505,3629m2997,3577l2997,3629m3489,3577l3489,3629m3982,3577l3982,3629m4474,3577l4474,3629m4966,3577l4966,3629m5459,3577l5459,3629e" filled="false" stroked="true" strokeweight=".648198pt" strokecolor="#858585">
              <v:path arrowok="t"/>
              <v:stroke dashstyle="solid"/>
            </v:shape>
            <v:shape style="position:absolute;left:1572;top:697;width:4133;height:2738" coordorigin="1572,697" coordsize="4133,2738" path="m1572,2838l1676,2786,1766,3162,1870,3279,1961,3084,2064,2929,2168,3318,2259,3422,2362,3370,2453,3357,2557,3318,2660,3123,2751,2695,2855,2202,2945,1424,3049,2890,3152,2721,3243,1904,3347,3123,3438,3344,3541,3331,3632,3435,3736,3292,3839,3084,3930,2955,4034,2916,4124,2903,4228,3188,4331,3305,4422,3305,4526,3188,4616,3097,4720,3059,4824,3072,4914,2630,5018,2799,5109,2553,5212,1800,5316,1502,5407,996,5510,697,5601,996,5705,736e" filled="false" stroked="true" strokeweight="1.945141pt" strokecolor="#bd4a47">
              <v:path arrowok="t"/>
              <v:stroke dashstyle="solid"/>
            </v:shape>
            <v:shape style="position:absolute;left:5381;top:213;width:144;height:170" type="#_x0000_t202" filled="false" stroked="false">
              <v:textbox inset="0,0,0,0">
                <w:txbxContent>
                  <w:p>
                    <w:pPr>
                      <w:spacing w:line="169" w:lineRule="exact" w:before="0"/>
                      <w:ind w:left="0" w:right="0" w:firstLine="0"/>
                      <w:jc w:val="left"/>
                      <w:rPr>
                        <w:rFonts w:ascii="Calibri"/>
                        <w:b/>
                        <w:sz w:val="17"/>
                      </w:rPr>
                    </w:pPr>
                    <w:r>
                      <w:rPr>
                        <w:rFonts w:ascii="Calibri"/>
                        <w:b/>
                        <w:w w:val="99"/>
                        <w:sz w:val="17"/>
                      </w:rPr>
                      <w:t>%</w:t>
                    </w:r>
                  </w:p>
                </w:txbxContent>
              </v:textbox>
              <w10:wrap type="none"/>
            </v:shape>
            <w10:wrap type="none"/>
          </v:group>
        </w:pict>
      </w:r>
      <w:r>
        <w:rPr>
          <w:rFonts w:ascii="Calibri"/>
          <w:position w:val="-5"/>
          <w:sz w:val="17"/>
        </w:rPr>
        <w:t>10</w:t>
        <w:tab/>
      </w:r>
      <w:r>
        <w:rPr>
          <w:b/>
          <w:color w:val="933634"/>
          <w:sz w:val="18"/>
        </w:rPr>
        <w:t>Q: Did</w:t>
      </w:r>
      <w:r>
        <w:rPr>
          <w:b/>
          <w:color w:val="933634"/>
          <w:spacing w:val="-4"/>
          <w:sz w:val="18"/>
        </w:rPr>
        <w:t> </w:t>
      </w:r>
      <w:r>
        <w:rPr>
          <w:b/>
          <w:color w:val="933634"/>
          <w:sz w:val="18"/>
        </w:rPr>
        <w:t>investment</w:t>
      </w:r>
    </w:p>
    <w:p>
      <w:pPr>
        <w:tabs>
          <w:tab w:pos="5398" w:val="left" w:leader="none"/>
        </w:tabs>
        <w:spacing w:before="38"/>
        <w:ind w:left="5024" w:right="0" w:firstLine="0"/>
        <w:jc w:val="left"/>
        <w:rPr>
          <w:b/>
          <w:sz w:val="18"/>
        </w:rPr>
      </w:pPr>
      <w:r>
        <w:rPr>
          <w:rFonts w:ascii="Calibri"/>
          <w:position w:val="-6"/>
          <w:sz w:val="17"/>
        </w:rPr>
        <w:t>9</w:t>
        <w:tab/>
      </w:r>
      <w:r>
        <w:rPr>
          <w:b/>
          <w:color w:val="933634"/>
          <w:sz w:val="18"/>
        </w:rPr>
        <w:t>respond positively</w:t>
      </w:r>
      <w:r>
        <w:rPr>
          <w:b/>
          <w:color w:val="933634"/>
          <w:spacing w:val="-8"/>
          <w:sz w:val="18"/>
        </w:rPr>
        <w:t> </w:t>
      </w:r>
      <w:r>
        <w:rPr>
          <w:b/>
          <w:color w:val="933634"/>
          <w:sz w:val="18"/>
        </w:rPr>
        <w:t>to</w:t>
      </w:r>
    </w:p>
    <w:p>
      <w:pPr>
        <w:tabs>
          <w:tab w:pos="5398" w:val="left" w:leader="none"/>
        </w:tabs>
        <w:spacing w:before="25"/>
        <w:ind w:left="5024" w:right="0" w:firstLine="0"/>
        <w:jc w:val="left"/>
        <w:rPr>
          <w:b/>
          <w:sz w:val="18"/>
        </w:rPr>
      </w:pPr>
      <w:r>
        <w:rPr>
          <w:rFonts w:ascii="Calibri"/>
          <w:position w:val="-8"/>
          <w:sz w:val="17"/>
        </w:rPr>
        <w:t>8</w:t>
        <w:tab/>
      </w:r>
      <w:r>
        <w:rPr>
          <w:b/>
          <w:color w:val="933634"/>
          <w:sz w:val="18"/>
        </w:rPr>
        <w:t>rates of</w:t>
      </w:r>
      <w:r>
        <w:rPr>
          <w:b/>
          <w:color w:val="933634"/>
          <w:spacing w:val="-1"/>
          <w:sz w:val="18"/>
        </w:rPr>
        <w:t> </w:t>
      </w:r>
      <w:r>
        <w:rPr>
          <w:b/>
          <w:color w:val="933634"/>
          <w:sz w:val="18"/>
        </w:rPr>
        <w:t>return?</w:t>
      </w:r>
    </w:p>
    <w:p>
      <w:pPr>
        <w:spacing w:before="123"/>
        <w:ind w:left="0" w:right="549" w:firstLine="0"/>
        <w:jc w:val="center"/>
        <w:rPr>
          <w:rFonts w:ascii="Calibri"/>
          <w:sz w:val="17"/>
        </w:rPr>
      </w:pPr>
      <w:r>
        <w:rPr/>
        <w:pict>
          <v:shape style="position:absolute;margin-left:314.950012pt;margin-top:17.115765pt;width:259.25pt;height:175.85pt;mso-position-horizontal-relative:page;mso-position-vertical-relative:paragraph;z-index:251683840" type="#_x0000_t202"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90"/>
                    <w:gridCol w:w="1273"/>
                    <w:gridCol w:w="718"/>
                    <w:gridCol w:w="993"/>
                    <w:gridCol w:w="1413"/>
                  </w:tblGrid>
                  <w:tr>
                    <w:trPr>
                      <w:trHeight w:val="2549" w:hRule="atLeast"/>
                    </w:trPr>
                    <w:tc>
                      <w:tcPr>
                        <w:tcW w:w="790" w:type="dxa"/>
                        <w:tcBorders>
                          <w:bottom w:val="single" w:sz="4" w:space="0" w:color="FFFFFF"/>
                          <w:right w:val="single" w:sz="4" w:space="0" w:color="FFFFFF"/>
                        </w:tcBorders>
                        <w:shd w:val="clear" w:color="auto" w:fill="D5E2BB"/>
                      </w:tcPr>
                      <w:p>
                        <w:pPr>
                          <w:pStyle w:val="TableParagraph"/>
                          <w:rPr>
                            <w:sz w:val="20"/>
                          </w:rPr>
                        </w:pPr>
                      </w:p>
                      <w:p>
                        <w:pPr>
                          <w:pStyle w:val="TableParagraph"/>
                          <w:rPr>
                            <w:sz w:val="20"/>
                          </w:rPr>
                        </w:pPr>
                      </w:p>
                      <w:p>
                        <w:pPr>
                          <w:pStyle w:val="TableParagraph"/>
                          <w:spacing w:before="3"/>
                          <w:rPr>
                            <w:sz w:val="16"/>
                          </w:rPr>
                        </w:pPr>
                      </w:p>
                      <w:p>
                        <w:pPr>
                          <w:pStyle w:val="TableParagraph"/>
                          <w:spacing w:line="362" w:lineRule="auto"/>
                          <w:ind w:right="345"/>
                          <w:rPr>
                            <w:sz w:val="18"/>
                          </w:rPr>
                        </w:pPr>
                        <w:r>
                          <w:rPr>
                            <w:sz w:val="18"/>
                          </w:rPr>
                          <w:t>Firm- level</w:t>
                        </w:r>
                      </w:p>
                      <w:p>
                        <w:pPr>
                          <w:pStyle w:val="TableParagraph"/>
                          <w:rPr>
                            <w:sz w:val="20"/>
                          </w:rPr>
                        </w:pPr>
                      </w:p>
                      <w:p>
                        <w:pPr>
                          <w:pStyle w:val="TableParagraph"/>
                          <w:spacing w:before="11"/>
                          <w:rPr>
                            <w:sz w:val="27"/>
                          </w:rPr>
                        </w:pPr>
                      </w:p>
                      <w:p>
                        <w:pPr>
                          <w:pStyle w:val="TableParagraph"/>
                          <w:spacing w:line="310" w:lineRule="atLeast"/>
                          <w:ind w:right="64"/>
                          <w:rPr>
                            <w:sz w:val="18"/>
                          </w:rPr>
                        </w:pPr>
                        <w:r>
                          <w:rPr>
                            <w:sz w:val="18"/>
                          </w:rPr>
                          <w:t>Industry- level</w:t>
                        </w:r>
                      </w:p>
                    </w:tc>
                    <w:tc>
                      <w:tcPr>
                        <w:tcW w:w="1273" w:type="dxa"/>
                        <w:tcBorders>
                          <w:left w:val="single" w:sz="4" w:space="0" w:color="FFFFFF"/>
                          <w:bottom w:val="single" w:sz="4" w:space="0" w:color="FFFFFF"/>
                        </w:tcBorders>
                        <w:shd w:val="clear" w:color="auto" w:fill="D5E2BB"/>
                      </w:tcPr>
                      <w:p>
                        <w:pPr>
                          <w:pStyle w:val="TableParagraph"/>
                          <w:spacing w:line="369" w:lineRule="auto" w:before="13"/>
                          <w:ind w:left="102" w:right="145"/>
                          <w:rPr>
                            <w:sz w:val="18"/>
                          </w:rPr>
                        </w:pPr>
                        <w:r>
                          <w:rPr>
                            <w:sz w:val="18"/>
                          </w:rPr>
                          <w:t>ONS Annual Business Survey Thomson Reuters WorldScope ONS</w:t>
                        </w:r>
                      </w:p>
                      <w:p>
                        <w:pPr>
                          <w:pStyle w:val="TableParagraph"/>
                          <w:spacing w:line="201" w:lineRule="exact"/>
                          <w:ind w:left="102"/>
                          <w:rPr>
                            <w:sz w:val="18"/>
                          </w:rPr>
                        </w:pPr>
                        <w:r>
                          <w:rPr>
                            <w:sz w:val="18"/>
                          </w:rPr>
                          <w:t>sectoral data</w:t>
                        </w:r>
                      </w:p>
                    </w:tc>
                    <w:tc>
                      <w:tcPr>
                        <w:tcW w:w="718" w:type="dxa"/>
                        <w:tcBorders>
                          <w:bottom w:val="single" w:sz="4" w:space="0" w:color="FFFFFF"/>
                        </w:tcBorders>
                      </w:tcPr>
                      <w:p>
                        <w:pPr>
                          <w:pStyle w:val="TableParagraph"/>
                          <w:spacing w:before="10"/>
                          <w:rPr>
                            <w:sz w:val="27"/>
                          </w:rPr>
                        </w:pPr>
                      </w:p>
                      <w:p>
                        <w:pPr>
                          <w:pStyle w:val="TableParagraph"/>
                          <w:ind w:left="112"/>
                          <w:rPr>
                            <w:b/>
                            <w:sz w:val="18"/>
                          </w:rPr>
                        </w:pPr>
                        <w:r>
                          <w:rPr>
                            <w:b/>
                            <w:color w:val="933634"/>
                            <w:sz w:val="18"/>
                          </w:rPr>
                          <w:t>Yes</w:t>
                        </w:r>
                      </w:p>
                      <w:p>
                        <w:pPr>
                          <w:pStyle w:val="TableParagraph"/>
                          <w:rPr>
                            <w:sz w:val="20"/>
                          </w:rPr>
                        </w:pPr>
                      </w:p>
                      <w:p>
                        <w:pPr>
                          <w:pStyle w:val="TableParagraph"/>
                          <w:rPr>
                            <w:sz w:val="20"/>
                          </w:rPr>
                        </w:pPr>
                      </w:p>
                      <w:p>
                        <w:pPr>
                          <w:pStyle w:val="TableParagraph"/>
                          <w:spacing w:before="1"/>
                          <w:rPr>
                            <w:sz w:val="25"/>
                          </w:rPr>
                        </w:pPr>
                      </w:p>
                      <w:p>
                        <w:pPr>
                          <w:pStyle w:val="TableParagraph"/>
                          <w:ind w:left="112"/>
                          <w:rPr>
                            <w:b/>
                            <w:sz w:val="18"/>
                          </w:rPr>
                        </w:pPr>
                        <w:r>
                          <w:rPr>
                            <w:b/>
                            <w:color w:val="933634"/>
                            <w:sz w:val="18"/>
                          </w:rPr>
                          <w:t>Yes</w:t>
                        </w:r>
                      </w:p>
                      <w:p>
                        <w:pPr>
                          <w:pStyle w:val="TableParagraph"/>
                          <w:rPr>
                            <w:sz w:val="20"/>
                          </w:rPr>
                        </w:pPr>
                      </w:p>
                      <w:p>
                        <w:pPr>
                          <w:pStyle w:val="TableParagraph"/>
                          <w:rPr>
                            <w:sz w:val="20"/>
                          </w:rPr>
                        </w:pPr>
                      </w:p>
                      <w:p>
                        <w:pPr>
                          <w:pStyle w:val="TableParagraph"/>
                          <w:spacing w:before="135"/>
                          <w:ind w:left="112"/>
                          <w:rPr>
                            <w:b/>
                            <w:sz w:val="18"/>
                          </w:rPr>
                        </w:pPr>
                        <w:r>
                          <w:rPr>
                            <w:b/>
                            <w:color w:val="933634"/>
                            <w:sz w:val="18"/>
                          </w:rPr>
                          <w:t>Yes</w:t>
                        </w:r>
                      </w:p>
                    </w:tc>
                    <w:tc>
                      <w:tcPr>
                        <w:tcW w:w="993" w:type="dxa"/>
                        <w:tcBorders>
                          <w:bottom w:val="single" w:sz="4" w:space="0" w:color="FFFFFF"/>
                        </w:tcBorders>
                      </w:tcPr>
                      <w:p>
                        <w:pPr>
                          <w:pStyle w:val="TableParagraph"/>
                          <w:spacing w:before="10"/>
                          <w:rPr>
                            <w:sz w:val="27"/>
                          </w:rPr>
                        </w:pPr>
                      </w:p>
                      <w:p>
                        <w:pPr>
                          <w:pStyle w:val="TableParagraph"/>
                          <w:ind w:left="282"/>
                          <w:rPr>
                            <w:b/>
                            <w:sz w:val="18"/>
                          </w:rPr>
                        </w:pPr>
                        <w:r>
                          <w:rPr>
                            <w:b/>
                            <w:color w:val="933634"/>
                            <w:sz w:val="18"/>
                          </w:rPr>
                          <w:t>No</w:t>
                        </w:r>
                      </w:p>
                      <w:p>
                        <w:pPr>
                          <w:pStyle w:val="TableParagraph"/>
                          <w:rPr>
                            <w:sz w:val="20"/>
                          </w:rPr>
                        </w:pPr>
                      </w:p>
                      <w:p>
                        <w:pPr>
                          <w:pStyle w:val="TableParagraph"/>
                          <w:rPr>
                            <w:sz w:val="20"/>
                          </w:rPr>
                        </w:pPr>
                      </w:p>
                      <w:p>
                        <w:pPr>
                          <w:pStyle w:val="TableParagraph"/>
                          <w:spacing w:before="1"/>
                          <w:rPr>
                            <w:sz w:val="25"/>
                          </w:rPr>
                        </w:pPr>
                      </w:p>
                      <w:p>
                        <w:pPr>
                          <w:pStyle w:val="TableParagraph"/>
                          <w:ind w:left="282"/>
                          <w:rPr>
                            <w:b/>
                            <w:sz w:val="18"/>
                          </w:rPr>
                        </w:pPr>
                        <w:r>
                          <w:rPr>
                            <w:b/>
                            <w:color w:val="933634"/>
                            <w:sz w:val="18"/>
                          </w:rPr>
                          <w:t>No</w:t>
                        </w:r>
                      </w:p>
                      <w:p>
                        <w:pPr>
                          <w:pStyle w:val="TableParagraph"/>
                          <w:rPr>
                            <w:sz w:val="20"/>
                          </w:rPr>
                        </w:pPr>
                      </w:p>
                      <w:p>
                        <w:pPr>
                          <w:pStyle w:val="TableParagraph"/>
                          <w:rPr>
                            <w:sz w:val="20"/>
                          </w:rPr>
                        </w:pPr>
                      </w:p>
                      <w:p>
                        <w:pPr>
                          <w:pStyle w:val="TableParagraph"/>
                          <w:spacing w:before="135"/>
                          <w:ind w:left="282"/>
                          <w:rPr>
                            <w:b/>
                            <w:sz w:val="18"/>
                          </w:rPr>
                        </w:pPr>
                        <w:r>
                          <w:rPr>
                            <w:b/>
                            <w:color w:val="933634"/>
                            <w:sz w:val="18"/>
                          </w:rPr>
                          <w:t>No</w:t>
                        </w:r>
                      </w:p>
                    </w:tc>
                    <w:tc>
                      <w:tcPr>
                        <w:tcW w:w="1413" w:type="dxa"/>
                        <w:tcBorders>
                          <w:bottom w:val="single" w:sz="4" w:space="0" w:color="FFFFFF"/>
                        </w:tcBorders>
                      </w:tcPr>
                      <w:p>
                        <w:pPr>
                          <w:pStyle w:val="TableParagraph"/>
                          <w:spacing w:before="9"/>
                          <w:rPr>
                            <w:sz w:val="24"/>
                          </w:rPr>
                        </w:pPr>
                      </w:p>
                      <w:p>
                        <w:pPr>
                          <w:pStyle w:val="TableParagraph"/>
                          <w:spacing w:before="1"/>
                          <w:ind w:left="386"/>
                          <w:rPr>
                            <w:sz w:val="12"/>
                          </w:rPr>
                        </w:pPr>
                        <w:r>
                          <w:rPr>
                            <w:b/>
                            <w:color w:val="933634"/>
                            <w:position w:val="-8"/>
                            <w:sz w:val="18"/>
                          </w:rPr>
                          <w:t>-</w:t>
                        </w:r>
                        <w:r>
                          <w:rPr>
                            <w:color w:val="933634"/>
                            <w:sz w:val="12"/>
                          </w:rPr>
                          <w:t>(a)</w:t>
                        </w:r>
                      </w:p>
                      <w:p>
                        <w:pPr>
                          <w:pStyle w:val="TableParagraph"/>
                          <w:rPr>
                            <w:sz w:val="24"/>
                          </w:rPr>
                        </w:pPr>
                      </w:p>
                      <w:p>
                        <w:pPr>
                          <w:pStyle w:val="TableParagraph"/>
                          <w:rPr>
                            <w:sz w:val="24"/>
                          </w:rPr>
                        </w:pPr>
                      </w:p>
                      <w:p>
                        <w:pPr>
                          <w:pStyle w:val="TableParagraph"/>
                          <w:spacing w:before="162"/>
                          <w:ind w:left="386"/>
                          <w:rPr>
                            <w:sz w:val="12"/>
                          </w:rPr>
                        </w:pPr>
                        <w:r>
                          <w:rPr>
                            <w:b/>
                            <w:color w:val="933634"/>
                            <w:position w:val="-8"/>
                            <w:sz w:val="18"/>
                          </w:rPr>
                          <w:t>-</w:t>
                        </w:r>
                        <w:r>
                          <w:rPr>
                            <w:color w:val="933634"/>
                            <w:sz w:val="12"/>
                          </w:rPr>
                          <w:t>(a)</w:t>
                        </w:r>
                      </w:p>
                      <w:p>
                        <w:pPr>
                          <w:pStyle w:val="TableParagraph"/>
                          <w:rPr>
                            <w:sz w:val="24"/>
                          </w:rPr>
                        </w:pPr>
                      </w:p>
                      <w:p>
                        <w:pPr>
                          <w:pStyle w:val="TableParagraph"/>
                          <w:spacing w:before="10"/>
                          <w:rPr>
                            <w:sz w:val="27"/>
                          </w:rPr>
                        </w:pPr>
                      </w:p>
                      <w:p>
                        <w:pPr>
                          <w:pStyle w:val="TableParagraph"/>
                          <w:ind w:left="386"/>
                          <w:rPr>
                            <w:b/>
                            <w:sz w:val="18"/>
                          </w:rPr>
                        </w:pPr>
                        <w:r>
                          <w:rPr>
                            <w:b/>
                            <w:color w:val="933634"/>
                            <w:sz w:val="18"/>
                          </w:rPr>
                          <w:t>Yes</w:t>
                        </w:r>
                      </w:p>
                    </w:tc>
                  </w:tr>
                  <w:tr>
                    <w:trPr>
                      <w:trHeight w:val="311" w:hRule="atLeast"/>
                    </w:trPr>
                    <w:tc>
                      <w:tcPr>
                        <w:tcW w:w="5187" w:type="dxa"/>
                        <w:gridSpan w:val="5"/>
                        <w:tcBorders>
                          <w:top w:val="single" w:sz="4" w:space="0" w:color="FFFFFF"/>
                          <w:bottom w:val="single" w:sz="4" w:space="0" w:color="FFFFFF"/>
                        </w:tcBorders>
                        <w:shd w:val="clear" w:color="auto" w:fill="001F5F"/>
                      </w:tcPr>
                      <w:p>
                        <w:pPr>
                          <w:pStyle w:val="TableParagraph"/>
                          <w:spacing w:line="201" w:lineRule="exact"/>
                          <w:ind w:left="151"/>
                          <w:rPr>
                            <w:b/>
                            <w:sz w:val="18"/>
                          </w:rPr>
                        </w:pPr>
                        <w:r>
                          <w:rPr>
                            <w:b/>
                            <w:color w:val="FFFFFF"/>
                            <w:sz w:val="18"/>
                          </w:rPr>
                          <w:t>US</w:t>
                        </w:r>
                      </w:p>
                    </w:tc>
                  </w:tr>
                  <w:tr>
                    <w:trPr>
                      <w:trHeight w:val="635" w:hRule="atLeast"/>
                    </w:trPr>
                    <w:tc>
                      <w:tcPr>
                        <w:tcW w:w="790" w:type="dxa"/>
                        <w:tcBorders>
                          <w:top w:val="single" w:sz="4" w:space="0" w:color="FFFFFF"/>
                          <w:right w:val="single" w:sz="4" w:space="0" w:color="FFFFFF"/>
                        </w:tcBorders>
                        <w:shd w:val="clear" w:color="auto" w:fill="D5E2BB"/>
                      </w:tcPr>
                      <w:p>
                        <w:pPr>
                          <w:pStyle w:val="TableParagraph"/>
                          <w:spacing w:before="13"/>
                          <w:rPr>
                            <w:sz w:val="18"/>
                          </w:rPr>
                        </w:pPr>
                        <w:r>
                          <w:rPr>
                            <w:sz w:val="18"/>
                          </w:rPr>
                          <w:t>Industry-</w:t>
                        </w:r>
                      </w:p>
                      <w:p>
                        <w:pPr>
                          <w:pStyle w:val="TableParagraph"/>
                          <w:spacing w:before="103"/>
                          <w:rPr>
                            <w:sz w:val="18"/>
                          </w:rPr>
                        </w:pPr>
                        <w:r>
                          <w:rPr>
                            <w:sz w:val="18"/>
                          </w:rPr>
                          <w:t>level</w:t>
                        </w:r>
                      </w:p>
                    </w:tc>
                    <w:tc>
                      <w:tcPr>
                        <w:tcW w:w="1273" w:type="dxa"/>
                        <w:tcBorders>
                          <w:top w:val="single" w:sz="4" w:space="0" w:color="FFFFFF"/>
                          <w:left w:val="single" w:sz="4" w:space="0" w:color="FFFFFF"/>
                        </w:tcBorders>
                      </w:tcPr>
                      <w:p>
                        <w:pPr>
                          <w:pStyle w:val="TableParagraph"/>
                          <w:spacing w:before="13"/>
                          <w:ind w:left="102"/>
                          <w:rPr>
                            <w:sz w:val="18"/>
                          </w:rPr>
                        </w:pPr>
                        <w:r>
                          <w:rPr>
                            <w:sz w:val="18"/>
                          </w:rPr>
                          <w:t>EU KLEMS</w:t>
                        </w:r>
                      </w:p>
                      <w:p>
                        <w:pPr>
                          <w:pStyle w:val="TableParagraph"/>
                          <w:spacing w:before="103"/>
                          <w:ind w:left="102"/>
                          <w:rPr>
                            <w:sz w:val="18"/>
                          </w:rPr>
                        </w:pPr>
                        <w:r>
                          <w:rPr>
                            <w:sz w:val="18"/>
                          </w:rPr>
                          <w:t>sectoral data</w:t>
                        </w:r>
                      </w:p>
                    </w:tc>
                    <w:tc>
                      <w:tcPr>
                        <w:tcW w:w="718" w:type="dxa"/>
                        <w:tcBorders>
                          <w:top w:val="single" w:sz="4" w:space="0" w:color="FFFFFF"/>
                        </w:tcBorders>
                      </w:tcPr>
                      <w:p>
                        <w:pPr>
                          <w:pStyle w:val="TableParagraph"/>
                          <w:spacing w:before="164"/>
                          <w:ind w:left="112"/>
                          <w:rPr>
                            <w:b/>
                            <w:sz w:val="18"/>
                          </w:rPr>
                        </w:pPr>
                        <w:r>
                          <w:rPr>
                            <w:b/>
                            <w:color w:val="933634"/>
                            <w:sz w:val="18"/>
                          </w:rPr>
                          <w:t>Yes</w:t>
                        </w:r>
                      </w:p>
                    </w:tc>
                    <w:tc>
                      <w:tcPr>
                        <w:tcW w:w="993" w:type="dxa"/>
                        <w:tcBorders>
                          <w:top w:val="single" w:sz="4" w:space="0" w:color="FFFFFF"/>
                        </w:tcBorders>
                      </w:tcPr>
                      <w:p>
                        <w:pPr>
                          <w:pStyle w:val="TableParagraph"/>
                          <w:spacing w:before="164"/>
                          <w:ind w:left="282"/>
                          <w:rPr>
                            <w:b/>
                            <w:sz w:val="18"/>
                          </w:rPr>
                        </w:pPr>
                        <w:r>
                          <w:rPr>
                            <w:b/>
                            <w:color w:val="933634"/>
                            <w:sz w:val="18"/>
                          </w:rPr>
                          <w:t>Yes</w:t>
                        </w:r>
                      </w:p>
                    </w:tc>
                    <w:tc>
                      <w:tcPr>
                        <w:tcW w:w="1413" w:type="dxa"/>
                        <w:tcBorders>
                          <w:top w:val="single" w:sz="4" w:space="0" w:color="FFFFFF"/>
                        </w:tcBorders>
                      </w:tcPr>
                      <w:p>
                        <w:pPr>
                          <w:pStyle w:val="TableParagraph"/>
                          <w:spacing w:before="164"/>
                          <w:ind w:left="386"/>
                          <w:rPr>
                            <w:b/>
                            <w:sz w:val="18"/>
                          </w:rPr>
                        </w:pPr>
                        <w:r>
                          <w:rPr>
                            <w:b/>
                            <w:color w:val="933634"/>
                            <w:sz w:val="18"/>
                          </w:rPr>
                          <w:t>Yes</w:t>
                        </w:r>
                      </w:p>
                    </w:tc>
                  </w:tr>
                </w:tbl>
                <w:p>
                  <w:pPr>
                    <w:pStyle w:val="BodyText"/>
                  </w:pPr>
                </w:p>
              </w:txbxContent>
            </v:textbox>
            <w10:wrap type="none"/>
          </v:shape>
        </w:pict>
      </w:r>
      <w:r>
        <w:rPr>
          <w:rFonts w:ascii="Calibri"/>
          <w:w w:val="99"/>
          <w:sz w:val="17"/>
        </w:rPr>
        <w:t>7</w:t>
      </w:r>
    </w:p>
    <w:p>
      <w:pPr>
        <w:spacing w:before="121"/>
        <w:ind w:left="0" w:right="549" w:firstLine="0"/>
        <w:jc w:val="center"/>
        <w:rPr>
          <w:rFonts w:ascii="Calibri"/>
          <w:sz w:val="17"/>
        </w:rPr>
      </w:pPr>
      <w:r>
        <w:rPr>
          <w:rFonts w:ascii="Calibri"/>
          <w:w w:val="99"/>
          <w:sz w:val="17"/>
        </w:rPr>
        <w:t>6</w:t>
      </w:r>
    </w:p>
    <w:p>
      <w:pPr>
        <w:spacing w:before="121"/>
        <w:ind w:left="0" w:right="549" w:firstLine="0"/>
        <w:jc w:val="center"/>
        <w:rPr>
          <w:rFonts w:ascii="Calibri"/>
          <w:sz w:val="17"/>
        </w:rPr>
      </w:pPr>
      <w:r>
        <w:rPr>
          <w:rFonts w:ascii="Calibri"/>
          <w:w w:val="99"/>
          <w:sz w:val="17"/>
        </w:rPr>
        <w:t>5</w:t>
      </w:r>
    </w:p>
    <w:p>
      <w:pPr>
        <w:spacing w:before="121"/>
        <w:ind w:left="0" w:right="549" w:firstLine="0"/>
        <w:jc w:val="center"/>
        <w:rPr>
          <w:rFonts w:ascii="Calibri"/>
          <w:sz w:val="17"/>
        </w:rPr>
      </w:pPr>
      <w:r>
        <w:rPr>
          <w:rFonts w:ascii="Calibri"/>
          <w:w w:val="99"/>
          <w:sz w:val="17"/>
        </w:rPr>
        <w:t>4</w:t>
      </w:r>
    </w:p>
    <w:p>
      <w:pPr>
        <w:spacing w:before="121"/>
        <w:ind w:left="0" w:right="549" w:firstLine="0"/>
        <w:jc w:val="center"/>
        <w:rPr>
          <w:rFonts w:ascii="Calibri"/>
          <w:sz w:val="17"/>
        </w:rPr>
      </w:pPr>
      <w:r>
        <w:rPr>
          <w:rFonts w:ascii="Calibri"/>
          <w:w w:val="99"/>
          <w:sz w:val="17"/>
        </w:rPr>
        <w:t>3</w:t>
      </w:r>
    </w:p>
    <w:p>
      <w:pPr>
        <w:spacing w:before="121"/>
        <w:ind w:left="0" w:right="549" w:firstLine="0"/>
        <w:jc w:val="center"/>
        <w:rPr>
          <w:rFonts w:ascii="Calibri"/>
          <w:sz w:val="17"/>
        </w:rPr>
      </w:pPr>
      <w:r>
        <w:rPr>
          <w:rFonts w:ascii="Calibri"/>
          <w:w w:val="99"/>
          <w:sz w:val="17"/>
        </w:rPr>
        <w:t>2</w:t>
      </w:r>
    </w:p>
    <w:p>
      <w:pPr>
        <w:spacing w:before="121"/>
        <w:ind w:left="0" w:right="549" w:firstLine="0"/>
        <w:jc w:val="center"/>
        <w:rPr>
          <w:rFonts w:ascii="Calibri"/>
          <w:sz w:val="17"/>
        </w:rPr>
      </w:pPr>
      <w:r>
        <w:rPr>
          <w:rFonts w:ascii="Calibri"/>
          <w:w w:val="99"/>
          <w:sz w:val="17"/>
        </w:rPr>
        <w:t>1</w:t>
      </w:r>
    </w:p>
    <w:p>
      <w:pPr>
        <w:spacing w:before="122"/>
        <w:ind w:left="0" w:right="549" w:firstLine="0"/>
        <w:jc w:val="center"/>
        <w:rPr>
          <w:rFonts w:ascii="Calibri"/>
          <w:sz w:val="17"/>
        </w:rPr>
      </w:pPr>
      <w:r>
        <w:rPr>
          <w:rFonts w:ascii="Calibri"/>
          <w:w w:val="99"/>
          <w:sz w:val="17"/>
        </w:rPr>
        <w:t>0</w:t>
      </w:r>
    </w:p>
    <w:p>
      <w:pPr>
        <w:spacing w:before="17"/>
        <w:ind w:left="179" w:right="5572" w:firstLine="0"/>
        <w:jc w:val="center"/>
        <w:rPr>
          <w:rFonts w:ascii="Calibri"/>
          <w:sz w:val="17"/>
        </w:rPr>
      </w:pPr>
      <w:r>
        <w:rPr>
          <w:rFonts w:ascii="Calibri"/>
          <w:sz w:val="17"/>
        </w:rPr>
        <w:t>1970 1975 1980 1985 1990 1995 2000 2005 2010</w:t>
      </w:r>
    </w:p>
    <w:p>
      <w:pPr>
        <w:pStyle w:val="BodyText"/>
        <w:spacing w:before="12"/>
        <w:rPr>
          <w:rFonts w:ascii="Calibri"/>
          <w:sz w:val="26"/>
        </w:rPr>
      </w:pPr>
    </w:p>
    <w:p>
      <w:pPr>
        <w:pStyle w:val="BodyText"/>
        <w:ind w:left="5391"/>
        <w:rPr>
          <w:rFonts w:ascii="Calibri"/>
        </w:rPr>
      </w:pPr>
      <w:r>
        <w:rPr>
          <w:rFonts w:ascii="Calibri"/>
        </w:rPr>
        <w:pict>
          <v:group style="width:103.15pt;height:31.8pt;mso-position-horizontal-relative:char;mso-position-vertical-relative:line" coordorigin="0,0" coordsize="2063,636">
            <v:rect style="position:absolute;left:0;top:14;width:785;height:310" filled="true" fillcolor="#d5e2bb" stroked="false">
              <v:fill type="solid"/>
            </v:rect>
            <v:rect style="position:absolute;left:0;top:324;width:785;height:312" filled="true" fillcolor="#d5e2bb" stroked="false">
              <v:fill type="solid"/>
            </v:rect>
            <v:line style="position:absolute" from="794,7" to="2062,7" stroked="true" strokeweight=".72pt" strokecolor="#d5e2bb">
              <v:stroke dashstyle="solid"/>
            </v:line>
            <v:line style="position:absolute" from="846,14" to="846,636" stroked="true" strokeweight="5.16pt" strokecolor="#d5e2bb">
              <v:stroke dashstyle="solid"/>
            </v:line>
            <v:line style="position:absolute" from="2011,14" to="2011,636" stroked="true" strokeweight="5.16pt" strokecolor="#d5e2bb">
              <v:stroke dashstyle="solid"/>
            </v:line>
            <v:rect style="position:absolute;left:897;top:14;width:1062;height:310" filled="true" fillcolor="#d5e2bb" stroked="false">
              <v:fill type="solid"/>
            </v:rect>
            <v:rect style="position:absolute;left:897;top:324;width:1062;height:312" filled="true" fillcolor="#d5e2bb" stroked="false">
              <v:fill type="solid"/>
            </v:rect>
            <v:line style="position:absolute" from="0,7" to="787,7" stroked="true" strokeweight=".72pt" strokecolor="#d5e2bb">
              <v:stroke dashstyle="solid"/>
            </v:line>
            <v:line style="position:absolute" from="797,7" to="2062,7" stroked="true" strokeweight=".72pt" strokecolor="#d5e2bb">
              <v:stroke dashstyle="solid"/>
            </v:line>
          </v:group>
        </w:pict>
      </w:r>
      <w:r>
        <w:rPr>
          <w:rFonts w:ascii="Calibri"/>
        </w:rPr>
      </w:r>
    </w:p>
    <w:p>
      <w:pPr>
        <w:spacing w:after="0"/>
        <w:rPr>
          <w:rFonts w:ascii="Calibri"/>
        </w:rPr>
        <w:sectPr>
          <w:footerReference w:type="default" r:id="rId10"/>
          <w:pgSz w:w="11910" w:h="16840"/>
          <w:pgMar w:footer="1338" w:header="0" w:top="1480" w:bottom="1520" w:left="900" w:right="320"/>
          <w:pgNumType w:start="6"/>
        </w:sectPr>
      </w:pPr>
    </w:p>
    <w:p>
      <w:pPr>
        <w:spacing w:line="104" w:lineRule="exact" w:before="0"/>
        <w:ind w:left="233" w:right="0" w:firstLine="0"/>
        <w:jc w:val="left"/>
        <w:rPr>
          <w:sz w:val="16"/>
        </w:rPr>
      </w:pPr>
      <w:r>
        <w:rPr>
          <w:sz w:val="16"/>
        </w:rPr>
        <w:t>Source: ONS, EU KLEMS and Bank calculations</w:t>
      </w:r>
    </w:p>
    <w:p>
      <w:pPr>
        <w:spacing w:line="398" w:lineRule="auto" w:before="58"/>
        <w:ind w:left="233" w:right="28" w:firstLine="0"/>
        <w:jc w:val="left"/>
        <w:rPr>
          <w:sz w:val="16"/>
        </w:rPr>
      </w:pPr>
      <w:r>
        <w:rPr>
          <w:position w:val="10"/>
          <w:sz w:val="13"/>
        </w:rPr>
        <w:t>(a) </w:t>
      </w:r>
      <w:r>
        <w:rPr>
          <w:sz w:val="16"/>
        </w:rPr>
        <w:t>Size-weighted variance of real prices, relative to pre-crisis trends, across 29 sectors. See appendix for details.</w:t>
      </w:r>
    </w:p>
    <w:p>
      <w:pPr>
        <w:spacing w:line="104" w:lineRule="exact" w:before="0"/>
        <w:ind w:left="233" w:right="0" w:firstLine="0"/>
        <w:jc w:val="left"/>
        <w:rPr>
          <w:sz w:val="16"/>
        </w:rPr>
      </w:pPr>
      <w:r>
        <w:rPr/>
        <w:br w:type="column"/>
      </w:r>
      <w:r>
        <w:rPr>
          <w:color w:val="221F1F"/>
          <w:sz w:val="16"/>
        </w:rPr>
        <w:t>Source: Bank of England</w:t>
      </w:r>
    </w:p>
    <w:p>
      <w:pPr>
        <w:spacing w:before="58"/>
        <w:ind w:left="233" w:right="0" w:firstLine="0"/>
        <w:jc w:val="left"/>
        <w:rPr>
          <w:sz w:val="16"/>
        </w:rPr>
      </w:pPr>
      <w:r>
        <w:rPr>
          <w:position w:val="10"/>
          <w:sz w:val="13"/>
        </w:rPr>
        <w:t>(a) </w:t>
      </w:r>
      <w:r>
        <w:rPr>
          <w:color w:val="221F1F"/>
          <w:sz w:val="16"/>
        </w:rPr>
        <w:t>“-“ indicates periods during which data were not available.</w:t>
      </w:r>
    </w:p>
    <w:p>
      <w:pPr>
        <w:spacing w:after="0"/>
        <w:jc w:val="left"/>
        <w:rPr>
          <w:sz w:val="16"/>
        </w:rPr>
        <w:sectPr>
          <w:type w:val="continuous"/>
          <w:pgSz w:w="11910" w:h="16840"/>
          <w:pgMar w:top="1180" w:bottom="1520" w:left="900" w:right="320"/>
          <w:cols w:num="2" w:equalWidth="0">
            <w:col w:w="5101" w:space="64"/>
            <w:col w:w="5525"/>
          </w:cols>
        </w:sectPr>
      </w:pPr>
    </w:p>
    <w:p>
      <w:pPr>
        <w:pStyle w:val="BodyText"/>
        <w:spacing w:before="5"/>
        <w:rPr>
          <w:sz w:val="19"/>
        </w:rPr>
      </w:pPr>
    </w:p>
    <w:p>
      <w:pPr>
        <w:pStyle w:val="BodyText"/>
        <w:spacing w:line="360" w:lineRule="auto" w:before="93"/>
        <w:ind w:left="233" w:right="976"/>
      </w:pPr>
      <w:r>
        <w:rPr/>
        <w:t>Indeed, one can have a go at translating the one into the other (see note 2 in the Appendix): to a first order approximation, the loss in productivity would be around a half the variance in prices. Taken at face value, therefore, Chart 5 suggests that, compared with the pre-crisis period, slow reallocation might have knocked up 3%-4% off aggregate productivity</w:t>
      </w:r>
      <w:r>
        <w:rPr>
          <w:vertAlign w:val="superscript"/>
        </w:rPr>
        <w:t>10</w:t>
      </w:r>
      <w:r>
        <w:rPr>
          <w:vertAlign w:val="baseline"/>
        </w:rPr>
        <w:t>.</w:t>
      </w:r>
    </w:p>
    <w:p>
      <w:pPr>
        <w:pStyle w:val="BodyText"/>
        <w:spacing w:before="1"/>
        <w:rPr>
          <w:sz w:val="30"/>
        </w:rPr>
      </w:pPr>
    </w:p>
    <w:p>
      <w:pPr>
        <w:pStyle w:val="BodyText"/>
        <w:spacing w:line="360" w:lineRule="auto"/>
        <w:ind w:left="233" w:right="782"/>
      </w:pPr>
      <w:r>
        <w:rPr/>
        <w:t>The suggestion here is that the crisis may have impaired the economy’s ability to channel finance away from areas where demand and profits have fallen and towards those where they’ve both risen. The third piece of evidence, presented in Table 1, gets at this more directly. Using three separate datasets for the UK, and one for the United States, it presents results of firm and industry-level regressions of investment on profitability. It shows that the two were positively related in the pre-crisis period UK data, including in prior recessions, but not in the more recent period. The same has apparently not happened in the United States where, as it happens, productivity growth has been much less weak than in this country.</w:t>
      </w:r>
    </w:p>
    <w:p>
      <w:pPr>
        <w:pStyle w:val="BodyText"/>
      </w:pPr>
    </w:p>
    <w:p>
      <w:pPr>
        <w:pStyle w:val="BodyText"/>
      </w:pPr>
    </w:p>
    <w:p>
      <w:pPr>
        <w:pStyle w:val="BodyText"/>
      </w:pPr>
    </w:p>
    <w:p>
      <w:pPr>
        <w:pStyle w:val="BodyText"/>
      </w:pPr>
    </w:p>
    <w:p>
      <w:pPr>
        <w:pStyle w:val="BodyText"/>
      </w:pPr>
    </w:p>
    <w:p>
      <w:pPr>
        <w:pStyle w:val="BodyText"/>
      </w:pPr>
    </w:p>
    <w:p>
      <w:pPr>
        <w:pStyle w:val="BodyText"/>
        <w:spacing w:before="6"/>
        <w:rPr>
          <w:sz w:val="22"/>
        </w:rPr>
      </w:pPr>
      <w:r>
        <w:rPr/>
        <w:pict>
          <v:shape style="position:absolute;margin-left:56.664001pt;margin-top:15.18961pt;width:144.050pt;height:.1pt;mso-position-horizontal-relative:page;mso-position-vertical-relative:paragraph;z-index:-251640832;mso-wrap-distance-left:0;mso-wrap-distance-right:0" coordorigin="1133,304" coordsize="2881,0" path="m1133,304l4014,304e" filled="false" stroked="true" strokeweight=".48004pt" strokecolor="#000000">
            <v:path arrowok="t"/>
            <v:stroke dashstyle="solid"/>
            <w10:wrap type="topAndBottom"/>
          </v:shape>
        </w:pict>
      </w:r>
    </w:p>
    <w:p>
      <w:pPr>
        <w:spacing w:before="30"/>
        <w:ind w:left="233" w:right="854" w:firstLine="0"/>
        <w:jc w:val="left"/>
        <w:rPr>
          <w:sz w:val="16"/>
        </w:rPr>
      </w:pPr>
      <w:r>
        <w:rPr>
          <w:position w:val="8"/>
          <w:sz w:val="10"/>
        </w:rPr>
        <w:t>10 </w:t>
      </w:r>
      <w:r>
        <w:rPr>
          <w:sz w:val="16"/>
        </w:rPr>
        <w:t>This is the effect on the assumption that there are only demand shocks in the world, whether at the aggregate or sub-aggregate level. In practice, the dispersion of prices could reflect other things, including cross-sectoral shifts in supply. However, it would be odd to rule out the possibility of supply shocks at an aggregate level, as an explanation for weaker productivity, only to reintroduce them at a sectoral level. That’s why the appropriate “null” hypothesis is a world without such supply shocks.</w:t>
      </w:r>
    </w:p>
    <w:p>
      <w:pPr>
        <w:spacing w:after="0"/>
        <w:jc w:val="left"/>
        <w:rPr>
          <w:sz w:val="16"/>
        </w:rPr>
        <w:sectPr>
          <w:type w:val="continuous"/>
          <w:pgSz w:w="11910" w:h="16840"/>
          <w:pgMar w:top="1180" w:bottom="1520" w:left="900" w:right="320"/>
        </w:sectPr>
      </w:pPr>
    </w:p>
    <w:p>
      <w:pPr>
        <w:pStyle w:val="Heading1"/>
        <w:spacing w:before="76"/>
      </w:pPr>
      <w:r>
        <w:rPr/>
        <w:t>Why we are uncertain about productivity over the future</w:t>
      </w:r>
    </w:p>
    <w:p>
      <w:pPr>
        <w:pStyle w:val="BodyText"/>
        <w:rPr>
          <w:b/>
          <w:sz w:val="22"/>
        </w:rPr>
      </w:pPr>
    </w:p>
    <w:p>
      <w:pPr>
        <w:pStyle w:val="BodyText"/>
        <w:spacing w:before="2"/>
        <w:rPr>
          <w:b/>
          <w:sz w:val="18"/>
        </w:rPr>
      </w:pPr>
    </w:p>
    <w:p>
      <w:pPr>
        <w:pStyle w:val="BodyText"/>
        <w:spacing w:line="360" w:lineRule="auto"/>
        <w:ind w:left="233" w:right="845"/>
      </w:pPr>
      <w:r>
        <w:rPr/>
        <w:t>I find this evidence reasonably persuasive.  I also think it’s significant that our experience is far from unique: it is generally the case that, during and immediately after big financial crises, and even allowing for the depth of the downturns, productivity growth is lower than in other recessions. It seems only reasonable to infer</w:t>
      </w:r>
      <w:r>
        <w:rPr>
          <w:spacing w:val="-35"/>
        </w:rPr>
        <w:t> </w:t>
      </w:r>
      <w:r>
        <w:rPr/>
        <w:t>that this might have something to do with the performance of the financial system specifically.  </w:t>
      </w:r>
      <w:r>
        <w:rPr>
          <w:spacing w:val="4"/>
        </w:rPr>
        <w:t>We </w:t>
      </w:r>
      <w:r>
        <w:rPr/>
        <w:t>cannot hope to understand this effect if we stick rigidly to a view of the world in which variations in output are caused only, always and everywhere, by changes in “aggregate demand”, treatable with the traditional tools of monetary and fiscal</w:t>
      </w:r>
      <w:r>
        <w:rPr>
          <w:spacing w:val="-2"/>
        </w:rPr>
        <w:t> </w:t>
      </w:r>
      <w:r>
        <w:rPr/>
        <w:t>policy.</w:t>
      </w:r>
    </w:p>
    <w:p>
      <w:pPr>
        <w:pStyle w:val="BodyText"/>
        <w:rPr>
          <w:sz w:val="30"/>
        </w:rPr>
      </w:pPr>
    </w:p>
    <w:p>
      <w:pPr>
        <w:pStyle w:val="BodyText"/>
        <w:spacing w:line="360" w:lineRule="auto"/>
        <w:ind w:left="233" w:right="854"/>
      </w:pPr>
      <w:r>
        <w:rPr/>
        <w:t>But that doesn’t mean this is the only thing going on – it’s surely likely that demand and supply-side factors have both contributed to weak productivity growth – or that one can be at all confident about the precise scale of these various effects. And even if one could be, I’m not sure whether it would help much in forecasting how productivity behaves over the future. Suppose there were a sudden (and independent) improvement in demand. To the extent it’s been weak only because of labour hoarding, or more flexible pay, productivity would automatically improve</w:t>
      </w:r>
      <w:r>
        <w:rPr>
          <w:vertAlign w:val="superscript"/>
        </w:rPr>
        <w:t>11</w:t>
      </w:r>
      <w:r>
        <w:rPr>
          <w:vertAlign w:val="baseline"/>
        </w:rPr>
        <w:t>. But operating profits in the financial sector would also grow, as would the cash-flow and confidence of self-financed small businesses. So, although it might take a little longer, one should probably expect these re-allocative frictions, such as they are, to dissipate as well.</w:t>
      </w:r>
      <w:r>
        <w:rPr>
          <w:vertAlign w:val="superscript"/>
        </w:rPr>
        <w:t>12</w:t>
      </w:r>
      <w:r>
        <w:rPr>
          <w:vertAlign w:val="baseline"/>
        </w:rPr>
        <w:t> Either way, effective supply would, to a degree, react “endogenously” to demand</w:t>
      </w:r>
      <w:r>
        <w:rPr>
          <w:vertAlign w:val="superscript"/>
        </w:rPr>
        <w:t>13</w:t>
      </w:r>
      <w:r>
        <w:rPr>
          <w:vertAlign w:val="baseline"/>
        </w:rPr>
        <w:t>. That’s why I’m happy</w:t>
      </w:r>
    </w:p>
    <w:p>
      <w:pPr>
        <w:pStyle w:val="BodyText"/>
        <w:spacing w:line="360" w:lineRule="auto" w:before="1"/>
        <w:ind w:left="233" w:right="782"/>
      </w:pPr>
      <w:r>
        <w:rPr/>
        <w:t>with the MPC’s central forecast, in the latest Inflation Report, that foresees an acceleration in productivity – and a correspondingly gentle decline in the rate of unemployment – as the economy recovers. (On that note, it’s worth pointing out that, even after growth of around 2% in the number of private-sector jobs over the past year – a rate that the latest surveys suggest we might reasonably expect to be maintained for a while yet (Chart 6) – the rate of unemployment has fallen by only 0.3% points. This is because employment in the public sector is still falling and, more importantly, the active workforce is growing – see Chart 7</w:t>
      </w:r>
      <w:r>
        <w:rPr>
          <w:vertAlign w:val="superscript"/>
        </w:rPr>
        <w:t>14</w:t>
      </w:r>
      <w:r>
        <w:rPr>
          <w:vertAlign w:val="baseline"/>
        </w:rPr>
        <w:t>).</w:t>
      </w:r>
    </w:p>
    <w:p>
      <w:pPr>
        <w:pStyle w:val="BodyText"/>
        <w:rPr>
          <w:sz w:val="30"/>
        </w:rPr>
      </w:pPr>
    </w:p>
    <w:p>
      <w:pPr>
        <w:pStyle w:val="BodyText"/>
        <w:spacing w:line="360" w:lineRule="auto"/>
        <w:ind w:left="233" w:right="898"/>
      </w:pPr>
      <w:r>
        <w:rPr/>
        <w:t>My main reaction to all this, however, is to feel very cautious about the likelihood of </w:t>
      </w:r>
      <w:r>
        <w:rPr>
          <w:u w:val="single"/>
        </w:rPr>
        <w:t>any</w:t>
      </w:r>
      <w:r>
        <w:rPr/>
        <w:t> particular path for potential output. There is a close connection between our ability to understand the past and the confidence we should allow ourselves about our predictions of the future. If we don’t really have a good explanation for the way something has behaved in recent experience we should surely be less confident about our ability to forecast it over the future.</w:t>
      </w:r>
    </w:p>
    <w:p>
      <w:pPr>
        <w:pStyle w:val="BodyText"/>
        <w:spacing w:before="2"/>
        <w:rPr>
          <w:sz w:val="13"/>
        </w:rPr>
      </w:pPr>
      <w:r>
        <w:rPr/>
        <w:pict>
          <v:shape style="position:absolute;margin-left:56.664001pt;margin-top:9.81542pt;width:144.050pt;height:.1pt;mso-position-horizontal-relative:page;mso-position-vertical-relative:paragraph;z-index:-251631616;mso-wrap-distance-left:0;mso-wrap-distance-right:0" coordorigin="1133,196" coordsize="2881,0" path="m1133,196l4014,196e" filled="false" stroked="true" strokeweight=".47998pt" strokecolor="#000000">
            <v:path arrowok="t"/>
            <v:stroke dashstyle="solid"/>
            <w10:wrap type="topAndBottom"/>
          </v:shape>
        </w:pict>
      </w:r>
    </w:p>
    <w:p>
      <w:pPr>
        <w:spacing w:before="30"/>
        <w:ind w:left="233" w:right="970" w:firstLine="0"/>
        <w:jc w:val="left"/>
        <w:rPr>
          <w:sz w:val="16"/>
        </w:rPr>
      </w:pPr>
      <w:r>
        <w:rPr>
          <w:position w:val="8"/>
          <w:sz w:val="10"/>
        </w:rPr>
        <w:t>11 </w:t>
      </w:r>
      <w:r>
        <w:rPr>
          <w:sz w:val="16"/>
        </w:rPr>
        <w:t>Though they may imply similar things for productivity these two explanations may have different implications for pay growth during a recovery. Specifically, if pay is more flexible downwards it might also be more flexible upwards. If so, then productivity growth would accelerate more than usual through the recovery but unit costs – wages divided by productivity – would behave as they have during other recoveries.</w:t>
      </w:r>
    </w:p>
    <w:p>
      <w:pPr>
        <w:spacing w:line="182" w:lineRule="exact" w:before="5"/>
        <w:ind w:left="233" w:right="854" w:firstLine="0"/>
        <w:jc w:val="left"/>
        <w:rPr>
          <w:sz w:val="16"/>
        </w:rPr>
      </w:pPr>
      <w:r>
        <w:rPr>
          <w:position w:val="8"/>
          <w:sz w:val="10"/>
        </w:rPr>
        <w:t>12 </w:t>
      </w:r>
      <w:r>
        <w:rPr>
          <w:sz w:val="16"/>
        </w:rPr>
        <w:t>In this regard, it’s notable that, even after more normal recessions, bankruptcies and firm failures tend to peak only </w:t>
      </w:r>
      <w:r>
        <w:rPr>
          <w:sz w:val="16"/>
          <w:u w:val="single"/>
        </w:rPr>
        <w:t>after</w:t>
      </w:r>
      <w:r>
        <w:rPr>
          <w:sz w:val="16"/>
        </w:rPr>
        <w:t> the economy has begun to recover.</w:t>
      </w:r>
    </w:p>
    <w:p>
      <w:pPr>
        <w:spacing w:line="182" w:lineRule="exact" w:before="4"/>
        <w:ind w:left="233" w:right="782" w:firstLine="0"/>
        <w:jc w:val="left"/>
        <w:rPr>
          <w:sz w:val="16"/>
        </w:rPr>
      </w:pPr>
      <w:r>
        <w:rPr>
          <w:position w:val="8"/>
          <w:sz w:val="10"/>
        </w:rPr>
        <w:t>13 </w:t>
      </w:r>
      <w:r>
        <w:rPr>
          <w:sz w:val="16"/>
        </w:rPr>
        <w:t>There are several ways in which an increase in aggregate demand, originally unrelated to underlying TFP, might nonetheless produce an “endogenous” response in supply. By increasing confidence, for example, it might boost investment. My colleague David Miles, for</w:t>
      </w:r>
    </w:p>
    <w:p>
      <w:pPr>
        <w:spacing w:before="0"/>
        <w:ind w:left="233" w:right="965" w:firstLine="0"/>
        <w:jc w:val="left"/>
        <w:rPr>
          <w:sz w:val="16"/>
        </w:rPr>
      </w:pPr>
      <w:r>
        <w:rPr>
          <w:sz w:val="16"/>
        </w:rPr>
        <w:t>example, suggests in a speech he will give later this week that this mechanism, if strong enough, could give rise to “multiple equilibria” in the determination of output and that strong demand might be the trigger that prompts a return to a better (and higher-productivity) state, without the need for a big increase in employment (Miles (2013), forthcoming).</w:t>
      </w:r>
    </w:p>
    <w:p>
      <w:pPr>
        <w:spacing w:line="184" w:lineRule="exact" w:before="1"/>
        <w:ind w:left="233" w:right="1517" w:firstLine="0"/>
        <w:jc w:val="left"/>
        <w:rPr>
          <w:sz w:val="16"/>
        </w:rPr>
      </w:pPr>
      <w:r>
        <w:rPr>
          <w:position w:val="8"/>
          <w:sz w:val="10"/>
        </w:rPr>
        <w:t>14 </w:t>
      </w:r>
      <w:r>
        <w:rPr>
          <w:sz w:val="16"/>
        </w:rPr>
        <w:t>Chart 6 plots growth in private-sector employees, excluding the self-employed. The blue bars in Chart 7 plot changes in total private-sector employment, including the self-employed, relative to the active workforce.</w:t>
      </w:r>
    </w:p>
    <w:p>
      <w:pPr>
        <w:spacing w:after="0" w:line="184" w:lineRule="exact"/>
        <w:jc w:val="left"/>
        <w:rPr>
          <w:sz w:val="16"/>
        </w:rPr>
        <w:sectPr>
          <w:footerReference w:type="default" r:id="rId11"/>
          <w:pgSz w:w="11910" w:h="16840"/>
          <w:pgMar w:footer="1338" w:header="0" w:top="1520" w:bottom="1520" w:left="900" w:right="320"/>
          <w:pgNumType w:start="7"/>
        </w:sectPr>
      </w:pPr>
    </w:p>
    <w:p>
      <w:pPr>
        <w:pStyle w:val="Heading1"/>
        <w:spacing w:line="357" w:lineRule="auto" w:before="76"/>
        <w:ind w:right="14"/>
      </w:pPr>
      <w:r>
        <w:rPr/>
        <w:pict>
          <v:rect style="position:absolute;margin-left:333.176392pt;margin-top:48.108845pt;width:5.7726pt;height:5.121939pt;mso-position-horizontal-relative:page;mso-position-vertical-relative:paragraph;z-index:251705344" filled="true" fillcolor="#c0504d" stroked="false">
            <v:fill type="solid"/>
            <w10:wrap type="none"/>
          </v:rect>
        </w:pict>
      </w:r>
      <w:r>
        <w:rPr/>
        <w:t>Chart 6: Surveys suggest private-sector employment will continue to grow for a while yet</w:t>
      </w:r>
    </w:p>
    <w:p>
      <w:pPr>
        <w:spacing w:line="357" w:lineRule="auto" w:before="76"/>
        <w:ind w:left="233" w:right="324" w:firstLine="0"/>
        <w:jc w:val="left"/>
        <w:rPr>
          <w:b/>
          <w:sz w:val="20"/>
        </w:rPr>
      </w:pPr>
      <w:r>
        <w:rPr/>
        <w:br w:type="column"/>
      </w:r>
      <w:r>
        <w:rPr>
          <w:b/>
          <w:sz w:val="20"/>
        </w:rPr>
        <w:t>Chart 7: Contributions to changes in unemployment rate</w:t>
      </w:r>
    </w:p>
    <w:p>
      <w:pPr>
        <w:spacing w:after="0" w:line="357" w:lineRule="auto"/>
        <w:jc w:val="left"/>
        <w:rPr>
          <w:sz w:val="20"/>
        </w:rPr>
        <w:sectPr>
          <w:pgSz w:w="11910" w:h="16840"/>
          <w:pgMar w:header="0" w:footer="1338" w:top="1520" w:bottom="1520" w:left="900" w:right="320"/>
          <w:cols w:num="2" w:equalWidth="0">
            <w:col w:w="4879" w:space="289"/>
            <w:col w:w="5522"/>
          </w:cols>
        </w:sectPr>
      </w:pPr>
    </w:p>
    <w:p>
      <w:pPr>
        <w:tabs>
          <w:tab w:pos="4988" w:val="left" w:leader="none"/>
        </w:tabs>
        <w:spacing w:before="60"/>
        <w:ind w:left="302" w:right="0" w:firstLine="0"/>
        <w:jc w:val="left"/>
        <w:rPr>
          <w:rFonts w:ascii="Calibri"/>
          <w:sz w:val="16"/>
        </w:rPr>
      </w:pPr>
      <w:r>
        <w:rPr/>
        <w:pict>
          <v:group style="position:absolute;margin-left:74.431175pt;margin-top:4.383731pt;width:212.95pt;height:171pt;mso-position-horizontal-relative:page;mso-position-vertical-relative:paragraph;z-index:-252649472" coordorigin="1489,88" coordsize="4259,3420">
            <v:shape style="position:absolute;left:382;top:10165;width:60;height:3945" coordorigin="383,10166" coordsize="60,3945" path="m1540,3501l1540,155m1489,3501l1540,3501m1489,3132l1540,3132m1489,2750l1540,2750m1489,2381l1540,2381m1489,2013l1540,2013m1489,1644l1540,1644m1489,1275l1540,1275m1489,906l1540,906m1489,524l1540,524m1489,155l1540,155e" filled="false" stroked="true" strokeweight=".636292pt" strokecolor="#858585">
              <v:path arrowok="t"/>
              <v:stroke dashstyle="solid"/>
            </v:shape>
            <v:shape style="position:absolute;left:442;top:10165;width:4936;height:3945" coordorigin="443,10166" coordsize="4936,3945" path="m5728,3501l5728,155m5677,3501l5728,3501m5677,3081l5728,3081m5677,2661l5728,2661m5677,2241l5728,2241m5677,1834l5728,1834m5677,1415l5728,1415m5677,995l5728,995m5677,575l5728,575m5677,155l5728,155m1540,1834l5728,1834m1540,1771l1540,1834m1934,1771l1934,1834m2342,1771l2342,1834m2736,1771l2736,1834m3131,1771l3131,1834m3538,1771l3538,1834m3933,1771l3933,1834m4328,1771l4328,1834m4735,1771l4735,1834m5130,1771l5130,1834m5537,1771l5537,1834e" filled="false" stroked="true" strokeweight=".636292pt" strokecolor="#a6a6a6">
              <v:path arrowok="t"/>
              <v:stroke dashstyle="solid"/>
            </v:shape>
            <v:shape style="position:absolute;left:1539;top:346;width:3896;height:2926" coordorigin="1540,346" coordsize="3896,2926" path="m1540,2458l1641,1923,1730,1923,1832,1415,1934,1249,2036,1338,2138,1236,2240,1262,2342,1644,2431,1516,2533,1338,2634,1516,2736,1287,2838,1720,2927,1580,3029,1453,3131,1186,3233,931,3334,1160,3436,1567,3538,2076,3627,2585,3729,3272,3831,3234,3933,3081,4035,2979,4137,1974,4226,1453,4328,1326,4429,728,4531,957,4633,1771,4735,1631,4837,1834,4926,1262,5028,486,5130,346,5231,384,5333,1008,5435,969e" filled="false" stroked="true" strokeweight="1.908689pt" strokecolor="#000000">
              <v:path arrowok="t"/>
              <v:stroke dashstyle="solid"/>
            </v:shape>
            <v:shape style="position:absolute;left:1533;top:1064;width:4201;height:2405" coordorigin="1533,1065" coordsize="4201,2405" path="m1533,1993l1635,2146,1737,1663,1839,1243,1941,1128,2030,1370,2132,1395,2233,1484,2335,1650,2437,1586,2539,1675,2628,1612,2730,1739,2832,1523,2934,1421,3035,1230,3137,1230,3239,1192,3328,1179,3430,1713,3532,1955,3634,2095,3736,2566,3837,3469,3939,3342,4028,2566,4130,2031,4232,1281,4334,1065,4436,1154,4525,1510,4627,1701,4728,1268,4830,1586,4932,1866,5034,2095,5136,1866,5225,2031,5327,2121,5429,1663,5531,1841,5632,1688,5734,1103e" filled="false" stroked="true" strokeweight="1.272357pt" strokecolor="#c00000">
              <v:path arrowok="t"/>
              <v:stroke dashstyle="solid"/>
            </v:shape>
            <v:shape style="position:absolute;left:1794;top:87;width:385;height:167" type="#_x0000_t202" filled="false" stroked="false">
              <v:textbox inset="0,0,0,0">
                <w:txbxContent>
                  <w:p>
                    <w:pPr>
                      <w:tabs>
                        <w:tab w:pos="364" w:val="left" w:leader="none"/>
                      </w:tabs>
                      <w:spacing w:line="166" w:lineRule="exact" w:before="0"/>
                      <w:ind w:left="0" w:right="0" w:firstLine="0"/>
                      <w:jc w:val="left"/>
                      <w:rPr>
                        <w:rFonts w:ascii="Calibri"/>
                        <w:sz w:val="16"/>
                      </w:rPr>
                    </w:pPr>
                    <w:r>
                      <w:rPr>
                        <w:rFonts w:ascii="Calibri"/>
                        <w:w w:val="103"/>
                        <w:sz w:val="16"/>
                        <w:u w:val="thick"/>
                      </w:rPr>
                      <w:t> </w:t>
                    </w:r>
                    <w:r>
                      <w:rPr>
                        <w:rFonts w:ascii="Calibri"/>
                        <w:sz w:val="16"/>
                        <w:u w:val="thick"/>
                      </w:rPr>
                      <w:tab/>
                    </w:r>
                  </w:p>
                </w:txbxContent>
              </v:textbox>
              <w10:wrap type="none"/>
            </v:shape>
            <v:shape style="position:absolute;left:5156;top:124;width:453;height:166" type="#_x0000_t202" filled="false" stroked="false">
              <v:textbox inset="0,0,0,0">
                <w:txbxContent>
                  <w:p>
                    <w:pPr>
                      <w:spacing w:line="166" w:lineRule="exact" w:before="0"/>
                      <w:ind w:left="0" w:right="0" w:firstLine="0"/>
                      <w:jc w:val="left"/>
                      <w:rPr>
                        <w:rFonts w:ascii="Calibri"/>
                        <w:sz w:val="16"/>
                      </w:rPr>
                    </w:pPr>
                    <w:r>
                      <w:rPr>
                        <w:rFonts w:ascii="Calibri"/>
                        <w:w w:val="105"/>
                        <w:sz w:val="16"/>
                      </w:rPr>
                      <w:t>%, yoy</w:t>
                    </w:r>
                  </w:p>
                </w:txbxContent>
              </v:textbox>
              <w10:wrap type="none"/>
            </v:shape>
            <v:shape style="position:absolute;left:1800;top:275;width:2900;height:570" type="#_x0000_t202" filled="false" stroked="false">
              <v:textbox inset="0,0,0,0">
                <w:txbxContent>
                  <w:p>
                    <w:pPr>
                      <w:spacing w:line="162" w:lineRule="exact" w:before="0"/>
                      <w:ind w:left="362" w:right="0" w:firstLine="0"/>
                      <w:jc w:val="left"/>
                      <w:rPr>
                        <w:rFonts w:ascii="Calibri"/>
                        <w:sz w:val="16"/>
                      </w:rPr>
                    </w:pPr>
                    <w:r>
                      <w:rPr>
                        <w:rFonts w:ascii="Calibri"/>
                        <w:w w:val="105"/>
                        <w:sz w:val="16"/>
                      </w:rPr>
                      <w:t>ONS private sector employee growth</w:t>
                    </w:r>
                  </w:p>
                  <w:p>
                    <w:pPr>
                      <w:tabs>
                        <w:tab w:pos="364" w:val="left" w:leader="none"/>
                      </w:tabs>
                      <w:spacing w:line="190" w:lineRule="exact" w:before="0"/>
                      <w:ind w:left="0" w:right="0" w:firstLine="0"/>
                      <w:jc w:val="left"/>
                      <w:rPr>
                        <w:rFonts w:ascii="Calibri"/>
                        <w:sz w:val="16"/>
                      </w:rPr>
                    </w:pPr>
                    <w:r>
                      <w:rPr>
                        <w:rFonts w:ascii="Calibri"/>
                        <w:w w:val="103"/>
                        <w:sz w:val="16"/>
                        <w:u w:val="thick" w:color="C00000"/>
                      </w:rPr>
                      <w:t> </w:t>
                    </w:r>
                    <w:r>
                      <w:rPr>
                        <w:rFonts w:ascii="Calibri"/>
                        <w:sz w:val="16"/>
                        <w:u w:val="thick" w:color="C00000"/>
                      </w:rPr>
                      <w:tab/>
                    </w:r>
                  </w:p>
                  <w:p>
                    <w:pPr>
                      <w:spacing w:line="194" w:lineRule="exact" w:before="24"/>
                      <w:ind w:left="362" w:right="0" w:firstLine="0"/>
                      <w:jc w:val="left"/>
                      <w:rPr>
                        <w:rFonts w:ascii="Calibri"/>
                        <w:sz w:val="16"/>
                      </w:rPr>
                    </w:pPr>
                    <w:r>
                      <w:rPr>
                        <w:rFonts w:ascii="Calibri"/>
                        <w:w w:val="105"/>
                        <w:sz w:val="16"/>
                      </w:rPr>
                      <w:t>REC (lagged 3 quarters)</w:t>
                    </w:r>
                  </w:p>
                </w:txbxContent>
              </v:textbox>
              <w10:wrap type="none"/>
            </v:shape>
            <v:shape style="position:absolute;left:4713;top:198;width:194;height:154" type="#_x0000_t202" filled="false" stroked="false">
              <v:textbox inset="0,0,0,0">
                <w:txbxContent>
                  <w:p>
                    <w:pPr>
                      <w:spacing w:line="153" w:lineRule="exact" w:before="0"/>
                      <w:ind w:left="0" w:right="0" w:firstLine="0"/>
                      <w:jc w:val="left"/>
                      <w:rPr>
                        <w:rFonts w:ascii="Calibri"/>
                        <w:sz w:val="15"/>
                      </w:rPr>
                    </w:pPr>
                    <w:r>
                      <w:rPr>
                        <w:rFonts w:ascii="Calibri"/>
                        <w:sz w:val="15"/>
                      </w:rPr>
                      <w:t>(a)</w:t>
                    </w:r>
                  </w:p>
                </w:txbxContent>
              </v:textbox>
              <w10:wrap type="none"/>
            </v:shape>
            <w10:wrap type="none"/>
          </v:group>
        </w:pict>
      </w:r>
      <w:r>
        <w:rPr>
          <w:rFonts w:ascii="Calibri"/>
          <w:spacing w:val="2"/>
          <w:w w:val="105"/>
          <w:sz w:val="16"/>
        </w:rPr>
        <w:t>75</w:t>
        <w:tab/>
      </w:r>
      <w:r>
        <w:rPr>
          <w:rFonts w:ascii="Calibri"/>
          <w:w w:val="105"/>
          <w:sz w:val="16"/>
        </w:rPr>
        <w:t>4</w:t>
      </w:r>
    </w:p>
    <w:p>
      <w:pPr>
        <w:pStyle w:val="BodyText"/>
        <w:spacing w:before="6"/>
        <w:rPr>
          <w:rFonts w:ascii="Calibri"/>
          <w:sz w:val="14"/>
        </w:rPr>
      </w:pPr>
    </w:p>
    <w:p>
      <w:pPr>
        <w:tabs>
          <w:tab w:pos="4988" w:val="left" w:leader="none"/>
        </w:tabs>
        <w:spacing w:before="0"/>
        <w:ind w:left="302" w:right="0" w:firstLine="0"/>
        <w:jc w:val="left"/>
        <w:rPr>
          <w:rFonts w:ascii="Calibri"/>
          <w:sz w:val="16"/>
        </w:rPr>
      </w:pPr>
      <w:r>
        <w:rPr>
          <w:rFonts w:ascii="Calibri"/>
          <w:spacing w:val="2"/>
          <w:w w:val="105"/>
          <w:sz w:val="16"/>
        </w:rPr>
        <w:t>70</w:t>
        <w:tab/>
      </w:r>
      <w:r>
        <w:rPr>
          <w:rFonts w:ascii="Calibri"/>
          <w:w w:val="105"/>
          <w:position w:val="-4"/>
          <w:sz w:val="16"/>
        </w:rPr>
        <w:t>3</w:t>
      </w:r>
    </w:p>
    <w:p>
      <w:pPr>
        <w:tabs>
          <w:tab w:pos="4988" w:val="left" w:leader="none"/>
        </w:tabs>
        <w:spacing w:before="127"/>
        <w:ind w:left="302" w:right="0" w:firstLine="0"/>
        <w:jc w:val="left"/>
        <w:rPr>
          <w:rFonts w:ascii="Calibri"/>
          <w:sz w:val="16"/>
        </w:rPr>
      </w:pPr>
      <w:r>
        <w:rPr>
          <w:rFonts w:ascii="Calibri"/>
          <w:spacing w:val="2"/>
          <w:w w:val="105"/>
          <w:sz w:val="16"/>
        </w:rPr>
        <w:t>65</w:t>
        <w:tab/>
      </w:r>
      <w:r>
        <w:rPr>
          <w:rFonts w:ascii="Calibri"/>
          <w:w w:val="105"/>
          <w:position w:val="-8"/>
          <w:sz w:val="16"/>
        </w:rPr>
        <w:t>2</w:t>
      </w:r>
    </w:p>
    <w:p>
      <w:pPr>
        <w:spacing w:line="167" w:lineRule="exact" w:before="87"/>
        <w:ind w:left="302" w:right="0" w:firstLine="0"/>
        <w:jc w:val="left"/>
        <w:rPr>
          <w:rFonts w:ascii="Calibri"/>
          <w:sz w:val="16"/>
        </w:rPr>
      </w:pPr>
      <w:r>
        <w:rPr>
          <w:rFonts w:ascii="Calibri"/>
          <w:spacing w:val="5"/>
          <w:w w:val="105"/>
          <w:sz w:val="16"/>
        </w:rPr>
        <w:t>60</w:t>
      </w:r>
    </w:p>
    <w:p>
      <w:pPr>
        <w:spacing w:line="167" w:lineRule="exact" w:before="0"/>
        <w:ind w:left="4988" w:right="0" w:firstLine="0"/>
        <w:jc w:val="left"/>
        <w:rPr>
          <w:rFonts w:ascii="Calibri"/>
          <w:sz w:val="16"/>
        </w:rPr>
      </w:pPr>
      <w:r>
        <w:rPr>
          <w:rFonts w:ascii="Calibri"/>
          <w:w w:val="103"/>
          <w:sz w:val="16"/>
        </w:rPr>
        <w:t>1</w:t>
      </w:r>
    </w:p>
    <w:p>
      <w:pPr>
        <w:spacing w:line="191" w:lineRule="exact" w:before="38"/>
        <w:ind w:left="302" w:right="0" w:firstLine="0"/>
        <w:jc w:val="left"/>
        <w:rPr>
          <w:rFonts w:ascii="Calibri"/>
          <w:sz w:val="16"/>
        </w:rPr>
      </w:pPr>
      <w:r>
        <w:rPr>
          <w:rFonts w:ascii="Calibri"/>
          <w:spacing w:val="5"/>
          <w:w w:val="105"/>
          <w:sz w:val="16"/>
        </w:rPr>
        <w:t>55</w:t>
      </w:r>
    </w:p>
    <w:p>
      <w:pPr>
        <w:spacing w:line="186" w:lineRule="exact" w:before="0"/>
        <w:ind w:left="4988" w:right="0" w:firstLine="0"/>
        <w:jc w:val="left"/>
        <w:rPr>
          <w:rFonts w:ascii="Calibri"/>
          <w:sz w:val="16"/>
        </w:rPr>
      </w:pPr>
      <w:r>
        <w:rPr>
          <w:rFonts w:ascii="Calibri"/>
          <w:w w:val="103"/>
          <w:sz w:val="16"/>
        </w:rPr>
        <w:t>0</w:t>
      </w:r>
    </w:p>
    <w:p>
      <w:pPr>
        <w:spacing w:line="191" w:lineRule="exact" w:before="0"/>
        <w:ind w:left="302" w:right="0" w:firstLine="0"/>
        <w:jc w:val="left"/>
        <w:rPr>
          <w:rFonts w:ascii="Calibri"/>
          <w:sz w:val="16"/>
        </w:rPr>
      </w:pPr>
      <w:r>
        <w:rPr>
          <w:rFonts w:ascii="Calibri"/>
          <w:spacing w:val="5"/>
          <w:w w:val="105"/>
          <w:sz w:val="16"/>
        </w:rPr>
        <w:t>50</w:t>
      </w:r>
    </w:p>
    <w:p>
      <w:pPr>
        <w:spacing w:line="167" w:lineRule="exact" w:before="37"/>
        <w:ind w:left="4988" w:right="0" w:firstLine="0"/>
        <w:jc w:val="left"/>
        <w:rPr>
          <w:rFonts w:ascii="Calibri"/>
          <w:sz w:val="16"/>
        </w:rPr>
      </w:pPr>
      <w:r>
        <w:rPr>
          <w:rFonts w:ascii="Calibri"/>
          <w:w w:val="105"/>
          <w:sz w:val="16"/>
        </w:rPr>
        <w:t>-1</w:t>
      </w:r>
    </w:p>
    <w:p>
      <w:pPr>
        <w:spacing w:line="167" w:lineRule="exact" w:before="0"/>
        <w:ind w:left="302" w:right="0" w:firstLine="0"/>
        <w:jc w:val="left"/>
        <w:rPr>
          <w:rFonts w:ascii="Calibri"/>
          <w:sz w:val="16"/>
        </w:rPr>
      </w:pPr>
      <w:r>
        <w:rPr>
          <w:rFonts w:ascii="Calibri"/>
          <w:w w:val="105"/>
          <w:sz w:val="16"/>
        </w:rPr>
        <w:t>45</w:t>
      </w:r>
    </w:p>
    <w:p>
      <w:pPr>
        <w:tabs>
          <w:tab w:pos="4988" w:val="left" w:leader="none"/>
        </w:tabs>
        <w:spacing w:before="84"/>
        <w:ind w:left="302" w:right="0" w:firstLine="0"/>
        <w:jc w:val="left"/>
        <w:rPr>
          <w:rFonts w:ascii="Calibri"/>
          <w:sz w:val="16"/>
        </w:rPr>
      </w:pPr>
      <w:r>
        <w:rPr>
          <w:rFonts w:ascii="Calibri"/>
          <w:spacing w:val="2"/>
          <w:w w:val="105"/>
          <w:position w:val="-8"/>
          <w:sz w:val="16"/>
        </w:rPr>
        <w:t>40</w:t>
        <w:tab/>
      </w:r>
      <w:r>
        <w:rPr>
          <w:rFonts w:ascii="Calibri"/>
          <w:w w:val="105"/>
          <w:sz w:val="16"/>
        </w:rPr>
        <w:t>-2</w:t>
      </w:r>
    </w:p>
    <w:p>
      <w:pPr>
        <w:tabs>
          <w:tab w:pos="4988" w:val="left" w:leader="none"/>
        </w:tabs>
        <w:spacing w:before="133"/>
        <w:ind w:left="302" w:right="0" w:firstLine="0"/>
        <w:jc w:val="left"/>
        <w:rPr>
          <w:rFonts w:ascii="Calibri"/>
          <w:sz w:val="16"/>
        </w:rPr>
      </w:pPr>
      <w:r>
        <w:rPr>
          <w:rFonts w:ascii="Calibri"/>
          <w:spacing w:val="2"/>
          <w:w w:val="105"/>
          <w:position w:val="-4"/>
          <w:sz w:val="16"/>
        </w:rPr>
        <w:t>35</w:t>
        <w:tab/>
      </w:r>
      <w:r>
        <w:rPr>
          <w:rFonts w:ascii="Calibri"/>
          <w:w w:val="105"/>
          <w:sz w:val="16"/>
        </w:rPr>
        <w:t>-3</w:t>
      </w:r>
    </w:p>
    <w:p>
      <w:pPr>
        <w:tabs>
          <w:tab w:pos="4988" w:val="left" w:leader="none"/>
        </w:tabs>
        <w:spacing w:before="174"/>
        <w:ind w:left="302" w:right="0" w:firstLine="0"/>
        <w:jc w:val="left"/>
        <w:rPr>
          <w:rFonts w:ascii="Calibri"/>
          <w:sz w:val="16"/>
        </w:rPr>
      </w:pPr>
      <w:r>
        <w:rPr>
          <w:rFonts w:ascii="Calibri"/>
          <w:spacing w:val="2"/>
          <w:w w:val="105"/>
          <w:sz w:val="16"/>
        </w:rPr>
        <w:t>30</w:t>
        <w:tab/>
      </w:r>
      <w:r>
        <w:rPr>
          <w:rFonts w:ascii="Calibri"/>
          <w:w w:val="105"/>
          <w:sz w:val="16"/>
        </w:rPr>
        <w:t>-4</w:t>
      </w:r>
    </w:p>
    <w:p>
      <w:pPr>
        <w:spacing w:before="79"/>
        <w:ind w:left="302" w:right="0" w:firstLine="0"/>
        <w:jc w:val="left"/>
        <w:rPr>
          <w:rFonts w:ascii="Calibri"/>
          <w:sz w:val="15"/>
        </w:rPr>
      </w:pPr>
      <w:r>
        <w:rPr/>
        <w:br w:type="column"/>
      </w:r>
      <w:r>
        <w:rPr>
          <w:rFonts w:ascii="Calibri"/>
          <w:w w:val="105"/>
          <w:sz w:val="16"/>
        </w:rPr>
        <w:t>Gen. Government </w:t>
      </w:r>
      <w:r>
        <w:rPr>
          <w:rFonts w:ascii="Calibri"/>
          <w:w w:val="105"/>
          <w:position w:val="8"/>
          <w:sz w:val="15"/>
        </w:rPr>
        <w:t>(a)</w:t>
      </w:r>
    </w:p>
    <w:p>
      <w:pPr>
        <w:pStyle w:val="BodyText"/>
        <w:spacing w:before="2"/>
        <w:rPr>
          <w:rFonts w:ascii="Calibri"/>
          <w:sz w:val="12"/>
        </w:rPr>
      </w:pPr>
      <w:r>
        <w:rPr/>
        <w:br w:type="column"/>
      </w:r>
      <w:r>
        <w:rPr>
          <w:rFonts w:ascii="Calibri"/>
          <w:sz w:val="12"/>
        </w:rPr>
      </w:r>
    </w:p>
    <w:p>
      <w:pPr>
        <w:spacing w:before="0"/>
        <w:ind w:left="302" w:right="0" w:firstLine="0"/>
        <w:jc w:val="left"/>
        <w:rPr>
          <w:rFonts w:ascii="Calibri"/>
          <w:sz w:val="16"/>
        </w:rPr>
      </w:pPr>
      <w:r>
        <w:rPr/>
        <w:pict>
          <v:rect style="position:absolute;margin-left:427.462189pt;margin-top:2.597724pt;width:5.1312pt;height:5.121939pt;mso-position-horizontal-relative:page;mso-position-vertical-relative:paragraph;z-index:251706368" filled="true" fillcolor="#4f81bc" stroked="false">
            <v:fill type="solid"/>
            <w10:wrap type="none"/>
          </v:rect>
        </w:pict>
      </w:r>
      <w:r>
        <w:rPr>
          <w:rFonts w:ascii="Calibri"/>
          <w:w w:val="105"/>
          <w:sz w:val="16"/>
        </w:rPr>
        <w:t>Private sector</w:t>
      </w:r>
    </w:p>
    <w:p>
      <w:pPr>
        <w:pStyle w:val="BodyText"/>
        <w:spacing w:before="4"/>
        <w:rPr>
          <w:rFonts w:ascii="Calibri"/>
          <w:sz w:val="12"/>
        </w:rPr>
      </w:pPr>
      <w:r>
        <w:rPr/>
        <w:br w:type="column"/>
      </w:r>
      <w:r>
        <w:rPr>
          <w:rFonts w:ascii="Calibri"/>
          <w:sz w:val="12"/>
        </w:rPr>
      </w:r>
    </w:p>
    <w:p>
      <w:pPr>
        <w:spacing w:before="1"/>
        <w:ind w:left="302" w:right="0" w:firstLine="0"/>
        <w:jc w:val="left"/>
        <w:rPr>
          <w:rFonts w:ascii="Calibri"/>
          <w:b/>
          <w:sz w:val="16"/>
        </w:rPr>
      </w:pPr>
      <w:r>
        <w:rPr>
          <w:rFonts w:ascii="Calibri"/>
          <w:b/>
          <w:w w:val="105"/>
          <w:sz w:val="16"/>
        </w:rPr>
        <w:t>Annual </w:t>
      </w:r>
      <w:r>
        <w:rPr>
          <w:rFonts w:ascii="Calibri"/>
          <w:b/>
          <w:spacing w:val="-9"/>
          <w:w w:val="105"/>
          <w:sz w:val="16"/>
        </w:rPr>
        <w:t>avg</w:t>
      </w:r>
    </w:p>
    <w:p>
      <w:pPr>
        <w:pStyle w:val="BodyText"/>
        <w:rPr>
          <w:rFonts w:ascii="Calibri"/>
          <w:b/>
          <w:sz w:val="16"/>
        </w:rPr>
      </w:pPr>
      <w:r>
        <w:rPr/>
        <w:br w:type="column"/>
      </w:r>
      <w:r>
        <w:rPr>
          <w:rFonts w:ascii="Calibri"/>
          <w:b/>
          <w:sz w:val="16"/>
        </w:rPr>
      </w:r>
    </w:p>
    <w:p>
      <w:pPr>
        <w:pStyle w:val="BodyText"/>
        <w:rPr>
          <w:rFonts w:ascii="Calibri"/>
          <w:b/>
          <w:sz w:val="16"/>
        </w:rPr>
      </w:pPr>
    </w:p>
    <w:p>
      <w:pPr>
        <w:spacing w:before="120"/>
        <w:ind w:left="49" w:right="0" w:firstLine="0"/>
        <w:jc w:val="left"/>
        <w:rPr>
          <w:rFonts w:ascii="Calibri"/>
          <w:sz w:val="16"/>
        </w:rPr>
      </w:pPr>
      <w:r>
        <w:rPr/>
        <w:pict>
          <v:group style="position:absolute;margin-left:322.914001pt;margin-top:-.324112pt;width:222.85pt;height:159.25pt;mso-position-horizontal-relative:page;mso-position-vertical-relative:paragraph;z-index:251704320" coordorigin="6458,-6" coordsize="4457,3185">
            <v:rect style="position:absolute;left:6791;top:886;width:437;height:807" filled="true" fillcolor="#9bba58" stroked="false">
              <v:fill type="solid"/>
            </v:rect>
            <v:rect style="position:absolute;left:6791;top:1692;width:437;height:590" filled="true" fillcolor="#4f81bc" stroked="false">
              <v:fill type="solid"/>
            </v:rect>
            <v:rect style="position:absolute;left:6791;top:2281;width:437;height:231" filled="true" fillcolor="#c0504d" stroked="false">
              <v:fill type="solid"/>
            </v:rect>
            <v:rect style="position:absolute;left:7869;top:988;width:437;height:705" filled="true" fillcolor="#9bba58" stroked="false">
              <v:fill type="solid"/>
            </v:rect>
            <v:rect style="position:absolute;left:7869;top:450;width:437;height:538" filled="true" fillcolor="#4f81bc" stroked="false">
              <v:fill type="solid"/>
            </v:rect>
            <v:rect style="position:absolute;left:7869;top:1692;width:437;height:116" filled="true" fillcolor="#c0504d" stroked="false">
              <v:fill type="solid"/>
            </v:rect>
            <v:rect style="position:absolute;left:8959;top:1014;width:424;height:679" filled="true" fillcolor="#9bba58" stroked="false">
              <v:fill type="solid"/>
            </v:rect>
            <v:rect style="position:absolute;left:8959;top:1692;width:424;height:1063" filled="true" fillcolor="#4f81bc" stroked="false">
              <v:fill type="solid"/>
            </v:rect>
            <v:rect style="position:absolute;left:8959;top:527;width:424;height:487" filled="true" fillcolor="#c0504d" stroked="false">
              <v:fill type="solid"/>
            </v:rect>
            <v:rect style="position:absolute;left:10037;top:1219;width:437;height:474" filled="true" fillcolor="#9bba58" stroked="false">
              <v:fill type="solid"/>
            </v:rect>
            <v:rect style="position:absolute;left:10037;top:1692;width:437;height:1012" filled="true" fillcolor="#4f81bc" stroked="false">
              <v:fill type="solid"/>
            </v:rect>
            <v:rect style="position:absolute;left:10037;top:1052;width:437;height:167" filled="true" fillcolor="#c0504d" stroked="false">
              <v:fill type="solid"/>
            </v:rect>
            <v:shape style="position:absolute;left:157;top:10225;width:5131;height:3465" coordorigin="158,10226" coordsize="5131,3465" path="m10788,3172l10788,214m10788,3172l10852,3172m10788,2685l10852,2685m10788,2186l10852,2186m10788,1699l10852,1699m10788,1200l10852,1200m10788,713l10852,713m10788,214l10852,214m6465,1699l10788,1699m6465,1699l6465,1751m7555,1699l7555,1751m8633,1699l8633,1751m9710,1699l9710,1751m10788,1699l10788,1751e" filled="false" stroked="true" strokeweight=".640821pt" strokecolor="#858585">
              <v:path arrowok="t"/>
              <v:stroke dashstyle="solid"/>
            </v:shape>
            <v:shape style="position:absolute;left:6932;top:1654;width:167;height:154" type="#_x0000_t75" stroked="false">
              <v:imagedata r:id="rId12" o:title=""/>
            </v:shape>
            <v:shape style="position:absolute;left:8010;top:450;width:167;height:154" type="#_x0000_t75" stroked="false">
              <v:imagedata r:id="rId12" o:title=""/>
            </v:shape>
            <v:shape style="position:absolute;left:9100;top:1564;width:167;height:154" type="#_x0000_t75" stroked="false">
              <v:imagedata r:id="rId12" o:title=""/>
            </v:shape>
            <v:shape style="position:absolute;left:10178;top:2000;width:167;height:154" type="#_x0000_t75" stroked="false">
              <v:imagedata r:id="rId12" o:title=""/>
            </v:shape>
            <v:rect style="position:absolute;left:6663;top:79;width:116;height:103" filled="true" fillcolor="#9bba58" stroked="false">
              <v:fill type="solid"/>
            </v:rect>
            <v:shape style="position:absolute;left:8536;top:66;width:116;height:116" type="#_x0000_t75" stroked="false">
              <v:imagedata r:id="rId13" o:title=""/>
            </v:shape>
            <v:shape style="position:absolute;left:6805;top:54;width:1456;height:167" type="#_x0000_t202" filled="false" stroked="false">
              <v:textbox inset="0,0,0,0">
                <w:txbxContent>
                  <w:p>
                    <w:pPr>
                      <w:spacing w:line="167" w:lineRule="exact" w:before="0"/>
                      <w:ind w:left="0" w:right="0" w:firstLine="0"/>
                      <w:jc w:val="left"/>
                      <w:rPr>
                        <w:rFonts w:ascii="Calibri"/>
                        <w:sz w:val="16"/>
                      </w:rPr>
                    </w:pPr>
                    <w:r>
                      <w:rPr>
                        <w:rFonts w:ascii="Calibri"/>
                        <w:w w:val="105"/>
                        <w:sz w:val="16"/>
                      </w:rPr>
                      <w:t>Change in workforce</w:t>
                    </w:r>
                  </w:p>
                </w:txbxContent>
              </v:textbox>
              <w10:wrap type="none"/>
            </v:shape>
            <v:shape style="position:absolute;left:8687;top:54;width:458;height:167" type="#_x0000_t202" filled="false" stroked="false">
              <v:textbox inset="0,0,0,0">
                <w:txbxContent>
                  <w:p>
                    <w:pPr>
                      <w:spacing w:line="167" w:lineRule="exact" w:before="0"/>
                      <w:ind w:left="0" w:right="0" w:firstLine="0"/>
                      <w:jc w:val="left"/>
                      <w:rPr>
                        <w:rFonts w:ascii="Calibri"/>
                        <w:sz w:val="16"/>
                      </w:rPr>
                    </w:pPr>
                    <w:r>
                      <w:rPr>
                        <w:rFonts w:ascii="Calibri"/>
                        <w:w w:val="105"/>
                        <w:sz w:val="16"/>
                      </w:rPr>
                      <w:t>Actual</w:t>
                    </w:r>
                  </w:p>
                </w:txbxContent>
              </v:textbox>
              <w10:wrap type="none"/>
            </v:shape>
            <v:shape style="position:absolute;left:10077;top:-7;width:838;height:373" type="#_x0000_t202" filled="false" stroked="false">
              <v:textbox inset="0,0,0,0">
                <w:txbxContent>
                  <w:p>
                    <w:pPr>
                      <w:spacing w:line="168" w:lineRule="exact" w:before="0"/>
                      <w:ind w:left="0" w:right="18" w:firstLine="0"/>
                      <w:jc w:val="center"/>
                      <w:rPr>
                        <w:rFonts w:ascii="Calibri"/>
                        <w:b/>
                        <w:sz w:val="16"/>
                      </w:rPr>
                    </w:pPr>
                    <w:r>
                      <w:rPr>
                        <w:rFonts w:ascii="Calibri"/>
                        <w:b/>
                        <w:w w:val="105"/>
                        <w:sz w:val="16"/>
                      </w:rPr>
                      <w:t>change in U</w:t>
                    </w:r>
                  </w:p>
                  <w:p>
                    <w:pPr>
                      <w:spacing w:line="194" w:lineRule="exact" w:before="10"/>
                      <w:ind w:left="0" w:right="11" w:firstLine="0"/>
                      <w:jc w:val="center"/>
                      <w:rPr>
                        <w:rFonts w:ascii="Calibri"/>
                        <w:b/>
                        <w:sz w:val="16"/>
                      </w:rPr>
                    </w:pPr>
                    <w:r>
                      <w:rPr>
                        <w:rFonts w:ascii="Calibri"/>
                        <w:b/>
                        <w:w w:val="105"/>
                        <w:sz w:val="16"/>
                      </w:rPr>
                      <w:t>(%)</w:t>
                    </w:r>
                  </w:p>
                </w:txbxContent>
              </v:textbox>
              <w10:wrap type="none"/>
            </v:shape>
            <w10:wrap type="none"/>
          </v:group>
        </w:pict>
      </w:r>
      <w:r>
        <w:rPr>
          <w:rFonts w:ascii="Calibri"/>
          <w:w w:val="105"/>
          <w:sz w:val="16"/>
        </w:rPr>
        <w:t>1.5</w:t>
      </w:r>
    </w:p>
    <w:p>
      <w:pPr>
        <w:pStyle w:val="BodyText"/>
        <w:rPr>
          <w:rFonts w:ascii="Calibri"/>
          <w:sz w:val="16"/>
        </w:rPr>
      </w:pPr>
    </w:p>
    <w:p>
      <w:pPr>
        <w:spacing w:before="104"/>
        <w:ind w:left="49" w:right="0" w:firstLine="0"/>
        <w:jc w:val="left"/>
        <w:rPr>
          <w:rFonts w:ascii="Calibri"/>
          <w:sz w:val="16"/>
        </w:rPr>
      </w:pPr>
      <w:r>
        <w:rPr>
          <w:rFonts w:ascii="Calibri"/>
          <w:w w:val="105"/>
          <w:sz w:val="16"/>
        </w:rPr>
        <w:t>1.0</w:t>
      </w:r>
    </w:p>
    <w:p>
      <w:pPr>
        <w:pStyle w:val="BodyText"/>
        <w:rPr>
          <w:rFonts w:ascii="Calibri"/>
          <w:sz w:val="16"/>
        </w:rPr>
      </w:pPr>
    </w:p>
    <w:p>
      <w:pPr>
        <w:spacing w:before="104"/>
        <w:ind w:left="49" w:right="0" w:firstLine="0"/>
        <w:jc w:val="left"/>
        <w:rPr>
          <w:rFonts w:ascii="Calibri"/>
          <w:sz w:val="16"/>
        </w:rPr>
      </w:pPr>
      <w:r>
        <w:rPr>
          <w:rFonts w:ascii="Calibri"/>
          <w:w w:val="105"/>
          <w:sz w:val="16"/>
        </w:rPr>
        <w:t>0.5</w:t>
      </w:r>
    </w:p>
    <w:p>
      <w:pPr>
        <w:pStyle w:val="BodyText"/>
        <w:rPr>
          <w:rFonts w:ascii="Calibri"/>
          <w:sz w:val="16"/>
        </w:rPr>
      </w:pPr>
    </w:p>
    <w:p>
      <w:pPr>
        <w:spacing w:before="104"/>
        <w:ind w:left="49" w:right="0" w:firstLine="0"/>
        <w:jc w:val="left"/>
        <w:rPr>
          <w:rFonts w:ascii="Calibri"/>
          <w:sz w:val="16"/>
        </w:rPr>
      </w:pPr>
      <w:r>
        <w:rPr>
          <w:rFonts w:ascii="Calibri"/>
          <w:w w:val="105"/>
          <w:sz w:val="16"/>
        </w:rPr>
        <w:t>0.0</w:t>
      </w:r>
    </w:p>
    <w:p>
      <w:pPr>
        <w:pStyle w:val="BodyText"/>
        <w:rPr>
          <w:rFonts w:ascii="Calibri"/>
          <w:sz w:val="16"/>
        </w:rPr>
      </w:pPr>
    </w:p>
    <w:p>
      <w:pPr>
        <w:spacing w:before="105"/>
        <w:ind w:left="50" w:right="0" w:firstLine="0"/>
        <w:jc w:val="left"/>
        <w:rPr>
          <w:rFonts w:ascii="Calibri"/>
          <w:sz w:val="16"/>
        </w:rPr>
      </w:pPr>
      <w:r>
        <w:rPr>
          <w:rFonts w:ascii="Calibri"/>
          <w:w w:val="105"/>
          <w:sz w:val="16"/>
        </w:rPr>
        <w:t>-0.5</w:t>
      </w:r>
    </w:p>
    <w:p>
      <w:pPr>
        <w:pStyle w:val="BodyText"/>
        <w:rPr>
          <w:rFonts w:ascii="Calibri"/>
          <w:sz w:val="16"/>
        </w:rPr>
      </w:pPr>
    </w:p>
    <w:p>
      <w:pPr>
        <w:spacing w:before="104"/>
        <w:ind w:left="50" w:right="0" w:firstLine="0"/>
        <w:jc w:val="left"/>
        <w:rPr>
          <w:rFonts w:ascii="Calibri"/>
          <w:sz w:val="16"/>
        </w:rPr>
      </w:pPr>
      <w:r>
        <w:rPr>
          <w:rFonts w:ascii="Calibri"/>
          <w:w w:val="105"/>
          <w:sz w:val="16"/>
        </w:rPr>
        <w:t>-1.0</w:t>
      </w:r>
    </w:p>
    <w:p>
      <w:pPr>
        <w:pStyle w:val="BodyText"/>
        <w:rPr>
          <w:rFonts w:ascii="Calibri"/>
          <w:sz w:val="16"/>
        </w:rPr>
      </w:pPr>
    </w:p>
    <w:p>
      <w:pPr>
        <w:spacing w:line="165" w:lineRule="exact" w:before="104"/>
        <w:ind w:left="50" w:right="0" w:firstLine="0"/>
        <w:jc w:val="left"/>
        <w:rPr>
          <w:rFonts w:ascii="Calibri"/>
          <w:sz w:val="16"/>
        </w:rPr>
      </w:pPr>
      <w:r>
        <w:rPr>
          <w:rFonts w:ascii="Calibri"/>
          <w:w w:val="105"/>
          <w:sz w:val="16"/>
        </w:rPr>
        <w:t>-1.5</w:t>
      </w:r>
    </w:p>
    <w:p>
      <w:pPr>
        <w:spacing w:after="0" w:line="165" w:lineRule="exact"/>
        <w:jc w:val="left"/>
        <w:rPr>
          <w:rFonts w:ascii="Calibri"/>
          <w:sz w:val="16"/>
        </w:rPr>
        <w:sectPr>
          <w:type w:val="continuous"/>
          <w:pgSz w:w="11910" w:h="16840"/>
          <w:pgMar w:top="1180" w:bottom="1520" w:left="900" w:right="320"/>
          <w:cols w:num="5" w:equalWidth="0">
            <w:col w:w="5164" w:space="439"/>
            <w:col w:w="1781" w:space="101"/>
            <w:col w:w="1290" w:space="126"/>
            <w:col w:w="1064" w:space="39"/>
            <w:col w:w="686"/>
          </w:cols>
        </w:sectPr>
      </w:pPr>
    </w:p>
    <w:p>
      <w:pPr>
        <w:spacing w:line="182" w:lineRule="exact" w:before="0"/>
        <w:ind w:left="460" w:right="0" w:firstLine="0"/>
        <w:jc w:val="left"/>
        <w:rPr>
          <w:rFonts w:ascii="Calibri"/>
          <w:sz w:val="16"/>
        </w:rPr>
      </w:pPr>
      <w:r>
        <w:rPr>
          <w:rFonts w:ascii="Calibri"/>
          <w:w w:val="105"/>
          <w:sz w:val="16"/>
        </w:rPr>
        <w:t>2004 2005 2006 2007 2008 2009 2010 2011 2012 2013 2014</w:t>
      </w:r>
    </w:p>
    <w:p>
      <w:pPr>
        <w:pStyle w:val="BodyText"/>
        <w:spacing w:before="8"/>
        <w:rPr>
          <w:rFonts w:ascii="Calibri"/>
          <w:sz w:val="17"/>
        </w:rPr>
      </w:pPr>
    </w:p>
    <w:p>
      <w:pPr>
        <w:spacing w:before="1"/>
        <w:ind w:left="233" w:right="0" w:firstLine="0"/>
        <w:jc w:val="left"/>
        <w:rPr>
          <w:sz w:val="16"/>
        </w:rPr>
      </w:pPr>
      <w:r>
        <w:rPr>
          <w:sz w:val="16"/>
        </w:rPr>
        <w:t>Source: REC employment survey and Bank calculations</w:t>
      </w:r>
    </w:p>
    <w:p>
      <w:pPr>
        <w:tabs>
          <w:tab w:pos="1728" w:val="left" w:leader="none"/>
          <w:tab w:pos="2812" w:val="left" w:leader="none"/>
        </w:tabs>
        <w:spacing w:before="58"/>
        <w:ind w:left="644" w:right="0" w:firstLine="0"/>
        <w:jc w:val="left"/>
        <w:rPr>
          <w:rFonts w:ascii="Calibri"/>
          <w:sz w:val="16"/>
        </w:rPr>
      </w:pPr>
      <w:r>
        <w:rPr/>
        <w:br w:type="column"/>
      </w:r>
      <w:r>
        <w:rPr>
          <w:rFonts w:ascii="Calibri"/>
          <w:spacing w:val="3"/>
          <w:w w:val="105"/>
          <w:sz w:val="16"/>
        </w:rPr>
        <w:t>2000-07</w:t>
        <w:tab/>
        <w:t>2007-09</w:t>
        <w:tab/>
      </w:r>
      <w:r>
        <w:rPr>
          <w:rFonts w:ascii="Calibri"/>
          <w:spacing w:val="4"/>
          <w:w w:val="105"/>
          <w:sz w:val="16"/>
        </w:rPr>
        <w:t>2009-12</w:t>
      </w:r>
    </w:p>
    <w:p>
      <w:pPr>
        <w:pStyle w:val="BodyText"/>
        <w:spacing w:before="10"/>
        <w:rPr>
          <w:rFonts w:ascii="Calibri"/>
          <w:sz w:val="11"/>
        </w:rPr>
      </w:pPr>
    </w:p>
    <w:p>
      <w:pPr>
        <w:spacing w:before="1"/>
        <w:ind w:left="233" w:right="0" w:firstLine="0"/>
        <w:jc w:val="left"/>
        <w:rPr>
          <w:sz w:val="16"/>
        </w:rPr>
      </w:pPr>
      <w:r>
        <w:rPr>
          <w:color w:val="221F1F"/>
          <w:sz w:val="16"/>
        </w:rPr>
        <w:t>Source: ONS and Bank calculations</w:t>
      </w:r>
    </w:p>
    <w:p>
      <w:pPr>
        <w:spacing w:line="107" w:lineRule="exact" w:before="0"/>
        <w:ind w:left="231" w:right="312" w:firstLine="0"/>
        <w:jc w:val="center"/>
        <w:rPr>
          <w:rFonts w:ascii="Calibri"/>
          <w:sz w:val="15"/>
        </w:rPr>
      </w:pPr>
      <w:r>
        <w:rPr/>
        <w:br w:type="column"/>
      </w:r>
      <w:r>
        <w:rPr>
          <w:rFonts w:ascii="Calibri"/>
          <w:w w:val="105"/>
          <w:sz w:val="15"/>
        </w:rPr>
        <w:t>(b)</w:t>
      </w:r>
    </w:p>
    <w:p>
      <w:pPr>
        <w:spacing w:line="146" w:lineRule="exact" w:before="0"/>
        <w:ind w:left="57" w:right="870" w:firstLine="0"/>
        <w:jc w:val="center"/>
        <w:rPr>
          <w:rFonts w:ascii="Calibri"/>
          <w:sz w:val="16"/>
        </w:rPr>
      </w:pPr>
      <w:r>
        <w:rPr>
          <w:rFonts w:ascii="Calibri"/>
          <w:w w:val="105"/>
          <w:sz w:val="16"/>
        </w:rPr>
        <w:t>2012-13</w:t>
      </w:r>
    </w:p>
    <w:p>
      <w:pPr>
        <w:spacing w:after="0" w:line="146" w:lineRule="exact"/>
        <w:jc w:val="center"/>
        <w:rPr>
          <w:rFonts w:ascii="Calibri"/>
          <w:sz w:val="16"/>
        </w:rPr>
        <w:sectPr>
          <w:type w:val="continuous"/>
          <w:pgSz w:w="11910" w:h="16840"/>
          <w:pgMar w:top="1180" w:bottom="1520" w:left="900" w:right="320"/>
          <w:cols w:num="3" w:equalWidth="0">
            <w:col w:w="4863" w:space="305"/>
            <w:col w:w="3445" w:space="199"/>
            <w:col w:w="1878"/>
          </w:cols>
        </w:sectPr>
      </w:pPr>
    </w:p>
    <w:p>
      <w:pPr>
        <w:spacing w:line="398" w:lineRule="auto" w:before="58"/>
        <w:ind w:left="233" w:right="-13" w:firstLine="0"/>
        <w:jc w:val="left"/>
        <w:rPr>
          <w:sz w:val="16"/>
        </w:rPr>
      </w:pPr>
      <w:r>
        <w:rPr>
          <w:position w:val="10"/>
          <w:sz w:val="13"/>
        </w:rPr>
        <w:t>(a) </w:t>
      </w:r>
      <w:r>
        <w:rPr>
          <w:sz w:val="16"/>
        </w:rPr>
        <w:t>Employee growth for Q3 2013 approximated by that between April and July.</w:t>
      </w:r>
    </w:p>
    <w:p>
      <w:pPr>
        <w:pStyle w:val="BodyText"/>
        <w:rPr>
          <w:sz w:val="18"/>
        </w:rPr>
      </w:pPr>
    </w:p>
    <w:p>
      <w:pPr>
        <w:pStyle w:val="BodyText"/>
        <w:spacing w:before="4"/>
        <w:rPr>
          <w:sz w:val="15"/>
        </w:rPr>
      </w:pPr>
    </w:p>
    <w:p>
      <w:pPr>
        <w:pStyle w:val="Heading1"/>
        <w:spacing w:line="360" w:lineRule="auto" w:before="0"/>
        <w:ind w:right="-19"/>
      </w:pPr>
      <w:r>
        <w:rPr/>
        <w:t>Chart 8: Professional forecasters’ forecasts of GDP and employment growth pre- and post-crisis</w:t>
      </w:r>
      <w:r>
        <w:rPr>
          <w:vertAlign w:val="superscript"/>
        </w:rPr>
        <w:t>(a)</w:t>
      </w:r>
    </w:p>
    <w:p>
      <w:pPr>
        <w:pStyle w:val="BodyText"/>
        <w:rPr>
          <w:b/>
          <w:sz w:val="4"/>
        </w:rPr>
      </w:pPr>
    </w:p>
    <w:p>
      <w:pPr>
        <w:pStyle w:val="BodyText"/>
        <w:ind w:left="302"/>
      </w:pPr>
      <w:r>
        <w:rPr/>
        <w:pict>
          <v:group style="width:237.2pt;height:178.15pt;mso-position-horizontal-relative:char;mso-position-vertical-relative:line" coordorigin="0,0" coordsize="4744,3563">
            <v:line style="position:absolute" from="2499,3451" to="2499,68" stroked="true" strokeweight=".639026pt" strokecolor="#858585">
              <v:stroke dashstyle="solid"/>
            </v:line>
            <v:line style="position:absolute" from="2448,3451" to="2499,3451" stroked="true" strokeweight=".63839pt" strokecolor="#858585">
              <v:stroke dashstyle="solid"/>
            </v:line>
            <v:line style="position:absolute" from="2448,2775" to="2499,2775" stroked="true" strokeweight=".63839pt" strokecolor="#858585">
              <v:stroke dashstyle="solid"/>
            </v:line>
            <v:line style="position:absolute" from="2448,2098" to="2499,2098" stroked="true" strokeweight=".63839pt" strokecolor="#858585">
              <v:stroke dashstyle="solid"/>
            </v:line>
            <v:line style="position:absolute" from="2448,1421" to="2499,1421" stroked="true" strokeweight=".63839pt" strokecolor="#858585">
              <v:stroke dashstyle="solid"/>
            </v:line>
            <v:line style="position:absolute" from="2448,745" to="2499,745" stroked="true" strokeweight=".63839pt" strokecolor="#858585">
              <v:stroke dashstyle="solid"/>
            </v:line>
            <v:line style="position:absolute" from="2448,68" to="2499,68" stroked="true" strokeweight=".63839pt" strokecolor="#858585">
              <v:stroke dashstyle="solid"/>
            </v:line>
            <v:line style="position:absolute" from="300,2098" to="4697,2098" stroked="true" strokeweight=".63839pt" strokecolor="#858585">
              <v:stroke dashstyle="solid"/>
            </v:line>
            <v:line style="position:absolute" from="300,2098" to="300,2162" stroked="true" strokeweight=".639026pt" strokecolor="#858585">
              <v:stroke dashstyle="solid"/>
            </v:line>
            <v:line style="position:absolute" from="3598,2098" to="3598,2162" stroked="true" strokeweight=".639026pt" strokecolor="#858585">
              <v:stroke dashstyle="solid"/>
            </v:line>
            <v:line style="position:absolute" from="4697,2098" to="4697,2162" stroked="true" strokeweight=".639026pt" strokecolor="#858585">
              <v:stroke dashstyle="solid"/>
            </v:line>
            <v:shape style="position:absolute;left:3875;top:707;width:77;height:64" coordorigin="3876,707" coordsize="77,64" path="m3914,707l3899,710,3887,717,3879,727,3876,739,3879,752,3887,762,3899,769,3914,771,3929,769,3941,762,3949,752,3952,739,3949,727,3941,717,3929,710,3914,707xe" filled="true" fillcolor="#c0504d" stroked="false">
              <v:path arrowok="t"/>
              <v:fill type="solid"/>
            </v:shape>
            <v:shape style="position:absolute;left:3875;top:707;width:77;height:64" coordorigin="3876,707" coordsize="77,64" path="m3952,739l3949,752,3941,762,3929,769,3914,771,3899,769,3887,762,3879,752,3876,739,3879,727,3887,717,3899,710,3914,707,3929,710,3941,717,3949,727,3952,739xe" filled="false" stroked="true" strokeweight=".639289pt" strokecolor="#bd4a47">
              <v:path arrowok="t"/>
              <v:stroke dashstyle="solid"/>
            </v:shape>
            <v:shape style="position:absolute;left:3875;top:707;width:77;height:64" coordorigin="3876,707" coordsize="77,64" path="m3914,707l3899,710,3887,717,3879,727,3876,739,3879,752,3887,762,3899,769,3914,771,3929,769,3941,762,3949,752,3952,739,3949,727,3941,717,3929,710,3914,707xe" filled="true" fillcolor="#c0504d" stroked="false">
              <v:path arrowok="t"/>
              <v:fill type="solid"/>
            </v:shape>
            <v:shape style="position:absolute;left:3875;top:707;width:77;height:64" coordorigin="3876,707" coordsize="77,64" path="m3952,739l3949,752,3941,762,3929,769,3914,771,3899,769,3887,762,3879,752,3876,739,3879,727,3887,717,3899,710,3914,707,3929,710,3941,717,3949,727,3952,739xe" filled="false" stroked="true" strokeweight=".639289pt" strokecolor="#bd4a47">
              <v:path arrowok="t"/>
              <v:stroke dashstyle="solid"/>
            </v:shape>
            <v:shape style="position:absolute;left:4096;top:1012;width:77;height:64" coordorigin="4096,1012" coordsize="77,64" path="m4134,1012l4119,1015,4107,1021,4099,1032,4096,1044,4099,1056,4107,1067,4119,1073,4134,1076,4149,1073,4162,1067,4170,1056,4173,1044,4170,1032,4162,1021,4149,1015,4134,1012xe" filled="true" fillcolor="#c0504d" stroked="false">
              <v:path arrowok="t"/>
              <v:fill type="solid"/>
            </v:shape>
            <v:shape style="position:absolute;left:4096;top:1012;width:77;height:64" coordorigin="4096,1012" coordsize="77,64" path="m4173,1044l4170,1056,4162,1067,4149,1073,4134,1076,4119,1073,4107,1067,4099,1056,4096,1044,4099,1032,4107,1021,4119,1015,4134,1012,4149,1015,4162,1021,4170,1032,4173,1044xe" filled="false" stroked="true" strokeweight=".639289pt" strokecolor="#bd4a47">
              <v:path arrowok="t"/>
              <v:stroke dashstyle="solid"/>
            </v:shape>
            <v:shape style="position:absolute;left:4096;top:1012;width:77;height:64" coordorigin="4096,1012" coordsize="77,64" path="m4134,1012l4119,1015,4107,1021,4099,1032,4096,1044,4099,1056,4107,1067,4119,1073,4134,1076,4149,1073,4162,1067,4170,1056,4173,1044,4170,1032,4162,1021,4149,1015,4134,1012xe" filled="true" fillcolor="#c0504d" stroked="false">
              <v:path arrowok="t"/>
              <v:fill type="solid"/>
            </v:shape>
            <v:shape style="position:absolute;left:4096;top:1012;width:77;height:64" coordorigin="4096,1012" coordsize="77,64" path="m4173,1044l4170,1056,4162,1067,4149,1073,4134,1076,4119,1073,4107,1067,4099,1056,4096,1044,4099,1032,4107,1021,4119,1015,4134,1012,4149,1015,4162,1021,4170,1032,4173,1044xe" filled="false" stroked="true" strokeweight=".639289pt" strokecolor="#bd4a47">
              <v:path arrowok="t"/>
              <v:stroke dashstyle="solid"/>
            </v:shape>
            <v:shape style="position:absolute;left:847;top:599;width:2892;height:1901" type="#_x0000_t75" stroked="false">
              <v:imagedata r:id="rId14" o:title=""/>
            </v:shape>
            <v:shape style="position:absolute;left:4543;top:1351;width:77;height:64" coordorigin="4544,1351" coordsize="77,64" path="m4582,1351l4567,1354,4555,1361,4547,1371,4544,1383,4547,1396,4555,1406,4567,1413,4582,1415,4597,1413,4609,1406,4617,1396,4620,1383,4617,1371,4609,1361,4597,1354,4582,1351xe" filled="true" fillcolor="#4f81bc" stroked="false">
              <v:path arrowok="t"/>
              <v:fill type="solid"/>
            </v:shape>
            <v:shape style="position:absolute;left:4543;top:1351;width:77;height:64" coordorigin="4544,1351" coordsize="77,64" path="m4620,1383l4617,1396,4609,1406,4597,1413,4582,1415,4567,1413,4555,1406,4547,1396,4544,1383,4547,1371,4555,1361,4567,1354,4582,1351,4597,1354,4609,1361,4617,1371,4620,1383xe" filled="false" stroked="true" strokeweight=".639289pt" strokecolor="#497dba">
              <v:path arrowok="t"/>
              <v:stroke dashstyle="solid"/>
            </v:shape>
            <v:shape style="position:absolute;left:3972;top:1567;width:77;height:64" coordorigin="3972,1568" coordsize="77,64" path="m4011,1568l3996,1570,3983,1577,3975,1587,3972,1600,3975,1612,3983,1622,3996,1629,4011,1632,4025,1629,4038,1622,4046,1612,4049,1600,4046,1587,4038,1577,4025,1570,4011,1568xe" filled="true" fillcolor="#4f81bc" stroked="false">
              <v:path arrowok="t"/>
              <v:fill type="solid"/>
            </v:shape>
            <v:shape style="position:absolute;left:3972;top:1567;width:77;height:64" coordorigin="3972,1568" coordsize="77,64" path="m4049,1600l4046,1612,4038,1622,4025,1629,4011,1632,3996,1629,3983,1622,3975,1612,3972,1600,3975,1587,3983,1577,3996,1570,4011,1568,4025,1570,4038,1577,4046,1587,4049,1600xe" filled="false" stroked="true" strokeweight=".639289pt" strokecolor="#497dba">
              <v:path arrowok="t"/>
              <v:stroke dashstyle="solid"/>
            </v:shape>
            <v:shape style="position:absolute;left:3928;top:1544;width:77;height:64" coordorigin="3928,1545" coordsize="77,64" path="m3967,1545l3952,1547,3939,1554,3931,1564,3928,1577,3931,1589,3939,1599,3952,1606,3967,1609,3981,1606,3994,1599,4002,1589,4005,1577,4002,1564,3994,1554,3981,1547,3967,1545xe" filled="true" fillcolor="#4f81bc" stroked="false">
              <v:path arrowok="t"/>
              <v:fill type="solid"/>
            </v:shape>
            <v:shape style="position:absolute;left:3928;top:1544;width:77;height:64" coordorigin="3928,1545" coordsize="77,64" path="m4005,1577l4002,1589,3994,1599,3981,1606,3967,1609,3952,1606,3939,1599,3931,1589,3928,1577,3931,1564,3939,1554,3952,1547,3967,1545,3981,1547,3994,1554,4002,1564,4005,1577xe" filled="false" stroked="true" strokeweight=".639289pt" strokecolor="#497dba">
              <v:path arrowok="t"/>
              <v:stroke dashstyle="solid"/>
            </v:shape>
            <v:shape style="position:absolute;left:4543;top:1351;width:77;height:64" coordorigin="4544,1351" coordsize="77,64" path="m4582,1351l4567,1354,4555,1361,4547,1371,4544,1383,4547,1396,4555,1406,4567,1413,4582,1415,4597,1413,4609,1406,4617,1396,4620,1383,4617,1371,4609,1361,4597,1354,4582,1351xe" filled="true" fillcolor="#4f81bc" stroked="false">
              <v:path arrowok="t"/>
              <v:fill type="solid"/>
            </v:shape>
            <v:shape style="position:absolute;left:4543;top:1351;width:77;height:64" coordorigin="4544,1351" coordsize="77,64" path="m4620,1383l4617,1396,4609,1406,4597,1413,4582,1415,4567,1413,4555,1406,4547,1396,4544,1383,4547,1371,4555,1361,4567,1354,4582,1351,4597,1354,4609,1361,4617,1371,4620,1383xe" filled="false" stroked="true" strokeweight=".639289pt" strokecolor="#497dba">
              <v:path arrowok="t"/>
              <v:stroke dashstyle="solid"/>
            </v:shape>
            <v:shape style="position:absolute;left:4027;top:1567;width:77;height:64" coordorigin="4027,1568" coordsize="77,64" path="m4066,1568l4051,1570,4038,1577,4030,1587,4027,1600,4030,1612,4038,1622,4051,1629,4066,1632,4080,1629,4093,1622,4101,1612,4104,1600,4101,1587,4093,1577,4080,1570,4066,1568xe" filled="true" fillcolor="#4f81bc" stroked="false">
              <v:path arrowok="t"/>
              <v:fill type="solid"/>
            </v:shape>
            <v:shape style="position:absolute;left:4027;top:1567;width:77;height:64" coordorigin="4027,1568" coordsize="77,64" path="m4104,1600l4101,1612,4093,1622,4080,1629,4066,1632,4051,1629,4038,1622,4030,1612,4027,1600,4030,1587,4038,1577,4051,1570,4066,1568,4080,1570,4093,1577,4101,1587,4104,1600xe" filled="false" stroked="true" strokeweight=".639289pt" strokecolor="#497dba">
              <v:path arrowok="t"/>
              <v:stroke dashstyle="solid"/>
            </v:shape>
            <v:shape style="position:absolute;left:4038;top:1544;width:77;height:64" coordorigin="4038,1545" coordsize="77,64" path="m4077,1545l4062,1547,4050,1554,4041,1564,4038,1577,4041,1589,4050,1599,4062,1606,4077,1609,4092,1606,4104,1599,4112,1589,4115,1577,4112,1564,4104,1554,4092,1547,4077,1545xe" filled="true" fillcolor="#4f81bc" stroked="false">
              <v:path arrowok="t"/>
              <v:fill type="solid"/>
            </v:shape>
            <v:shape style="position:absolute;left:4038;top:1544;width:77;height:64" coordorigin="4038,1545" coordsize="77,64" path="m4115,1577l4112,1589,4104,1599,4092,1606,4077,1609,4062,1606,4050,1599,4041,1589,4038,1577,4041,1564,4050,1554,4062,1547,4077,1545,4092,1547,4104,1554,4112,1564,4115,1577xe" filled="false" stroked="true" strokeweight=".639289pt" strokecolor="#497dba">
              <v:path arrowok="t"/>
              <v:stroke dashstyle="solid"/>
            </v:shape>
            <v:shape style="position:absolute;left:4188;top:515;width:77;height:64" coordorigin="4188,515" coordsize="77,64" path="m4227,515l4212,518,4200,525,4191,535,4188,547,4191,560,4200,570,4212,577,4227,579,4242,577,4254,570,4262,560,4265,547,4262,535,4254,525,4242,518,4227,515xe" filled="true" fillcolor="#4f81bc" stroked="false">
              <v:path arrowok="t"/>
              <v:fill type="solid"/>
            </v:shape>
            <v:shape style="position:absolute;left:4188;top:515;width:77;height:64" coordorigin="4188,515" coordsize="77,64" path="m4265,547l4262,560,4254,570,4242,577,4227,579,4212,577,4200,570,4191,560,4188,547,4191,535,4200,525,4212,518,4227,515,4242,518,4254,525,4262,535,4265,547xe" filled="false" stroked="true" strokeweight=".639289pt" strokecolor="#497dba">
              <v:path arrowok="t"/>
              <v:stroke dashstyle="solid"/>
            </v:shape>
            <v:line style="position:absolute" from="888,2417" to="4135,592" stroked="true" strokeweight=".638543pt" strokecolor="#000000">
              <v:stroke dashstyle="solid"/>
            </v:line>
            <v:line style="position:absolute" from="2307,2047" to="4582,975" stroked="true" strokeweight=".638506pt" strokecolor="#000000">
              <v:stroke dashstyle="solid"/>
            </v:line>
            <v:shape style="position:absolute;left:3367;top:2672;width:64;height:64" coordorigin="3368,2673" coordsize="64,64" path="m3400,2673l3387,2675,3377,2682,3370,2692,3368,2705,3370,2717,3377,2727,3387,2734,3400,2736,3412,2734,3422,2727,3429,2717,3432,2705,3429,2692,3422,2682,3412,2675,3400,2673xe" filled="true" fillcolor="#c0504d" stroked="false">
              <v:path arrowok="t"/>
              <v:fill type="solid"/>
            </v:shape>
            <v:shape style="position:absolute;left:3367;top:2672;width:64;height:64" coordorigin="3368,2673" coordsize="64,64" path="m3432,2705l3429,2717,3422,2727,3412,2734,3400,2736,3387,2734,3377,2727,3370,2717,3368,2705,3370,2692,3377,2682,3387,2675,3400,2673,3412,2675,3422,2682,3429,2692,3432,2705xe" filled="false" stroked="true" strokeweight=".638708pt" strokecolor="#bd4a47">
              <v:path arrowok="t"/>
              <v:stroke dashstyle="solid"/>
            </v:shape>
            <v:shape style="position:absolute;left:3367;top:2953;width:64;height:77" coordorigin="3368,2954" coordsize="64,77" path="m3400,2954l3387,2957,3377,2965,3370,2977,3368,2992,3370,3007,3377,3019,3387,3027,3400,3030,3412,3027,3422,3019,3429,3007,3432,2992,3429,2977,3422,2965,3412,2957,3400,2954xe" filled="true" fillcolor="#4f81bc" stroked="false">
              <v:path arrowok="t"/>
              <v:fill type="solid"/>
            </v:shape>
            <v:shape style="position:absolute;left:3367;top:2953;width:64;height:77" coordorigin="3368,2954" coordsize="64,77" path="m3432,2992l3429,3007,3422,3019,3412,3027,3400,3030,3387,3027,3377,3019,3370,3007,3368,2992,3370,2977,3377,2965,3387,2957,3400,2954,3412,2957,3422,2965,3429,2977,3432,2992xe" filled="false" stroked="true" strokeweight=".638765pt" strokecolor="#497dba">
              <v:path arrowok="t"/>
              <v:stroke dashstyle="solid"/>
            </v:shape>
            <v:shape style="position:absolute;left:51;top:0;width:105;height:167" type="#_x0000_t202" filled="false" stroked="false">
              <v:textbox inset="0,0,0,0">
                <w:txbxContent>
                  <w:p>
                    <w:pPr>
                      <w:spacing w:line="167" w:lineRule="exact" w:before="0"/>
                      <w:ind w:left="0" w:right="0" w:firstLine="0"/>
                      <w:jc w:val="left"/>
                      <w:rPr>
                        <w:rFonts w:ascii="Calibri"/>
                        <w:sz w:val="16"/>
                      </w:rPr>
                    </w:pPr>
                    <w:r>
                      <w:rPr>
                        <w:rFonts w:ascii="Calibri"/>
                        <w:w w:val="104"/>
                        <w:sz w:val="16"/>
                      </w:rPr>
                      <w:t>6</w:t>
                    </w:r>
                  </w:p>
                </w:txbxContent>
              </v:textbox>
              <w10:wrap type="none"/>
            </v:shape>
            <v:shape style="position:absolute;left:311;top:70;width:908;height:372" type="#_x0000_t202" filled="false" stroked="false">
              <v:textbox inset="0,0,0,0">
                <w:txbxContent>
                  <w:p>
                    <w:pPr>
                      <w:spacing w:line="168" w:lineRule="exact" w:before="0"/>
                      <w:ind w:left="0" w:right="0" w:firstLine="0"/>
                      <w:jc w:val="left"/>
                      <w:rPr>
                        <w:rFonts w:ascii="Calibri"/>
                        <w:b/>
                        <w:sz w:val="16"/>
                      </w:rPr>
                    </w:pPr>
                    <w:r>
                      <w:rPr>
                        <w:rFonts w:ascii="Calibri"/>
                        <w:b/>
                        <w:w w:val="105"/>
                        <w:sz w:val="16"/>
                      </w:rPr>
                      <w:t>Employment</w:t>
                    </w:r>
                  </w:p>
                  <w:p>
                    <w:pPr>
                      <w:spacing w:line="194" w:lineRule="exact" w:before="10"/>
                      <w:ind w:left="0" w:right="0" w:firstLine="0"/>
                      <w:jc w:val="left"/>
                      <w:rPr>
                        <w:rFonts w:ascii="Calibri"/>
                        <w:b/>
                        <w:sz w:val="16"/>
                      </w:rPr>
                    </w:pPr>
                    <w:r>
                      <w:rPr>
                        <w:rFonts w:ascii="Calibri"/>
                        <w:b/>
                        <w:w w:val="105"/>
                        <w:sz w:val="16"/>
                      </w:rPr>
                      <w:t>growth, %</w:t>
                    </w:r>
                  </w:p>
                </w:txbxContent>
              </v:textbox>
              <w10:wrap type="none"/>
            </v:shape>
            <v:shape style="position:absolute;left:51;top:679;width:105;height:167" type="#_x0000_t202" filled="false" stroked="false">
              <v:textbox inset="0,0,0,0">
                <w:txbxContent>
                  <w:p>
                    <w:pPr>
                      <w:spacing w:line="167" w:lineRule="exact" w:before="0"/>
                      <w:ind w:left="0" w:right="0" w:firstLine="0"/>
                      <w:jc w:val="left"/>
                      <w:rPr>
                        <w:rFonts w:ascii="Calibri"/>
                        <w:sz w:val="16"/>
                      </w:rPr>
                    </w:pPr>
                    <w:r>
                      <w:rPr>
                        <w:rFonts w:ascii="Calibri"/>
                        <w:w w:val="104"/>
                        <w:sz w:val="16"/>
                      </w:rPr>
                      <w:t>4</w:t>
                    </w:r>
                  </w:p>
                </w:txbxContent>
              </v:textbox>
              <w10:wrap type="none"/>
            </v:shape>
            <v:shape style="position:absolute;left:51;top:1358;width:105;height:167" type="#_x0000_t202" filled="false" stroked="false">
              <v:textbox inset="0,0,0,0">
                <w:txbxContent>
                  <w:p>
                    <w:pPr>
                      <w:spacing w:line="167" w:lineRule="exact" w:before="0"/>
                      <w:ind w:left="0" w:right="0" w:firstLine="0"/>
                      <w:jc w:val="left"/>
                      <w:rPr>
                        <w:rFonts w:ascii="Calibri"/>
                        <w:sz w:val="16"/>
                      </w:rPr>
                    </w:pPr>
                    <w:r>
                      <w:rPr>
                        <w:rFonts w:ascii="Calibri"/>
                        <w:w w:val="104"/>
                        <w:sz w:val="16"/>
                      </w:rPr>
                      <w:t>2</w:t>
                    </w:r>
                  </w:p>
                </w:txbxContent>
              </v:textbox>
              <w10:wrap type="none"/>
            </v:shape>
            <v:shape style="position:absolute;left:51;top:2037;width:105;height:167" type="#_x0000_t202" filled="false" stroked="false">
              <v:textbox inset="0,0,0,0">
                <w:txbxContent>
                  <w:p>
                    <w:pPr>
                      <w:spacing w:line="166" w:lineRule="exact" w:before="0"/>
                      <w:ind w:left="0" w:right="0" w:firstLine="0"/>
                      <w:jc w:val="left"/>
                      <w:rPr>
                        <w:rFonts w:ascii="Calibri"/>
                        <w:sz w:val="16"/>
                      </w:rPr>
                    </w:pPr>
                    <w:r>
                      <w:rPr>
                        <w:rFonts w:ascii="Calibri"/>
                        <w:w w:val="104"/>
                        <w:sz w:val="16"/>
                      </w:rPr>
                      <w:t>0</w:t>
                    </w:r>
                  </w:p>
                </w:txbxContent>
              </v:textbox>
              <w10:wrap type="none"/>
            </v:shape>
            <v:shape style="position:absolute;left:0;top:2717;width:156;height:167" type="#_x0000_t202" filled="false" stroked="false">
              <v:textbox inset="0,0,0,0">
                <w:txbxContent>
                  <w:p>
                    <w:pPr>
                      <w:spacing w:line="166" w:lineRule="exact" w:before="0"/>
                      <w:ind w:left="0" w:right="0" w:firstLine="0"/>
                      <w:jc w:val="left"/>
                      <w:rPr>
                        <w:rFonts w:ascii="Calibri"/>
                        <w:sz w:val="16"/>
                      </w:rPr>
                    </w:pPr>
                    <w:r>
                      <w:rPr>
                        <w:rFonts w:ascii="Calibri"/>
                        <w:w w:val="105"/>
                        <w:sz w:val="16"/>
                      </w:rPr>
                      <w:t>-2</w:t>
                    </w:r>
                  </w:p>
                </w:txbxContent>
              </v:textbox>
              <w10:wrap type="none"/>
            </v:shape>
            <v:shape style="position:absolute;left:3492;top:2637;width:788;height:458" type="#_x0000_t202" filled="false" stroked="false">
              <v:textbox inset="0,0,0,0">
                <w:txbxContent>
                  <w:p>
                    <w:pPr>
                      <w:spacing w:line="168" w:lineRule="exact" w:before="0"/>
                      <w:ind w:left="0" w:right="0" w:firstLine="0"/>
                      <w:jc w:val="left"/>
                      <w:rPr>
                        <w:rFonts w:ascii="Calibri"/>
                        <w:sz w:val="16"/>
                      </w:rPr>
                    </w:pPr>
                    <w:r>
                      <w:rPr>
                        <w:rFonts w:ascii="Calibri"/>
                        <w:spacing w:val="4"/>
                        <w:w w:val="105"/>
                        <w:sz w:val="16"/>
                      </w:rPr>
                      <w:t>2010-2012</w:t>
                    </w:r>
                  </w:p>
                  <w:p>
                    <w:pPr>
                      <w:spacing w:line="194" w:lineRule="exact" w:before="95"/>
                      <w:ind w:left="0" w:right="0" w:firstLine="0"/>
                      <w:jc w:val="left"/>
                      <w:rPr>
                        <w:rFonts w:ascii="Calibri"/>
                        <w:sz w:val="16"/>
                      </w:rPr>
                    </w:pPr>
                    <w:r>
                      <w:rPr>
                        <w:rFonts w:ascii="Calibri"/>
                        <w:spacing w:val="4"/>
                        <w:w w:val="105"/>
                        <w:sz w:val="16"/>
                      </w:rPr>
                      <w:t>2004-2007</w:t>
                    </w:r>
                  </w:p>
                </w:txbxContent>
              </v:textbox>
              <w10:wrap type="none"/>
            </v:shape>
            <v:shape style="position:absolute;left:0;top:3396;width:156;height:167" type="#_x0000_t202" filled="false" stroked="false">
              <v:textbox inset="0,0,0,0">
                <w:txbxContent>
                  <w:p>
                    <w:pPr>
                      <w:spacing w:line="166" w:lineRule="exact" w:before="0"/>
                      <w:ind w:left="0" w:right="0" w:firstLine="0"/>
                      <w:jc w:val="left"/>
                      <w:rPr>
                        <w:rFonts w:ascii="Calibri"/>
                        <w:sz w:val="16"/>
                      </w:rPr>
                    </w:pPr>
                    <w:r>
                      <w:rPr>
                        <w:rFonts w:ascii="Calibri"/>
                        <w:w w:val="105"/>
                        <w:sz w:val="16"/>
                      </w:rPr>
                      <w:t>-4</w:t>
                    </w:r>
                  </w:p>
                </w:txbxContent>
              </v:textbox>
              <w10:wrap type="none"/>
            </v:shape>
            <v:shape style="position:absolute;left:3677;top:3327;width:1066;height:167" type="#_x0000_t202" filled="false" stroked="false">
              <v:textbox inset="0,0,0,0">
                <w:txbxContent>
                  <w:p>
                    <w:pPr>
                      <w:spacing w:line="166" w:lineRule="exact" w:before="0"/>
                      <w:ind w:left="0" w:right="0" w:firstLine="0"/>
                      <w:jc w:val="left"/>
                      <w:rPr>
                        <w:rFonts w:ascii="Calibri"/>
                        <w:b/>
                        <w:sz w:val="16"/>
                      </w:rPr>
                    </w:pPr>
                    <w:r>
                      <w:rPr>
                        <w:rFonts w:ascii="Calibri"/>
                        <w:b/>
                        <w:w w:val="105"/>
                        <w:sz w:val="16"/>
                      </w:rPr>
                      <w:t>GDP growth, %</w:t>
                    </w:r>
                  </w:p>
                </w:txbxContent>
              </v:textbox>
              <w10:wrap type="none"/>
            </v:shape>
          </v:group>
        </w:pict>
      </w:r>
      <w:r>
        <w:rPr/>
      </w:r>
    </w:p>
    <w:p>
      <w:pPr>
        <w:tabs>
          <w:tab w:pos="1633" w:val="left" w:leader="none"/>
          <w:tab w:pos="2763" w:val="left" w:leader="none"/>
          <w:tab w:pos="3867" w:val="left" w:leader="none"/>
          <w:tab w:pos="4971" w:val="left" w:leader="none"/>
        </w:tabs>
        <w:spacing w:before="0"/>
        <w:ind w:left="530" w:right="0" w:firstLine="0"/>
        <w:jc w:val="left"/>
        <w:rPr>
          <w:rFonts w:ascii="Calibri"/>
          <w:sz w:val="16"/>
        </w:rPr>
      </w:pPr>
      <w:r>
        <w:rPr>
          <w:rFonts w:ascii="Calibri"/>
          <w:w w:val="105"/>
          <w:sz w:val="16"/>
        </w:rPr>
        <w:t>-4</w:t>
        <w:tab/>
        <w:t>-2</w:t>
        <w:tab/>
        <w:t>0</w:t>
        <w:tab/>
        <w:t>2</w:t>
        <w:tab/>
        <w:t>4</w:t>
      </w:r>
    </w:p>
    <w:p>
      <w:pPr>
        <w:spacing w:before="85"/>
        <w:ind w:left="233" w:right="0" w:firstLine="0"/>
        <w:jc w:val="left"/>
        <w:rPr>
          <w:sz w:val="16"/>
        </w:rPr>
      </w:pPr>
      <w:r>
        <w:rPr>
          <w:sz w:val="13"/>
        </w:rPr>
        <w:t>Source</w:t>
      </w:r>
      <w:r>
        <w:rPr>
          <w:color w:val="221F1F"/>
          <w:position w:val="-9"/>
          <w:sz w:val="16"/>
        </w:rPr>
        <w:t>: HMT</w:t>
      </w:r>
    </w:p>
    <w:p>
      <w:pPr>
        <w:spacing w:line="379" w:lineRule="auto" w:before="90"/>
        <w:ind w:left="233" w:right="-13" w:firstLine="0"/>
        <w:jc w:val="left"/>
        <w:rPr>
          <w:sz w:val="16"/>
        </w:rPr>
      </w:pPr>
      <w:r>
        <w:rPr>
          <w:position w:val="10"/>
          <w:sz w:val="13"/>
        </w:rPr>
        <w:t>(a) </w:t>
      </w:r>
      <w:r>
        <w:rPr>
          <w:color w:val="221F1F"/>
          <w:sz w:val="16"/>
        </w:rPr>
        <w:t>Forecasts taken from June and July of each year for GDP and employment growth in the following calendar year. Blues dots are forecasts made for calendar years 2004-07; red dots for 2010-12.</w:t>
      </w:r>
    </w:p>
    <w:p>
      <w:pPr>
        <w:spacing w:line="352" w:lineRule="auto" w:before="58"/>
        <w:ind w:left="233" w:right="742" w:firstLine="0"/>
        <w:jc w:val="left"/>
        <w:rPr>
          <w:sz w:val="16"/>
        </w:rPr>
      </w:pPr>
      <w:r>
        <w:rPr/>
        <w:br w:type="column"/>
      </w:r>
      <w:r>
        <w:rPr>
          <w:position w:val="10"/>
          <w:sz w:val="13"/>
        </w:rPr>
        <w:t>(a) </w:t>
      </w:r>
      <w:r>
        <w:rPr>
          <w:color w:val="221F1F"/>
          <w:sz w:val="16"/>
        </w:rPr>
        <w:t>Includes government supported training schemes and unpaid family workers . </w:t>
      </w:r>
      <w:r>
        <w:rPr>
          <w:position w:val="10"/>
          <w:sz w:val="13"/>
        </w:rPr>
        <w:t>(b) </w:t>
      </w:r>
      <w:r>
        <w:rPr>
          <w:color w:val="221F1F"/>
          <w:sz w:val="16"/>
        </w:rPr>
        <w:t>Year to May-July 2013.</w:t>
      </w:r>
    </w:p>
    <w:p>
      <w:pPr>
        <w:pStyle w:val="BodyText"/>
        <w:spacing w:before="5"/>
        <w:rPr>
          <w:sz w:val="33"/>
        </w:rPr>
      </w:pPr>
    </w:p>
    <w:p>
      <w:pPr>
        <w:pStyle w:val="BodyText"/>
        <w:spacing w:line="360" w:lineRule="auto"/>
        <w:ind w:left="319" w:right="843"/>
      </w:pPr>
      <w:r>
        <w:rPr/>
        <w:t>And the connection runs both ways: something that is obvious after the event should probably have been forecastable before the fact. So perhaps I can end this section with Chart 8, which plots the difference between out-turns and prior forecasts of output and employment growth. The data are from the Treasury’s survey of professional forecasters and cover predictions made by all the main UK forecasters since 2003. There is a clear divide in the performance around the time of the financial crisis. In normal times, there is no obvious bias in forecasting employment once you take account of any error in forecasting GDP (the regression line goes close to the origin). But there is a clear bias after the crisis: employment has been consistently stronger than expected, given GDP. Put another way, something unusual has happened</w:t>
      </w:r>
      <w:r>
        <w:rPr>
          <w:spacing w:val="-4"/>
        </w:rPr>
        <w:t> </w:t>
      </w:r>
      <w:r>
        <w:rPr/>
        <w:t>to</w:t>
      </w:r>
    </w:p>
    <w:p>
      <w:pPr>
        <w:spacing w:after="0" w:line="360" w:lineRule="auto"/>
        <w:sectPr>
          <w:type w:val="continuous"/>
          <w:pgSz w:w="11910" w:h="16840"/>
          <w:pgMar w:top="1180" w:bottom="1520" w:left="900" w:right="320"/>
          <w:cols w:num="2" w:equalWidth="0">
            <w:col w:w="5114" w:space="54"/>
            <w:col w:w="5522"/>
          </w:cols>
        </w:sectPr>
      </w:pPr>
    </w:p>
    <w:p>
      <w:pPr>
        <w:pStyle w:val="BodyText"/>
        <w:ind w:left="233"/>
      </w:pPr>
      <w:r>
        <w:rPr/>
        <w:t>productivity. And it would in my view be brave, not to say heroic, wholly to ignore the fact.</w:t>
      </w:r>
    </w:p>
    <w:p>
      <w:pPr>
        <w:spacing w:after="0"/>
        <w:sectPr>
          <w:type w:val="continuous"/>
          <w:pgSz w:w="11910" w:h="16840"/>
          <w:pgMar w:top="1180" w:bottom="1520" w:left="900" w:right="320"/>
        </w:sectPr>
      </w:pPr>
    </w:p>
    <w:p>
      <w:pPr>
        <w:pStyle w:val="Heading1"/>
        <w:spacing w:before="76"/>
      </w:pPr>
      <w:r>
        <w:rPr/>
        <w:t>Supply uncertainty and conditional guidance</w:t>
      </w:r>
    </w:p>
    <w:p>
      <w:pPr>
        <w:pStyle w:val="BodyText"/>
        <w:rPr>
          <w:b/>
          <w:sz w:val="22"/>
        </w:rPr>
      </w:pPr>
    </w:p>
    <w:p>
      <w:pPr>
        <w:pStyle w:val="BodyText"/>
        <w:spacing w:before="2"/>
        <w:rPr>
          <w:b/>
          <w:sz w:val="18"/>
        </w:rPr>
      </w:pPr>
    </w:p>
    <w:p>
      <w:pPr>
        <w:pStyle w:val="BodyText"/>
        <w:spacing w:line="360" w:lineRule="auto"/>
        <w:ind w:left="233" w:right="898"/>
      </w:pPr>
      <w:r>
        <w:rPr/>
        <w:t>Now you may or may not buy any of this. And perhaps the best way to approach the question of how policy should behave when there is uncertainty about potential output is to start with the case where there is none.</w:t>
      </w:r>
    </w:p>
    <w:p>
      <w:pPr>
        <w:pStyle w:val="BodyText"/>
        <w:spacing w:before="11"/>
        <w:rPr>
          <w:sz w:val="29"/>
        </w:rPr>
      </w:pPr>
    </w:p>
    <w:p>
      <w:pPr>
        <w:pStyle w:val="BodyText"/>
        <w:spacing w:line="360" w:lineRule="auto"/>
        <w:ind w:left="233" w:right="970"/>
      </w:pPr>
      <w:r>
        <w:rPr/>
        <w:t>We will do so imagining an economy in which inflation is determined by the underlying pressure on resources, in particular employment, and where this in turn depends, albeit with something of a delay, on aggregate demand relative to underlying productivity (the “output gap”). The faster demand grows, relative to productivity, the greater the demand for employment from firms and the greater the upward pressure on wages and inflation. If the “output gap” declines, whether because demand is weak or supply is strong, employment and inflation are more likely to fall.</w:t>
      </w:r>
    </w:p>
    <w:p>
      <w:pPr>
        <w:pStyle w:val="BodyText"/>
        <w:rPr>
          <w:sz w:val="30"/>
        </w:rPr>
      </w:pPr>
    </w:p>
    <w:p>
      <w:pPr>
        <w:pStyle w:val="BodyText"/>
        <w:spacing w:line="360" w:lineRule="auto"/>
        <w:ind w:left="233" w:right="898"/>
      </w:pPr>
      <w:r>
        <w:rPr/>
        <w:t>When there is no uncertainty about supply growth – when the only thing giving rise to unpredicted changes in output are shocks to “aggregate demand” – setting monetary policy is reasonably straightforward. If output growth strengthens you immediately tighten policy: you know, without having to wait for confirmation from the labour market, that stronger growth will lead to more pressure on resources and inflation. So you’re better off responding straightaway. Conversely, and because it necessarily means employment and then inflation will subsequently fall, weaker output growth leads you immediately to loosen</w:t>
      </w:r>
      <w:r>
        <w:rPr>
          <w:spacing w:val="-11"/>
        </w:rPr>
        <w:t> </w:t>
      </w:r>
      <w:r>
        <w:rPr/>
        <w:t>policy</w:t>
      </w:r>
      <w:r>
        <w:rPr>
          <w:vertAlign w:val="superscript"/>
        </w:rPr>
        <w:t>15</w:t>
      </w:r>
      <w:r>
        <w:rPr>
          <w:vertAlign w:val="baseline"/>
        </w:rPr>
        <w:t>.</w:t>
      </w:r>
    </w:p>
    <w:p>
      <w:pPr>
        <w:pStyle w:val="BodyText"/>
        <w:spacing w:before="2"/>
        <w:rPr>
          <w:sz w:val="30"/>
        </w:rPr>
      </w:pPr>
    </w:p>
    <w:p>
      <w:pPr>
        <w:pStyle w:val="BodyText"/>
        <w:spacing w:line="360" w:lineRule="auto"/>
        <w:ind w:left="233" w:right="862"/>
      </w:pPr>
      <w:r>
        <w:rPr/>
        <w:t>Perhaps this abstract world sounds too good to be true.  But I think it’s not a bad description of those halcyon, pre-crisis days known as the “Great Stability”. After years of steady growth and inflation, it was probably reasonable to conclude that the economy’s productive potential was chugging along, at a steady rate of 2½% or so, in the background. Certainly that’s what most people assumed. And consistent with that assumption, UK monetary policy responded sensitively, immediately and (more or less) uniquely to actual growth in output. You can see this in Chart 9.  The red line is the same composite CIPS index plotted in Chart 1.  It’s a timely and (as a 3-month moving average) a relatively smooth indicator of private-sector output growth.  Rather than using actual changes in interest rates, which is a more jumpy series, the blue line plots the average vote on official interest rates on the MPC. The two are closely correlated.  The</w:t>
      </w:r>
      <w:r>
        <w:rPr>
          <w:spacing w:val="-33"/>
        </w:rPr>
        <w:t> </w:t>
      </w:r>
      <w:r>
        <w:rPr/>
        <w:t>reason, I believe, is that every acceleration in output was thought to represent a rise in output gap, signalling higher inflation risks, every drop in growth the</w:t>
      </w:r>
      <w:r>
        <w:rPr>
          <w:spacing w:val="-5"/>
        </w:rPr>
        <w:t> </w:t>
      </w:r>
      <w:r>
        <w:rPr/>
        <w:t>opposite.</w:t>
      </w:r>
    </w:p>
    <w:p>
      <w:pPr>
        <w:pStyle w:val="BodyText"/>
        <w:spacing w:before="10"/>
        <w:rPr>
          <w:sz w:val="29"/>
        </w:rPr>
      </w:pPr>
    </w:p>
    <w:p>
      <w:pPr>
        <w:pStyle w:val="BodyText"/>
        <w:spacing w:line="360" w:lineRule="auto"/>
        <w:ind w:left="233" w:right="854"/>
      </w:pPr>
      <w:r>
        <w:rPr/>
        <w:t>Unfortunately, however, you can’t make that deduction when supply, not just demand, is unpredictable. Suppose the policy maker sees strong growth. This </w:t>
      </w:r>
      <w:r>
        <w:rPr>
          <w:u w:val="single"/>
        </w:rPr>
        <w:t>may</w:t>
      </w:r>
      <w:r>
        <w:rPr/>
        <w:t> turn out to require extra resources, including higher employment, in which case it is likely to add to inflationary pressure. But it may not: it’s also possible the upturn is being accompanied by faster productivity growth, in which case it would be wrong to tighten policy. What, under these circumstances, should one do? The answer is to respond less sensitively to output and</w:t>
      </w:r>
    </w:p>
    <w:p>
      <w:pPr>
        <w:pStyle w:val="BodyText"/>
        <w:spacing w:before="5"/>
        <w:rPr>
          <w:sz w:val="23"/>
        </w:rPr>
      </w:pPr>
      <w:r>
        <w:rPr/>
        <w:pict>
          <v:shape style="position:absolute;margin-left:56.664001pt;margin-top:15.692647pt;width:144.050pt;height:.1pt;mso-position-horizontal-relative:page;mso-position-vertical-relative:paragraph;z-index:-251609088;mso-wrap-distance-left:0;mso-wrap-distance-right:0" coordorigin="1133,314" coordsize="2881,0" path="m1133,314l4014,314e" filled="false" stroked="true" strokeweight=".47998pt" strokecolor="#000000">
            <v:path arrowok="t"/>
            <v:stroke dashstyle="solid"/>
            <w10:wrap type="topAndBottom"/>
          </v:shape>
        </w:pict>
      </w:r>
    </w:p>
    <w:p>
      <w:pPr>
        <w:spacing w:before="27"/>
        <w:ind w:left="233" w:right="875" w:firstLine="0"/>
        <w:jc w:val="both"/>
        <w:rPr>
          <w:sz w:val="16"/>
        </w:rPr>
      </w:pPr>
      <w:r>
        <w:rPr>
          <w:position w:val="8"/>
          <w:sz w:val="10"/>
        </w:rPr>
        <w:t>15 </w:t>
      </w:r>
      <w:r>
        <w:rPr>
          <w:sz w:val="16"/>
        </w:rPr>
        <w:t>Note that you behave this way whether you were trying simply to stabilise output itself or, ultimately (and via the output gap), inflation. So it doesn’t even matter much what weight you put on these two objectives. Everyone, hawk or dove, has an incentive to lean against pure demand shocks.</w:t>
      </w:r>
    </w:p>
    <w:p>
      <w:pPr>
        <w:spacing w:after="0"/>
        <w:jc w:val="both"/>
        <w:rPr>
          <w:sz w:val="16"/>
        </w:rPr>
        <w:sectPr>
          <w:pgSz w:w="11910" w:h="16840"/>
          <w:pgMar w:header="0" w:footer="1338" w:top="1520" w:bottom="1520" w:left="900" w:right="320"/>
        </w:sectPr>
      </w:pPr>
    </w:p>
    <w:p>
      <w:pPr>
        <w:pStyle w:val="BodyText"/>
        <w:spacing w:line="360" w:lineRule="auto" w:before="79"/>
        <w:ind w:left="233" w:right="931"/>
      </w:pPr>
      <w:r>
        <w:rPr/>
        <w:t>more to developments in the labour market, even if you have to wait for a while to see them. Changes in unemployment are now a more reliable measure of what’s happening to the degree of slack in the economy than economic growth alone. And what the policy maker loses in response time he or she makes up in a greater degree of clarity about the degree of spare capacity. The optimal policy – the relative weight one puts on unemployment relative to output growth – trades off one against the other.</w:t>
      </w:r>
    </w:p>
    <w:p>
      <w:pPr>
        <w:pStyle w:val="BodyText"/>
        <w:spacing w:before="7"/>
        <w:rPr>
          <w:sz w:val="21"/>
        </w:rPr>
      </w:pPr>
    </w:p>
    <w:p>
      <w:pPr>
        <w:spacing w:after="0"/>
        <w:rPr>
          <w:sz w:val="21"/>
        </w:rPr>
        <w:sectPr>
          <w:footerReference w:type="default" r:id="rId15"/>
          <w:pgSz w:w="11910" w:h="16840"/>
          <w:pgMar w:footer="1338" w:header="0" w:top="1520" w:bottom="1520" w:left="900" w:right="320"/>
          <w:pgNumType w:start="10"/>
        </w:sectPr>
      </w:pPr>
    </w:p>
    <w:p>
      <w:pPr>
        <w:pStyle w:val="Heading1"/>
        <w:spacing w:line="360" w:lineRule="auto"/>
        <w:ind w:right="-8"/>
      </w:pPr>
      <w:r>
        <w:rPr/>
        <w:pict>
          <v:group style="position:absolute;margin-left:78.301231pt;margin-top:58.76757pt;width:208.9pt;height:172pt;mso-position-horizontal-relative:page;mso-position-vertical-relative:paragraph;z-index:-252637184" coordorigin="1566,1175" coordsize="4178,3440">
            <v:shape style="position:absolute;left:472;top:9145;width:4801;height:3660" coordorigin="473,9145" coordsize="4801,3660" path="m1617,2185l5599,2185m1617,2185l1617,2236m2128,2185l2128,2236m2625,2185l2625,2236m3136,2185l3136,2236m3646,2185l3646,2236m4144,2185l4144,2236m4655,2185l4655,2236m5152,2185l5152,2236m5599,4583l5599,1471m5599,4583l5650,4583m5599,4098l5650,4098m5599,3626l5650,3626m5599,3142l5650,3142m5599,2657l5650,2657m5599,2185l5650,2185m5599,1700l5650,1700m1617,4583l1617,1471m1566,4583l1617,4583m1566,3983l1617,3983m1566,3384l1617,3384m1566,2784l1617,2784m1566,2185l1617,2185m1566,1586l1617,1586e" filled="false" stroked="true" strokeweight=".637895pt" strokecolor="#858585">
              <v:path arrowok="t"/>
              <v:stroke dashstyle="solid"/>
            </v:shape>
            <v:shape style="position:absolute;left:1617;top:1789;width:3970;height:2258" coordorigin="1617,1790" coordsize="3970,2258" path="m1617,1885l1630,1879,1655,1892,1668,1841,1694,1790,1719,1828,1732,1943,1757,2058,1783,2172,1796,2300,1821,2427,1847,2580,1860,2823,1885,3001,1898,3065,1923,2950,1949,2733,1962,2453,1987,2198,2013,2070,2025,1994,2051,1968,2077,1956,2089,1994,2115,1943,2140,1917,2153,1930,2179,1994,2204,2007,2217,1943,2242,1905,2268,1943,2281,1968,2306,1994,2319,2032,2345,2109,2370,2147,2383,2096,2408,2032,2434,2032,2447,2045,2472,2223,2498,2376,2510,2491,2536,2517,2562,2529,2574,2657,2600,2823,2625,2950,2638,2925,2664,2772,2689,2644,2702,2466,2727,2338,2740,2160,2766,2160,2791,2198,2804,2313,2830,2325,2855,2287,2868,2249,2893,2300,2919,2402,2932,2542,2957,2670,2983,2708,2995,2682,3021,2542,3046,2364,3059,2198,3085,2045,3110,1968,3123,1879,3149,1866,3161,1841,3187,1828,3212,1828,3225,1815,3251,1828,3276,1866,3289,1956,3314,2045,3340,2121,3353,2134,3378,2096,3404,2109,3417,2147,3442,2223,3468,2223,3481,2249,3506,2274,3532,2287,3544,2274,3570,2249,3583,2262,3608,2287,3634,2274,3646,2211,3672,2185,3697,2121,3710,2134,3736,2007,3761,1956,3774,1917,3800,1981,3825,2045,3838,2070,3863,2007,3889,1905,3902,1815,3927,1802,3953,1853,3965,1905,3991,1943,4004,1943,4029,1943,4055,1968,4068,1917,4093,1917,4119,2032,4131,2198,4157,2402,4182,2478,4195,2517,4221,2542,4246,2580,4259,2682,4285,2874,4310,3078,4323,3205,4348,3269,4374,3422,4387,3741,4412,3983,4425,4047,4450,3983,4476,3830,4489,3550,4514,3193,4540,2925,4553,2746,4578,2657,4604,2517,4616,2376,4642,2249,4667,2172,4680,2262,4706,2185,4731,2185,4744,2058,4770,2083,4795,2096,4808,2198,4833,2313,4846,2376,4872,2364,4897,2300,4910,2389,4935,2325,4961,2325,4974,2121,4999,2172,5025,2185,5038,2325,5063,2325,5089,2478,5101,2517,5127,2644,5152,2631,5165,2568,5191,2427,5216,2325,5229,2262,5255,2313,5267,2338,5293,2478,5318,2593,5331,2631,5357,2631,5382,2619,5395,2644,5420,2682,5446,2657,5459,2657,5484,2606,5510,2580,5523,2478,5548,2325,5574,2058,5586,1815e" filled="false" stroked="true" strokeweight="1.913319pt" strokecolor="#97b853">
              <v:path arrowok="t"/>
              <v:stroke dashstyle="solid"/>
            </v:shape>
            <v:shape style="position:absolute;left:532;top:9430;width:4666;height:3390" coordorigin="532,9430" coordsize="4666,3390" path="m1617,1943l1630,1905,1655,2007,1668,1905,1694,1905,1719,2007,1732,1956,1757,2032,1783,2032,1796,2223,1821,2427,1847,2848,1860,3231,1885,3231,1898,3231,1923,2835,1949,2861,1962,2529,1987,2670,2013,2453,2025,2364,2051,2032,2077,2032,2089,1853,2115,1943,2140,1713,2153,1713,2179,1790,2204,1943,2217,2121,2242,2045,2268,2121,2281,2032,2306,2007,2319,2007,2345,2096,2370,2223,2383,2313,2408,2517,2434,2517,2447,2695,2472,2721,2498,2695,2510,2453,2536,2364,2562,2364,2574,2555,2600,2810,2625,2823,2638,2606,2664,2274,2689,2223,2702,2223,2727,2185,2740,2160,2766,2134,2791,2134,2804,2160,2830,2249,2855,2300,2868,2338,2893,2313,2919,2427,2932,2402,2957,2402,2983,2338,2995,2389,3021,2517,3046,2427,3059,2364,3085,2096,3110,1917,3123,1892,3149,1956,3161,1943,3187,1956,3212,1956,3225,1956,3251,1764,3276,1790,3289,1790,3314,1981,3340,1981,3353,2185,3378,2185,3404,2185,3417,2160,3442,2121,3468,2070,3481,2070,3506,2160,3532,2300,3544,2427,3570,2389,3583,2300,3608,2185,3634,2211,3646,2223,3672,2249,3697,2249,3710,2249,3736,2236,3761,2185,3774,2160,3800,1981,3825,2007,3838,1968,3863,1981,3889,1981,3902,1917,3927,2032,3953,2045,3965,2121,3991,1956,4004,1853,4029,1764,4055,1956,4068,2045,4093,2211,4119,2249,4131,2453,4157,2453,4182,2606,4195,2453,4221,2606,4246,2427,4259,2402,4285,2223,4310,2211,4323,2223,4348,2631,4374,3830,4387,4583,4395,4595m4413,4595l4425,3868,4450,3473,4476,3027,4489,2580,4514,2185,4540,2185,4553,2185,4578,2185,4604,2185,4616,2185,4642,2185,4667,2185,4680,2185,4706,2185,4731,2185,4744,2185,4770,2160,4795,2134,4808,2109,4833,2109,4846,2121,4872,2121,4897,2121,4910,2096,4935,2032,4961,1956,4974,1917,4999,1917,5025,1956,5038,2007,5063,2096,5089,2134,5101,2185,5127,2185,5152,2185,5165,2185,5191,2185,5216,2185,5229,2185,5255,2185,5267,2185,5293,2185,5318,2185,5331,2185,5357,2185,5382,2185,5395,2185,5420,2185,5446,2185,5459,2185,5484,2185,5510,2185,5523,2185,5548,2185,5574,2185,5586,2185e" filled="false" stroked="true" strokeweight="1.913686pt" strokecolor="#497dba">
              <v:path arrowok="t"/>
              <v:stroke dashstyle="solid"/>
            </v:shape>
            <v:shape style="position:absolute;left:532;top:9430;width:4666;height:3390" coordorigin="532,9430" coordsize="4666,3390" path="m1617,1943l1630,1905,1655,2007,1668,1905,1694,1905,1719,2007,1732,1956,1757,2032,1783,2032,1796,2223,1821,2427,1847,2848,1860,3231,1885,3231,1898,3231,1923,2835,1949,2861,1962,2529,1987,2670,2013,2453,2025,2364,2051,2032,2077,2032,2089,1853,2115,1943,2140,1713,2153,1713,2179,1790,2204,1943,2217,2121,2242,2045,2268,2121,2281,2032,2306,2007,2319,2007,2345,2096,2370,2223,2383,2313,2408,2517,2434,2517,2447,2695,2472,2721,2498,2695,2510,2453,2536,2364,2562,2364,2574,2555,2600,2810,2625,2823,2638,2606,2664,2274,2689,2223,2702,2223,2727,2185,2740,2160,2766,2134,2791,2134,2804,2160,2830,2249,2855,2300,2868,2338,2893,2313,2919,2427,2932,2402,2957,2402,2983,2338,2995,2389,3021,2517,3046,2427,3059,2364,3085,2096,3110,1917,3123,1892,3149,1956,3161,1943,3187,1956,3212,1956,3225,1956,3251,1764,3276,1790,3289,1790,3314,1981,3340,1981,3353,2185,3378,2185,3404,2185,3417,2160,3442,2121,3468,2070,3481,2070,3506,2160,3532,2300,3544,2427,3570,2389,3583,2300,3608,2185,3634,2211,3646,2223,3672,2249,3697,2249,3710,2249,3736,2236,3761,2185,3774,2160,3800,1981,3825,2007,3838,1968,3863,1981,3889,1981,3902,1917,3927,2032,3953,2045,3965,2121,3991,1956,4004,1853,4029,1764,4055,1956,4068,2045,4093,2211,4119,2249,4131,2453,4157,2453,4182,2606,4195,2453,4221,2606,4246,2427,4259,2402,4285,2223,4310,2211,4323,2223,4348,2631,4374,3830,4387,4583,4395,4595m4413,4595l4425,3868,4450,4072,4476,3626,4489,3575,4514,2580,4540,2580,4553,2644,4578,2644,4604,2644,4616,2376,4642,2376,4667,2376,4680,2185,4706,2185,4731,2185,4744,2185,4770,2160,4795,2134,4808,2109,4833,2109,4846,2160,4872,2211,4897,2249,4910,2223,4935,2160,4961,2096,4974,2045,4999,2045,5025,2096,5038,2134,5063,2223,5089,2274,5101,2874,5127,2823,5152,2784,5165,2185,5191,2631,5216,2670,5229,2695,5255,2274,5267,2389,5293,2670,5318,2644,5331,2491,5357,2185,5382,2211,5395,2223,5420,2249,5446,2300,5459,2338,5484,2389,5510,2389,5523,2389,5548,2313,5574,2249,5586,2185e" filled="false" stroked="true" strokeweight="1.913686pt" strokecolor="#bd4a47">
              <v:path arrowok="t"/>
              <v:stroke dashstyle="solid"/>
            </v:shape>
            <v:shape style="position:absolute;left:2063;top:1175;width:3093;height:536" type="#_x0000_t202" filled="false" stroked="false">
              <v:textbox inset="0,0,0,0">
                <w:txbxContent>
                  <w:p>
                    <w:pPr>
                      <w:tabs>
                        <w:tab w:pos="365" w:val="left" w:leader="none"/>
                      </w:tabs>
                      <w:spacing w:line="162" w:lineRule="exact" w:before="0"/>
                      <w:ind w:left="-1" w:right="18" w:firstLine="0"/>
                      <w:jc w:val="center"/>
                      <w:rPr>
                        <w:rFonts w:ascii="Calibri"/>
                        <w:sz w:val="16"/>
                      </w:rPr>
                    </w:pPr>
                    <w:r>
                      <w:rPr>
                        <w:rFonts w:ascii="Calibri"/>
                        <w:w w:val="103"/>
                        <w:sz w:val="16"/>
                        <w:u w:val="thick" w:color="497DBA"/>
                      </w:rPr>
                      <w:t> </w:t>
                    </w:r>
                    <w:r>
                      <w:rPr>
                        <w:rFonts w:ascii="Calibri"/>
                        <w:sz w:val="16"/>
                        <w:u w:val="thick" w:color="497DBA"/>
                      </w:rPr>
                      <w:tab/>
                    </w:r>
                    <w:r>
                      <w:rPr>
                        <w:rFonts w:ascii="Calibri"/>
                        <w:w w:val="105"/>
                        <w:sz w:val="16"/>
                      </w:rPr>
                      <w:t>Combined CIPS &amp; CBI Dist. Trades</w:t>
                    </w:r>
                    <w:r>
                      <w:rPr>
                        <w:rFonts w:ascii="Calibri"/>
                        <w:spacing w:val="6"/>
                        <w:w w:val="105"/>
                        <w:sz w:val="16"/>
                      </w:rPr>
                      <w:t> </w:t>
                    </w:r>
                    <w:r>
                      <w:rPr>
                        <w:rFonts w:ascii="Calibri"/>
                        <w:w w:val="105"/>
                        <w:sz w:val="16"/>
                      </w:rPr>
                      <w:t>(LHS)</w:t>
                    </w:r>
                  </w:p>
                  <w:p>
                    <w:pPr>
                      <w:spacing w:line="185" w:lineRule="exact" w:before="0"/>
                      <w:ind w:left="87" w:right="18" w:firstLine="0"/>
                      <w:jc w:val="center"/>
                      <w:rPr>
                        <w:rFonts w:ascii="Calibri"/>
                        <w:sz w:val="16"/>
                      </w:rPr>
                    </w:pPr>
                    <w:r>
                      <w:rPr>
                        <w:rFonts w:ascii="Calibri"/>
                        <w:w w:val="105"/>
                        <w:sz w:val="16"/>
                      </w:rPr>
                      <w:t>Average MPC vote (Bank Rate only)</w:t>
                    </w:r>
                  </w:p>
                  <w:p>
                    <w:pPr>
                      <w:tabs>
                        <w:tab w:pos="365" w:val="left" w:leader="none"/>
                      </w:tabs>
                      <w:spacing w:line="188" w:lineRule="exact" w:before="0"/>
                      <w:ind w:left="0" w:right="0" w:firstLine="0"/>
                      <w:jc w:val="left"/>
                      <w:rPr>
                        <w:rFonts w:ascii="Calibri"/>
                        <w:sz w:val="16"/>
                      </w:rPr>
                    </w:pPr>
                    <w:r>
                      <w:rPr>
                        <w:rFonts w:ascii="Calibri"/>
                        <w:w w:val="104"/>
                        <w:position w:val="3"/>
                        <w:sz w:val="16"/>
                        <w:u w:val="thick" w:color="BD4A47"/>
                      </w:rPr>
                      <w:t> </w:t>
                    </w:r>
                    <w:r>
                      <w:rPr>
                        <w:rFonts w:ascii="Calibri"/>
                        <w:position w:val="3"/>
                        <w:sz w:val="16"/>
                        <w:u w:val="thick" w:color="BD4A47"/>
                      </w:rPr>
                      <w:tab/>
                    </w:r>
                    <w:r>
                      <w:rPr>
                        <w:rFonts w:ascii="Calibri"/>
                        <w:w w:val="105"/>
                        <w:sz w:val="16"/>
                      </w:rPr>
                      <w:t>Average MPC vote (including</w:t>
                    </w:r>
                    <w:r>
                      <w:rPr>
                        <w:rFonts w:ascii="Calibri"/>
                        <w:spacing w:val="-3"/>
                        <w:w w:val="105"/>
                        <w:sz w:val="16"/>
                      </w:rPr>
                      <w:t> </w:t>
                    </w:r>
                    <w:r>
                      <w:rPr>
                        <w:rFonts w:ascii="Calibri"/>
                        <w:w w:val="105"/>
                        <w:sz w:val="16"/>
                      </w:rPr>
                      <w:t>QE)</w:t>
                    </w:r>
                  </w:p>
                </w:txbxContent>
              </v:textbox>
              <w10:wrap type="none"/>
            </v:shape>
            <v:shape style="position:absolute;left:5478;top:1207;width:266;height:167" type="#_x0000_t202" filled="false" stroked="false">
              <v:textbox inset="0,0,0,0">
                <w:txbxContent>
                  <w:p>
                    <w:pPr>
                      <w:spacing w:line="167" w:lineRule="exact" w:before="0"/>
                      <w:ind w:left="0" w:right="0" w:firstLine="0"/>
                      <w:jc w:val="left"/>
                      <w:rPr>
                        <w:rFonts w:ascii="Calibri"/>
                        <w:b/>
                        <w:sz w:val="16"/>
                      </w:rPr>
                    </w:pPr>
                    <w:r>
                      <w:rPr>
                        <w:rFonts w:ascii="Calibri"/>
                        <w:b/>
                        <w:w w:val="105"/>
                        <w:sz w:val="16"/>
                      </w:rPr>
                      <w:t>bps</w:t>
                    </w:r>
                  </w:p>
                </w:txbxContent>
              </v:textbox>
              <w10:wrap type="none"/>
            </v:shape>
            <w10:wrap type="none"/>
          </v:group>
        </w:pict>
      </w:r>
      <w:r>
        <w:rPr/>
        <w:t>Chart 9: Average MPC votes against composite</w:t>
      </w:r>
      <w:r>
        <w:rPr>
          <w:spacing w:val="-16"/>
        </w:rPr>
        <w:t> </w:t>
      </w:r>
      <w:r>
        <w:rPr/>
        <w:t>PMI indicator</w:t>
      </w:r>
      <w:r>
        <w:rPr>
          <w:vertAlign w:val="superscript"/>
        </w:rPr>
        <w:t>(a)</w:t>
      </w:r>
    </w:p>
    <w:p>
      <w:pPr>
        <w:pStyle w:val="BodyText"/>
        <w:rPr>
          <w:b/>
        </w:rPr>
      </w:pPr>
    </w:p>
    <w:p>
      <w:pPr>
        <w:pStyle w:val="BodyText"/>
        <w:spacing w:before="8"/>
        <w:rPr>
          <w:b/>
          <w:sz w:val="14"/>
        </w:rPr>
      </w:pPr>
      <w:r>
        <w:rPr/>
        <w:pict>
          <v:shape style="position:absolute;margin-left:103.188469pt;margin-top:11.434786pt;width:16.6pt;height:.1pt;mso-position-horizontal-relative:page;mso-position-vertical-relative:paragraph;z-index:-251608064;mso-wrap-distance-left:0;mso-wrap-distance-right:0" coordorigin="2064,229" coordsize="332,0" path="m2064,229l2396,229e" filled="false" stroked="true" strokeweight="1.912968pt" strokecolor="#97b853">
            <v:path arrowok="t"/>
            <v:stroke dashstyle="solid"/>
            <w10:wrap type="topAndBottom"/>
          </v:shape>
        </w:pict>
      </w:r>
    </w:p>
    <w:p>
      <w:pPr>
        <w:spacing w:line="148" w:lineRule="exact" w:before="196"/>
        <w:ind w:left="387" w:right="0" w:firstLine="0"/>
        <w:jc w:val="left"/>
        <w:rPr>
          <w:rFonts w:ascii="Calibri"/>
          <w:sz w:val="16"/>
        </w:rPr>
      </w:pPr>
      <w:r>
        <w:rPr>
          <w:rFonts w:ascii="Calibri"/>
          <w:w w:val="105"/>
          <w:sz w:val="16"/>
        </w:rPr>
        <w:t>60</w:t>
      </w:r>
    </w:p>
    <w:p>
      <w:pPr>
        <w:pStyle w:val="Heading1"/>
        <w:spacing w:line="360" w:lineRule="auto"/>
        <w:ind w:right="338"/>
      </w:pPr>
      <w:r>
        <w:rPr>
          <w:b w:val="0"/>
        </w:rPr>
        <w:br w:type="column"/>
      </w:r>
      <w:r>
        <w:rPr/>
        <w:t>Chart 10: Greater uncertainty about supply means unemployment a more valuable indicator for policy, output growth less so</w:t>
      </w:r>
    </w:p>
    <w:p>
      <w:pPr>
        <w:spacing w:before="18"/>
        <w:ind w:left="287" w:right="0" w:firstLine="0"/>
        <w:jc w:val="left"/>
        <w:rPr>
          <w:rFonts w:ascii="Calibri"/>
          <w:sz w:val="16"/>
        </w:rPr>
      </w:pPr>
      <w:r>
        <w:rPr/>
        <w:pict>
          <v:group style="position:absolute;margin-left:335.127014pt;margin-top:5.582636pt;width:215.5pt;height:157.450pt;mso-position-horizontal-relative:page;mso-position-vertical-relative:paragraph;z-index:251715584" coordorigin="6703,112" coordsize="4310,3149">
            <v:shape style="position:absolute;left:412;top:7671;width:5191;height:3780" coordorigin="413,7672" coordsize="5191,3780" path="m6752,3210l6752,123m6703,3210l6752,3210m6703,2177l6752,2177m6703,1144l6752,1144m6703,123l6752,123m6752,3210l11012,3210m6752,3210l6752,3260m7574,3210l7574,3260m8396,3210l8396,3260m9219,3210l9219,3260m10028,3210l10028,3260m10850,3210l10850,3260e" filled="false" stroked="true" strokeweight=".622593pt" strokecolor="#858585">
              <v:path arrowok="t"/>
              <v:stroke dashstyle="solid"/>
            </v:shape>
            <v:shape style="position:absolute;left:6839;top:2114;width:4099;height:1083" coordorigin="6840,2115" coordsize="4099,1083" path="m6840,3198l7001,2986,7163,2812,7325,2662,7500,2550,7662,2463,7824,2401,7986,2339,8147,2301,8309,2264,8484,2239,8646,2227,8808,2202,8970,2189,9132,2177,9293,2164,9455,2164,9630,2152,9792,2152,9954,2140,10116,2140,10277,2127,10439,2127,10614,2127,10776,2127,10938,2115e" filled="false" stroked="true" strokeweight="1.867237pt" strokecolor="#4f81bc">
              <v:path arrowok="t"/>
              <v:stroke dashstyle="solid"/>
            </v:shape>
            <v:shape style="position:absolute;left:6839;top:459;width:4099;height:2191" coordorigin="6840,459" coordsize="4099,2191" path="m6840,459l7001,696,7163,957,7325,1206,7500,1430,7662,1642,7824,1803,7986,1953,8147,2065,8309,2164,8484,2252,8646,2314,8808,2364,8970,2413,9132,2451,9293,2488,9455,2513,9630,2538,9792,2563,9954,2575,10116,2600,10277,2613,10439,2625,10614,2625,10776,2637,10938,2650e" filled="false" stroked="true" strokeweight="1.867433pt" strokecolor="#c00000">
              <v:path arrowok="t"/>
              <v:stroke dashstyle="solid"/>
            </v:shape>
            <v:line style="position:absolute" from="8907,721" to="9219,721" stroked="true" strokeweight="1.867156pt" strokecolor="#4f81bc">
              <v:stroke dashstyle="solid"/>
            </v:line>
            <v:line style="position:absolute" from="8907,1019" to="9219,1019" stroked="true" strokeweight="1.867156pt" strokecolor="#c00000">
              <v:stroke dashstyle="solid"/>
            </v:line>
            <v:shape style="position:absolute;left:6880;top:111;width:2119;height:413" type="#_x0000_t202" filled="false" stroked="false">
              <v:textbox inset="0,0,0,0">
                <w:txbxContent>
                  <w:p>
                    <w:pPr>
                      <w:spacing w:line="189" w:lineRule="exact" w:before="0"/>
                      <w:ind w:left="0" w:right="0" w:firstLine="0"/>
                      <w:jc w:val="left"/>
                      <w:rPr>
                        <w:rFonts w:ascii="Calibri"/>
                        <w:sz w:val="18"/>
                      </w:rPr>
                    </w:pPr>
                    <w:r>
                      <w:rPr>
                        <w:rFonts w:ascii="Calibri"/>
                        <w:w w:val="105"/>
                        <w:sz w:val="18"/>
                      </w:rPr>
                      <w:t>Weights</w:t>
                    </w:r>
                    <w:r>
                      <w:rPr>
                        <w:rFonts w:ascii="Calibri"/>
                        <w:spacing w:val="-25"/>
                        <w:w w:val="105"/>
                        <w:sz w:val="18"/>
                      </w:rPr>
                      <w:t> </w:t>
                    </w:r>
                    <w:r>
                      <w:rPr>
                        <w:rFonts w:ascii="Calibri"/>
                        <w:spacing w:val="-3"/>
                        <w:w w:val="105"/>
                        <w:sz w:val="18"/>
                      </w:rPr>
                      <w:t>in</w:t>
                    </w:r>
                    <w:r>
                      <w:rPr>
                        <w:rFonts w:ascii="Calibri"/>
                        <w:spacing w:val="-16"/>
                        <w:w w:val="105"/>
                        <w:sz w:val="18"/>
                      </w:rPr>
                      <w:t> </w:t>
                    </w:r>
                    <w:r>
                      <w:rPr>
                        <w:rFonts w:ascii="Calibri"/>
                        <w:w w:val="105"/>
                        <w:sz w:val="18"/>
                      </w:rPr>
                      <w:t>optimal</w:t>
                    </w:r>
                    <w:r>
                      <w:rPr>
                        <w:rFonts w:ascii="Calibri"/>
                        <w:spacing w:val="-20"/>
                        <w:w w:val="105"/>
                        <w:sz w:val="18"/>
                      </w:rPr>
                      <w:t> </w:t>
                    </w:r>
                    <w:r>
                      <w:rPr>
                        <w:rFonts w:ascii="Calibri"/>
                        <w:w w:val="105"/>
                        <w:sz w:val="18"/>
                      </w:rPr>
                      <w:t>estimate</w:t>
                    </w:r>
                  </w:p>
                  <w:p>
                    <w:pPr>
                      <w:spacing w:line="218" w:lineRule="exact" w:before="5"/>
                      <w:ind w:left="0" w:right="0" w:firstLine="0"/>
                      <w:jc w:val="left"/>
                      <w:rPr>
                        <w:rFonts w:ascii="Calibri"/>
                        <w:sz w:val="18"/>
                      </w:rPr>
                    </w:pPr>
                    <w:r>
                      <w:rPr>
                        <w:rFonts w:ascii="Calibri"/>
                        <w:w w:val="105"/>
                        <w:sz w:val="18"/>
                      </w:rPr>
                      <w:t>of output gap</w:t>
                    </w:r>
                  </w:p>
                </w:txbxContent>
              </v:textbox>
              <w10:wrap type="none"/>
            </v:shape>
            <v:shape style="position:absolute;left:9265;top:650;width:1062;height:464" type="#_x0000_t202" filled="false" stroked="false">
              <v:textbox inset="0,0,0,0">
                <w:txbxContent>
                  <w:p>
                    <w:pPr>
                      <w:spacing w:line="165" w:lineRule="exact" w:before="0"/>
                      <w:ind w:left="0" w:right="0" w:firstLine="0"/>
                      <w:jc w:val="left"/>
                      <w:rPr>
                        <w:rFonts w:ascii="Calibri"/>
                        <w:sz w:val="16"/>
                      </w:rPr>
                    </w:pPr>
                    <w:r>
                      <w:rPr>
                        <w:rFonts w:ascii="Calibri"/>
                        <w:sz w:val="16"/>
                      </w:rPr>
                      <w:t>Unemployment</w:t>
                    </w:r>
                  </w:p>
                  <w:p>
                    <w:pPr>
                      <w:spacing w:line="193" w:lineRule="exact" w:before="105"/>
                      <w:ind w:left="0" w:right="0" w:firstLine="0"/>
                      <w:jc w:val="left"/>
                      <w:rPr>
                        <w:rFonts w:ascii="Calibri"/>
                        <w:sz w:val="16"/>
                      </w:rPr>
                    </w:pPr>
                    <w:r>
                      <w:rPr>
                        <w:rFonts w:ascii="Calibri"/>
                        <w:sz w:val="16"/>
                      </w:rPr>
                      <w:t>Output</w:t>
                    </w:r>
                  </w:p>
                </w:txbxContent>
              </v:textbox>
              <w10:wrap type="none"/>
            </v:shape>
            <w10:wrap type="none"/>
          </v:group>
        </w:pict>
      </w:r>
      <w:r>
        <w:rPr>
          <w:rFonts w:ascii="Calibri"/>
          <w:sz w:val="16"/>
        </w:rPr>
        <w:t>0.9</w:t>
      </w:r>
    </w:p>
    <w:p>
      <w:pPr>
        <w:spacing w:after="0"/>
        <w:jc w:val="left"/>
        <w:rPr>
          <w:rFonts w:ascii="Calibri"/>
          <w:sz w:val="16"/>
        </w:rPr>
        <w:sectPr>
          <w:type w:val="continuous"/>
          <w:pgSz w:w="11910" w:h="16840"/>
          <w:pgMar w:top="1180" w:bottom="1520" w:left="900" w:right="320"/>
          <w:cols w:num="2" w:equalWidth="0">
            <w:col w:w="5131" w:space="66"/>
            <w:col w:w="5493"/>
          </w:cols>
        </w:sectPr>
      </w:pPr>
    </w:p>
    <w:p>
      <w:pPr>
        <w:spacing w:line="168" w:lineRule="exact" w:before="0"/>
        <w:ind w:left="0" w:right="0" w:firstLine="0"/>
        <w:jc w:val="right"/>
        <w:rPr>
          <w:rFonts w:ascii="Calibri"/>
          <w:sz w:val="16"/>
        </w:rPr>
      </w:pPr>
      <w:r>
        <w:rPr>
          <w:rFonts w:ascii="Calibri"/>
          <w:sz w:val="16"/>
        </w:rPr>
        <w:t>20</w:t>
      </w:r>
    </w:p>
    <w:p>
      <w:pPr>
        <w:pStyle w:val="BodyText"/>
        <w:spacing w:before="4"/>
        <w:rPr>
          <w:rFonts w:ascii="Calibri"/>
          <w:sz w:val="23"/>
        </w:rPr>
      </w:pPr>
    </w:p>
    <w:p>
      <w:pPr>
        <w:tabs>
          <w:tab w:pos="4862" w:val="left" w:leader="none"/>
        </w:tabs>
        <w:spacing w:before="0"/>
        <w:ind w:left="387" w:right="0" w:firstLine="0"/>
        <w:jc w:val="left"/>
        <w:rPr>
          <w:rFonts w:ascii="Calibri"/>
          <w:sz w:val="16"/>
        </w:rPr>
      </w:pPr>
      <w:r>
        <w:rPr>
          <w:rFonts w:ascii="Calibri"/>
          <w:spacing w:val="2"/>
          <w:w w:val="105"/>
          <w:sz w:val="16"/>
        </w:rPr>
        <w:t>55</w:t>
        <w:tab/>
      </w:r>
      <w:r>
        <w:rPr>
          <w:rFonts w:ascii="Calibri"/>
          <w:w w:val="105"/>
          <w:sz w:val="16"/>
        </w:rPr>
        <w:t>0</w:t>
      </w:r>
    </w:p>
    <w:p>
      <w:pPr>
        <w:pStyle w:val="BodyText"/>
        <w:rPr>
          <w:rFonts w:ascii="Calibri"/>
          <w:sz w:val="16"/>
        </w:rPr>
      </w:pPr>
      <w:r>
        <w:rPr/>
        <w:br w:type="column"/>
      </w:r>
      <w:r>
        <w:rPr>
          <w:rFonts w:ascii="Calibri"/>
          <w:sz w:val="16"/>
        </w:rPr>
      </w:r>
    </w:p>
    <w:p>
      <w:pPr>
        <w:pStyle w:val="BodyText"/>
        <w:rPr>
          <w:rFonts w:ascii="Calibri"/>
          <w:sz w:val="16"/>
        </w:rPr>
      </w:pPr>
    </w:p>
    <w:p>
      <w:pPr>
        <w:pStyle w:val="BodyText"/>
        <w:spacing w:before="7"/>
        <w:rPr>
          <w:rFonts w:ascii="Calibri"/>
          <w:sz w:val="12"/>
        </w:rPr>
      </w:pPr>
    </w:p>
    <w:p>
      <w:pPr>
        <w:spacing w:before="0"/>
        <w:ind w:left="387" w:right="0" w:firstLine="0"/>
        <w:jc w:val="left"/>
        <w:rPr>
          <w:rFonts w:ascii="Calibri"/>
          <w:sz w:val="16"/>
        </w:rPr>
      </w:pPr>
      <w:r>
        <w:rPr>
          <w:rFonts w:ascii="Calibri"/>
          <w:sz w:val="16"/>
        </w:rPr>
        <w:t>0.6</w:t>
      </w:r>
    </w:p>
    <w:p>
      <w:pPr>
        <w:spacing w:after="0"/>
        <w:jc w:val="left"/>
        <w:rPr>
          <w:rFonts w:ascii="Calibri"/>
          <w:sz w:val="16"/>
        </w:rPr>
        <w:sectPr>
          <w:type w:val="continuous"/>
          <w:pgSz w:w="11910" w:h="16840"/>
          <w:pgMar w:top="1180" w:bottom="1520" w:left="900" w:right="320"/>
          <w:cols w:num="2" w:equalWidth="0">
            <w:col w:w="5048" w:space="48"/>
            <w:col w:w="5594"/>
          </w:cols>
        </w:sectPr>
      </w:pPr>
    </w:p>
    <w:p>
      <w:pPr>
        <w:pStyle w:val="BodyText"/>
        <w:spacing w:before="12"/>
        <w:rPr>
          <w:rFonts w:ascii="Calibri"/>
          <w:sz w:val="9"/>
        </w:rPr>
      </w:pPr>
    </w:p>
    <w:p>
      <w:pPr>
        <w:spacing w:line="158" w:lineRule="exact" w:before="72"/>
        <w:ind w:left="374" w:right="1091" w:firstLine="0"/>
        <w:jc w:val="center"/>
        <w:rPr>
          <w:rFonts w:ascii="Calibri"/>
          <w:sz w:val="16"/>
        </w:rPr>
      </w:pPr>
      <w:r>
        <w:rPr>
          <w:rFonts w:ascii="Calibri"/>
          <w:w w:val="105"/>
          <w:sz w:val="16"/>
        </w:rPr>
        <w:t>-20</w:t>
      </w:r>
    </w:p>
    <w:p>
      <w:pPr>
        <w:spacing w:line="158" w:lineRule="exact" w:before="0"/>
        <w:ind w:left="374" w:right="10104" w:firstLine="0"/>
        <w:jc w:val="center"/>
        <w:rPr>
          <w:rFonts w:ascii="Calibri"/>
          <w:sz w:val="16"/>
        </w:rPr>
      </w:pPr>
      <w:r>
        <w:rPr>
          <w:rFonts w:ascii="Calibri"/>
          <w:w w:val="105"/>
          <w:sz w:val="16"/>
        </w:rPr>
        <w:t>50</w:t>
      </w:r>
    </w:p>
    <w:p>
      <w:pPr>
        <w:spacing w:after="0" w:line="158" w:lineRule="exact"/>
        <w:jc w:val="center"/>
        <w:rPr>
          <w:rFonts w:ascii="Calibri"/>
          <w:sz w:val="16"/>
        </w:rPr>
        <w:sectPr>
          <w:type w:val="continuous"/>
          <w:pgSz w:w="11910" w:h="16840"/>
          <w:pgMar w:top="1180" w:bottom="1520" w:left="900" w:right="320"/>
        </w:sectPr>
      </w:pPr>
    </w:p>
    <w:p>
      <w:pPr>
        <w:pStyle w:val="BodyText"/>
        <w:spacing w:before="7"/>
        <w:rPr>
          <w:rFonts w:ascii="Calibri"/>
          <w:sz w:val="13"/>
        </w:rPr>
      </w:pPr>
    </w:p>
    <w:p>
      <w:pPr>
        <w:spacing w:before="0"/>
        <w:ind w:left="4868" w:right="0" w:firstLine="0"/>
        <w:jc w:val="left"/>
        <w:rPr>
          <w:rFonts w:ascii="Calibri"/>
          <w:sz w:val="16"/>
        </w:rPr>
      </w:pPr>
      <w:r>
        <w:rPr>
          <w:rFonts w:ascii="Calibri"/>
          <w:sz w:val="16"/>
        </w:rPr>
        <w:t>-40</w:t>
      </w:r>
    </w:p>
    <w:p>
      <w:pPr>
        <w:spacing w:before="45"/>
        <w:ind w:left="387" w:right="0" w:firstLine="0"/>
        <w:jc w:val="left"/>
        <w:rPr>
          <w:rFonts w:ascii="Calibri"/>
          <w:sz w:val="16"/>
        </w:rPr>
      </w:pPr>
      <w:r>
        <w:rPr>
          <w:rFonts w:ascii="Calibri"/>
          <w:w w:val="105"/>
          <w:sz w:val="16"/>
        </w:rPr>
        <w:t>45</w:t>
      </w:r>
    </w:p>
    <w:p>
      <w:pPr>
        <w:spacing w:before="45"/>
        <w:ind w:left="4868" w:right="0" w:firstLine="0"/>
        <w:jc w:val="left"/>
        <w:rPr>
          <w:rFonts w:ascii="Calibri"/>
          <w:sz w:val="16"/>
        </w:rPr>
      </w:pPr>
      <w:r>
        <w:rPr>
          <w:rFonts w:ascii="Calibri"/>
          <w:sz w:val="16"/>
        </w:rPr>
        <w:t>-60</w:t>
      </w:r>
    </w:p>
    <w:p>
      <w:pPr>
        <w:pStyle w:val="BodyText"/>
        <w:rPr>
          <w:rFonts w:ascii="Calibri"/>
          <w:sz w:val="16"/>
        </w:rPr>
      </w:pPr>
      <w:r>
        <w:rPr/>
        <w:br w:type="column"/>
      </w:r>
      <w:r>
        <w:rPr>
          <w:rFonts w:ascii="Calibri"/>
          <w:sz w:val="16"/>
        </w:rPr>
      </w:r>
    </w:p>
    <w:p>
      <w:pPr>
        <w:spacing w:before="132"/>
        <w:ind w:left="345" w:right="0" w:firstLine="0"/>
        <w:jc w:val="left"/>
        <w:rPr>
          <w:rFonts w:ascii="Calibri"/>
          <w:sz w:val="16"/>
        </w:rPr>
      </w:pPr>
      <w:r>
        <w:rPr>
          <w:rFonts w:ascii="Calibri"/>
          <w:sz w:val="16"/>
        </w:rPr>
        <w:t>0.3</w:t>
      </w:r>
    </w:p>
    <w:p>
      <w:pPr>
        <w:spacing w:after="0"/>
        <w:jc w:val="left"/>
        <w:rPr>
          <w:rFonts w:ascii="Calibri"/>
          <w:sz w:val="16"/>
        </w:rPr>
        <w:sectPr>
          <w:type w:val="continuous"/>
          <w:pgSz w:w="11910" w:h="16840"/>
          <w:pgMar w:top="1180" w:bottom="1520" w:left="900" w:right="320"/>
          <w:cols w:num="2" w:equalWidth="0">
            <w:col w:w="5099" w:space="40"/>
            <w:col w:w="5551"/>
          </w:cols>
        </w:sectPr>
      </w:pPr>
    </w:p>
    <w:p>
      <w:pPr>
        <w:pStyle w:val="BodyText"/>
        <w:spacing w:before="6"/>
        <w:rPr>
          <w:rFonts w:ascii="Calibri"/>
          <w:sz w:val="13"/>
        </w:rPr>
      </w:pPr>
    </w:p>
    <w:p>
      <w:pPr>
        <w:spacing w:before="0"/>
        <w:ind w:left="387" w:right="0" w:firstLine="0"/>
        <w:jc w:val="left"/>
        <w:rPr>
          <w:rFonts w:ascii="Calibri"/>
          <w:sz w:val="16"/>
        </w:rPr>
      </w:pPr>
      <w:r>
        <w:rPr>
          <w:rFonts w:ascii="Calibri"/>
          <w:spacing w:val="5"/>
          <w:w w:val="105"/>
          <w:sz w:val="16"/>
        </w:rPr>
        <w:t>40</w:t>
      </w:r>
    </w:p>
    <w:p>
      <w:pPr>
        <w:pStyle w:val="BodyText"/>
        <w:rPr>
          <w:rFonts w:ascii="Calibri"/>
          <w:sz w:val="16"/>
        </w:rPr>
      </w:pPr>
    </w:p>
    <w:p>
      <w:pPr>
        <w:pStyle w:val="BodyText"/>
        <w:spacing w:before="2"/>
        <w:rPr>
          <w:rFonts w:ascii="Calibri"/>
          <w:sz w:val="17"/>
        </w:rPr>
      </w:pPr>
    </w:p>
    <w:p>
      <w:pPr>
        <w:spacing w:before="1"/>
        <w:ind w:left="387" w:right="0" w:firstLine="0"/>
        <w:jc w:val="left"/>
        <w:rPr>
          <w:rFonts w:ascii="Calibri"/>
          <w:sz w:val="16"/>
        </w:rPr>
      </w:pPr>
      <w:r>
        <w:rPr>
          <w:rFonts w:ascii="Calibri"/>
          <w:spacing w:val="4"/>
          <w:w w:val="105"/>
          <w:sz w:val="16"/>
        </w:rPr>
        <w:t>35</w:t>
      </w:r>
    </w:p>
    <w:p>
      <w:pPr>
        <w:spacing w:before="26"/>
        <w:ind w:left="553" w:right="0" w:firstLine="0"/>
        <w:jc w:val="left"/>
        <w:rPr>
          <w:rFonts w:ascii="Calibri"/>
          <w:sz w:val="16"/>
        </w:rPr>
      </w:pPr>
      <w:r>
        <w:rPr>
          <w:rFonts w:ascii="Calibri"/>
          <w:w w:val="105"/>
          <w:sz w:val="16"/>
        </w:rPr>
        <w:t>1998 2000 2002 2004 2006 2008 2010 2012</w:t>
      </w:r>
    </w:p>
    <w:p>
      <w:pPr>
        <w:pStyle w:val="BodyText"/>
        <w:spacing w:before="4"/>
        <w:rPr>
          <w:rFonts w:ascii="Calibri"/>
          <w:sz w:val="23"/>
        </w:rPr>
      </w:pPr>
      <w:r>
        <w:rPr/>
        <w:br w:type="column"/>
      </w:r>
      <w:r>
        <w:rPr>
          <w:rFonts w:ascii="Calibri"/>
          <w:sz w:val="23"/>
        </w:rPr>
      </w:r>
    </w:p>
    <w:p>
      <w:pPr>
        <w:spacing w:before="0"/>
        <w:ind w:left="369" w:right="0" w:firstLine="0"/>
        <w:jc w:val="left"/>
        <w:rPr>
          <w:rFonts w:ascii="Calibri"/>
          <w:sz w:val="16"/>
        </w:rPr>
      </w:pPr>
      <w:r>
        <w:rPr>
          <w:rFonts w:ascii="Calibri"/>
          <w:w w:val="105"/>
          <w:sz w:val="16"/>
        </w:rPr>
        <w:t>-80</w:t>
      </w:r>
    </w:p>
    <w:p>
      <w:pPr>
        <w:pStyle w:val="BodyText"/>
        <w:spacing w:before="4"/>
        <w:rPr>
          <w:rFonts w:ascii="Calibri"/>
          <w:sz w:val="23"/>
        </w:rPr>
      </w:pPr>
    </w:p>
    <w:p>
      <w:pPr>
        <w:spacing w:before="1"/>
        <w:ind w:left="361" w:right="0" w:firstLine="0"/>
        <w:jc w:val="left"/>
        <w:rPr>
          <w:rFonts w:ascii="Calibri"/>
          <w:sz w:val="16"/>
        </w:rPr>
      </w:pPr>
      <w:r>
        <w:rPr>
          <w:rFonts w:ascii="Calibri"/>
          <w:w w:val="105"/>
          <w:sz w:val="16"/>
        </w:rPr>
        <w:t>-100</w:t>
      </w:r>
    </w:p>
    <w:p>
      <w:pPr>
        <w:pStyle w:val="BodyText"/>
        <w:rPr>
          <w:rFonts w:ascii="Calibri"/>
          <w:sz w:val="16"/>
        </w:rPr>
      </w:pPr>
      <w:r>
        <w:rPr/>
        <w:br w:type="column"/>
      </w:r>
      <w:r>
        <w:rPr>
          <w:rFonts w:ascii="Calibri"/>
          <w:sz w:val="16"/>
        </w:rPr>
      </w:r>
    </w:p>
    <w:p>
      <w:pPr>
        <w:pStyle w:val="BodyText"/>
        <w:rPr>
          <w:rFonts w:ascii="Calibri"/>
          <w:sz w:val="16"/>
        </w:rPr>
      </w:pPr>
    </w:p>
    <w:p>
      <w:pPr>
        <w:spacing w:before="127"/>
        <w:ind w:left="387" w:right="0" w:firstLine="0"/>
        <w:jc w:val="left"/>
        <w:rPr>
          <w:rFonts w:ascii="Calibri"/>
          <w:sz w:val="16"/>
        </w:rPr>
      </w:pPr>
      <w:r>
        <w:rPr>
          <w:rFonts w:ascii="Calibri"/>
          <w:w w:val="101"/>
          <w:sz w:val="16"/>
        </w:rPr>
        <w:t>0</w:t>
      </w:r>
    </w:p>
    <w:p>
      <w:pPr>
        <w:tabs>
          <w:tab w:pos="1424" w:val="left" w:leader="none"/>
          <w:tab w:pos="2308" w:val="left" w:leader="none"/>
          <w:tab w:pos="3067" w:val="left" w:leader="none"/>
          <w:tab w:pos="3951" w:val="left" w:leader="none"/>
          <w:tab w:pos="4709" w:val="left" w:leader="none"/>
        </w:tabs>
        <w:spacing w:before="22"/>
        <w:ind w:left="665" w:right="0" w:firstLine="0"/>
        <w:jc w:val="left"/>
        <w:rPr>
          <w:rFonts w:ascii="Calibri"/>
          <w:sz w:val="16"/>
        </w:rPr>
      </w:pPr>
      <w:r>
        <w:rPr>
          <w:rFonts w:ascii="Calibri"/>
          <w:sz w:val="16"/>
        </w:rPr>
        <w:t>0</w:t>
        <w:tab/>
        <w:t>0.5</w:t>
        <w:tab/>
        <w:t>1</w:t>
        <w:tab/>
        <w:t>1.5</w:t>
        <w:tab/>
        <w:t>2</w:t>
        <w:tab/>
        <w:t>2.5</w:t>
      </w:r>
    </w:p>
    <w:p>
      <w:pPr>
        <w:spacing w:before="50"/>
        <w:ind w:left="738" w:right="0" w:firstLine="0"/>
        <w:jc w:val="left"/>
        <w:rPr>
          <w:rFonts w:ascii="Calibri"/>
          <w:sz w:val="16"/>
        </w:rPr>
      </w:pPr>
      <w:r>
        <w:rPr>
          <w:rFonts w:ascii="Calibri"/>
          <w:sz w:val="16"/>
        </w:rPr>
        <w:t>Standard deviation of supply relative to that of demand</w:t>
      </w:r>
    </w:p>
    <w:p>
      <w:pPr>
        <w:spacing w:after="0"/>
        <w:jc w:val="left"/>
        <w:rPr>
          <w:rFonts w:ascii="Calibri"/>
          <w:sz w:val="16"/>
        </w:rPr>
        <w:sectPr>
          <w:type w:val="continuous"/>
          <w:pgSz w:w="11910" w:h="16840"/>
          <w:pgMar w:top="1180" w:bottom="1520" w:left="900" w:right="320"/>
          <w:cols w:num="3" w:equalWidth="0">
            <w:col w:w="4460" w:space="40"/>
            <w:col w:w="682" w:space="40"/>
            <w:col w:w="5468"/>
          </w:cols>
        </w:sectPr>
      </w:pPr>
    </w:p>
    <w:p>
      <w:pPr>
        <w:spacing w:before="142"/>
        <w:ind w:left="233" w:right="0" w:firstLine="0"/>
        <w:jc w:val="left"/>
        <w:rPr>
          <w:sz w:val="16"/>
        </w:rPr>
      </w:pPr>
      <w:r>
        <w:rPr>
          <w:sz w:val="16"/>
        </w:rPr>
        <w:t>Source: ONS, CBI, Markit Economics, Bank calculations</w:t>
      </w:r>
    </w:p>
    <w:p>
      <w:pPr>
        <w:spacing w:line="379" w:lineRule="auto" w:before="58"/>
        <w:ind w:left="233" w:right="-13" w:firstLine="0"/>
        <w:jc w:val="left"/>
        <w:rPr>
          <w:sz w:val="16"/>
        </w:rPr>
      </w:pPr>
      <w:r>
        <w:rPr>
          <w:position w:val="10"/>
          <w:sz w:val="13"/>
        </w:rPr>
        <w:t>(a) </w:t>
      </w:r>
      <w:r>
        <w:rPr>
          <w:sz w:val="16"/>
        </w:rPr>
        <w:t>Average MPC vote calculated as the average voting result on Bank Rate and QE, with every extra £25bn of QE treated as if cutting Bank Rate by 25bps. See Joyce, Tong and Woods (2011).</w:t>
      </w:r>
    </w:p>
    <w:p>
      <w:pPr>
        <w:spacing w:before="142"/>
        <w:ind w:left="205" w:right="0" w:firstLine="0"/>
        <w:jc w:val="left"/>
        <w:rPr>
          <w:sz w:val="16"/>
        </w:rPr>
      </w:pPr>
      <w:r>
        <w:rPr/>
        <w:br w:type="column"/>
      </w:r>
      <w:r>
        <w:rPr>
          <w:sz w:val="16"/>
        </w:rPr>
        <w:t>Source: Own calculation (see Appendix)</w:t>
      </w:r>
    </w:p>
    <w:p>
      <w:pPr>
        <w:spacing w:after="0"/>
        <w:jc w:val="left"/>
        <w:rPr>
          <w:sz w:val="16"/>
        </w:rPr>
        <w:sectPr>
          <w:type w:val="continuous"/>
          <w:pgSz w:w="11910" w:h="16840"/>
          <w:pgMar w:top="1180" w:bottom="1520" w:left="900" w:right="320"/>
          <w:cols w:num="2" w:equalWidth="0">
            <w:col w:w="5185" w:space="40"/>
            <w:col w:w="5465"/>
          </w:cols>
        </w:sectPr>
      </w:pPr>
    </w:p>
    <w:p>
      <w:pPr>
        <w:pStyle w:val="BodyText"/>
        <w:spacing w:before="9"/>
        <w:rPr>
          <w:sz w:val="14"/>
        </w:rPr>
      </w:pPr>
    </w:p>
    <w:p>
      <w:pPr>
        <w:pStyle w:val="BodyText"/>
        <w:spacing w:line="360" w:lineRule="auto" w:before="93"/>
        <w:ind w:left="233" w:right="855"/>
      </w:pPr>
      <w:r>
        <w:rPr/>
        <w:t>I made this point briefly – that uncertainty about productivity means we should pay more attention to developments in the labour market – in a speech last year. The result of a more formal representation, in a simple economic model</w:t>
      </w:r>
      <w:r>
        <w:rPr>
          <w:vertAlign w:val="superscript"/>
        </w:rPr>
        <w:t>16</w:t>
      </w:r>
      <w:r>
        <w:rPr>
          <w:vertAlign w:val="baseline"/>
        </w:rPr>
        <w:t>, is in Chart 10. Against the variability of supply (relative to that of demand), on the horizontal axis, it plots the weights optimal policy should put on output growth and unemployment</w:t>
      </w:r>
      <w:r>
        <w:rPr>
          <w:vertAlign w:val="superscript"/>
        </w:rPr>
        <w:t>17</w:t>
      </w:r>
      <w:r>
        <w:rPr>
          <w:vertAlign w:val="baseline"/>
        </w:rPr>
        <w:t>. As one might expect, there is no point in paying any attention to unemployment when there are only demand shocks. Because it responds only slowly, and with some noise, to swings in demand, you might as well respond as soon as you see those in the output data. But as you become less confident about future supply, the unemployment data become more</w:t>
      </w:r>
      <w:r>
        <w:rPr>
          <w:spacing w:val="-7"/>
          <w:vertAlign w:val="baseline"/>
        </w:rPr>
        <w:t> </w:t>
      </w:r>
      <w:r>
        <w:rPr>
          <w:vertAlign w:val="baseline"/>
        </w:rPr>
        <w:t>informative.</w:t>
      </w:r>
    </w:p>
    <w:p>
      <w:pPr>
        <w:pStyle w:val="BodyText"/>
        <w:spacing w:before="1"/>
        <w:rPr>
          <w:sz w:val="30"/>
        </w:rPr>
      </w:pPr>
    </w:p>
    <w:p>
      <w:pPr>
        <w:pStyle w:val="BodyText"/>
        <w:spacing w:line="360" w:lineRule="auto"/>
        <w:ind w:left="233" w:right="970"/>
      </w:pPr>
      <w:r>
        <w:rPr/>
        <w:pict>
          <v:shape style="position:absolute;margin-left:56.664001pt;margin-top:57.739899pt;width:144.050pt;height:.1pt;mso-position-horizontal-relative:page;mso-position-vertical-relative:paragraph;z-index:-251607040;mso-wrap-distance-left:0;mso-wrap-distance-right:0" coordorigin="1133,1155" coordsize="2881,0" path="m1133,1155l4014,1155e" filled="false" stroked="true" strokeweight=".47998pt" strokecolor="#000000">
            <v:path arrowok="t"/>
            <v:stroke dashstyle="solid"/>
            <w10:wrap type="topAndBottom"/>
          </v:shape>
        </w:pict>
      </w:r>
      <w:r>
        <w:rPr/>
        <w:t>This, in my view, is a key rationale for conditioning policy on the rate of unemployment, as we have in our policy announcement in August. Reasonable people can disagree about how to interpret changes in output growth. Given the experience of the past few years, and the apparent breakdown in the relationship</w:t>
      </w:r>
    </w:p>
    <w:p>
      <w:pPr>
        <w:spacing w:line="196" w:lineRule="exact" w:before="27"/>
        <w:ind w:left="233" w:right="0" w:firstLine="0"/>
        <w:jc w:val="left"/>
        <w:rPr>
          <w:sz w:val="16"/>
        </w:rPr>
      </w:pPr>
      <w:r>
        <w:rPr>
          <w:position w:val="8"/>
          <w:sz w:val="10"/>
        </w:rPr>
        <w:t>16 </w:t>
      </w:r>
      <w:r>
        <w:rPr>
          <w:sz w:val="16"/>
        </w:rPr>
        <w:t>See note 3 in the Appendix and, for a closely related result, Swanson (2004).</w:t>
      </w:r>
    </w:p>
    <w:p>
      <w:pPr>
        <w:spacing w:line="184" w:lineRule="exact" w:before="15"/>
        <w:ind w:left="233" w:right="970" w:firstLine="0"/>
        <w:jc w:val="left"/>
        <w:rPr>
          <w:sz w:val="16"/>
        </w:rPr>
      </w:pPr>
      <w:r>
        <w:rPr>
          <w:position w:val="8"/>
          <w:sz w:val="10"/>
        </w:rPr>
        <w:t>17 </w:t>
      </w:r>
      <w:r>
        <w:rPr>
          <w:sz w:val="16"/>
        </w:rPr>
        <w:t>These are actually the weights on these observed series in the optimal estimate of the unobserved “output gap”. But a generalised version of certainty equivalence means they are also the relative weights in the policy rule (Svensson and Woodford (2003)).</w:t>
      </w:r>
    </w:p>
    <w:p>
      <w:pPr>
        <w:spacing w:after="0" w:line="184" w:lineRule="exact"/>
        <w:jc w:val="left"/>
        <w:rPr>
          <w:sz w:val="16"/>
        </w:rPr>
        <w:sectPr>
          <w:type w:val="continuous"/>
          <w:pgSz w:w="11910" w:h="16840"/>
          <w:pgMar w:top="1180" w:bottom="1520" w:left="900" w:right="320"/>
        </w:sectPr>
      </w:pPr>
    </w:p>
    <w:p>
      <w:pPr>
        <w:pStyle w:val="BodyText"/>
        <w:spacing w:line="360" w:lineRule="auto" w:before="79"/>
        <w:ind w:left="233" w:right="970"/>
      </w:pPr>
      <w:r>
        <w:rPr/>
        <w:t>between output growth, on the one hand, and employment and inflation on the other, that’s only to be expected. But what we can say, with a greater degree of confidence, is that it would be appropriate to consider withdrawing some of the monetary easing in place if we see a marked decline in the single most reliable (albeit lagged) measure of spare capacity, namely the rate of unemployment.</w:t>
      </w:r>
    </w:p>
    <w:p>
      <w:pPr>
        <w:pStyle w:val="BodyText"/>
        <w:spacing w:before="7"/>
        <w:rPr>
          <w:sz w:val="29"/>
        </w:rPr>
      </w:pPr>
    </w:p>
    <w:p>
      <w:pPr>
        <w:pStyle w:val="Heading1"/>
        <w:spacing w:before="0"/>
      </w:pPr>
      <w:r>
        <w:rPr/>
        <w:t>Summary and conclusion</w:t>
      </w:r>
    </w:p>
    <w:p>
      <w:pPr>
        <w:pStyle w:val="BodyText"/>
        <w:rPr>
          <w:b/>
          <w:sz w:val="22"/>
        </w:rPr>
      </w:pPr>
    </w:p>
    <w:p>
      <w:pPr>
        <w:pStyle w:val="BodyText"/>
        <w:spacing w:before="4"/>
        <w:rPr>
          <w:b/>
          <w:sz w:val="18"/>
        </w:rPr>
      </w:pPr>
    </w:p>
    <w:p>
      <w:pPr>
        <w:pStyle w:val="BodyText"/>
        <w:spacing w:line="360" w:lineRule="auto"/>
        <w:ind w:left="233" w:right="853"/>
      </w:pPr>
      <w:r>
        <w:rPr/>
        <w:t>It is common for people to complain that the predecessors (and their successors too) had it easier. One example of this, in the world of central banking, is the often-heard line that the job of monetary policy is harder because the economic outlook is “particularly uncertain”. As an outside observer, in my last job, I used to take this with a pinch of salt: after all, when has one ever heard the opposite (“happily, we can report that the outlook is unusually certain”)?</w:t>
      </w:r>
    </w:p>
    <w:p>
      <w:pPr>
        <w:pStyle w:val="BodyText"/>
        <w:spacing w:before="11"/>
        <w:rPr>
          <w:sz w:val="29"/>
        </w:rPr>
      </w:pPr>
    </w:p>
    <w:p>
      <w:pPr>
        <w:pStyle w:val="BodyText"/>
        <w:spacing w:line="360" w:lineRule="auto"/>
        <w:ind w:left="233" w:right="970"/>
      </w:pPr>
      <w:r>
        <w:rPr/>
        <w:t>True to type, however, and now that I’m on the other side, that’s exactly what I’m trying to argue here: that the world is, indeed, “particularly uncertain” – or, at least, that we have to be more cautious about a key assumption, the rate of growth of the economy’s productive potential, that we used to take somewhat for granted. The right response to this uncertainty is to attach less weight to output growth itself and more to</w:t>
      </w:r>
    </w:p>
    <w:p>
      <w:pPr>
        <w:pStyle w:val="BodyText"/>
        <w:spacing w:line="360" w:lineRule="auto"/>
        <w:ind w:left="233" w:right="898"/>
      </w:pPr>
      <w:r>
        <w:rPr/>
        <w:t>direct indicators of economic slack, even if these emerge only with a delay. That judgement is central to the policy of “conditional guidance”.</w:t>
      </w:r>
    </w:p>
    <w:p>
      <w:pPr>
        <w:pStyle w:val="BodyText"/>
        <w:spacing w:before="11"/>
        <w:rPr>
          <w:sz w:val="29"/>
        </w:rPr>
      </w:pPr>
    </w:p>
    <w:p>
      <w:pPr>
        <w:pStyle w:val="BodyText"/>
        <w:spacing w:line="360" w:lineRule="auto"/>
        <w:ind w:left="233" w:right="810"/>
      </w:pPr>
      <w:r>
        <w:rPr/>
        <w:t>For the most part, the policy has been well understood. But it has, in some quarters, been mistaken as a commitment to keep policy unchanged for a particular period of time, come what may. Some press reports, for example, have argued that, because unemployment could fall faster than in central projection in the latest </w:t>
      </w:r>
      <w:r>
        <w:rPr>
          <w:i/>
        </w:rPr>
        <w:t>Inflation Report</w:t>
      </w:r>
      <w:r>
        <w:rPr/>
        <w:t>, the MPC might be “forced” to consider an earlier rise in interest rates than it has “promised”.</w:t>
      </w:r>
    </w:p>
    <w:p>
      <w:pPr>
        <w:pStyle w:val="BodyText"/>
        <w:spacing w:before="1"/>
        <w:rPr>
          <w:sz w:val="30"/>
        </w:rPr>
      </w:pPr>
    </w:p>
    <w:p>
      <w:pPr>
        <w:pStyle w:val="BodyText"/>
        <w:spacing w:line="360" w:lineRule="auto"/>
        <w:ind w:left="233" w:right="970"/>
      </w:pPr>
      <w:r>
        <w:rPr/>
        <w:t>I have to say that I find this argument decidedly odd. There is no promise unconditionally to keep interest rates fixed for a particular length of time. What we have pledged to do – and the clue is in the word “conditional” – is to examine the case for a withdrawal of monetary stimulus only after a significant fall in unemployment and as long as the inflation and financial stability “knock-outs” have not been breached.</w:t>
      </w:r>
    </w:p>
    <w:p>
      <w:pPr>
        <w:pStyle w:val="BodyText"/>
        <w:spacing w:before="1"/>
        <w:rPr>
          <w:sz w:val="30"/>
        </w:rPr>
      </w:pPr>
    </w:p>
    <w:p>
      <w:pPr>
        <w:pStyle w:val="BodyText"/>
        <w:spacing w:line="360" w:lineRule="auto"/>
        <w:ind w:left="233" w:right="931"/>
      </w:pPr>
      <w:r>
        <w:rPr/>
        <w:t>That is only reasonable. Interest rates, like any other policy instrument, are not an end in themselves: they are a means to an end. If unemployment falls faster than we’re expecting either because productivity does less well than in our central projection, or because demand grows more strongly, it would be right to ask whether we should think about withdrawing some of the monetary stimulus currently in place. Nor would we be displeased with such an outcome (what’s not to like about lower unemployment?). If unemployment declines more slowly it would be right to leave the monetary stance unchanged for that much longer. This</w:t>
      </w:r>
      <w:r>
        <w:rPr>
          <w:spacing w:val="-37"/>
        </w:rPr>
        <w:t> </w:t>
      </w:r>
      <w:r>
        <w:rPr/>
        <w:t>is something the MPC, along with the rest of the world, will reassess over time; in the August </w:t>
      </w:r>
      <w:r>
        <w:rPr>
          <w:i/>
        </w:rPr>
        <w:t>Inflation Report </w:t>
      </w:r>
      <w:r>
        <w:rPr/>
        <w:t>we viewed these two possibilities as equally likely. But then that’s the thing about something that’s uncertain: it could go either</w:t>
      </w:r>
      <w:r>
        <w:rPr>
          <w:spacing w:val="3"/>
        </w:rPr>
        <w:t> </w:t>
      </w:r>
      <w:r>
        <w:rPr/>
        <w:t>way.</w:t>
      </w:r>
    </w:p>
    <w:p>
      <w:pPr>
        <w:spacing w:after="0" w:line="360" w:lineRule="auto"/>
        <w:sectPr>
          <w:footerReference w:type="default" r:id="rId16"/>
          <w:pgSz w:w="11910" w:h="16840"/>
          <w:pgMar w:footer="1338" w:header="0" w:top="1520" w:bottom="1520" w:left="900" w:right="320"/>
          <w:pgNumType w:start="11"/>
        </w:sectPr>
      </w:pPr>
    </w:p>
    <w:p>
      <w:pPr>
        <w:spacing w:before="79"/>
        <w:ind w:left="233" w:right="0" w:firstLine="0"/>
        <w:jc w:val="left"/>
        <w:rPr>
          <w:b/>
          <w:sz w:val="24"/>
        </w:rPr>
      </w:pPr>
      <w:r>
        <w:rPr>
          <w:b/>
          <w:sz w:val="24"/>
        </w:rPr>
        <w:t>References</w:t>
      </w:r>
    </w:p>
    <w:p>
      <w:pPr>
        <w:spacing w:before="134"/>
        <w:ind w:left="233" w:right="0" w:firstLine="0"/>
        <w:jc w:val="left"/>
        <w:rPr>
          <w:sz w:val="20"/>
        </w:rPr>
      </w:pPr>
      <w:r>
        <w:rPr>
          <w:b/>
          <w:sz w:val="20"/>
        </w:rPr>
        <w:t>Barnett, A., M. Barriel, </w:t>
      </w:r>
      <w:r>
        <w:rPr>
          <w:b/>
          <w:spacing w:val="-3"/>
          <w:sz w:val="20"/>
        </w:rPr>
        <w:t>A. </w:t>
      </w:r>
      <w:r>
        <w:rPr>
          <w:b/>
          <w:sz w:val="20"/>
        </w:rPr>
        <w:t>Chiu and J. Franklin </w:t>
      </w:r>
      <w:r>
        <w:rPr>
          <w:sz w:val="20"/>
        </w:rPr>
        <w:t>(2013), </w:t>
      </w:r>
      <w:r>
        <w:rPr>
          <w:i/>
          <w:sz w:val="20"/>
        </w:rPr>
        <w:t>Bank of England Working Paper,</w:t>
      </w:r>
      <w:r>
        <w:rPr>
          <w:i/>
          <w:spacing w:val="-15"/>
          <w:sz w:val="20"/>
        </w:rPr>
        <w:t> </w:t>
      </w:r>
      <w:r>
        <w:rPr>
          <w:sz w:val="20"/>
        </w:rPr>
        <w:t>forthcoming.</w:t>
      </w:r>
    </w:p>
    <w:p>
      <w:pPr>
        <w:pStyle w:val="BodyText"/>
        <w:spacing w:before="1"/>
      </w:pPr>
    </w:p>
    <w:p>
      <w:pPr>
        <w:pStyle w:val="BodyText"/>
        <w:spacing w:line="242" w:lineRule="auto"/>
        <w:ind w:left="233" w:right="970"/>
      </w:pPr>
      <w:r>
        <w:rPr>
          <w:b/>
        </w:rPr>
        <w:t>Broadbent,</w:t>
      </w:r>
      <w:r>
        <w:rPr>
          <w:b/>
          <w:spacing w:val="-5"/>
        </w:rPr>
        <w:t> </w:t>
      </w:r>
      <w:r>
        <w:rPr>
          <w:b/>
        </w:rPr>
        <w:t>B.</w:t>
      </w:r>
      <w:r>
        <w:rPr>
          <w:b/>
          <w:spacing w:val="-2"/>
        </w:rPr>
        <w:t> </w:t>
      </w:r>
      <w:r>
        <w:rPr/>
        <w:t>(2012a),</w:t>
      </w:r>
      <w:r>
        <w:rPr>
          <w:spacing w:val="-5"/>
        </w:rPr>
        <w:t> </w:t>
      </w:r>
      <w:r>
        <w:rPr/>
        <w:t>“Productivity</w:t>
      </w:r>
      <w:r>
        <w:rPr>
          <w:spacing w:val="-5"/>
        </w:rPr>
        <w:t> </w:t>
      </w:r>
      <w:r>
        <w:rPr/>
        <w:t>and</w:t>
      </w:r>
      <w:r>
        <w:rPr>
          <w:spacing w:val="-5"/>
        </w:rPr>
        <w:t> </w:t>
      </w:r>
      <w:r>
        <w:rPr/>
        <w:t>the</w:t>
      </w:r>
      <w:r>
        <w:rPr>
          <w:spacing w:val="-5"/>
        </w:rPr>
        <w:t> </w:t>
      </w:r>
      <w:r>
        <w:rPr/>
        <w:t>allocation</w:t>
      </w:r>
      <w:r>
        <w:rPr>
          <w:spacing w:val="-4"/>
        </w:rPr>
        <w:t> </w:t>
      </w:r>
      <w:r>
        <w:rPr/>
        <w:t>of</w:t>
      </w:r>
      <w:r>
        <w:rPr>
          <w:spacing w:val="-3"/>
        </w:rPr>
        <w:t> </w:t>
      </w:r>
      <w:r>
        <w:rPr/>
        <w:t>resources”,</w:t>
      </w:r>
      <w:r>
        <w:rPr>
          <w:spacing w:val="-5"/>
        </w:rPr>
        <w:t> </w:t>
      </w:r>
      <w:r>
        <w:rPr/>
        <w:t>Speech</w:t>
      </w:r>
      <w:r>
        <w:rPr>
          <w:spacing w:val="-4"/>
        </w:rPr>
        <w:t> </w:t>
      </w:r>
      <w:r>
        <w:rPr/>
        <w:t>given</w:t>
      </w:r>
      <w:r>
        <w:rPr>
          <w:spacing w:val="-6"/>
        </w:rPr>
        <w:t> </w:t>
      </w:r>
      <w:r>
        <w:rPr/>
        <w:t>at</w:t>
      </w:r>
      <w:r>
        <w:rPr>
          <w:spacing w:val="-3"/>
        </w:rPr>
        <w:t> </w:t>
      </w:r>
      <w:r>
        <w:rPr/>
        <w:t>Durham</w:t>
      </w:r>
      <w:r>
        <w:rPr>
          <w:spacing w:val="-1"/>
        </w:rPr>
        <w:t> </w:t>
      </w:r>
      <w:r>
        <w:rPr/>
        <w:t>Business School, available at</w:t>
      </w:r>
      <w:r>
        <w:rPr>
          <w:spacing w:val="-9"/>
        </w:rPr>
        <w:t> </w:t>
      </w:r>
      <w:hyperlink r:id="rId17">
        <w:r>
          <w:rPr>
            <w:color w:val="0000FF"/>
            <w:u w:val="single" w:color="0000FF"/>
          </w:rPr>
          <w:t>www.bankofengland.co.uk/publications/Documents/speeches/2012/speech599.pdf</w:t>
        </w:r>
        <w:r>
          <w:rPr/>
          <w:t>.</w:t>
        </w:r>
      </w:hyperlink>
    </w:p>
    <w:p>
      <w:pPr>
        <w:pStyle w:val="BodyText"/>
        <w:spacing w:before="5"/>
        <w:rPr>
          <w:sz w:val="11"/>
        </w:rPr>
      </w:pPr>
    </w:p>
    <w:p>
      <w:pPr>
        <w:pStyle w:val="BodyText"/>
        <w:spacing w:line="242" w:lineRule="auto" w:before="93"/>
        <w:ind w:left="233" w:right="911"/>
      </w:pPr>
      <w:r>
        <w:rPr>
          <w:b/>
        </w:rPr>
        <w:t>Broadbent, B. </w:t>
      </w:r>
      <w:r>
        <w:rPr/>
        <w:t>(2013), “Forecast errors”, Speech given at The Mile End Group of Queen Mary, University of London, available at </w:t>
      </w:r>
      <w:hyperlink r:id="rId18">
        <w:r>
          <w:rPr>
            <w:color w:val="0000FF"/>
            <w:u w:val="single" w:color="0000FF"/>
          </w:rPr>
          <w:t>www.bankofengland.co.uk/publications/Documents/speeches/2013/speech653.pdf</w:t>
        </w:r>
        <w:r>
          <w:rPr/>
          <w:t>.</w:t>
        </w:r>
      </w:hyperlink>
    </w:p>
    <w:p>
      <w:pPr>
        <w:pStyle w:val="BodyText"/>
        <w:spacing w:before="7"/>
        <w:rPr>
          <w:sz w:val="11"/>
        </w:rPr>
      </w:pPr>
    </w:p>
    <w:p>
      <w:pPr>
        <w:spacing w:line="240" w:lineRule="auto" w:before="93"/>
        <w:ind w:left="233" w:right="1444" w:firstLine="0"/>
        <w:jc w:val="left"/>
        <w:rPr>
          <w:sz w:val="20"/>
        </w:rPr>
      </w:pPr>
      <w:r>
        <w:rPr>
          <w:b/>
          <w:sz w:val="20"/>
        </w:rPr>
        <w:t>Joyce, M., M. Tong and R. Woods </w:t>
      </w:r>
      <w:r>
        <w:rPr>
          <w:sz w:val="20"/>
        </w:rPr>
        <w:t>(2011), “The United Kingdom’s quantitative easing policy: design, operation and impact”, </w:t>
      </w:r>
      <w:r>
        <w:rPr>
          <w:i/>
          <w:sz w:val="20"/>
        </w:rPr>
        <w:t>Bank of England Quarterly Bulletin</w:t>
      </w:r>
      <w:r>
        <w:rPr>
          <w:sz w:val="20"/>
        </w:rPr>
        <w:t>, 2011Q3, available at </w:t>
      </w:r>
      <w:hyperlink r:id="rId19">
        <w:r>
          <w:rPr>
            <w:sz w:val="20"/>
          </w:rPr>
          <w:t>www.bankofengland.co.uk/publications/Documents/quarterlybulletin/qb110301.pdf.</w:t>
        </w:r>
      </w:hyperlink>
    </w:p>
    <w:p>
      <w:pPr>
        <w:spacing w:line="229" w:lineRule="exact" w:before="0"/>
        <w:ind w:left="233" w:right="0" w:firstLine="0"/>
        <w:jc w:val="left"/>
        <w:rPr>
          <w:sz w:val="20"/>
        </w:rPr>
      </w:pPr>
      <w:r>
        <w:rPr>
          <w:b/>
          <w:sz w:val="20"/>
        </w:rPr>
        <w:t>Miles, D. </w:t>
      </w:r>
      <w:r>
        <w:rPr>
          <w:sz w:val="20"/>
        </w:rPr>
        <w:t>(2013), forthcoming speech.</w:t>
      </w:r>
    </w:p>
    <w:p>
      <w:pPr>
        <w:pStyle w:val="BodyText"/>
        <w:spacing w:before="1"/>
      </w:pPr>
    </w:p>
    <w:p>
      <w:pPr>
        <w:pStyle w:val="BodyText"/>
        <w:spacing w:line="242" w:lineRule="auto"/>
        <w:ind w:left="233" w:right="810"/>
      </w:pPr>
      <w:r>
        <w:rPr>
          <w:b/>
        </w:rPr>
        <w:t>Swanson, E.T. </w:t>
      </w:r>
      <w:r>
        <w:rPr/>
        <w:t>(2004), “Signal Extraction and Non-Certainty-Equivalence in Optimal Monetary Policy Rules”, Macroeconomic Dynamics 8(1), January 2004, 27-50</w:t>
      </w:r>
    </w:p>
    <w:p>
      <w:pPr>
        <w:pStyle w:val="BodyText"/>
        <w:spacing w:before="6"/>
        <w:rPr>
          <w:sz w:val="19"/>
        </w:rPr>
      </w:pPr>
    </w:p>
    <w:p>
      <w:pPr>
        <w:pStyle w:val="BodyText"/>
        <w:spacing w:line="242" w:lineRule="auto"/>
        <w:ind w:left="233" w:right="1570"/>
      </w:pPr>
      <w:r>
        <w:rPr>
          <w:b/>
        </w:rPr>
        <w:t>Svensson, L. and M. Woodford </w:t>
      </w:r>
      <w:r>
        <w:rPr/>
        <w:t>(2003), "Indicator variables for optimal policy," Journal of Monetary Economics, Elsevier, vol. 50(3), pages 691-720, April.</w:t>
      </w:r>
    </w:p>
    <w:sectPr>
      <w:pgSz w:w="11910" w:h="16840"/>
      <w:pgMar w:header="0" w:footer="1338" w:top="1520" w:bottom="1520" w:left="900" w:right="3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libri">
    <w:altName w:val="Calibr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2691456"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type id="_x0000_t202" o:spt="202" coordsize="21600,21600" path="m,l,21600r21600,l21600,xe">
          <v:stroke joinstyle="miter"/>
          <v:path gradientshapeok="t" o:connecttype="rect"/>
        </v:shapetype>
        <v:shape style="position:absolute;margin-left:523.440002pt;margin-top:760.226929pt;width:6.55pt;height:3.1pt;mso-position-horizontal-relative:page;mso-position-vertical-relative:page;z-index:-252690432" type="#_x0000_t202" filled="false" stroked="false">
          <v:textbox inset="0,0,0,0">
            <w:txbxContent>
              <w:p>
                <w:pPr>
                  <w:pStyle w:val="BodyText"/>
                  <w:rPr>
                    <w:rFonts w:ascii="Times New Roman"/>
                    <w:sz w:val="2"/>
                  </w:rPr>
                </w:pPr>
              </w:p>
              <w:p>
                <w:pPr>
                  <w:spacing w:before="0"/>
                  <w:ind w:left="0" w:right="0" w:firstLine="0"/>
                  <w:jc w:val="center"/>
                  <w:rPr>
                    <w:sz w:val="2"/>
                  </w:rPr>
                </w:pPr>
                <w:r>
                  <w:rPr/>
                  <w:fldChar w:fldCharType="begin"/>
                </w:r>
                <w:r>
                  <w:rPr>
                    <w:w w:val="95"/>
                    <w:sz w:val="2"/>
                  </w:rPr>
                  <w:instrText> PAGE </w:instrText>
                </w:r>
                <w:r>
                  <w:rPr/>
                  <w:fldChar w:fldCharType="separate"/>
                </w:r>
                <w:r>
                  <w:rPr/>
                  <w:t>1</w:t>
                </w:r>
                <w:r>
                  <w:rPr/>
                  <w:fldChar w:fldCharType="end"/>
                </w:r>
              </w:p>
            </w:txbxContent>
          </v:textbox>
          <w10:wrap type="none"/>
        </v:shape>
      </w:pict>
    </w:r>
    <w:r>
      <w:rPr/>
      <w:pict>
        <v:shape style="position:absolute;margin-left:43.400002pt;margin-top:771.999451pt;width:466.9pt;height:13.15pt;mso-position-horizontal-relative:page;mso-position-vertical-relative:page;z-index:-252689408"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2688384"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226929pt;width:6.55pt;height:3.1pt;mso-position-horizontal-relative:page;mso-position-vertical-relative:page;z-index:-252687360"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95"/>
                    <w:sz w:val="2"/>
                  </w:rPr>
                  <w:instrText> PAGE </w:instrText>
                </w:r>
                <w:r>
                  <w:rPr/>
                  <w:fldChar w:fldCharType="separate"/>
                </w:r>
                <w:r>
                  <w:rPr/>
                  <w:t>2</w:t>
                </w:r>
                <w:r>
                  <w:rPr/>
                  <w:fldChar w:fldCharType="end"/>
                </w:r>
              </w:p>
            </w:txbxContent>
          </v:textbox>
          <w10:wrap type="none"/>
        </v:shape>
      </w:pict>
    </w:r>
    <w:r>
      <w:rPr/>
      <w:pict>
        <v:shape style="position:absolute;margin-left:43.400002pt;margin-top:771.999451pt;width:466.9pt;height:13.15pt;mso-position-horizontal-relative:page;mso-position-vertical-relative:page;z-index:-252686336"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44.520020pt;margin-top:773.199463pt;width:7.55pt;height:13.15pt;mso-position-horizontal-relative:page;mso-position-vertical-relative:page;z-index:-252685312" type="#_x0000_t202" filled="false" stroked="false">
          <v:textbox inset="0,0,0,0">
            <w:txbxContent>
              <w:p>
                <w:pPr>
                  <w:pStyle w:val="BodyText"/>
                  <w:spacing w:before="12"/>
                  <w:ind w:left="20"/>
                </w:pPr>
                <w:r>
                  <w:rPr>
                    <w:w w:val="99"/>
                  </w:rPr>
                  <w:t>2</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2684288"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226929pt;width:6.55pt;height:3.1pt;mso-position-horizontal-relative:page;mso-position-vertical-relative:page;z-index:-252683264"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95"/>
                    <w:sz w:val="2"/>
                  </w:rPr>
                  <w:instrText> PAGE </w:instrText>
                </w:r>
                <w:r>
                  <w:rPr/>
                  <w:fldChar w:fldCharType="separate"/>
                </w:r>
                <w:r>
                  <w:rPr/>
                  <w:t>5</w:t>
                </w:r>
                <w:r>
                  <w:rPr/>
                  <w:fldChar w:fldCharType="end"/>
                </w:r>
              </w:p>
            </w:txbxContent>
          </v:textbox>
          <w10:wrap type="none"/>
        </v:shape>
      </w:pict>
    </w:r>
    <w:r>
      <w:rPr/>
      <w:pict>
        <v:shape style="position:absolute;margin-left:43.400002pt;margin-top:771.999451pt;width:466.9pt;height:13.15pt;mso-position-horizontal-relative:page;mso-position-vertical-relative:page;z-index:-252682240"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44.520020pt;margin-top:773.199463pt;width:7.55pt;height:13.15pt;mso-position-horizontal-relative:page;mso-position-vertical-relative:page;z-index:-252681216" type="#_x0000_t202" filled="false" stroked="false">
          <v:textbox inset="0,0,0,0">
            <w:txbxContent>
              <w:p>
                <w:pPr>
                  <w:pStyle w:val="BodyText"/>
                  <w:spacing w:before="12"/>
                  <w:ind w:left="20"/>
                </w:pPr>
                <w:r>
                  <w:rPr>
                    <w:w w:val="99"/>
                  </w:rPr>
                  <w:t>5</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2680192"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226929pt;width:6.55pt;height:3.1pt;mso-position-horizontal-relative:page;mso-position-vertical-relative:page;z-index:-252679168"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95"/>
                    <w:sz w:val="2"/>
                  </w:rPr>
                  <w:instrText> PAGE </w:instrText>
                </w:r>
                <w:r>
                  <w:rPr/>
                  <w:fldChar w:fldCharType="separate"/>
                </w:r>
                <w:r>
                  <w:rPr/>
                  <w:t>6</w:t>
                </w:r>
                <w:r>
                  <w:rPr/>
                  <w:fldChar w:fldCharType="end"/>
                </w:r>
              </w:p>
            </w:txbxContent>
          </v:textbox>
          <w10:wrap type="none"/>
        </v:shape>
      </w:pict>
    </w:r>
    <w:r>
      <w:rPr/>
      <w:pict>
        <v:shape style="position:absolute;margin-left:43.400002pt;margin-top:771.999451pt;width:466.9pt;height:13.15pt;mso-position-horizontal-relative:page;mso-position-vertical-relative:page;z-index:-252678144"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44.520020pt;margin-top:773.199463pt;width:7.55pt;height:13.15pt;mso-position-horizontal-relative:page;mso-position-vertical-relative:page;z-index:-252677120" type="#_x0000_t202" filled="false" stroked="false">
          <v:textbox inset="0,0,0,0">
            <w:txbxContent>
              <w:p>
                <w:pPr>
                  <w:pStyle w:val="BodyText"/>
                  <w:spacing w:before="12"/>
                  <w:ind w:left="20"/>
                </w:pPr>
                <w:r>
                  <w:rPr>
                    <w:w w:val="99"/>
                  </w:rPr>
                  <w:t>6</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2676096"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226929pt;width:6.55pt;height:3.1pt;mso-position-horizontal-relative:page;mso-position-vertical-relative:page;z-index:-252675072"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95"/>
                    <w:sz w:val="2"/>
                  </w:rPr>
                  <w:instrText> PAGE </w:instrText>
                </w:r>
                <w:r>
                  <w:rPr/>
                  <w:fldChar w:fldCharType="separate"/>
                </w:r>
                <w:r>
                  <w:rPr/>
                  <w:t>7</w:t>
                </w:r>
                <w:r>
                  <w:rPr/>
                  <w:fldChar w:fldCharType="end"/>
                </w:r>
              </w:p>
            </w:txbxContent>
          </v:textbox>
          <w10:wrap type="none"/>
        </v:shape>
      </w:pict>
    </w:r>
    <w:r>
      <w:rPr/>
      <w:pict>
        <v:shape style="position:absolute;margin-left:43.400002pt;margin-top:771.999451pt;width:466.9pt;height:13.15pt;mso-position-horizontal-relative:page;mso-position-vertical-relative:page;z-index:-252674048"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44.520020pt;margin-top:773.199463pt;width:7.55pt;height:13.15pt;mso-position-horizontal-relative:page;mso-position-vertical-relative:page;z-index:-252673024" type="#_x0000_t202" filled="false" stroked="false">
          <v:textbox inset="0,0,0,0">
            <w:txbxContent>
              <w:p>
                <w:pPr>
                  <w:pStyle w:val="BodyText"/>
                  <w:spacing w:before="12"/>
                  <w:ind w:left="20"/>
                </w:pPr>
                <w:r>
                  <w:rPr>
                    <w:w w:val="99"/>
                  </w:rPr>
                  <w:t>7</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2672000"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226929pt;width:7pt;height:3.1pt;mso-position-horizontal-relative:page;mso-position-vertical-relative:page;z-index:-252670976" type="#_x0000_t202" filled="false" stroked="false">
          <v:textbox inset="0,0,0,0">
            <w:txbxContent>
              <w:p>
                <w:pPr>
                  <w:pStyle w:val="BodyText"/>
                  <w:rPr>
                    <w:sz w:val="2"/>
                  </w:rPr>
                </w:pPr>
              </w:p>
              <w:p>
                <w:pPr>
                  <w:spacing w:before="0"/>
                  <w:ind w:left="38" w:right="38" w:firstLine="0"/>
                  <w:jc w:val="center"/>
                  <w:rPr>
                    <w:sz w:val="2"/>
                  </w:rPr>
                </w:pPr>
                <w:r>
                  <w:rPr/>
                  <w:fldChar w:fldCharType="begin"/>
                </w:r>
                <w:r>
                  <w:rPr>
                    <w:sz w:val="2"/>
                  </w:rPr>
                  <w:instrText> PAGE </w:instrText>
                </w:r>
                <w:r>
                  <w:rPr/>
                  <w:fldChar w:fldCharType="separate"/>
                </w:r>
                <w:r>
                  <w:rPr/>
                  <w:t>10</w:t>
                </w:r>
                <w:r>
                  <w:rPr/>
                  <w:fldChar w:fldCharType="end"/>
                </w:r>
              </w:p>
            </w:txbxContent>
          </v:textbox>
          <w10:wrap type="none"/>
        </v:shape>
      </w:pict>
    </w:r>
    <w:r>
      <w:rPr/>
      <w:pict>
        <v:shape style="position:absolute;margin-left:43.400002pt;margin-top:771.999451pt;width:466.9pt;height:13.15pt;mso-position-horizontal-relative:page;mso-position-vertical-relative:page;z-index:-252669952"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38.880005pt;margin-top:773.199463pt;width:13.05pt;height:13.15pt;mso-position-horizontal-relative:page;mso-position-vertical-relative:page;z-index:-252668928" type="#_x0000_t202" filled="false" stroked="false">
          <v:textbox inset="0,0,0,0">
            <w:txbxContent>
              <w:p>
                <w:pPr>
                  <w:pStyle w:val="BodyText"/>
                  <w:spacing w:before="12"/>
                  <w:ind w:left="20"/>
                </w:pPr>
                <w:r>
                  <w:rPr/>
                  <w:t>10</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2667904"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226929pt;width:7pt;height:3.1pt;mso-position-horizontal-relative:page;mso-position-vertical-relative:page;z-index:-252666880" type="#_x0000_t202" filled="false" stroked="false">
          <v:textbox inset="0,0,0,0">
            <w:txbxContent>
              <w:p>
                <w:pPr>
                  <w:pStyle w:val="BodyText"/>
                  <w:rPr>
                    <w:sz w:val="2"/>
                  </w:rPr>
                </w:pPr>
              </w:p>
              <w:p>
                <w:pPr>
                  <w:spacing w:before="0"/>
                  <w:ind w:left="38" w:right="38" w:firstLine="0"/>
                  <w:jc w:val="center"/>
                  <w:rPr>
                    <w:sz w:val="2"/>
                  </w:rPr>
                </w:pPr>
                <w:r>
                  <w:rPr/>
                  <w:fldChar w:fldCharType="begin"/>
                </w:r>
                <w:r>
                  <w:rPr>
                    <w:sz w:val="2"/>
                  </w:rPr>
                  <w:instrText> PAGE </w:instrText>
                </w:r>
                <w:r>
                  <w:rPr/>
                  <w:fldChar w:fldCharType="separate"/>
                </w:r>
                <w:r>
                  <w:rPr/>
                  <w:t>11</w:t>
                </w:r>
                <w:r>
                  <w:rPr/>
                  <w:fldChar w:fldCharType="end"/>
                </w:r>
              </w:p>
            </w:txbxContent>
          </v:textbox>
          <w10:wrap type="none"/>
        </v:shape>
      </w:pict>
    </w:r>
    <w:r>
      <w:rPr/>
      <w:pict>
        <v:shape style="position:absolute;margin-left:43.400002pt;margin-top:771.999451pt;width:466.9pt;height:13.15pt;mso-position-horizontal-relative:page;mso-position-vertical-relative:page;z-index:-252665856"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38.880005pt;margin-top:773.199463pt;width:13.05pt;height:13.15pt;mso-position-horizontal-relative:page;mso-position-vertical-relative:page;z-index:-252664832" type="#_x0000_t202" filled="false" stroked="false">
          <v:textbox inset="0,0,0,0">
            <w:txbxContent>
              <w:p>
                <w:pPr>
                  <w:pStyle w:val="BodyText"/>
                  <w:spacing w:before="12"/>
                  <w:ind w:left="20"/>
                </w:pPr>
                <w:r>
                  <w:rPr/>
                  <w:t>11</w:t>
                </w:r>
              </w:p>
            </w:txbxContent>
          </v:textbox>
          <w10:wrap type="none"/>
        </v:shape>
      </w:pict>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gb" w:eastAsia="en-gb" w:bidi="en-gb"/>
    </w:rPr>
  </w:style>
  <w:style w:styleId="BodyText" w:type="paragraph">
    <w:name w:val="Body Text"/>
    <w:basedOn w:val="Normal"/>
    <w:uiPriority w:val="1"/>
    <w:qFormat/>
    <w:pPr/>
    <w:rPr>
      <w:rFonts w:ascii="Arial" w:hAnsi="Arial" w:eastAsia="Arial" w:cs="Arial"/>
      <w:sz w:val="20"/>
      <w:szCs w:val="20"/>
      <w:lang w:val="en-gb" w:eastAsia="en-gb" w:bidi="en-gb"/>
    </w:rPr>
  </w:style>
  <w:style w:styleId="Heading1" w:type="paragraph">
    <w:name w:val="Heading 1"/>
    <w:basedOn w:val="Normal"/>
    <w:uiPriority w:val="1"/>
    <w:qFormat/>
    <w:pPr>
      <w:spacing w:before="93"/>
      <w:ind w:left="233"/>
      <w:outlineLvl w:val="1"/>
    </w:pPr>
    <w:rPr>
      <w:rFonts w:ascii="Arial" w:hAnsi="Arial" w:eastAsia="Arial" w:cs="Arial"/>
      <w:b/>
      <w:bCs/>
      <w:sz w:val="20"/>
      <w:szCs w:val="20"/>
      <w:lang w:val="en-gb" w:eastAsia="en-gb" w:bidi="en-gb"/>
    </w:rPr>
  </w:style>
  <w:style w:styleId="ListParagraph" w:type="paragraph">
    <w:name w:val="List Paragraph"/>
    <w:basedOn w:val="Normal"/>
    <w:uiPriority w:val="1"/>
    <w:qFormat/>
    <w:pPr/>
    <w:rPr>
      <w:lang w:val="en-gb" w:eastAsia="en-gb" w:bidi="en-gb"/>
    </w:rPr>
  </w:style>
  <w:style w:styleId="TableParagraph" w:type="paragraph">
    <w:name w:val="Table Paragraph"/>
    <w:basedOn w:val="Normal"/>
    <w:uiPriority w:val="1"/>
    <w:qFormat/>
    <w:pPr/>
    <w:rPr>
      <w:rFonts w:ascii="Arial" w:hAnsi="Arial" w:eastAsia="Arial" w:cs="Arial"/>
      <w:lang w:val="en-gb" w:eastAsia="en-gb" w:bidi="en-gb"/>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footer" Target="footer2.xml"/><Relationship Id="rId8" Type="http://schemas.openxmlformats.org/officeDocument/2006/relationships/image" Target="media/image2.png"/><Relationship Id="rId9" Type="http://schemas.openxmlformats.org/officeDocument/2006/relationships/footer" Target="footer3.xml"/><Relationship Id="rId10" Type="http://schemas.openxmlformats.org/officeDocument/2006/relationships/footer" Target="footer4.xml"/><Relationship Id="rId11" Type="http://schemas.openxmlformats.org/officeDocument/2006/relationships/footer" Target="footer5.xml"/><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footer" Target="footer6.xml"/><Relationship Id="rId16" Type="http://schemas.openxmlformats.org/officeDocument/2006/relationships/footer" Target="footer7.xml"/><Relationship Id="rId17" Type="http://schemas.openxmlformats.org/officeDocument/2006/relationships/hyperlink" Target="http://www.bankofengland.co.uk/publications/Documents/speeches/2012/speech599.pdf" TargetMode="External"/><Relationship Id="rId18" Type="http://schemas.openxmlformats.org/officeDocument/2006/relationships/hyperlink" Target="http://www.bankofengland.co.uk/publications/Documents/speeches/2013/speech653.pdf" TargetMode="External"/><Relationship Id="rId19" Type="http://schemas.openxmlformats.org/officeDocument/2006/relationships/hyperlink" Target="http://www.bankofengland.co.uk/publications/Documents/quarterlybulletin/qb110301.pdf"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4.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5.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6.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7.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Speech by Ben Broadbent</dc:subject>
  <dc:title>Conditional guidance as a response to supply uncertainty</dc:title>
  <dcterms:created xsi:type="dcterms:W3CDTF">2020-06-02T17:21:10Z</dcterms:created>
  <dcterms:modified xsi:type="dcterms:W3CDTF">2020-06-02T17:21:10Z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2013-09-23T00:00:00Z</vt:filetime>
  </property>
  <property fmtid="{D5CDD505-2E9C-101B-9397-08002B2CF9AE}" pid="3" name="LastSaved">
    <vt:filetime>2020-06-02T00:00:00Z</vt:filetime>
  </property>
</Properties>
</file>