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8,14" stroked="true" strokeweight="1.44pt" strokecolor="#000000">
              <v:stroke dashstyle="solid"/>
            </v:line>
            <v:rect style="position:absolute;left:7203;top:0;width:29;height:29" filled="true" fillcolor="#000000" stroked="false">
              <v:fill type="solid"/>
            </v:rect>
            <v:line style="position:absolute" from="7233,14" to="9767,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Covid-19 and monetary policy</w:t>
      </w:r>
    </w:p>
    <w:p>
      <w:pPr>
        <w:spacing w:line="360" w:lineRule="auto" w:before="281"/>
        <w:ind w:left="232" w:right="7856" w:firstLine="0"/>
        <w:jc w:val="left"/>
        <w:rPr>
          <w:sz w:val="24"/>
        </w:rPr>
      </w:pPr>
      <w:r>
        <w:rPr>
          <w:sz w:val="24"/>
        </w:rPr>
        <w:t>Speech given by Michael Saunders</w:t>
      </w:r>
    </w:p>
    <w:p>
      <w:pPr>
        <w:spacing w:line="360" w:lineRule="auto" w:before="0"/>
        <w:ind w:left="232" w:right="4282" w:firstLine="0"/>
        <w:jc w:val="left"/>
        <w:rPr>
          <w:sz w:val="24"/>
        </w:rPr>
      </w:pPr>
      <w:r>
        <w:rPr>
          <w:sz w:val="24"/>
        </w:rPr>
        <w:t>External Member of the Monetary Policy Committee Bank of England</w:t>
      </w:r>
    </w:p>
    <w:p>
      <w:pPr>
        <w:pStyle w:val="BodyText"/>
        <w:spacing w:before="11"/>
        <w:rPr>
          <w:sz w:val="35"/>
        </w:rPr>
      </w:pPr>
    </w:p>
    <w:p>
      <w:pPr>
        <w:spacing w:line="360" w:lineRule="auto" w:before="0"/>
        <w:ind w:left="232" w:right="8177" w:firstLine="0"/>
        <w:jc w:val="left"/>
        <w:rPr>
          <w:sz w:val="24"/>
        </w:rPr>
      </w:pPr>
      <w:r>
        <w:rPr>
          <w:sz w:val="24"/>
        </w:rPr>
        <w:t>Online webinar 28 May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p>
    <w:p>
      <w:pPr>
        <w:pStyle w:val="BodyText"/>
        <w:spacing w:before="93"/>
        <w:ind w:left="232" w:right="1039"/>
      </w:pPr>
      <w:r>
        <w:rPr/>
        <w:t>The views expressed here are not necessarily those of the Bank of England or the Monetary Policy Committee. I would particularly like to thank Michal Stelmach and Matt Swannell for their help in preparing this speech. I have received helpful comments from Jonathan Haskel, Clare Macallan, Rebecca Maule, Silvana Tenreyro and Jan Vlieghe, for which I am most grateful.</w:t>
      </w:r>
    </w:p>
    <w:p>
      <w:pPr>
        <w:spacing w:after="0"/>
        <w:sectPr>
          <w:footerReference w:type="default" r:id="rId5"/>
          <w:type w:val="continuous"/>
          <w:pgSz w:w="11910" w:h="16840"/>
          <w:pgMar w:footer="1338" w:top="1180" w:bottom="1520" w:left="900" w:right="980"/>
        </w:sectPr>
      </w:pPr>
    </w:p>
    <w:p>
      <w:pPr>
        <w:pStyle w:val="BodyText"/>
        <w:spacing w:line="360" w:lineRule="auto" w:before="81"/>
        <w:ind w:left="232" w:right="350"/>
      </w:pPr>
      <w:r>
        <w:rPr/>
        <w:t>The Covid-19 outbreak is chiefly a global health emergency. Let me start by expressing my deepest sympathies for all those who have suffered during the outbreak. And my gratitude to the NHS health professionals, carers and volunteers who have been the front line of defence across the UK. The outbreak, and measures designed to tackle it, have also had very large economic effects, and this is what I will focus on. I also want to explain my recent vote for further monetary easing through asset purchases. I will make four key points.</w:t>
      </w:r>
    </w:p>
    <w:p>
      <w:pPr>
        <w:pStyle w:val="BodyText"/>
        <w:rPr>
          <w:sz w:val="30"/>
        </w:rPr>
      </w:pPr>
    </w:p>
    <w:p>
      <w:pPr>
        <w:pStyle w:val="BodyText"/>
        <w:spacing w:line="357" w:lineRule="auto"/>
        <w:ind w:left="232" w:right="350"/>
      </w:pPr>
      <w:r>
        <w:rPr/>
        <w:t>First, after the plunge in output in recent months, some recovery in economic activity is likely as the lockdown eases.</w:t>
      </w:r>
    </w:p>
    <w:p>
      <w:pPr>
        <w:pStyle w:val="BodyText"/>
        <w:spacing w:before="4"/>
        <w:rPr>
          <w:sz w:val="30"/>
        </w:rPr>
      </w:pPr>
    </w:p>
    <w:p>
      <w:pPr>
        <w:pStyle w:val="BodyText"/>
        <w:spacing w:line="360" w:lineRule="auto"/>
        <w:ind w:left="232"/>
      </w:pPr>
      <w:r>
        <w:rPr/>
        <w:t>Second, there is considerable uncertainty over the outlook, but I suspect that risks are more on the side of a relatively slow recovery.</w:t>
      </w:r>
    </w:p>
    <w:p>
      <w:pPr>
        <w:pStyle w:val="BodyText"/>
        <w:rPr>
          <w:sz w:val="30"/>
        </w:rPr>
      </w:pPr>
    </w:p>
    <w:p>
      <w:pPr>
        <w:pStyle w:val="BodyText"/>
        <w:spacing w:line="360" w:lineRule="auto"/>
        <w:ind w:left="232" w:right="183"/>
      </w:pPr>
      <w:r>
        <w:rPr/>
        <w:t>Third, a weaker recovery would probably be especially damaging. As well as probably leaving inflation below target, it would increase longterm costs from scarring on potential growth. Moreover, with limited monetary policy space, we would have less scope to get the economy back on track.</w:t>
      </w:r>
    </w:p>
    <w:p>
      <w:pPr>
        <w:pStyle w:val="BodyText"/>
        <w:rPr>
          <w:sz w:val="30"/>
        </w:rPr>
      </w:pPr>
    </w:p>
    <w:p>
      <w:pPr>
        <w:pStyle w:val="BodyText"/>
        <w:spacing w:line="360" w:lineRule="auto"/>
        <w:ind w:left="232" w:right="139"/>
      </w:pPr>
      <w:r>
        <w:rPr/>
        <w:t>Fourth, as a result, risk management considerations favour a relatively prompt and aggressive response to downside risks. The costs of policy error are, to an extent, asymmetric at present. It is safer to err on the side of easing somewhat too much, and then if necessary tighten as capacity pressures eventually build, rather than ease too little and find the economy gets stuck in a low inflation rut with increased hysteresis costs.</w:t>
      </w:r>
    </w:p>
    <w:p>
      <w:pPr>
        <w:pStyle w:val="BodyText"/>
        <w:spacing w:before="1"/>
        <w:rPr>
          <w:sz w:val="30"/>
        </w:rPr>
      </w:pPr>
    </w:p>
    <w:p>
      <w:pPr>
        <w:pStyle w:val="BodyText"/>
        <w:ind w:left="232"/>
      </w:pPr>
      <w:r>
        <w:rPr/>
        <w:t>***</w:t>
      </w:r>
    </w:p>
    <w:p>
      <w:pPr>
        <w:pStyle w:val="BodyText"/>
        <w:rPr>
          <w:sz w:val="22"/>
        </w:rPr>
      </w:pPr>
    </w:p>
    <w:p>
      <w:pPr>
        <w:pStyle w:val="BodyText"/>
        <w:spacing w:before="8"/>
        <w:rPr>
          <w:sz w:val="17"/>
        </w:rPr>
      </w:pPr>
    </w:p>
    <w:p>
      <w:pPr>
        <w:pStyle w:val="Heading1"/>
      </w:pPr>
      <w:r>
        <w:rPr/>
        <w:t>The economic impacts of Covid-19 to date</w:t>
      </w:r>
    </w:p>
    <w:p>
      <w:pPr>
        <w:pStyle w:val="BodyText"/>
        <w:rPr>
          <w:b/>
          <w:sz w:val="22"/>
        </w:rPr>
      </w:pPr>
    </w:p>
    <w:p>
      <w:pPr>
        <w:pStyle w:val="BodyText"/>
        <w:spacing w:before="4"/>
        <w:rPr>
          <w:b/>
          <w:sz w:val="18"/>
        </w:rPr>
      </w:pPr>
    </w:p>
    <w:p>
      <w:pPr>
        <w:pStyle w:val="BodyText"/>
        <w:spacing w:line="360" w:lineRule="auto"/>
        <w:ind w:left="232" w:right="251"/>
      </w:pPr>
      <w:r>
        <w:rPr/>
        <w:t>It is clear that the Covid-19 outbreak and measures designed to tackle it have led to a very large and rapid decline in economic activity that is without precedent in recent times. Social distancing, both enforced and voluntary, has caused some businesses to close temporarily. In others, activity has been reduced by disruptions to complex supply chains, including through reduced availability of imports. The resultant sharp reduction in incomes, jobs and profits has further hit demand. At the same time, uncertainty has risen sharply, as more people worry about losing their jobs and companies face risks of failure. With the economy weakening, risk premia have risen, with declines in equity prices and wider credit spreads. As a result, even with the drop in riskfree rates, financial conditions have tightened since the start of the year.</w:t>
      </w:r>
    </w:p>
    <w:p>
      <w:pPr>
        <w:pStyle w:val="BodyText"/>
        <w:spacing w:before="10"/>
        <w:rPr>
          <w:sz w:val="29"/>
        </w:rPr>
      </w:pPr>
    </w:p>
    <w:p>
      <w:pPr>
        <w:pStyle w:val="BodyText"/>
        <w:spacing w:line="360" w:lineRule="auto" w:before="1"/>
        <w:ind w:left="232" w:right="217"/>
      </w:pPr>
      <w:r>
        <w:rPr/>
        <w:t>As these effects began to develop, GDP fell by 2% in Q1 (with a 5.8% MoM drop in March), and a range of business surveys have shown unprecedented weakness since then. For example, the PMI indices have fallen well below previous record lows and continued to show falling output in May (see figure 1). The ONS’s Business Impact of Covid Survey (BICS) suggests that about 20% of firms have temporarily closed or</w:t>
      </w:r>
    </w:p>
    <w:p>
      <w:pPr>
        <w:spacing w:after="0" w:line="360" w:lineRule="auto"/>
        <w:sectPr>
          <w:footerReference w:type="default" r:id="rId7"/>
          <w:pgSz w:w="11910" w:h="16840"/>
          <w:pgMar w:footer="1338" w:header="0" w:top="1520" w:bottom="1520" w:left="900" w:right="980"/>
        </w:sectPr>
      </w:pPr>
    </w:p>
    <w:p>
      <w:pPr>
        <w:pStyle w:val="BodyText"/>
        <w:spacing w:line="360" w:lineRule="auto" w:before="81"/>
        <w:ind w:left="232" w:right="162"/>
      </w:pPr>
      <w:r>
        <w:rPr/>
        <w:t>paused trading, and a similar share have seen turnover fall by at least 50%. There is some variation across sectors, but weakness is widespread and a sizeable net balance of firms report lower turnover in every major sector of the economy (see figure 2). In general, small firms are doing worse than large firms. In the May MPR, the MPC’s illustrative scenario showed Q2 GDP falling about 25% QoQ, a far bigger decline than any recorded previously.</w:t>
      </w:r>
      <w:r>
        <w:rPr>
          <w:position w:val="6"/>
          <w:sz w:val="13"/>
        </w:rPr>
        <w:t>1 </w:t>
      </w:r>
      <w:r>
        <w:rPr/>
        <w:t>There are, of course, many uncertainties around this figure, but the picture of a dramatic fall in output is clear-cut.</w:t>
      </w:r>
    </w:p>
    <w:p>
      <w:pPr>
        <w:pStyle w:val="BodyText"/>
      </w:pPr>
    </w:p>
    <w:p>
      <w:pPr>
        <w:pStyle w:val="BodyText"/>
        <w:spacing w:before="5"/>
        <w:rPr>
          <w:sz w:val="10"/>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8"/>
        <w:gridCol w:w="121"/>
        <w:gridCol w:w="187"/>
        <w:gridCol w:w="4740"/>
      </w:tblGrid>
      <w:tr>
        <w:trPr>
          <w:trHeight w:val="1029" w:hRule="atLeast"/>
        </w:trPr>
        <w:tc>
          <w:tcPr>
            <w:tcW w:w="4618" w:type="dxa"/>
            <w:tcBorders>
              <w:bottom w:val="single" w:sz="2" w:space="0" w:color="D9D9D9"/>
            </w:tcBorders>
          </w:tcPr>
          <w:p>
            <w:pPr>
              <w:pStyle w:val="TableParagraph"/>
              <w:spacing w:line="357" w:lineRule="auto"/>
              <w:ind w:left="-2"/>
              <w:rPr>
                <w:rFonts w:ascii="Arial" w:hAnsi="Arial"/>
                <w:b/>
                <w:sz w:val="20"/>
              </w:rPr>
            </w:pPr>
            <w:r>
              <w:rPr>
                <w:rFonts w:ascii="Arial" w:hAnsi="Arial"/>
                <w:b/>
                <w:sz w:val="20"/>
              </w:rPr>
              <w:t>Figure 1. UK – Composite PMI Survey Measures of Output and Expectations Among Businesses</w:t>
            </w:r>
          </w:p>
        </w:tc>
        <w:tc>
          <w:tcPr>
            <w:tcW w:w="121" w:type="dxa"/>
            <w:tcBorders>
              <w:bottom w:val="single" w:sz="2" w:space="0" w:color="D9D9D9"/>
            </w:tcBorders>
          </w:tcPr>
          <w:p>
            <w:pPr>
              <w:pStyle w:val="TableParagraph"/>
              <w:rPr>
                <w:rFonts w:ascii="Times New Roman"/>
                <w:sz w:val="18"/>
              </w:rPr>
            </w:pPr>
          </w:p>
        </w:tc>
        <w:tc>
          <w:tcPr>
            <w:tcW w:w="187" w:type="dxa"/>
          </w:tcPr>
          <w:p>
            <w:pPr>
              <w:pStyle w:val="TableParagraph"/>
              <w:rPr>
                <w:rFonts w:ascii="Times New Roman"/>
                <w:sz w:val="18"/>
              </w:rPr>
            </w:pPr>
          </w:p>
        </w:tc>
        <w:tc>
          <w:tcPr>
            <w:tcW w:w="4740" w:type="dxa"/>
            <w:tcBorders>
              <w:bottom w:val="single" w:sz="2" w:space="0" w:color="D9D9D9"/>
            </w:tcBorders>
          </w:tcPr>
          <w:p>
            <w:pPr>
              <w:pStyle w:val="TableParagraph"/>
              <w:spacing w:line="357" w:lineRule="auto"/>
              <w:ind w:left="1"/>
              <w:rPr>
                <w:rFonts w:ascii="Arial" w:hAnsi="Arial"/>
                <w:b/>
                <w:sz w:val="20"/>
              </w:rPr>
            </w:pPr>
            <w:r>
              <w:rPr>
                <w:rFonts w:ascii="Arial" w:hAnsi="Arial"/>
                <w:b/>
                <w:sz w:val="20"/>
              </w:rPr>
              <w:t>Figure 2. UK – Change in Turnover Among Firms Due to Covid-19 Outbreak (Pct of Firms In Each</w:t>
            </w:r>
          </w:p>
          <w:p>
            <w:pPr>
              <w:pStyle w:val="TableParagraph"/>
              <w:ind w:left="1"/>
              <w:rPr>
                <w:rFonts w:ascii="Arial"/>
                <w:b/>
                <w:sz w:val="20"/>
              </w:rPr>
            </w:pPr>
            <w:r>
              <w:rPr>
                <w:rFonts w:ascii="Arial"/>
                <w:b/>
                <w:sz w:val="20"/>
              </w:rPr>
              <w:t>Category)</w:t>
            </w:r>
          </w:p>
        </w:tc>
      </w:tr>
      <w:tr>
        <w:trPr>
          <w:trHeight w:val="3487" w:hRule="atLeast"/>
        </w:trPr>
        <w:tc>
          <w:tcPr>
            <w:tcW w:w="4618" w:type="dxa"/>
            <w:tcBorders>
              <w:top w:val="single" w:sz="2" w:space="0" w:color="D9D9D9"/>
              <w:left w:val="single" w:sz="2" w:space="0" w:color="D9D9D9"/>
              <w:bottom w:val="single" w:sz="2" w:space="0" w:color="D9D9D9"/>
            </w:tcBorders>
          </w:tcPr>
          <w:p>
            <w:pPr>
              <w:pStyle w:val="TableParagraph"/>
              <w:spacing w:before="22"/>
              <w:ind w:left="194"/>
              <w:rPr>
                <w:b/>
                <w:sz w:val="17"/>
              </w:rPr>
            </w:pPr>
            <w:r>
              <w:rPr>
                <w:b/>
                <w:w w:val="91"/>
                <w:sz w:val="17"/>
              </w:rPr>
              <w:t>4</w:t>
            </w:r>
          </w:p>
          <w:p>
            <w:pPr>
              <w:pStyle w:val="TableParagraph"/>
              <w:spacing w:before="11"/>
              <w:rPr>
                <w:rFonts w:ascii="Arial"/>
                <w:sz w:val="18"/>
              </w:rPr>
            </w:pPr>
          </w:p>
          <w:p>
            <w:pPr>
              <w:pStyle w:val="TableParagraph"/>
              <w:ind w:left="194"/>
              <w:rPr>
                <w:b/>
                <w:sz w:val="17"/>
              </w:rPr>
            </w:pPr>
            <w:r>
              <w:rPr>
                <w:b/>
                <w:w w:val="91"/>
                <w:sz w:val="17"/>
              </w:rPr>
              <w:t>2</w:t>
            </w:r>
          </w:p>
          <w:p>
            <w:pPr>
              <w:pStyle w:val="TableParagraph"/>
              <w:spacing w:before="10"/>
              <w:rPr>
                <w:rFonts w:ascii="Arial"/>
                <w:sz w:val="18"/>
              </w:rPr>
            </w:pPr>
          </w:p>
          <w:p>
            <w:pPr>
              <w:pStyle w:val="TableParagraph"/>
              <w:ind w:left="194"/>
              <w:rPr>
                <w:b/>
                <w:sz w:val="17"/>
              </w:rPr>
            </w:pPr>
            <w:r>
              <w:rPr>
                <w:b/>
                <w:w w:val="91"/>
                <w:sz w:val="17"/>
              </w:rPr>
              <w:t>0</w:t>
            </w:r>
          </w:p>
          <w:p>
            <w:pPr>
              <w:pStyle w:val="TableParagraph"/>
              <w:rPr>
                <w:rFonts w:ascii="Arial"/>
                <w:sz w:val="19"/>
              </w:rPr>
            </w:pPr>
          </w:p>
          <w:p>
            <w:pPr>
              <w:pStyle w:val="TableParagraph"/>
              <w:ind w:left="146"/>
              <w:rPr>
                <w:b/>
                <w:sz w:val="17"/>
              </w:rPr>
            </w:pPr>
            <w:r>
              <w:rPr>
                <w:b/>
                <w:sz w:val="17"/>
              </w:rPr>
              <w:t>-2</w:t>
            </w:r>
          </w:p>
          <w:p>
            <w:pPr>
              <w:pStyle w:val="TableParagraph"/>
              <w:tabs>
                <w:tab w:pos="493" w:val="left" w:leader="none"/>
              </w:tabs>
              <w:spacing w:before="118"/>
              <w:ind w:left="146"/>
              <w:rPr>
                <w:b/>
                <w:sz w:val="17"/>
              </w:rPr>
            </w:pPr>
            <w:r>
              <w:rPr>
                <w:b/>
                <w:position w:val="-9"/>
                <w:sz w:val="17"/>
              </w:rPr>
              <w:t>-4</w:t>
              <w:tab/>
            </w:r>
            <w:r>
              <w:rPr>
                <w:b/>
                <w:sz w:val="17"/>
              </w:rPr>
              <w:t>sd</w:t>
            </w:r>
          </w:p>
          <w:p>
            <w:pPr>
              <w:pStyle w:val="TableParagraph"/>
              <w:spacing w:line="195" w:lineRule="exact" w:before="217"/>
              <w:ind w:left="146"/>
              <w:rPr>
                <w:b/>
                <w:sz w:val="17"/>
              </w:rPr>
            </w:pPr>
            <w:r>
              <w:rPr>
                <w:b/>
                <w:sz w:val="17"/>
              </w:rPr>
              <w:t>-6</w:t>
            </w:r>
          </w:p>
          <w:p>
            <w:pPr>
              <w:pStyle w:val="TableParagraph"/>
              <w:tabs>
                <w:tab w:pos="2819" w:val="left" w:leader="none"/>
              </w:tabs>
              <w:spacing w:line="195" w:lineRule="exact"/>
              <w:ind w:left="1683"/>
              <w:rPr>
                <w:b/>
                <w:sz w:val="17"/>
              </w:rPr>
            </w:pPr>
            <w:r>
              <w:rPr>
                <w:b/>
                <w:w w:val="95"/>
                <w:sz w:val="17"/>
              </w:rPr>
              <w:t>Expectations</w:t>
              <w:tab/>
            </w:r>
            <w:r>
              <w:rPr>
                <w:b/>
                <w:sz w:val="17"/>
              </w:rPr>
              <w:t>Output</w:t>
            </w:r>
          </w:p>
          <w:p>
            <w:pPr>
              <w:pStyle w:val="TableParagraph"/>
              <w:spacing w:before="36"/>
              <w:ind w:left="146"/>
              <w:rPr>
                <w:b/>
                <w:sz w:val="17"/>
              </w:rPr>
            </w:pPr>
            <w:r>
              <w:rPr>
                <w:b/>
                <w:sz w:val="17"/>
              </w:rPr>
              <w:t>-8</w:t>
            </w:r>
          </w:p>
          <w:p>
            <w:pPr>
              <w:pStyle w:val="TableParagraph"/>
              <w:spacing w:before="11"/>
              <w:rPr>
                <w:rFonts w:ascii="Arial"/>
                <w:sz w:val="18"/>
              </w:rPr>
            </w:pPr>
          </w:p>
          <w:p>
            <w:pPr>
              <w:pStyle w:val="TableParagraph"/>
              <w:ind w:left="67"/>
              <w:rPr>
                <w:b/>
                <w:sz w:val="17"/>
              </w:rPr>
            </w:pPr>
            <w:r>
              <w:rPr>
                <w:b/>
                <w:sz w:val="17"/>
              </w:rPr>
              <w:t>-10</w:t>
            </w:r>
          </w:p>
          <w:p>
            <w:pPr>
              <w:pStyle w:val="TableParagraph"/>
              <w:tabs>
                <w:tab w:pos="1075" w:val="left" w:leader="none"/>
                <w:tab w:pos="1881" w:val="left" w:leader="none"/>
                <w:tab w:pos="2688" w:val="left" w:leader="none"/>
                <w:tab w:pos="3495" w:val="left" w:leader="none"/>
                <w:tab w:pos="4302" w:val="left" w:leader="none"/>
              </w:tabs>
              <w:spacing w:before="21"/>
              <w:ind w:left="268" w:right="-15"/>
              <w:rPr>
                <w:b/>
                <w:sz w:val="17"/>
              </w:rPr>
            </w:pPr>
            <w:r>
              <w:rPr>
                <w:b/>
                <w:sz w:val="17"/>
              </w:rPr>
              <w:t>2000</w:t>
              <w:tab/>
              <w:t>2004</w:t>
              <w:tab/>
              <w:t>2008</w:t>
              <w:tab/>
              <w:t>2012</w:t>
              <w:tab/>
              <w:t>2016</w:t>
              <w:tab/>
            </w:r>
            <w:r>
              <w:rPr>
                <w:b/>
                <w:w w:val="90"/>
                <w:sz w:val="17"/>
              </w:rPr>
              <w:t>2020</w:t>
            </w:r>
          </w:p>
        </w:tc>
        <w:tc>
          <w:tcPr>
            <w:tcW w:w="121" w:type="dxa"/>
            <w:tcBorders>
              <w:top w:val="single" w:sz="2" w:space="0" w:color="D9D9D9"/>
              <w:bottom w:val="single" w:sz="2" w:space="0" w:color="D9D9D9"/>
              <w:right w:val="single" w:sz="2" w:space="0" w:color="D9D9D9"/>
            </w:tcBorders>
          </w:tcPr>
          <w:p>
            <w:pPr>
              <w:pStyle w:val="TableParagraph"/>
              <w:rPr>
                <w:rFonts w:ascii="Times New Roman"/>
                <w:sz w:val="18"/>
              </w:rPr>
            </w:pPr>
          </w:p>
        </w:tc>
        <w:tc>
          <w:tcPr>
            <w:tcW w:w="187" w:type="dxa"/>
            <w:tcBorders>
              <w:left w:val="single" w:sz="2" w:space="0" w:color="D9D9D9"/>
              <w:right w:val="single" w:sz="2" w:space="0" w:color="D9D9D9"/>
            </w:tcBorders>
          </w:tcPr>
          <w:p>
            <w:pPr>
              <w:pStyle w:val="TableParagraph"/>
              <w:rPr>
                <w:rFonts w:ascii="Times New Roman"/>
                <w:sz w:val="18"/>
              </w:rPr>
            </w:pPr>
          </w:p>
        </w:tc>
        <w:tc>
          <w:tcPr>
            <w:tcW w:w="4740" w:type="dxa"/>
            <w:tcBorders>
              <w:top w:val="single" w:sz="2" w:space="0" w:color="D9D9D9"/>
              <w:left w:val="single" w:sz="2" w:space="0" w:color="D9D9D9"/>
              <w:bottom w:val="single" w:sz="2" w:space="0" w:color="D9D9D9"/>
              <w:right w:val="single" w:sz="2" w:space="0" w:color="D9D9D9"/>
            </w:tcBorders>
          </w:tcPr>
          <w:p>
            <w:pPr>
              <w:pStyle w:val="TableParagraph"/>
              <w:spacing w:line="196" w:lineRule="exact" w:before="27"/>
              <w:ind w:left="40"/>
              <w:rPr>
                <w:b/>
                <w:sz w:val="17"/>
              </w:rPr>
            </w:pPr>
            <w:r>
              <w:rPr>
                <w:b/>
                <w:sz w:val="17"/>
              </w:rPr>
              <w:t>100</w:t>
            </w:r>
          </w:p>
          <w:p>
            <w:pPr>
              <w:pStyle w:val="TableParagraph"/>
              <w:spacing w:line="196" w:lineRule="exact"/>
              <w:ind w:left="282"/>
              <w:rPr>
                <w:b/>
                <w:sz w:val="17"/>
              </w:rPr>
            </w:pPr>
            <w:r>
              <w:rPr>
                <w:b/>
                <w:w w:val="91"/>
                <w:sz w:val="17"/>
              </w:rPr>
              <w:t>%</w:t>
            </w:r>
          </w:p>
          <w:p>
            <w:pPr>
              <w:pStyle w:val="TableParagraph"/>
              <w:spacing w:before="1"/>
              <w:ind w:left="119"/>
              <w:rPr>
                <w:b/>
                <w:sz w:val="17"/>
              </w:rPr>
            </w:pPr>
            <w:r>
              <w:rPr>
                <w:b/>
                <w:sz w:val="17"/>
              </w:rPr>
              <w:t>80</w:t>
            </w:r>
          </w:p>
          <w:p>
            <w:pPr>
              <w:pStyle w:val="TableParagraph"/>
              <w:spacing w:before="2"/>
              <w:rPr>
                <w:rFonts w:ascii="Arial"/>
                <w:sz w:val="16"/>
              </w:rPr>
            </w:pPr>
          </w:p>
          <w:p>
            <w:pPr>
              <w:pStyle w:val="TableParagraph"/>
              <w:ind w:left="119"/>
              <w:rPr>
                <w:b/>
                <w:sz w:val="17"/>
              </w:rPr>
            </w:pPr>
            <w:r>
              <w:rPr>
                <w:b/>
                <w:sz w:val="17"/>
              </w:rPr>
              <w:t>60</w:t>
            </w:r>
          </w:p>
          <w:p>
            <w:pPr>
              <w:pStyle w:val="TableParagraph"/>
              <w:spacing w:before="2"/>
              <w:rPr>
                <w:rFonts w:ascii="Arial"/>
                <w:sz w:val="16"/>
              </w:rPr>
            </w:pPr>
          </w:p>
          <w:p>
            <w:pPr>
              <w:pStyle w:val="TableParagraph"/>
              <w:ind w:left="119"/>
              <w:rPr>
                <w:b/>
                <w:sz w:val="17"/>
              </w:rPr>
            </w:pPr>
            <w:r>
              <w:rPr>
                <w:b/>
                <w:sz w:val="17"/>
              </w:rPr>
              <w:t>40</w:t>
            </w:r>
          </w:p>
          <w:p>
            <w:pPr>
              <w:pStyle w:val="TableParagraph"/>
              <w:spacing w:before="2"/>
              <w:rPr>
                <w:rFonts w:ascii="Arial"/>
                <w:sz w:val="16"/>
              </w:rPr>
            </w:pPr>
          </w:p>
          <w:p>
            <w:pPr>
              <w:pStyle w:val="TableParagraph"/>
              <w:spacing w:before="1"/>
              <w:ind w:left="119"/>
              <w:rPr>
                <w:b/>
                <w:sz w:val="17"/>
              </w:rPr>
            </w:pPr>
            <w:r>
              <w:rPr>
                <w:b/>
                <w:sz w:val="17"/>
              </w:rPr>
              <w:t>20</w:t>
            </w:r>
          </w:p>
          <w:p>
            <w:pPr>
              <w:pStyle w:val="TableParagraph"/>
              <w:spacing w:before="2"/>
              <w:rPr>
                <w:rFonts w:ascii="Arial"/>
                <w:sz w:val="16"/>
              </w:rPr>
            </w:pPr>
          </w:p>
          <w:p>
            <w:pPr>
              <w:pStyle w:val="TableParagraph"/>
              <w:ind w:left="198"/>
              <w:rPr>
                <w:b/>
                <w:sz w:val="17"/>
              </w:rPr>
            </w:pPr>
            <w:r>
              <w:rPr>
                <w:b/>
                <w:w w:val="91"/>
                <w:sz w:val="17"/>
              </w:rPr>
              <w:t>0</w:t>
            </w:r>
          </w:p>
          <w:p>
            <w:pPr>
              <w:pStyle w:val="TableParagraph"/>
              <w:ind w:left="346"/>
              <w:rPr>
                <w:rFonts w:ascii="Arial"/>
                <w:sz w:val="20"/>
              </w:rPr>
            </w:pPr>
            <w:r>
              <w:rPr>
                <w:rFonts w:ascii="Arial"/>
                <w:position w:val="7"/>
                <w:sz w:val="20"/>
              </w:rPr>
              <w:pict>
                <v:group style="width:88.3pt;height:34.75pt;mso-position-horizontal-relative:char;mso-position-vertical-relative:line" coordorigin="0,0" coordsize="1766,695">
                  <v:shape style="position:absolute;left:9;top:0;width:234;height:276" type="#_x0000_t75" stroked="false">
                    <v:imagedata r:id="rId9" o:title=""/>
                  </v:shape>
                  <v:shape style="position:absolute;left:0;top:26;width:548;height:588" coordorigin="0,27" coordsize="548,588" path="m11,567l7,567,5,571,3,573,2,573,0,575,0,577,0,577,0,579,2,579,55,615,60,615,62,613,63,611,66,609,67,607,68,605,69,605,69,603,69,603,69,601,69,601,68,599,55,599,11,567xm39,537l35,537,33,539,32,539,29,543,28,545,28,545,27,547,27,547,28,549,28,549,55,599,68,599,46,557,69,557,39,537xm87,583l84,583,86,585,86,585,87,583xm69,557l46,557,83,583,88,583,90,581,91,579,94,577,95,575,96,573,97,573,97,571,98,571,97,569,97,569,97,567,83,567,69,557xm65,507l60,507,59,509,58,511,57,511,56,513,55,513,55,515,55,517,56,517,84,567,97,567,67,509,66,509,65,507xm125,501l106,501,107,503,109,503,110,505,113,507,107,515,105,517,103,521,101,523,99,531,99,535,100,539,102,541,107,547,111,549,117,549,118,547,122,545,124,545,128,539,129,537,130,535,113,535,111,533,111,531,110,529,110,527,110,525,111,525,113,521,114,519,119,515,138,515,125,501xm37,535l36,535,36,537,38,537,37,535xm138,515l119,515,124,521,124,525,123,529,123,531,120,535,130,535,131,531,132,529,131,525,140,525,141,523,142,523,142,521,142,519,138,515xm139,525l131,525,134,529,136,529,137,527,138,527,139,525xm91,521l88,521,89,523,91,523,91,521xm109,487l105,489,102,489,98,491,95,495,91,499,90,501,88,503,87,505,85,509,85,511,84,513,84,515,84,517,85,517,85,519,86,519,86,521,92,521,92,519,94,513,96,509,97,507,100,505,101,503,103,503,104,501,125,501,118,493,115,491,111,489,109,487xm64,505l62,505,61,507,65,507,64,505xm144,479l125,479,142,497,144,501,145,501,149,505,157,505,158,503,160,503,162,501,164,499,166,497,167,495,168,493,168,493,168,491,169,491,168,489,153,489,151,487,144,479xm167,487l159,487,157,489,168,489,167,487xm164,483l161,483,160,485,160,485,159,487,167,487,166,485,164,483xm141,461l110,461,110,463,118,471,114,475,113,475,113,477,114,477,114,479,115,481,117,483,118,483,120,485,121,483,125,479,144,479,134,469,141,461xm179,417l165,417,157,423,155,427,153,429,151,437,150,439,150,447,151,451,154,457,157,461,159,463,162,467,171,473,177,473,180,475,192,467,196,463,198,461,178,461,176,459,173,459,171,455,176,449,165,449,164,447,163,445,161,443,161,441,161,439,161,437,162,435,162,433,166,429,168,427,190,427,186,423,184,419,181,419,179,417xm119,451l118,451,117,453,115,453,114,455,112,457,111,459,110,459,110,461,127,461,119,451xm138,453l134,453,127,461,142,461,142,459,141,457,140,457,138,453xm200,441l197,441,196,443,194,447,193,449,191,453,190,453,185,459,182,461,198,461,200,457,201,455,203,453,203,451,204,449,204,447,204,447,204,445,203,445,202,443,200,441xm135,451l135,451,134,453,136,453,135,451xm191,427l168,427,171,429,173,429,178,433,165,449,176,449,191,433,192,431,192,429,191,427xm205,383l194,383,193,385,192,387,192,389,192,393,192,399,180,399,180,401,180,401,180,403,213,439,216,439,217,437,218,437,220,435,220,433,222,433,222,431,222,431,222,429,222,429,202,405,201,403,201,403,201,401,201,397,201,395,201,395,202,393,202,393,203,391,205,391,206,389,208,389,208,387,207,387,206,385,205,383xm171,415l168,417,176,417,171,415xm188,393l186,393,184,395,182,397,181,399,192,399,188,393xm259,383l254,383,256,385,257,385,259,383xm203,381l195,381,194,383,204,383,203,381xm265,381l248,381,250,383,263,383,265,381xm202,379l198,379,196,381,202,381,202,379xm286,349l230,349,231,351,238,351,240,353,239,355,239,357,238,361,238,365,239,369,239,371,241,375,242,377,243,377,245,379,247,381,267,381,268,379,270,379,272,377,273,375,277,371,278,369,256,369,255,367,254,367,253,365,252,365,251,363,250,361,250,359,250,359,250,355,250,353,286,353,286,349xm286,353l274,353,273,355,273,357,273,357,272,359,271,361,270,363,269,363,267,365,266,367,263,369,278,369,280,367,281,365,283,361,284,359,285,355,286,353xm295,347l225,347,226,349,290,349,295,347xm245,305l237,305,232,309,230,311,225,317,222,321,220,327,219,329,219,335,219,337,221,341,222,343,225,347,298,347,299,345,300,345,301,343,302,343,303,341,303,341,303,339,243,339,239,337,235,337,234,335,233,335,232,333,232,333,231,331,231,329,231,327,232,325,233,323,235,321,236,321,238,319,257,319,256,317,255,313,254,311,251,307,249,307,245,305xm257,319l242,319,242,321,244,321,245,323,245,325,246,331,245,333,245,335,244,339,254,339,255,335,256,331,257,327,257,319xm302,337l273,337,274,339,302,339,302,337xm284,329l270,329,270,331,272,333,272,335,273,337,286,337,285,335,285,333,284,329xm298,333l295,333,294,335,291,335,289,337,301,337,298,333xm275,315l273,315,272,317,271,317,268,321,267,323,266,323,266,325,266,325,269,327,269,329,283,329,282,325,281,323,279,321,278,319,275,315xm324,313l317,313,319,315,323,315,324,313xm344,279l329,279,331,281,331,283,332,285,332,287,332,289,332,291,331,291,330,293,329,295,327,297,323,301,321,301,320,303,316,303,313,305,312,305,312,307,312,307,313,309,313,309,314,311,316,313,325,313,328,311,329,311,333,309,334,307,338,301,340,299,342,295,343,293,344,289,345,283,344,281,344,279xm310,283l294,283,296,285,308,285,310,283xm309,241l295,241,293,243,292,245,291,247,288,249,287,251,284,257,283,259,283,263,283,267,283,269,285,273,286,277,290,281,292,283,312,283,315,281,317,281,319,279,344,279,344,277,343,273,341,271,338,269,298,269,297,267,296,267,296,265,295,263,295,263,295,261,295,259,296,257,297,255,300,253,301,251,304,249,306,249,309,247,312,247,312,245,311,245,311,243,310,243,309,241xm333,263l317,263,313,265,310,267,308,267,306,269,338,269,337,267,333,263xm360,211l350,211,347,213,344,213,341,215,339,219,336,221,334,225,332,231,332,233,332,237,332,241,333,245,336,253,338,255,341,259,344,261,347,265,353,269,365,269,373,263,376,259,378,257,379,255,358,255,355,253,354,251,352,251,359,243,345,243,344,241,343,237,342,237,342,235,342,233,343,231,343,229,344,227,347,223,372,223,371,221,370,219,368,217,365,215,360,211xm325,261l323,263,327,263,325,261xm386,243l375,243,373,247,372,249,370,251,368,253,367,253,364,255,379,255,381,253,382,251,383,249,384,247,385,245,386,243xm373,223l355,223,357,225,360,229,346,243,359,243,372,229,373,227,373,227,373,223xm383,237l378,237,377,239,376,241,376,243,386,243,386,241,385,241,385,239,383,239,383,237xm307,239l298,239,297,241,308,241,307,239xm305,237l303,237,300,239,306,239,305,237xm381,235l379,235,378,237,381,237,381,235xm368,191l364,191,364,193,361,195,360,197,359,197,359,199,358,199,358,201,359,201,360,203,362,203,400,227,404,227,405,225,405,225,406,223,408,223,409,221,410,219,412,217,412,217,412,215,412,215,412,213,411,211,398,211,368,191xm389,165l388,165,387,167,386,167,385,169,384,169,383,171,382,173,381,173,380,175,381,177,381,177,398,211,411,211,397,185,397,185,420,185,390,167,389,165xm420,185l397,185,397,185,422,201,426,201,427,199,429,199,431,195,434,193,434,191,435,191,435,189,434,189,434,187,421,187,420,185xm413,143l407,143,404,147,403,149,402,149,402,151,403,151,420,185,421,187,434,187,414,145,413,143xm397,185l397,185,397,185,397,185xm462,123l444,123,445,125,446,125,446,127,448,129,442,135,437,145,436,147,434,153,434,155,436,161,437,163,441,167,442,167,446,169,454,169,458,167,460,165,461,163,463,161,465,159,465,157,450,157,449,155,448,155,447,153,446,153,446,151,446,151,446,147,446,147,446,145,447,143,448,143,449,141,451,139,454,135,472,135,462,123xm472,135l454,135,460,141,460,147,459,149,459,151,458,153,455,155,454,157,465,157,467,153,467,151,467,147,475,147,476,145,476,145,477,143,477,143,477,141,477,141,472,135xm473,147l467,147,469,149,473,149,473,147xm481,113l472,113,472,117,473,121,474,123,475,125,476,127,484,127,484,129,484,131,484,135,484,135,484,137,485,137,486,139,486,141,488,143,490,145,499,145,501,143,504,141,506,139,509,137,512,133,496,133,494,131,494,129,494,129,493,127,493,125,493,125,493,121,499,115,482,115,481,113xm412,141l409,141,408,143,412,143,412,141xm428,139l420,139,422,141,423,143,427,143,427,141,428,141,428,139xm447,109l438,109,433,113,431,115,427,119,425,121,423,125,422,127,421,129,420,131,419,135,419,137,419,137,420,139,428,139,429,135,430,133,432,131,433,129,434,127,435,125,437,125,438,123,462,123,453,113,451,111,447,109xm521,111l507,111,508,113,509,113,509,115,510,117,510,119,510,119,509,121,509,123,508,123,507,125,503,129,501,131,499,131,498,133,512,133,514,131,516,129,518,125,519,121,520,119,521,113,521,111xm484,127l479,127,481,129,482,129,484,127xm514,99l501,99,500,101,498,103,488,113,486,115,499,115,501,113,503,113,504,111,521,111,519,107,518,105,517,103,515,101,514,99xm486,75l467,75,466,77,464,77,461,81,459,83,457,89,456,91,456,93,456,97,457,99,458,103,460,105,463,109,465,111,467,113,481,113,480,111,480,111,481,109,482,109,484,107,485,107,490,101,471,101,469,99,468,97,467,95,467,93,467,93,467,91,467,89,468,87,471,85,473,83,492,83,491,81,490,79,487,77,486,75xm492,83l476,83,478,85,480,87,481,87,481,89,482,89,482,91,482,95,482,97,481,97,478,101,490,101,491,99,492,97,493,93,493,89,493,87,492,83xm509,97l507,97,505,99,510,99,509,97xm520,27l512,27,504,33,498,39,497,41,494,49,494,51,494,55,494,59,495,61,498,69,500,73,503,75,506,79,515,85,527,85,535,79,540,75,541,73,522,73,520,71,517,69,516,69,514,67,520,61,509,61,507,59,506,57,506,57,505,55,505,53,504,51,504,51,504,49,505,47,505,45,506,45,510,41,512,39,535,39,534,37,530,33,527,31,522,29,520,27xm481,61l480,61,479,63,469,73,468,75,482,75,487,69,487,69,486,67,485,65,484,65,483,63,482,63,481,61xm545,53l540,53,540,55,539,57,538,59,537,61,535,63,534,65,532,67,529,71,526,71,525,73,541,73,542,71,544,69,545,67,546,65,547,63,548,61,548,57,546,57,546,55,545,53xm535,39l515,39,520,43,522,45,509,61,520,61,535,43,535,43,535,41,535,39xm542,51l541,51,541,53,543,53,542,51xe" filled="true" fillcolor="#000000" stroked="false">
                    <v:path arrowok="t"/>
                    <v:fill type="solid"/>
                  </v:shape>
                  <v:shape style="position:absolute;left:435;top:26;width:419;height:454" coordorigin="435,26" coordsize="419,454" path="m465,408l451,408,450,410,447,412,446,414,441,418,439,422,437,426,436,430,435,434,435,440,435,444,436,448,438,454,440,458,443,462,451,472,455,474,459,478,463,480,478,480,485,476,489,474,494,468,495,466,475,466,470,464,468,464,463,460,457,456,455,452,453,450,451,446,450,444,449,440,448,436,448,432,449,430,450,428,451,426,453,424,456,420,459,418,462,418,465,416,468,416,468,414,468,412,467,412,467,410,465,410,465,408xm495,442l492,442,492,444,491,448,491,450,490,452,488,456,487,458,485,460,483,462,481,464,477,464,475,466,495,466,497,462,498,460,500,458,500,456,501,454,501,450,500,450,500,448,499,448,498,446,498,446,495,442xm511,380l502,380,494,386,488,392,486,396,484,400,483,404,482,406,482,410,483,414,483,418,487,424,489,428,494,434,497,436,503,440,515,440,518,438,520,438,523,434,529,428,530,426,507,426,504,422,502,422,500,420,499,418,497,416,495,412,495,410,494,408,494,404,495,402,496,400,497,398,499,396,501,396,502,394,528,394,525,390,523,388,520,384,514,382,511,380xm528,394l505,394,508,396,510,396,513,398,515,400,516,402,518,404,520,406,521,408,522,410,522,412,523,412,523,416,522,420,521,422,518,424,516,426,530,426,531,424,533,422,534,418,535,414,534,410,534,408,533,404,530,398,528,394xm462,406l455,406,454,408,464,408,462,406xm548,336l541,336,539,338,537,338,532,342,530,344,529,348,528,350,527,354,527,356,527,362,516,362,515,364,515,364,515,366,515,366,548,404,549,404,550,402,552,402,555,398,555,398,557,396,557,394,557,394,557,392,535,368,535,366,535,362,535,360,536,358,536,356,539,354,540,352,564,352,559,346,556,342,554,340,552,340,550,338,548,336xm564,352l546,352,548,354,550,356,570,378,573,378,574,376,575,376,576,374,577,372,579,370,579,370,579,368,579,368,564,352xm523,356l522,356,521,358,520,358,519,360,518,360,516,362,527,362,523,358,523,356xm596,352l582,352,584,354,585,356,591,356,594,354,595,354,596,352xm607,330l594,330,595,332,596,332,596,334,596,336,596,336,595,338,595,338,594,340,594,340,593,342,592,342,590,344,588,346,585,346,584,348,580,348,580,350,581,350,581,352,597,352,599,350,603,344,606,338,607,336,607,332,607,330xm583,332l565,332,566,334,569,336,577,336,583,332xm579,298l573,298,571,300,569,302,568,302,567,304,564,306,562,310,560,314,559,316,559,324,561,328,562,330,563,332,585,332,586,330,607,330,606,324,604,322,572,322,571,320,570,320,570,318,570,318,570,316,570,316,571,314,572,312,573,312,574,310,575,310,577,308,578,308,579,306,583,306,583,304,584,304,583,302,582,300,581,300,579,298xm601,318l583,318,581,320,579,320,578,322,604,322,603,320,601,318xm603,266l601,266,601,268,594,276,577,276,584,286,581,290,580,290,580,292,580,292,582,294,592,294,608,312,612,316,616,318,618,320,623,320,625,318,627,318,631,314,632,312,633,310,634,310,634,308,635,308,635,306,635,306,635,304,620,304,618,302,616,300,601,284,609,274,609,274,608,272,607,272,606,270,605,268,604,268,603,266xm598,316l588,316,586,318,600,318,598,316xm634,302l625,302,624,304,635,304,634,302xm632,300l626,300,626,302,633,302,632,300xm631,298l628,298,627,300,632,300,631,298xm578,296l577,296,576,298,578,298,578,296xm592,294l582,294,583,296,584,298,588,298,592,294xm629,296l628,296,628,298,629,298,629,296xm633,248l623,248,623,254,612,254,611,256,611,256,612,258,644,294,647,294,648,292,649,292,651,290,652,288,653,288,653,286,653,286,653,284,633,260,633,258,632,258,632,256,632,252,632,250,632,250,633,248xm586,266l584,266,583,268,582,268,581,270,579,272,579,272,578,274,577,274,577,276,594,276,586,266xm645,220l642,220,640,222,639,222,638,224,637,226,636,226,636,228,636,228,636,230,636,230,656,252,658,254,661,256,663,258,665,260,667,260,671,262,674,262,678,260,680,258,686,250,687,248,687,246,670,246,669,244,667,244,665,242,645,220xm619,248l617,248,616,250,615,250,614,252,613,252,612,254,623,254,619,248xm639,242l623,242,623,244,623,248,633,248,634,246,636,246,638,244,639,244,639,242xm667,194l665,194,664,196,663,196,662,198,661,198,660,200,659,200,658,202,658,204,658,204,658,206,679,230,680,232,680,236,679,240,678,242,676,244,675,244,673,246,687,246,688,244,688,242,688,236,698,236,700,234,700,234,700,232,699,232,667,194xm636,238l625,238,624,240,623,242,638,242,638,240,636,238xm698,236l688,236,692,240,695,240,696,238,698,236xm634,236l626,236,625,238,635,238,634,236xm633,234l629,234,627,236,633,236,633,234xm644,218l644,218,644,220,645,220,644,218xm706,166l688,166,685,170,683,174,681,180,680,182,680,190,684,200,686,204,690,208,693,210,704,218,712,218,718,214,720,212,724,208,725,208,727,204,710,204,707,202,705,202,702,200,700,198,695,192,693,188,692,184,692,182,693,178,696,174,697,174,700,172,702,172,704,170,707,170,707,168,706,166xm729,192l720,192,720,194,719,196,718,198,715,200,714,202,711,202,710,204,727,204,727,202,728,200,729,198,729,196,730,196,729,192xm725,186l721,186,721,188,720,190,720,192,729,192,728,190,727,190,726,188,725,186xm726,126l725,126,724,128,717,136,701,136,701,138,708,146,704,150,704,150,704,152,704,152,704,154,716,154,732,172,734,174,736,176,740,178,742,180,747,180,749,178,751,178,752,176,755,174,756,172,756,172,757,170,758,168,758,168,759,166,759,166,759,164,743,164,742,162,725,144,732,136,732,134,732,132,731,132,729,130,728,128,727,128,726,126xm704,164l691,164,689,166,705,166,704,164xm703,162l695,162,692,164,703,164,703,162xm756,160l750,160,749,162,748,164,759,164,758,162,757,162,756,160xm701,160l698,160,696,162,702,162,701,160xm755,158l751,158,751,160,755,160,755,158xm716,154l706,154,708,158,712,158,716,154xm742,110l740,110,739,112,737,112,736,114,735,114,733,118,733,118,732,120,733,120,765,158,767,158,769,156,770,154,773,152,774,150,774,150,774,148,774,146,742,110xm710,126l708,126,707,128,706,128,704,130,702,132,701,134,701,136,717,136,710,126xm783,72l777,72,774,74,769,76,766,78,763,82,760,86,758,88,756,92,755,96,755,98,755,102,755,106,756,110,759,116,761,120,767,126,769,128,778,134,784,134,787,132,790,132,796,128,801,120,784,120,782,118,779,118,777,116,776,116,774,114,773,112,771,110,770,108,769,106,768,104,767,102,766,98,766,98,767,94,768,92,771,88,773,88,776,86,800,86,798,84,795,80,792,78,783,72xm800,86l777,86,781,88,782,88,785,90,787,92,789,94,790,96,792,98,794,102,794,104,795,106,795,108,795,108,794,112,793,114,790,118,787,118,785,120,801,120,804,118,805,114,806,110,807,106,807,104,806,100,806,96,803,90,800,86xm728,94l725,94,724,96,720,100,718,102,718,106,719,108,723,112,729,112,733,106,734,104,734,102,733,100,730,96,728,94xm823,26l816,26,812,28,810,30,805,34,804,36,802,44,802,50,792,50,791,52,790,52,790,54,790,56,790,56,823,92,825,92,827,90,828,90,830,88,831,86,831,86,832,84,832,84,832,82,810,58,810,56,810,52,811,46,811,46,813,42,840,42,834,34,831,32,829,30,827,28,825,28,823,26xm840,42l822,42,823,44,824,44,845,68,847,68,849,66,850,64,851,62,853,62,853,60,854,60,854,58,854,58,840,42xm798,46l795,46,794,48,793,50,802,50,798,46xe" filled="true" fillcolor="#000000" stroked="false">
                    <v:path arrowok="t"/>
                    <v:fill type="solid"/>
                  </v:shape>
                  <v:shape style="position:absolute;left:535;top:3;width:622;height:692" coordorigin="536,3" coordsize="622,692" path="m547,647l543,647,541,649,538,653,537,655,536,655,536,657,536,657,536,659,537,659,539,661,590,695,596,695,597,693,600,691,602,687,604,685,604,685,605,683,605,683,605,681,604,681,604,679,591,679,547,647xm575,617l570,617,568,619,566,621,565,623,564,625,563,625,563,627,563,627,563,629,564,629,591,679,604,679,581,637,604,637,575,617xm623,663l620,663,621,665,622,665,623,663xm604,637l581,637,619,663,624,663,625,661,627,659,629,657,631,655,632,653,632,653,633,651,633,651,633,649,633,649,632,647,619,647,604,637xm600,585l598,585,597,587,595,589,593,591,592,593,591,593,591,597,592,597,619,647,632,647,602,589,602,589,601,587,600,587,600,585xm611,567l607,567,606,569,606,569,605,571,603,571,602,573,602,575,601,577,602,577,650,631,653,631,654,629,655,629,656,627,657,625,658,623,659,623,659,621,659,621,637,597,637,595,637,591,637,587,629,587,611,567xm573,615l572,615,571,617,573,617,573,615xm666,579l644,579,647,581,648,581,650,583,651,583,672,607,674,607,674,605,676,605,676,603,677,603,679,601,680,599,681,599,681,597,680,595,666,579xm652,565l643,565,639,567,636,567,632,573,631,575,630,577,629,583,629,587,637,587,637,585,638,583,640,581,641,581,643,579,666,579,658,571,656,569,652,565xm690,521l681,521,672,527,666,533,664,537,662,545,661,547,661,551,661,555,662,559,664,561,665,565,667,569,673,575,682,581,685,581,690,583,693,581,699,579,702,575,708,569,690,569,687,567,686,567,682,563,681,563,679,561,677,559,676,557,674,553,673,551,673,549,673,545,674,543,675,541,678,537,679,537,682,535,707,535,704,531,701,529,698,525,693,523,690,521xm707,535l686,535,687,537,689,537,692,539,695,543,697,545,698,547,700,551,701,553,701,553,701,557,700,561,700,563,697,565,695,567,692,567,690,569,708,569,710,565,711,563,713,559,713,555,713,549,712,545,709,539,707,535xm691,477l687,477,686,479,686,479,684,481,683,481,683,483,682,483,681,487,682,487,730,541,732,541,733,539,734,539,736,537,737,535,738,533,739,533,739,531,738,531,691,477xm747,459l737,459,734,461,731,461,729,463,726,467,723,469,722,473,720,475,719,479,719,481,719,485,719,489,720,493,723,499,725,503,731,509,734,513,740,515,743,517,749,517,752,515,757,513,760,511,763,507,765,505,766,503,745,503,742,501,741,499,739,499,746,491,732,491,731,489,730,485,730,485,729,483,729,479,730,479,730,477,731,475,734,471,760,471,759,469,757,467,755,465,752,463,747,459xm773,491l762,491,761,493,760,495,759,497,757,499,756,501,754,501,751,503,766,503,769,499,770,499,770,497,771,495,772,493,773,491xm760,471l742,471,745,473,747,477,733,491,746,491,759,475,760,475,760,473,760,473,760,471xm769,483l766,483,765,485,765,487,764,487,763,491,773,491,773,489,772,489,771,487,769,485,769,483xm790,475l777,475,779,477,780,479,786,479,787,477,789,477,790,475xm690,475l689,477,690,477,690,475xm793,473l776,473,777,475,791,475,793,473xm802,451l786,451,788,453,789,453,790,455,791,455,791,457,791,459,791,459,791,461,790,461,789,463,787,465,786,467,783,467,782,469,779,469,778,471,776,471,776,473,794,473,799,467,801,461,802,459,803,453,802,451xm772,457l765,457,766,459,771,459,772,457xm779,425l762,425,761,427,759,429,758,431,755,439,755,445,756,449,757,451,759,453,760,455,762,457,775,457,779,455,782,453,785,453,786,451,802,451,801,447,800,445,768,445,767,443,766,443,766,441,765,441,765,439,766,437,766,437,767,435,768,433,769,433,770,431,774,429,776,429,778,427,779,427,779,425xm795,439l781,439,779,441,777,441,776,443,772,443,771,445,800,445,798,443,795,439xm818,443l805,443,807,445,816,445,818,443xm824,399l805,399,807,401,808,401,809,403,811,405,808,409,805,411,803,415,798,423,797,425,797,429,797,431,799,439,801,441,803,443,820,443,824,439,826,437,827,433,813,433,811,431,809,429,809,427,808,425,808,423,809,421,811,419,812,417,817,411,834,411,824,399xm790,437l787,437,786,439,792,439,790,437xm834,411l817,411,822,417,822,423,822,425,821,427,820,427,818,431,816,431,813,433,827,433,829,429,829,427,829,423,837,423,838,421,839,421,840,419,840,419,840,417,839,417,834,411xm777,423l764,423,763,425,778,425,777,423xm836,423l829,423,832,425,834,425,836,423xm776,421l769,421,767,423,776,423,776,421xm774,419l770,419,769,421,774,421,774,419xm790,417l785,417,786,419,789,419,790,417xm809,385l800,385,798,387,796,389,793,391,789,395,788,397,786,401,785,403,784,403,783,405,783,407,782,409,782,411,782,413,782,413,782,415,783,415,784,417,790,417,790,415,791,413,792,411,792,409,793,407,794,405,795,405,798,401,799,401,800,399,824,399,815,389,813,387,811,387,809,385xm812,339l809,339,808,341,807,341,806,343,805,345,803,345,803,347,802,349,803,351,851,405,852,405,853,403,855,403,855,401,857,399,858,397,860,397,860,395,860,395,860,393,859,393,812,339xm868,323l855,323,847,329,844,333,843,335,841,339,840,343,840,345,840,349,840,353,841,357,844,363,846,367,852,373,861,379,867,379,870,381,881,373,886,369,887,367,867,367,866,365,863,365,862,363,860,361,866,355,854,355,853,353,852,353,851,349,851,347,850,347,850,343,851,341,851,341,852,339,855,335,858,333,879,333,878,331,876,329,873,327,868,323xm891,359l880,359,878,361,877,363,875,365,872,367,887,367,888,365,891,361,891,359xm890,347l886,347,886,349,885,351,884,353,881,359,892,359,893,357,893,355,894,355,894,353,894,353,893,351,892,351,892,349,890,349,890,347xm881,333l858,333,860,335,863,335,868,339,854,355,866,355,881,339,881,337,881,335,881,333xm860,321l858,323,866,323,860,321xm951,283l895,283,896,285,903,285,905,287,904,289,904,291,903,295,903,299,904,303,904,305,905,307,906,309,907,311,908,311,910,313,912,315,915,317,928,317,930,315,931,315,933,313,935,313,937,311,940,307,941,305,943,303,922,303,920,301,919,301,918,299,916,299,916,297,915,295,915,293,915,293,915,289,915,287,951,287,951,283xm951,287l939,287,938,289,938,291,937,291,936,293,936,295,935,297,934,297,932,299,931,301,928,303,943,303,945,301,946,299,948,295,949,293,950,289,951,287xm961,281l891,281,892,283,958,283,961,281xm910,239l902,239,900,241,897,243,895,245,892,249,889,251,887,255,886,257,885,261,884,263,883,269,884,271,886,275,887,277,889,281,963,281,965,279,965,279,966,277,967,277,967,275,968,275,967,273,907,273,905,271,900,271,899,269,898,269,897,267,897,267,896,265,896,265,896,261,896,261,897,259,897,259,898,257,900,255,901,255,902,253,922,253,921,251,920,249,920,247,919,245,916,241,914,241,910,239xm922,253l906,253,907,255,909,255,910,257,910,259,910,265,910,265,910,267,909,273,919,273,920,269,921,265,922,261,922,253xm963,267l960,267,959,269,957,269,953,271,938,271,939,273,967,273,965,271,964,269,963,267xm945,255l933,255,932,257,931,257,931,259,931,259,933,261,934,263,935,263,935,265,936,265,937,269,938,269,938,271,951,271,950,269,950,267,949,265,949,263,948,261,947,261,946,259,946,257,945,255xm940,249l938,249,937,251,936,251,934,253,933,255,944,255,942,253,940,249xm982,169l972,169,967,171,965,173,963,173,962,175,961,177,960,177,945,193,945,195,944,195,944,197,945,199,988,247,988,249,990,249,991,247,993,247,994,245,995,243,997,241,998,241,998,239,998,239,998,237,998,237,980,217,983,213,984,213,985,211,1024,211,1024,209,973,209,959,193,965,187,966,187,967,185,968,185,970,183,993,183,992,181,991,179,989,177,986,173,982,169xm1021,213l998,213,1013,221,1016,221,1016,219,1017,219,1018,217,1019,217,1020,215,1021,213xm1023,211l995,211,996,213,1023,213,1023,211xm993,183l976,183,977,185,979,187,980,187,981,189,981,191,982,191,982,195,982,195,981,197,980,201,979,201,973,209,1022,209,1021,207,1019,207,1004,199,991,199,992,197,993,195,993,189,993,187,993,185,993,183xm999,197l993,197,992,199,1000,199,999,197xm1031,139l1020,139,1017,141,1015,141,1012,143,1009,147,1007,149,1005,153,1004,155,1002,159,1002,161,1002,165,1002,169,1003,173,1006,179,1008,183,1014,189,1017,193,1023,195,1026,197,1032,197,1035,195,1041,193,1044,191,1048,185,1049,183,1028,183,1025,181,1024,179,1023,179,1029,171,1016,171,1015,169,1013,165,1013,165,1013,163,1013,159,1013,159,1013,157,1014,155,1015,155,1018,151,1043,151,1042,149,1038,145,1036,143,1031,139xm1056,171l1045,171,1044,173,1043,175,1042,177,1039,181,1037,181,1034,183,1049,183,1052,179,1053,179,1054,177,1054,175,1055,173,1056,171xm1043,151l1025,151,1028,153,1030,157,1017,171,1029,171,1042,155,1043,155,1044,153,1043,153,1043,151xm1052,163l1049,163,1048,165,1048,167,1047,167,1046,171,1056,171,1056,169,1055,169,1054,167,1052,165,1052,163xm1060,127l1043,127,1061,149,1063,149,1067,153,1074,153,1078,151,1082,147,1083,145,1084,143,1085,143,1086,141,1086,139,1073,139,1071,137,1069,137,1060,127xm1085,135l1077,135,1075,137,1073,139,1086,139,1086,137,1086,137,1085,135xm1083,133l1078,133,1077,135,1084,135,1083,133xm1055,101l1052,101,1045,109,1028,109,1028,111,1028,111,1035,119,1031,123,1031,123,1031,125,1031,125,1033,127,1033,129,1035,131,1036,131,1038,133,1039,133,1043,127,1060,127,1052,117,1059,109,1060,107,1059,105,1058,105,1056,103,1055,101xm1082,131l1079,131,1078,133,1083,133,1082,131xm1103,81l1084,81,1085,83,1087,83,1088,85,1091,87,1085,95,1083,97,1081,101,1080,103,1078,109,1077,111,1077,115,1079,119,1080,121,1085,127,1089,129,1095,129,1097,127,1101,125,1102,123,1104,121,1106,119,1108,117,1108,115,1092,115,1090,113,1089,111,1088,109,1088,107,1089,107,1089,105,1089,105,1090,103,1091,101,1092,99,1097,95,1116,95,1103,81xm1116,95l1097,95,1103,101,1103,105,1102,109,1101,111,1100,113,1098,115,1108,115,1109,111,1110,109,1110,105,1118,105,1120,103,1120,103,1120,101,1120,101,1120,99,1120,99,1116,95xm1037,101l1035,101,1033,103,1031,103,1030,105,1029,107,1028,107,1028,109,1045,109,1037,101xm1117,105l1110,105,1113,109,1114,109,1115,107,1116,107,1117,105xm1069,101l1067,101,1068,103,1069,103,1069,101xm1036,99l1036,99,1035,101,1037,101,1036,99xm1087,67l1083,67,1081,69,1076,71,1074,73,1070,79,1068,81,1066,83,1065,85,1064,89,1063,91,1063,91,1062,93,1062,97,1063,97,1063,99,1065,99,1065,101,1070,101,1071,99,1071,97,1072,95,1073,93,1074,89,1076,87,1078,85,1079,83,1081,83,1081,81,1103,81,1096,73,1094,71,1089,69,1087,67xm1105,43l1102,43,1100,45,1098,47,1096,51,1096,51,1095,53,1096,53,1128,91,1130,91,1131,89,1132,89,1133,87,1135,85,1136,85,1137,83,1137,83,1137,81,1137,79,1105,43xm1109,5l1104,5,1103,7,1102,9,1101,9,1100,11,1100,11,1099,13,1100,15,1147,69,1149,69,1150,67,1152,67,1152,65,1154,63,1155,63,1156,61,1156,61,1157,59,1156,59,1109,5xm1091,27l1088,27,1087,29,1085,31,1083,33,1081,35,1081,39,1082,41,1086,45,1092,45,1096,39,1097,37,1097,35,1096,33,1095,31,1093,29,1091,27xm1108,3l1107,3,1107,5,1108,5,1108,3xe" filled="true" fillcolor="#000000" stroked="false">
                    <v:path arrowok="t"/>
                    <v:fill type="solid"/>
                  </v:shape>
                  <v:shape style="position:absolute;left:933;top:4;width:527;height:614" coordorigin="934,5" coordsize="527,614" path="m947,537l945,537,944,539,943,539,941,541,936,547,936,547,934,549,934,549,934,551,934,551,934,553,962,617,962,617,963,619,967,619,968,617,971,615,972,613,972,611,973,611,973,609,972,609,966,595,975,585,961,585,948,555,977,555,948,539,947,537xm977,555l948,555,974,569,961,585,975,585,984,575,1006,575,1007,573,1007,573,1007,571,1007,571,1006,569,1004,569,977,555xm1006,575l984,575,997,583,998,583,999,581,1001,581,1006,575xm1010,509l992,509,989,513,987,517,984,523,984,525,984,533,988,543,990,547,996,553,1008,561,1016,561,1021,557,1024,555,1026,553,1028,551,1029,551,1029,549,1030,547,1013,547,1012,545,1009,545,1007,543,1006,543,1004,541,999,535,997,531,996,527,995,525,996,521,999,519,1000,517,1001,517,1004,515,1006,515,1007,513,1011,513,1011,511,1010,509xm1033,535l1024,535,1023,537,1022,539,1021,541,1020,543,1019,543,1018,545,1015,545,1013,547,1030,547,1031,545,1032,543,1033,541,1033,541,1033,539,1033,537,1033,535xm1027,529l1025,529,1024,531,1024,533,1024,535,1032,535,1031,533,1030,533,1030,531,1027,529xm1040,475l1022,475,1019,479,1017,481,1015,489,1014,491,1014,499,1015,501,1018,509,1020,513,1024,515,1027,519,1029,521,1038,527,1044,527,1046,525,1052,523,1054,521,1058,517,1059,515,1060,513,1061,511,1039,511,1037,509,1036,509,1034,507,1029,501,1027,497,1026,489,1027,487,1029,485,1030,483,1031,481,1036,481,1038,479,1041,479,1041,477,1040,475xm1058,495l1055,495,1055,499,1054,499,1054,501,1054,503,1053,505,1052,507,1050,509,1049,509,1048,511,1062,511,1063,507,1063,505,1064,505,1063,503,1063,501,1062,501,1061,499,1061,497,1059,497,1058,495xm1005,503l1002,503,1000,505,998,505,996,507,994,507,993,509,1009,509,1007,507,1005,505,1005,503xm1073,431l1064,431,1056,437,1050,443,1048,447,1046,451,1045,455,1044,457,1045,461,1045,465,1046,469,1049,475,1051,479,1054,481,1057,485,1059,487,1065,491,1077,491,1080,489,1083,489,1086,485,1088,483,1091,479,1093,477,1069,477,1066,473,1064,473,1063,471,1061,469,1060,467,1059,465,1058,463,1057,461,1056,457,1056,455,1057,453,1058,451,1060,449,1061,447,1063,447,1066,445,1090,445,1088,441,1085,439,1082,435,1076,433,1073,431xm1090,445l1067,445,1071,447,1072,447,1074,449,1075,449,1077,451,1079,453,1080,455,1082,457,1084,461,1084,463,1085,463,1085,467,1084,471,1083,473,1082,475,1080,475,1079,477,1093,477,1094,475,1095,473,1096,469,1097,465,1097,461,1097,459,1096,455,1093,447,1090,445xm1037,471l1026,471,1025,473,1023,475,1039,475,1038,473,1037,473,1037,471xm1035,469l1031,469,1030,471,1035,471,1035,469xm1133,361l1125,361,1120,365,1117,367,1116,369,1116,371,1115,371,1115,373,1114,375,1114,375,1113,377,1113,379,1113,385,1104,385,1102,387,1100,387,1098,389,1097,391,1095,393,1094,395,1093,399,1092,401,1092,409,1081,409,1081,411,1080,411,1080,413,1080,413,1113,451,1116,451,1117,449,1118,449,1120,447,1120,445,1122,443,1122,443,1122,441,1100,415,1100,413,1100,409,1100,407,1101,405,1101,403,1103,401,1129,401,1121,393,1121,391,1121,383,1122,381,1122,379,1123,379,1124,377,1150,377,1142,367,1140,365,1136,363,1133,361xm1129,401l1111,401,1113,403,1114,403,1115,405,1134,427,1137,427,1138,425,1139,425,1140,423,1141,423,1141,421,1143,419,1143,419,1143,417,1129,401xm1088,405l1086,405,1084,407,1084,407,1082,409,1092,409,1088,405xm1150,377l1132,377,1133,379,1135,379,1136,381,1155,403,1158,403,1159,401,1160,401,1162,399,1163,397,1164,395,1164,395,1165,393,1164,393,1150,377xm1196,293l1185,293,1183,295,1181,295,1178,299,1177,301,1176,301,1176,303,1175,305,1174,307,1174,309,1174,311,1174,317,1163,317,1160,319,1159,321,1158,323,1156,325,1154,327,1153,331,1153,333,1152,341,1142,341,1141,343,1140,345,1141,345,1173,383,1176,383,1176,381,1177,381,1178,379,1179,379,1180,377,1181,377,1182,375,1182,375,1183,373,1182,371,1161,347,1160,345,1160,341,1161,337,1162,335,1163,335,1164,333,1166,333,1167,331,1189,331,1182,323,1182,321,1182,317,1182,315,1182,313,1183,311,1184,311,1185,309,1187,309,1188,307,1209,307,1204,301,1202,299,1200,297,1196,293xm1189,331l1168,331,1169,333,1171,333,1173,335,1174,335,1195,359,1196,359,1197,357,1198,357,1199,355,1200,355,1201,353,1202,353,1203,351,1204,351,1204,349,1189,331xm1149,337l1146,337,1145,339,1144,339,1143,341,1152,341,1149,337xm1209,307l1189,307,1190,309,1193,309,1194,311,1195,311,1196,313,1216,335,1218,335,1220,333,1221,331,1223,329,1224,327,1225,327,1225,325,1225,325,1209,307xm1257,289l1237,289,1241,291,1243,293,1252,293,1253,291,1255,291,1257,289xm1277,259l1222,259,1223,261,1264,261,1264,263,1264,265,1263,265,1263,267,1262,269,1262,269,1260,271,1260,273,1258,275,1256,277,1253,277,1252,279,1230,279,1232,283,1233,285,1234,287,1236,289,1259,289,1262,285,1264,285,1267,281,1269,279,1271,275,1272,273,1274,269,1275,267,1276,263,1276,261,1277,259xm1241,261l1230,261,1230,265,1229,267,1229,269,1229,273,1229,279,1248,279,1246,277,1244,277,1243,275,1243,275,1242,273,1241,271,1241,271,1241,269,1241,263,1241,261xm1262,261l1241,261,1243,263,1256,263,1262,261xm1284,257l1218,257,1219,259,1281,259,1284,257xm1236,213l1232,213,1230,215,1227,215,1223,219,1220,221,1218,223,1215,227,1213,229,1212,233,1210,235,1210,239,1209,241,1209,245,1210,247,1211,251,1213,253,1215,255,1216,257,1288,257,1288,255,1290,255,1291,253,1292,253,1293,251,1293,251,1293,249,1293,249,1293,247,1228,247,1227,245,1225,245,1224,243,1223,243,1222,241,1222,241,1222,237,1222,237,1222,235,1223,235,1223,233,1225,231,1226,229,1247,229,1247,225,1245,221,1244,221,1241,217,1240,215,1236,213xm1247,229l1234,229,1235,231,1235,231,1236,233,1236,237,1236,239,1236,243,1235,245,1234,247,1245,247,1246,245,1246,241,1247,239,1247,235,1247,229xm1272,233l1257,233,1257,235,1257,235,1259,237,1260,237,1260,239,1261,239,1262,241,1263,243,1264,245,1264,247,1292,247,1291,245,1276,245,1276,243,1276,243,1275,241,1274,239,1274,237,1272,233xm1289,243l1284,243,1283,245,1290,245,1289,243xm1287,241l1286,241,1286,243,1288,243,1287,241xm1266,225l1263,225,1262,227,1262,227,1259,229,1258,231,1257,231,1257,233,1271,233,1270,231,1269,229,1268,227,1266,225xm1299,141l1296,141,1274,165,1273,167,1273,167,1273,169,1272,169,1273,171,1317,221,1319,221,1319,219,1320,219,1322,217,1324,215,1326,213,1326,213,1327,211,1327,211,1327,209,1326,209,1309,189,1316,181,1301,181,1288,167,1304,149,1304,149,1304,147,1304,147,1303,145,1302,145,1301,143,1301,143,1299,141xm1319,165l1316,165,1301,181,1316,181,1323,173,1323,173,1323,171,1323,171,1323,169,1322,169,1321,167,1320,167,1319,165xm1351,117l1345,117,1342,119,1336,121,1333,123,1328,131,1325,133,1324,137,1323,141,1323,143,1322,147,1323,151,1323,155,1326,161,1329,165,1331,167,1334,171,1337,173,1343,177,1349,177,1352,179,1358,175,1360,175,1363,173,1366,169,1369,165,1352,165,1348,163,1347,163,1344,159,1342,159,1340,157,1339,155,1337,153,1336,151,1335,149,1335,147,1334,143,1334,141,1335,139,1336,137,1337,135,1339,133,1341,133,1344,131,1368,131,1365,127,1351,117xm1368,131l1347,131,1348,133,1350,133,1352,135,1353,135,1355,137,1356,139,1358,141,1359,143,1362,147,1362,149,1362,151,1363,153,1362,157,1361,159,1359,161,1358,161,1356,163,1355,163,1353,165,1369,165,1371,163,1373,159,1374,155,1375,151,1374,147,1374,145,1373,141,1370,135,1368,131xm1297,139l1296,139,1296,141,1298,141,1297,139xm1392,71l1383,71,1375,77,1372,81,1369,83,1367,87,1365,91,1364,93,1364,95,1364,101,1364,105,1365,107,1368,115,1370,119,1373,121,1375,125,1384,131,1396,131,1402,127,1407,123,1410,119,1412,117,1390,117,1388,115,1386,115,1385,113,1383,111,1382,111,1380,109,1379,107,1376,103,1376,101,1376,99,1375,95,1376,91,1377,91,1380,87,1382,85,1409,85,1407,81,1404,77,1401,75,1395,73,1392,71xm1409,85l1390,85,1391,87,1394,89,1398,93,1399,95,1401,97,1403,99,1403,101,1404,103,1404,107,1403,111,1402,113,1400,113,1397,117,1412,117,1413,115,1414,111,1415,109,1416,105,1416,101,1416,97,1415,95,1413,91,1412,87,1409,85xm1412,5l1409,5,1408,7,1407,7,1406,9,1405,9,1404,11,1403,13,1402,13,1402,15,1403,15,1420,35,1415,35,1413,37,1411,37,1409,39,1404,43,1403,45,1401,51,1401,57,1401,59,1402,61,1403,65,1408,75,1414,81,1416,83,1422,87,1424,87,1427,89,1435,89,1438,87,1440,85,1443,83,1445,81,1446,77,1447,73,1427,73,1426,71,1424,71,1423,69,1421,69,1420,67,1419,65,1418,63,1416,61,1415,59,1414,55,1414,53,1414,51,1415,49,1416,47,1418,45,1447,45,1412,5xm1447,45l1429,45,1440,57,1440,59,1440,65,1439,67,1439,67,1439,69,1438,69,1438,71,1436,73,1447,73,1448,71,1448,69,1448,63,1459,63,1459,61,1460,61,1460,59,1460,59,1447,45xm1453,67l1452,67,1453,69,1453,67xm1458,63l1448,63,1452,67,1455,67,1456,65,1458,63xe" filled="true" fillcolor="#000000" stroked="false">
                    <v:path arrowok="t"/>
                    <v:fill type="solid"/>
                  </v:shape>
                  <v:shape style="position:absolute;left:1425;top:17;width:340;height:356" type="#_x0000_t75" stroked="false">
                    <v:imagedata r:id="rId10" o:title=""/>
                  </v:shape>
                </v:group>
              </w:pict>
            </w:r>
            <w:r>
              <w:rPr>
                <w:rFonts w:ascii="Arial"/>
                <w:position w:val="7"/>
                <w:sz w:val="20"/>
              </w:rPr>
            </w:r>
            <w:r>
              <w:rPr>
                <w:rFonts w:ascii="Times New Roman"/>
                <w:spacing w:val="106"/>
                <w:position w:val="7"/>
                <w:sz w:val="20"/>
              </w:rPr>
              <w:t> </w:t>
            </w:r>
            <w:r>
              <w:rPr>
                <w:rFonts w:ascii="Arial"/>
                <w:spacing w:val="106"/>
                <w:sz w:val="20"/>
              </w:rPr>
              <w:drawing>
                <wp:inline distT="0" distB="0" distL="0" distR="0">
                  <wp:extent cx="1407876" cy="485394"/>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11" cstate="print"/>
                          <a:stretch>
                            <a:fillRect/>
                          </a:stretch>
                        </pic:blipFill>
                        <pic:spPr>
                          <a:xfrm>
                            <a:off x="0" y="0"/>
                            <a:ext cx="1407876" cy="485394"/>
                          </a:xfrm>
                          <a:prstGeom prst="rect">
                            <a:avLst/>
                          </a:prstGeom>
                        </pic:spPr>
                      </pic:pic>
                    </a:graphicData>
                  </a:graphic>
                </wp:inline>
              </w:drawing>
            </w:r>
            <w:r>
              <w:rPr>
                <w:rFonts w:ascii="Arial"/>
                <w:spacing w:val="106"/>
                <w:sz w:val="20"/>
              </w:rPr>
            </w:r>
          </w:p>
          <w:p>
            <w:pPr>
              <w:pStyle w:val="TableParagraph"/>
              <w:tabs>
                <w:tab w:pos="1736" w:val="left" w:leader="none"/>
                <w:tab w:pos="3318" w:val="left" w:leader="none"/>
              </w:tabs>
              <w:spacing w:line="240" w:lineRule="atLeast"/>
              <w:ind w:left="154" w:right="27"/>
              <w:rPr>
                <w:b/>
                <w:sz w:val="12"/>
              </w:rPr>
            </w:pPr>
            <w:r>
              <w:rPr>
                <w:b/>
                <w:w w:val="90"/>
                <w:sz w:val="12"/>
              </w:rPr>
              <w:t>Suspended</w:t>
            </w:r>
            <w:r>
              <w:rPr>
                <w:b/>
                <w:spacing w:val="-10"/>
                <w:w w:val="90"/>
                <w:sz w:val="12"/>
              </w:rPr>
              <w:t> </w:t>
            </w:r>
            <w:r>
              <w:rPr>
                <w:b/>
                <w:w w:val="90"/>
                <w:sz w:val="12"/>
              </w:rPr>
              <w:t>Trading</w:t>
              <w:tab/>
              <w:t>Trading,</w:t>
            </w:r>
            <w:r>
              <w:rPr>
                <w:b/>
                <w:spacing w:val="-10"/>
                <w:w w:val="90"/>
                <w:sz w:val="12"/>
              </w:rPr>
              <w:t> </w:t>
            </w:r>
            <w:r>
              <w:rPr>
                <w:b/>
                <w:w w:val="90"/>
                <w:sz w:val="12"/>
              </w:rPr>
              <w:t>Turnover</w:t>
            </w:r>
            <w:r>
              <w:rPr>
                <w:b/>
                <w:spacing w:val="-10"/>
                <w:w w:val="90"/>
                <w:sz w:val="12"/>
              </w:rPr>
              <w:t> </w:t>
            </w:r>
            <w:r>
              <w:rPr>
                <w:b/>
                <w:w w:val="90"/>
                <w:sz w:val="12"/>
              </w:rPr>
              <w:t>Down</w:t>
            </w:r>
            <w:r>
              <w:rPr>
                <w:b/>
                <w:spacing w:val="-12"/>
                <w:w w:val="90"/>
                <w:sz w:val="12"/>
              </w:rPr>
              <w:t> </w:t>
            </w:r>
            <w:r>
              <w:rPr>
                <w:b/>
                <w:w w:val="90"/>
                <w:sz w:val="12"/>
              </w:rPr>
              <w:t>50%</w:t>
              <w:tab/>
            </w:r>
            <w:r>
              <w:rPr>
                <w:b/>
                <w:w w:val="85"/>
                <w:sz w:val="12"/>
              </w:rPr>
              <w:t>Trading, Turnover Down 20-50% </w:t>
            </w:r>
            <w:r>
              <w:rPr>
                <w:b/>
                <w:w w:val="90"/>
                <w:sz w:val="12"/>
              </w:rPr>
              <w:t>Trading,</w:t>
            </w:r>
            <w:r>
              <w:rPr>
                <w:b/>
                <w:spacing w:val="-11"/>
                <w:w w:val="90"/>
                <w:sz w:val="12"/>
              </w:rPr>
              <w:t> </w:t>
            </w:r>
            <w:r>
              <w:rPr>
                <w:b/>
                <w:w w:val="90"/>
                <w:sz w:val="12"/>
              </w:rPr>
              <w:t>Turnover</w:t>
            </w:r>
            <w:r>
              <w:rPr>
                <w:b/>
                <w:spacing w:val="-11"/>
                <w:w w:val="90"/>
                <w:sz w:val="12"/>
              </w:rPr>
              <w:t> </w:t>
            </w:r>
            <w:r>
              <w:rPr>
                <w:b/>
                <w:w w:val="90"/>
                <w:sz w:val="12"/>
              </w:rPr>
              <w:t>Down</w:t>
            </w:r>
            <w:r>
              <w:rPr>
                <w:b/>
                <w:spacing w:val="-12"/>
                <w:w w:val="90"/>
                <w:sz w:val="12"/>
              </w:rPr>
              <w:t> </w:t>
            </w:r>
            <w:r>
              <w:rPr>
                <w:b/>
                <w:w w:val="90"/>
                <w:sz w:val="12"/>
              </w:rPr>
              <w:t>&lt;20%</w:t>
              <w:tab/>
              <w:t>Trading,</w:t>
            </w:r>
            <w:r>
              <w:rPr>
                <w:b/>
                <w:spacing w:val="-12"/>
                <w:w w:val="90"/>
                <w:sz w:val="12"/>
              </w:rPr>
              <w:t> </w:t>
            </w:r>
            <w:r>
              <w:rPr>
                <w:b/>
                <w:w w:val="90"/>
                <w:sz w:val="12"/>
              </w:rPr>
              <w:t>Turnover</w:t>
            </w:r>
            <w:r>
              <w:rPr>
                <w:b/>
                <w:spacing w:val="-11"/>
                <w:w w:val="90"/>
                <w:sz w:val="12"/>
              </w:rPr>
              <w:t> </w:t>
            </w:r>
            <w:r>
              <w:rPr>
                <w:b/>
                <w:w w:val="90"/>
                <w:sz w:val="12"/>
              </w:rPr>
              <w:t>Normal</w:t>
              <w:tab/>
            </w:r>
            <w:r>
              <w:rPr>
                <w:b/>
                <w:sz w:val="12"/>
              </w:rPr>
              <w:t>Trading, Turnover</w:t>
            </w:r>
            <w:r>
              <w:rPr>
                <w:b/>
                <w:spacing w:val="-20"/>
                <w:sz w:val="12"/>
              </w:rPr>
              <w:t> </w:t>
            </w:r>
            <w:r>
              <w:rPr>
                <w:b/>
                <w:sz w:val="12"/>
              </w:rPr>
              <w:t>Up</w:t>
            </w:r>
          </w:p>
        </w:tc>
      </w:tr>
    </w:tbl>
    <w:p>
      <w:pPr>
        <w:spacing w:line="360" w:lineRule="auto" w:before="127"/>
        <w:ind w:left="232" w:right="279" w:firstLine="0"/>
        <w:jc w:val="left"/>
        <w:rPr>
          <w:sz w:val="16"/>
        </w:rPr>
      </w:pPr>
      <w:r>
        <w:rPr/>
        <w:pict>
          <v:group style="position:absolute;margin-left:77.511131pt;margin-top:-168.034424pt;width:209.4pt;height:148.950pt;mso-position-horizontal-relative:page;mso-position-vertical-relative:paragraph;z-index:-253142016" coordorigin="1550,-3361" coordsize="4188,2979">
            <v:shape style="position:absolute;left:1290;top:-902;width:12900;height:8124" coordorigin="1290,-901" coordsize="12900,8124" path="m1552,-384l5736,-384,5736,-3359,1552,-3359,1552,-384xm1552,-2511l5736,-2511e" filled="false" stroked="true" strokeweight=".207119pt" strokecolor="#000000">
              <v:path arrowok="t"/>
              <v:stroke dashstyle="solid"/>
            </v:shape>
            <v:shape style="position:absolute;left:1564;top:-2889;width:4094;height:1275" coordorigin="1564,-2888" coordsize="4094,1275" path="m1564,-2647l1580,-2669,1595,-2700,1615,-2625,1630,-2581,1646,-2594,1665,-2581,1681,-2585,1696,-2572,1712,-2528,1731,-2647,1747,-2621,1762,-2594,1782,-2625,1798,-2603,1813,-2440,1833,-2489,1848,-2528,1864,-2423,1883,-2357,1899,-2168,1914,-2164,1934,-2256,1949,-2361,1965,-2524,1980,-2577,2000,-2664,2015,-2761,2031,-2678,2050,-2559,2066,-2533,2082,-2550,2101,-2555,2117,-2506,2132,-2449,2152,-2489,2167,-2423,2183,-2493,2202,-2353,2218,-2498,2233,-2546,2253,-2550,2268,-2603,2284,-2638,2300,-2700,2319,-2704,2335,-2801,2350,-2831,2370,-2888,2385,-2761,2401,-2761,2420,-2752,2436,-2726,2451,-2730,2471,-2673,2486,-2660,2502,-2599,2521,-2607,2537,-2629,2552,-2616,2572,-2717,2588,-2599,2603,-2660,2619,-2498,2638,-2458,2654,-2555,2669,-2537,2689,-2533,2704,-2642,2720,-2550,2739,-2577,2755,-2603,2770,-2673,2790,-2629,2805,-2568,2821,-2647,2840,-2647,2856,-2621,2872,-2581,2887,-2484,2907,-2607,2922,-2686,2938,-2651,2957,-2809,2973,-2722,2988,-2660,3008,-2682,3023,-2682,3039,-2563,3058,-2625,3074,-2673,3090,-2629,3109,-2581,3125,-2541,3140,-2519,3160,-2401,3175,-2304,3191,-2436,3206,-2317,3226,-2282,3241,-2251,3257,-2032,3276,-1896,3292,-2080,3307,-1953,3327,-1698,3342,-1614,3358,-1619,3378,-1834,3393,-1874,3409,-1992,3428,-2247,3444,-2449,3459,-2471,3479,-2480,3494,-2585,3510,-2673,3525,-2585,3545,-2634,3560,-2612,3576,-2660,3595,-2621,3611,-2704,3627,-2541,3646,-2616,3662,-2317,3677,-2344,3697,-2313,3712,-2348,3728,-2348,3747,-2410,3763,-2396,3778,-2476,3798,-2599,3813,-2493,3829,-2396,3845,-2480,3864,-2322,3880,-2361,3895,-2278,3915,-2234,3930,-2392,3946,-2339,3965,-2225,3981,-2476,3996,-2515,4016,-2537,4031,-2555,4047,-2388,4066,-2251,4082,-2445,4097,-2467,4113,-2506,4132,-2436,4148,-2379,4164,-2405,4183,-2546,4199,-2541,4214,-2555,4234,-2546,4249,-2603,4265,-2625,4284,-2726,4300,-2678,4315,-2730,4335,-2691,4350,-2700,4366,-2801,4385,-2853,4401,-2867,4417,-2783,4432,-2862,4452,-2801,4467,-2748,4483,-2713,4502,-2621,4518,-2739,4533,-2607,4553,-2673,4568,-2664,4584,-2669,4603,-2673,4619,-2765,4635,-2691,4654,-2691,4670,-2695,4685,-2664,4705,-2664,4720,-2616,4736,-2563,4751,-2577,4771,-2563,4786,-2533,4802,-2577,4821,-2559,4837,-2546,4852,-2669,4872,-2506,4887,-2142,4903,-2462,4922,-2511,4938,-2585,4954,-2454,4973,-2577,4989,-2669,5004,-2651,5024,-2647,5039,-2537,5055,-2585,5070,-2396,5090,-2418,5105,-2489,5121,-2423,5140,-2423,5156,-2467,5172,-2519,5191,-2629,5207,-2577,5222,-2427,5242,-2585,5257,-2471,5273,-2476,5292,-2489,5308,-2418,5323,-2511,5339,-2370,5358,-2269,5374,-2260,5389,-2282,5409,-2243,5424,-2291,5440,-2401,5460,-2458,5475,-2401,5491,-2366,5510,-2212,5526,-2212,5541,-2291,5561,-2361,5576,-2462,5592,-2669,5611,-2717,5627,-1737,5642,-1931,5658,-2212e" filled="false" stroked="true" strokeweight="1.087219pt" strokecolor="#ff00ff">
              <v:path arrowok="t"/>
              <v:stroke dashstyle="solid"/>
            </v:shape>
            <v:shape style="position:absolute;left:1564;top:-2854;width:4094;height:2065" coordorigin="1564,-2853" coordsize="4094,2065" path="m1564,-2612l1580,-2585,1595,-2638,1615,-2642,1630,-2621,1646,-2577,1665,-2603,1681,-2621,1696,-2498,1712,-2555,1731,-2590,1747,-2594,1762,-2621,1782,-2572,1798,-2506,1813,-2353,1833,-2344,1848,-2388,1864,-2317,1883,-2322,1899,-2278,1914,-2203,1934,-2247,1949,-2260,1965,-2388,1980,-2445,2000,-2524,2015,-2577,2031,-2642,2050,-2541,2066,-2493,2082,-2559,2101,-2563,2117,-2541,2132,-2506,2152,-2445,2167,-2418,2183,-2366,2202,-2282,2218,-2361,2233,-2410,2253,-2511,2268,-2599,2284,-2647,2300,-2682,2319,-2739,2335,-2739,2350,-2704,2370,-2752,2385,-2713,2401,-2704,2420,-2708,2436,-2656,2451,-2647,2471,-2651,2486,-2603,2502,-2537,2521,-2581,2537,-2651,2552,-2559,2572,-2577,2588,-2541,2603,-2616,2619,-2559,2638,-2471,2654,-2533,2669,-2568,2689,-2533,2704,-2537,2720,-2572,2739,-2581,2755,-2656,2770,-2634,2790,-2678,2805,-2612,2821,-2726,2840,-2691,2856,-2730,2872,-2647,2887,-2585,2907,-2664,2922,-2691,2938,-2708,2957,-2726,2973,-2708,2988,-2669,3008,-2656,3023,-2656,3039,-2651,3058,-2673,3074,-2651,3090,-2686,3109,-2647,3125,-2480,3140,-2515,3160,-2511,3175,-2480,3191,-2515,3206,-2436,3226,-2357,3241,-2322,3257,-2181,3276,-2186,3292,-2300,3307,-2120,3327,-2005,3342,-1839,3358,-1874,3378,-1953,3393,-1922,3409,-2111,3428,-2251,3444,-2392,3459,-2418,3479,-2506,3494,-2555,3510,-2541,3525,-2664,3545,-2634,3560,-2664,3576,-2568,3595,-2713,3611,-2669,3627,-2621,3646,-2634,3662,-2577,3677,-2533,3697,-2467,3712,-2484,3728,-2546,3747,-2537,3763,-2418,3778,-2594,3798,-2541,3813,-2656,3829,-2546,3845,-2498,3864,-2506,3880,-2546,3895,-2396,3915,-2471,3930,-2401,3946,-2388,3965,-2480,3981,-2581,3996,-2511,4016,-2572,4031,-2476,4047,-2445,4066,-2405,4082,-2322,4097,-2471,4113,-2414,4132,-2344,4148,-2348,4164,-2335,4183,-2440,4199,-2405,4214,-2423,4234,-2467,4249,-2555,4265,-2629,4284,-2765,4300,-2831,4315,-2805,4335,-2853,4350,-2783,4366,-2739,4385,-2704,4401,-2700,4417,-2669,4432,-2752,4452,-2739,4467,-2695,4483,-2730,4502,-2757,4518,-2678,4533,-2594,4553,-2678,4568,-2572,4584,-2621,4603,-2634,4619,-2717,4635,-2722,4654,-2607,4670,-2673,4685,-2647,4705,-2572,4720,-2498,4736,-2572,4751,-2594,4771,-2563,4786,-2594,4802,-2471,4821,-2502,4837,-2440,4852,-2489,4872,-2462,4887,-2247,4903,-2498,4922,-2515,4938,-2550,4954,-2572,4973,-2629,4989,-2568,5004,-2519,5024,-2555,5039,-2621,5055,-2537,5070,-2519,5090,-2533,5105,-2519,5121,-2524,5140,-2603,5156,-2559,5172,-2555,5191,-2498,5207,-2541,5222,-2454,5242,-2489,5257,-2541,5273,-2568,5292,-2502,5308,-2533,5323,-2528,5339,-2440,5358,-2383,5374,-2410,5389,-2361,5409,-2414,5424,-2348,5440,-2388,5460,-2388,5475,-2335,5491,-2379,5510,-2357,5526,-2317,5541,-2348,5561,-2317,5576,-2317,5592,-2493,5611,-2480,5627,-1746,5642,-789,5658,-1439e" filled="false" stroked="true" strokeweight="1.072863pt" strokecolor="#0000ff">
              <v:path arrowok="t"/>
              <v:stroke dashstyle="solid"/>
            </v:shape>
            <v:line style="position:absolute" from="2681,-1052" to="2805,-1052" stroked="true" strokeweight="1.098289pt" strokecolor="#ff00ff">
              <v:stroke dashstyle="solid"/>
            </v:line>
            <v:line style="position:absolute" from="3817,-1052" to="3942,-1052" stroked="true" strokeweight="1.098289pt" strokecolor="#0000ff">
              <v:stroke dashstyle="solid"/>
            </v:line>
            <w10:wrap type="none"/>
          </v:group>
        </w:pict>
      </w:r>
      <w:r>
        <w:rPr/>
        <w:pict>
          <v:group style="position:absolute;margin-left:324.037231pt;margin-top:-167.816513pt;width:212.75pt;height:98.65pt;mso-position-horizontal-relative:page;mso-position-vertical-relative:paragraph;z-index:-253140992" coordorigin="6481,-3356" coordsize="4255,1973">
            <v:rect style="position:absolute;left:6482;top:-3355;width:4251;height:1969" filled="false" stroked="true" strokeweight=".215203pt" strokecolor="#000000">
              <v:stroke dashstyle="solid"/>
            </v:rect>
            <v:line style="position:absolute" from="6635,-1661" to="6635,-1388" stroked="true" strokeweight="6.027214pt" strokecolor="#0000ff">
              <v:stroke dashstyle="solid"/>
            </v:line>
            <v:rect style="position:absolute;left:6877;top:-1446;width:121;height:58" filled="true" fillcolor="#0000ff" stroked="false">
              <v:fill type="solid"/>
            </v:rect>
            <v:line style="position:absolute" from="7241,-1810" to="7241,-1388" stroked="true" strokeweight="6.027214pt" strokecolor="#0000ff">
              <v:stroke dashstyle="solid"/>
            </v:line>
            <v:line style="position:absolute" from="7544,-1779" to="7544,-1388" stroked="true" strokeweight="6.027214pt" strokecolor="#0000ff">
              <v:stroke dashstyle="solid"/>
            </v:line>
            <v:rect style="position:absolute;left:7787;top:-1485;width:125;height:97" filled="true" fillcolor="#0000ff" stroked="false">
              <v:fill type="solid"/>
            </v:rect>
            <v:line style="position:absolute" from="8153,-2921" to="8153,-1388" stroked="true" strokeweight="6.221641pt" strokecolor="#0000ff">
              <v:stroke dashstyle="solid"/>
            </v:line>
            <v:shape style="position:absolute;left:8394;top:-1499;width:732;height:110" coordorigin="8394,-1498" coordsize="732,110" path="m8519,-1476l8394,-1476,8394,-1388,8519,-1388,8519,-1476m8822,-1498l8697,-1498,8697,-1388,8822,-1388,8822,-1498m9125,-1454l9001,-1454,9001,-1388,9125,-1388,9125,-1454e" filled="true" fillcolor="#0000ff" stroked="false">
              <v:path arrowok="t"/>
              <v:fill type="solid"/>
            </v:shape>
            <v:line style="position:absolute" from="9366,-1524" to="9366,-1388" stroked="true" strokeweight="6.221641pt" strokecolor="#0000ff">
              <v:stroke dashstyle="solid"/>
            </v:line>
            <v:line style="position:absolute" from="9670,-1582" to="9670,-1388" stroked="true" strokeweight="6.221641pt" strokecolor="#0000ff">
              <v:stroke dashstyle="solid"/>
            </v:line>
            <v:rect style="position:absolute;left:9910;top:-1463;width:125;height:75" filled="true" fillcolor="#0000ff" stroked="false">
              <v:fill type="solid"/>
            </v:rect>
            <v:shape style="position:absolute;left:10278;top:-2961;width:304;height:1573" coordorigin="10278,-2961" coordsize="304,1573" path="m10278,-2961l10278,-1388m10581,-1788l10581,-1388e" filled="false" stroked="true" strokeweight="6.027214pt" strokecolor="#0000ff">
              <v:path arrowok="t"/>
              <v:stroke dashstyle="solid"/>
            </v:shape>
            <v:line style="position:absolute" from="6635,-2060" to="6635,-1661" stroked="true" strokeweight="6.027214pt" strokecolor="#ff00ff">
              <v:stroke dashstyle="solid"/>
            </v:line>
            <v:line style="position:absolute" from="6938,-1779" to="6938,-1445" stroked="true" strokeweight="6.027214pt" strokecolor="#ff00ff">
              <v:stroke dashstyle="solid"/>
            </v:line>
            <v:line style="position:absolute" from="7241,-2465" to="7241,-1810" stroked="true" strokeweight="6.027214pt" strokecolor="#ff00ff">
              <v:stroke dashstyle="solid"/>
            </v:line>
            <v:line style="position:absolute" from="7544,-2368" to="7544,-1779" stroked="true" strokeweight="6.027214pt" strokecolor="#ff00ff">
              <v:stroke dashstyle="solid"/>
            </v:line>
            <v:line style="position:absolute" from="7850,-1951" to="7850,-1485" stroked="true" strokeweight="6.221641pt" strokecolor="#ff00ff">
              <v:stroke dashstyle="solid"/>
            </v:line>
            <v:line style="position:absolute" from="8153,-3189" to="8153,-2921" stroked="true" strokeweight="6.221641pt" strokecolor="#ff00ff">
              <v:stroke dashstyle="solid"/>
            </v:line>
            <v:rect style="position:absolute;left:8394;top:-1608;width:125;height:132" filled="true" fillcolor="#ff00ff" stroked="false">
              <v:fill type="solid"/>
            </v:rect>
            <v:shape style="position:absolute;left:8759;top:-2162;width:607;height:708" coordorigin="8760,-2161" coordsize="607,708" path="m8760,-2161l8760,-1498m9063,-1643l9063,-1454m9366,-2038l9366,-1524e" filled="false" stroked="true" strokeweight="6.221641pt" strokecolor="#ff00ff">
              <v:path arrowok="t"/>
              <v:stroke dashstyle="solid"/>
            </v:shape>
            <v:line style="position:absolute" from="9670,-1779" to="9670,-1582" stroked="true" strokeweight="6.221641pt" strokecolor="#ff00ff">
              <v:stroke dashstyle="solid"/>
            </v:line>
            <v:line style="position:absolute" from="9973,-1630" to="9973,-1463" stroked="true" strokeweight="6.221641pt" strokecolor="#ff00ff">
              <v:stroke dashstyle="solid"/>
            </v:line>
            <v:shape style="position:absolute;left:10278;top:-3128;width:304;height:1340" coordorigin="10278,-3128" coordsize="304,1340" path="m10278,-3128l10278,-2961m10581,-2170l10581,-1788e" filled="false" stroked="true" strokeweight="6.027214pt" strokecolor="#ff00ff">
              <v:path arrowok="t"/>
              <v:stroke dashstyle="solid"/>
            </v:shape>
            <v:line style="position:absolute" from="6635,-2447" to="6635,-2060" stroked="true" strokeweight="6.027214pt" strokecolor="#66ff33">
              <v:stroke dashstyle="solid"/>
            </v:line>
            <v:line style="position:absolute" from="6938,-2399" to="6938,-1779" stroked="true" strokeweight="6.027214pt" strokecolor="#66ff33">
              <v:stroke dashstyle="solid"/>
            </v:line>
            <v:line style="position:absolute" from="7241,-2869" to="7241,-2465" stroked="true" strokeweight="6.027214pt" strokecolor="#66ff33">
              <v:stroke dashstyle="solid"/>
            </v:line>
            <v:line style="position:absolute" from="7544,-2671" to="7544,-2368" stroked="true" strokeweight="6.027214pt" strokecolor="#66ff33">
              <v:stroke dashstyle="solid"/>
            </v:line>
            <v:line style="position:absolute" from="7850,-2561" to="7850,-1951" stroked="true" strokeweight="6.221641pt" strokecolor="#66ff33">
              <v:stroke dashstyle="solid"/>
            </v:line>
            <v:rect style="position:absolute;left:8090;top:-3238;width:125;height:49" filled="true" fillcolor="#66ff33" stroked="false">
              <v:fill type="solid"/>
            </v:rect>
            <v:shape style="position:absolute;left:8456;top:-2557;width:910;height:949" coordorigin="8456,-2557" coordsize="910,949" path="m8456,-1942l8456,-1608m8760,-2495l8760,-2161m9063,-2030l9063,-1643m9366,-2557l9366,-2038e" filled="false" stroked="true" strokeweight="6.221641pt" strokecolor="#66ff33">
              <v:path arrowok="t"/>
              <v:stroke dashstyle="solid"/>
            </v:shape>
            <v:line style="position:absolute" from="9670,-2034" to="9670,-1779" stroked="true" strokeweight="6.221641pt" strokecolor="#66ff33">
              <v:stroke dashstyle="solid"/>
            </v:line>
            <v:line style="position:absolute" from="9973,-1977" to="9973,-1630" stroked="true" strokeweight="6.221641pt" strokecolor="#66ff33">
              <v:stroke dashstyle="solid"/>
            </v:line>
            <v:rect style="position:absolute;left:10217;top:-3190;width:121;height:62" filled="true" fillcolor="#66ff33" stroked="false">
              <v:fill type="solid"/>
            </v:rect>
            <v:line style="position:absolute" from="10581,-2517" to="10581,-2170" stroked="true" strokeweight="6.027214pt" strokecolor="#66ff33">
              <v:stroke dashstyle="solid"/>
            </v:line>
            <v:line style="position:absolute" from="6635,-2680" to="6635,-2447" stroked="true" strokeweight="6.027214pt" strokecolor="#ffc000">
              <v:stroke dashstyle="solid"/>
            </v:line>
            <v:line style="position:absolute" from="6938,-2680" to="6938,-2399" stroked="true" strokeweight="6.027214pt" strokecolor="#ffc000">
              <v:stroke dashstyle="solid"/>
            </v:line>
            <v:line style="position:absolute" from="7241,-3018" to="7241,-2869" stroked="true" strokeweight="6.027214pt" strokecolor="#ffc000">
              <v:stroke dashstyle="solid"/>
            </v:line>
            <v:rect style="position:absolute;left:7484;top:-2799;width:121;height:128" filled="true" fillcolor="#ffc000" stroked="false">
              <v:fill type="solid"/>
            </v:rect>
            <v:line style="position:absolute" from="7850,-2878" to="7850,-2561" stroked="true" strokeweight="6.221641pt" strokecolor="#ffc000">
              <v:stroke dashstyle="solid"/>
            </v:line>
            <v:rect style="position:absolute;left:8090;top:-3269;width:125;height:31" filled="true" fillcolor="#ffc000" stroked="false">
              <v:fill type="solid"/>
            </v:rect>
            <v:shape style="position:absolute;left:8456;top:-2808;width:910;height:866" coordorigin="8456,-2807" coordsize="910,866" path="m8456,-2219l8456,-1942m8760,-2636l8760,-2495m9063,-2407l9063,-2030m9366,-2807l9366,-2557e" filled="false" stroked="true" strokeweight="6.221641pt" strokecolor="#ffc000">
              <v:path arrowok="t"/>
              <v:stroke dashstyle="solid"/>
            </v:shape>
            <v:line style="position:absolute" from="9670,-2596" to="9670,-2034" stroked="true" strokeweight="6.221641pt" strokecolor="#ffc000">
              <v:stroke dashstyle="solid"/>
            </v:line>
            <v:line style="position:absolute" from="9973,-2157" to="9973,-1977" stroked="true" strokeweight="6.221641pt" strokecolor="#ffc000">
              <v:stroke dashstyle="solid"/>
            </v:line>
            <v:rect style="position:absolute;left:10217;top:-3243;width:121;height:53" filled="true" fillcolor="#ffc000" stroked="false">
              <v:fill type="solid"/>
            </v:rect>
            <v:line style="position:absolute" from="10581,-2741" to="10581,-2517" stroked="true" strokeweight="6.027214pt" strokecolor="#ffc000">
              <v:stroke dashstyle="solid"/>
            </v:line>
            <v:line style="position:absolute" from="6635,-3282" to="6635,-2680" stroked="true" strokeweight="6.027214pt" strokecolor="#bebebe">
              <v:stroke dashstyle="solid"/>
            </v:line>
            <v:line style="position:absolute" from="6938,-3326" to="6938,-2680" stroked="true" strokeweight="6.027214pt" strokecolor="#bebebe">
              <v:stroke dashstyle="solid"/>
            </v:line>
            <v:line style="position:absolute" from="7241,-3352" to="7241,-3018" stroked="true" strokeweight="6.027214pt" strokecolor="#bebebe">
              <v:stroke dashstyle="solid"/>
            </v:line>
            <v:line style="position:absolute" from="7544,-3198" to="7544,-2798" stroked="true" strokeweight="6.027214pt" strokecolor="#bebebe">
              <v:stroke dashstyle="solid"/>
            </v:line>
            <v:line style="position:absolute" from="7850,-3295" to="7850,-2878" stroked="true" strokeweight="6.221641pt" strokecolor="#bebebe">
              <v:stroke dashstyle="solid"/>
            </v:line>
            <v:rect style="position:absolute;left:8090;top:-3348;width:125;height:80" filled="true" fillcolor="#bebebe" stroked="false">
              <v:fill type="solid"/>
            </v:rect>
            <v:shape style="position:absolute;left:8456;top:-3352;width:910;height:1134" coordorigin="8456,-3352" coordsize="910,1134" path="m8456,-3352l8456,-2219m8760,-3326l8760,-2636m9063,-3352l9063,-2407m9366,-3308l9366,-2807e" filled="false" stroked="true" strokeweight="6.221641pt" strokecolor="#bebebe">
              <v:path arrowok="t"/>
              <v:stroke dashstyle="solid"/>
            </v:shape>
            <v:line style="position:absolute" from="9670,-3352" to="9670,-2596" stroked="true" strokeweight="6.221641pt" strokecolor="#bebebe">
              <v:stroke dashstyle="solid"/>
            </v:line>
            <v:line style="position:absolute" from="9973,-3321" to="9973,-2157" stroked="true" strokeweight="6.221641pt" strokecolor="#bebebe">
              <v:stroke dashstyle="solid"/>
            </v:line>
            <v:rect style="position:absolute;left:10217;top:-3352;width:121;height:110" filled="true" fillcolor="#bebebe" stroked="false">
              <v:fill type="solid"/>
            </v:rect>
            <v:line style="position:absolute" from="10581,-3299" to="10581,-2741" stroked="true" strokeweight="6.027214pt" strokecolor="#bebebe">
              <v:stroke dashstyle="solid"/>
            </v:line>
            <v:shape style="position:absolute;left:6574;top:-3352;width:424;height:71" coordorigin="6574,-3352" coordsize="424,71" path="m6695,-3352l6574,-3352,6574,-3282,6695,-3282,6695,-3352m6998,-3352l6878,-3352,6878,-3326,6998,-3326,6998,-3352e" filled="true" fillcolor="#ff0000" stroked="false">
              <v:path arrowok="t"/>
              <v:fill type="solid"/>
            </v:shape>
            <v:line style="position:absolute" from="7544,-3352" to="7544,-3198" stroked="true" strokeweight="6.027214pt" strokecolor="#ff0000">
              <v:stroke dashstyle="solid"/>
            </v:line>
            <v:shape style="position:absolute;left:7787;top:-3352;width:2855;height:58" coordorigin="7788,-3352" coordsize="2855,58" path="m7912,-3352l7788,-3352,7788,-3295,7912,-3295,7912,-3352m8215,-3352l8091,-3352,8091,-3348,8215,-3348,8215,-3352m8822,-3352l8697,-3352,8697,-3326,8822,-3326,8822,-3352m9428,-3352l9304,-3352,9304,-3308,9428,-3308,9428,-3352m10035,-3352l9911,-3352,9911,-3321,10035,-3321,10035,-3352m10642,-3352l10521,-3352,10521,-3299,10642,-3299,10642,-3352e" filled="true" fillcolor="#ff0000" stroked="false">
              <v:path arrowok="t"/>
              <v:fill type="solid"/>
            </v:shape>
            <w10:wrap type="none"/>
          </v:group>
        </w:pict>
      </w:r>
      <w:r>
        <w:rPr/>
        <w:pict>
          <v:rect style="position:absolute;margin-left:306.744110pt;margin-top:-19.76895pt;width:2.721968pt;height:3.294867pt;mso-position-horizontal-relative:page;mso-position-vertical-relative:paragraph;z-index:-253139968" filled="true" fillcolor="#0000ff" stroked="false">
            <v:fill type="solid"/>
            <w10:wrap type="none"/>
          </v:rect>
        </w:pict>
      </w:r>
      <w:r>
        <w:rPr/>
        <w:pict>
          <v:rect style="position:absolute;margin-left:385.681152pt;margin-top:-19.76895pt;width:2.916394pt;height:3.294867pt;mso-position-horizontal-relative:page;mso-position-vertical-relative:paragraph;z-index:-253138944" filled="true" fillcolor="#ff00ff" stroked="false">
            <v:fill type="solid"/>
            <w10:wrap type="none"/>
          </v:rect>
        </w:pict>
      </w:r>
      <w:r>
        <w:rPr/>
        <w:pict>
          <v:rect style="position:absolute;margin-left:464.812653pt;margin-top:-19.76895pt;width:2.721968pt;height:3.294867pt;mso-position-horizontal-relative:page;mso-position-vertical-relative:paragraph;z-index:-253137920" filled="true" fillcolor="#66ff33" stroked="false">
            <v:fill type="solid"/>
            <w10:wrap type="none"/>
          </v:rect>
        </w:pict>
      </w:r>
      <w:r>
        <w:rPr/>
        <w:pict>
          <v:rect style="position:absolute;margin-left:306.744110pt;margin-top:-7.68777pt;width:2.721968pt;height:3.07521pt;mso-position-horizontal-relative:page;mso-position-vertical-relative:paragraph;z-index:-253136896" filled="true" fillcolor="#ffc000" stroked="false">
            <v:fill type="solid"/>
            <w10:wrap type="none"/>
          </v:rect>
        </w:pict>
      </w:r>
      <w:r>
        <w:rPr/>
        <w:pict>
          <v:rect style="position:absolute;margin-left:385.681152pt;margin-top:-7.68777pt;width:2.916394pt;height:3.07521pt;mso-position-horizontal-relative:page;mso-position-vertical-relative:paragraph;z-index:-253135872" filled="true" fillcolor="#bebebe" stroked="false">
            <v:fill type="solid"/>
            <w10:wrap type="none"/>
          </v:rect>
        </w:pict>
      </w:r>
      <w:r>
        <w:rPr/>
        <w:pict>
          <v:rect style="position:absolute;margin-left:464.812653pt;margin-top:-7.68777pt;width:2.721968pt;height:3.07521pt;mso-position-horizontal-relative:page;mso-position-vertical-relative:paragraph;z-index:-253134848" filled="true" fillcolor="#ff0000" stroked="false">
            <v:fill type="solid"/>
            <w10:wrap type="none"/>
          </v:rect>
        </w:pict>
      </w:r>
      <w:r>
        <w:rPr>
          <w:sz w:val="16"/>
        </w:rPr>
        <w:t>Note: In the right chart, data are for the period 20 April to 3 May. The firms that report they suspended trading includes those that have paused, suspended temporarily or closed permanently. Sources: IHS Markit/CIPS, ONS BICS and Bank of England.</w:t>
      </w:r>
    </w:p>
    <w:p>
      <w:pPr>
        <w:pStyle w:val="BodyText"/>
        <w:rPr>
          <w:sz w:val="18"/>
        </w:rPr>
      </w:pPr>
    </w:p>
    <w:p>
      <w:pPr>
        <w:pStyle w:val="BodyText"/>
        <w:spacing w:line="360" w:lineRule="auto" w:before="140"/>
        <w:ind w:left="232" w:right="251"/>
      </w:pPr>
      <w:r>
        <w:rPr/>
        <w:t>With the collapse in activity, the labour market has weakened dramatically. The surge in new Universal Credit claims, and other indicators, suggest that the jobless rate has risen from 4% to about 9%. Workforce participation has probably fallen, because some of those who are not working but would like to work might not actually be classified as unemployed.</w:t>
      </w:r>
      <w:r>
        <w:rPr>
          <w:position w:val="6"/>
          <w:sz w:val="13"/>
        </w:rPr>
        <w:t>2 </w:t>
      </w:r>
      <w:r>
        <w:rPr/>
        <w:t>In addition, over 8 million jobs (more than a fifth of the total) have been furloughed.</w:t>
      </w:r>
      <w:r>
        <w:rPr>
          <w:position w:val="6"/>
          <w:sz w:val="13"/>
        </w:rPr>
        <w:t>3 </w:t>
      </w:r>
      <w:r>
        <w:rPr/>
        <w:t>Among those in work, a substantial portion has experienced a reduction in working hours. The regular BoE/Ipsos surveys of households suggest that, in all, slightly more than 50% of people have either stopped working or are working less than usual.</w:t>
      </w:r>
      <w:r>
        <w:rPr>
          <w:position w:val="6"/>
          <w:sz w:val="13"/>
        </w:rPr>
        <w:t>4 </w:t>
      </w:r>
      <w:r>
        <w:rPr/>
        <w:t>Again, such a rapid deterioration in labour market conditions is without precedent in recent decades.</w:t>
      </w:r>
    </w:p>
    <w:p>
      <w:pPr>
        <w:pStyle w:val="BodyText"/>
        <w:rPr>
          <w:sz w:val="30"/>
        </w:rPr>
      </w:pPr>
    </w:p>
    <w:p>
      <w:pPr>
        <w:pStyle w:val="BodyText"/>
        <w:spacing w:line="357" w:lineRule="auto" w:before="1"/>
        <w:ind w:left="232" w:right="350"/>
      </w:pPr>
      <w:r>
        <w:rPr/>
        <w:pict>
          <v:shape style="position:absolute;margin-left:56.639999pt;margin-top:36.699863pt;width:144.050pt;height:.1pt;mso-position-horizontal-relative:page;mso-position-vertical-relative:paragraph;z-index:-251656192;mso-wrap-distance-left:0;mso-wrap-distance-right:0" coordorigin="1133,734" coordsize="2881,0" path="m1133,734l4014,734e" filled="false" stroked="true" strokeweight=".48004pt" strokecolor="#000000">
            <v:path arrowok="t"/>
            <v:stroke dashstyle="solid"/>
            <w10:wrap type="topAndBottom"/>
          </v:shape>
        </w:pict>
      </w:r>
      <w:r>
        <w:rPr/>
        <w:t>Even with the exceptional level of government support measures, the decline in activity has caused widespread strains on household and company finances. Roughly 40% of households report that their</w:t>
      </w:r>
    </w:p>
    <w:p>
      <w:pPr>
        <w:spacing w:line="185" w:lineRule="exact" w:before="50"/>
        <w:ind w:left="232" w:right="0" w:firstLine="0"/>
        <w:jc w:val="both"/>
        <w:rPr>
          <w:sz w:val="16"/>
        </w:rPr>
      </w:pPr>
      <w:r>
        <w:rPr>
          <w:position w:val="6"/>
          <w:sz w:val="10"/>
        </w:rPr>
        <w:t>1 </w:t>
      </w:r>
      <w:r>
        <w:rPr>
          <w:sz w:val="16"/>
        </w:rPr>
        <w:t>The May MPR was published on 7 May 2020.</w:t>
      </w:r>
    </w:p>
    <w:p>
      <w:pPr>
        <w:spacing w:line="240" w:lineRule="auto" w:before="0"/>
        <w:ind w:left="232" w:right="301" w:firstLine="0"/>
        <w:jc w:val="both"/>
        <w:rPr>
          <w:sz w:val="16"/>
        </w:rPr>
      </w:pPr>
      <w:r>
        <w:rPr>
          <w:position w:val="6"/>
          <w:sz w:val="10"/>
        </w:rPr>
        <w:t>2 </w:t>
      </w:r>
      <w:r>
        <w:rPr>
          <w:sz w:val="16"/>
        </w:rPr>
        <w:t>The unemployment total counts people who are out of work, have actively sought work within the last four weeks and are available to start work within the next two weeks. So people who are either not seeking work, or not available, would not count as unemployed.</w:t>
      </w:r>
    </w:p>
    <w:p>
      <w:pPr>
        <w:spacing w:line="240" w:lineRule="auto" w:before="0"/>
        <w:ind w:left="232" w:right="288" w:firstLine="0"/>
        <w:jc w:val="both"/>
        <w:rPr>
          <w:sz w:val="16"/>
        </w:rPr>
      </w:pPr>
      <w:r>
        <w:rPr>
          <w:position w:val="6"/>
          <w:sz w:val="10"/>
        </w:rPr>
        <w:t>3 </w:t>
      </w:r>
      <w:r>
        <w:rPr>
          <w:sz w:val="16"/>
        </w:rPr>
        <w:t>Source: HM Treasury, data as of 27 May. By comparison, ONS data suggest there are just under 36 million workforce jobs in the UK. Some people have more than one job. The ONS BICS results suggest that over the period 22 April to 3 May, on average 29% of firms’ workforce were on furlough.</w:t>
      </w:r>
    </w:p>
    <w:p>
      <w:pPr>
        <w:spacing w:line="237" w:lineRule="auto" w:before="0"/>
        <w:ind w:left="232" w:right="390" w:firstLine="0"/>
        <w:jc w:val="both"/>
        <w:rPr>
          <w:sz w:val="16"/>
        </w:rPr>
      </w:pPr>
      <w:r>
        <w:rPr>
          <w:position w:val="6"/>
          <w:sz w:val="10"/>
        </w:rPr>
        <w:t>4 </w:t>
      </w:r>
      <w:r>
        <w:rPr>
          <w:sz w:val="16"/>
        </w:rPr>
        <w:t>This includes people who are now not working at all or on furlough, as well as those still working but fewer hours than usual. 15% of people are working more hours than usual.</w:t>
      </w:r>
    </w:p>
    <w:p>
      <w:pPr>
        <w:spacing w:after="0" w:line="237" w:lineRule="auto"/>
        <w:jc w:val="both"/>
        <w:rPr>
          <w:sz w:val="16"/>
        </w:rPr>
        <w:sectPr>
          <w:footerReference w:type="default" r:id="rId8"/>
          <w:pgSz w:w="11910" w:h="16840"/>
          <w:pgMar w:footer="1338" w:header="0" w:top="1520" w:bottom="1520" w:left="900" w:right="980"/>
        </w:sectPr>
      </w:pPr>
    </w:p>
    <w:p>
      <w:pPr>
        <w:pStyle w:val="BodyText"/>
        <w:spacing w:line="360" w:lineRule="auto" w:before="81"/>
        <w:ind w:left="232" w:right="139"/>
      </w:pPr>
      <w:r>
        <w:rPr/>
        <w:t>income (including benefits and government support measures) has fallen since before the Covid-19 outbreak (see figure 3). The drop in incomes has been particularly marked among the self-employed. Around a quarter of households report that they have faced financial difficulties in recent weeks (see figure 4).</w:t>
      </w:r>
      <w:r>
        <w:rPr>
          <w:position w:val="6"/>
          <w:sz w:val="13"/>
        </w:rPr>
        <w:t>5 </w:t>
      </w:r>
      <w:r>
        <w:rPr/>
        <w:t>Likewise, the regular BCC surveys suggest that each week a high share of firms report their cash reserves are worsening.</w:t>
      </w:r>
    </w:p>
    <w:p>
      <w:pPr>
        <w:pStyle w:val="BodyText"/>
      </w:pPr>
    </w:p>
    <w:p>
      <w:pPr>
        <w:pStyle w:val="BodyText"/>
        <w:spacing w:before="3" w:after="1"/>
        <w:rPr>
          <w:sz w:val="10"/>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0"/>
        <w:gridCol w:w="70"/>
        <w:gridCol w:w="187"/>
        <w:gridCol w:w="4740"/>
      </w:tblGrid>
      <w:tr>
        <w:trPr>
          <w:trHeight w:val="1030" w:hRule="atLeast"/>
        </w:trPr>
        <w:tc>
          <w:tcPr>
            <w:tcW w:w="4670" w:type="dxa"/>
            <w:tcBorders>
              <w:bottom w:val="single" w:sz="2" w:space="0" w:color="D9D9D9"/>
            </w:tcBorders>
          </w:tcPr>
          <w:p>
            <w:pPr>
              <w:pStyle w:val="TableParagraph"/>
              <w:spacing w:line="223" w:lineRule="exact"/>
              <w:ind w:left="-2"/>
              <w:rPr>
                <w:rFonts w:ascii="Arial" w:hAnsi="Arial"/>
                <w:b/>
                <w:sz w:val="20"/>
              </w:rPr>
            </w:pPr>
            <w:r>
              <w:rPr>
                <w:rFonts w:ascii="Arial" w:hAnsi="Arial"/>
                <w:b/>
                <w:sz w:val="20"/>
              </w:rPr>
              <w:t>Figure 3. UK – Pct of Households Reporting</w:t>
            </w:r>
          </w:p>
          <w:p>
            <w:pPr>
              <w:pStyle w:val="TableParagraph"/>
              <w:spacing w:line="340" w:lineRule="atLeast" w:before="5"/>
              <w:ind w:left="-2"/>
              <w:rPr>
                <w:rFonts w:ascii="Arial"/>
                <w:b/>
                <w:sz w:val="20"/>
              </w:rPr>
            </w:pPr>
            <w:r>
              <w:rPr>
                <w:rFonts w:ascii="Arial"/>
                <w:b/>
                <w:sz w:val="20"/>
              </w:rPr>
              <w:t>Weekly Income Higher/Unchanged/Lower Since February</w:t>
            </w:r>
          </w:p>
        </w:tc>
        <w:tc>
          <w:tcPr>
            <w:tcW w:w="70" w:type="dxa"/>
            <w:tcBorders>
              <w:bottom w:val="single" w:sz="2" w:space="0" w:color="D9D9D9"/>
            </w:tcBorders>
          </w:tcPr>
          <w:p>
            <w:pPr>
              <w:pStyle w:val="TableParagraph"/>
              <w:rPr>
                <w:rFonts w:ascii="Times New Roman"/>
                <w:sz w:val="18"/>
              </w:rPr>
            </w:pPr>
          </w:p>
        </w:tc>
        <w:tc>
          <w:tcPr>
            <w:tcW w:w="187" w:type="dxa"/>
          </w:tcPr>
          <w:p>
            <w:pPr>
              <w:pStyle w:val="TableParagraph"/>
              <w:rPr>
                <w:rFonts w:ascii="Times New Roman"/>
                <w:sz w:val="18"/>
              </w:rPr>
            </w:pPr>
          </w:p>
        </w:tc>
        <w:tc>
          <w:tcPr>
            <w:tcW w:w="4740" w:type="dxa"/>
            <w:tcBorders>
              <w:bottom w:val="single" w:sz="2" w:space="0" w:color="D9D9D9"/>
            </w:tcBorders>
          </w:tcPr>
          <w:p>
            <w:pPr>
              <w:pStyle w:val="TableParagraph"/>
              <w:spacing w:line="223" w:lineRule="exact"/>
              <w:rPr>
                <w:rFonts w:ascii="Arial" w:hAnsi="Arial"/>
                <w:b/>
                <w:sz w:val="20"/>
              </w:rPr>
            </w:pPr>
            <w:r>
              <w:rPr>
                <w:rFonts w:ascii="Arial" w:hAnsi="Arial"/>
                <w:b/>
                <w:sz w:val="20"/>
              </w:rPr>
              <w:t>Figure 4. UK – Pct Households Who Report</w:t>
            </w:r>
          </w:p>
          <w:p>
            <w:pPr>
              <w:pStyle w:val="TableParagraph"/>
              <w:spacing w:line="340" w:lineRule="atLeast" w:before="5"/>
              <w:rPr>
                <w:rFonts w:ascii="Arial"/>
                <w:b/>
                <w:sz w:val="20"/>
              </w:rPr>
            </w:pPr>
            <w:r>
              <w:rPr>
                <w:rFonts w:ascii="Arial"/>
                <w:b/>
                <w:sz w:val="20"/>
              </w:rPr>
              <w:t>Increased Financial Strains Since February, Split By Income Level</w:t>
            </w:r>
          </w:p>
        </w:tc>
      </w:tr>
      <w:tr>
        <w:trPr>
          <w:trHeight w:val="3487" w:hRule="atLeast"/>
        </w:trPr>
        <w:tc>
          <w:tcPr>
            <w:tcW w:w="4670" w:type="dxa"/>
            <w:tcBorders>
              <w:top w:val="single" w:sz="2" w:space="0" w:color="D9D9D9"/>
              <w:left w:val="single" w:sz="2" w:space="0" w:color="D9D9D9"/>
              <w:bottom w:val="single" w:sz="2" w:space="0" w:color="D9D9D9"/>
            </w:tcBorders>
          </w:tcPr>
          <w:p>
            <w:pPr>
              <w:pStyle w:val="TableParagraph"/>
              <w:spacing w:line="191" w:lineRule="exact" w:before="27"/>
              <w:ind w:left="39"/>
              <w:rPr>
                <w:b/>
                <w:sz w:val="17"/>
              </w:rPr>
            </w:pPr>
            <w:r>
              <w:rPr>
                <w:b/>
                <w:sz w:val="17"/>
              </w:rPr>
              <w:t>70</w:t>
            </w:r>
          </w:p>
          <w:p>
            <w:pPr>
              <w:pStyle w:val="TableParagraph"/>
              <w:tabs>
                <w:tab w:pos="2287" w:val="left" w:leader="none"/>
                <w:tab w:pos="3317" w:val="left" w:leader="none"/>
              </w:tabs>
              <w:spacing w:line="191" w:lineRule="exact"/>
              <w:ind w:left="766"/>
              <w:rPr>
                <w:b/>
                <w:sz w:val="17"/>
              </w:rPr>
            </w:pPr>
            <w:r>
              <w:rPr>
                <w:b/>
                <w:w w:val="95"/>
                <w:sz w:val="17"/>
              </w:rPr>
              <w:t>Income</w:t>
            </w:r>
            <w:r>
              <w:rPr>
                <w:b/>
                <w:spacing w:val="-15"/>
                <w:w w:val="95"/>
                <w:sz w:val="17"/>
              </w:rPr>
              <w:t> </w:t>
            </w:r>
            <w:r>
              <w:rPr>
                <w:b/>
                <w:w w:val="95"/>
                <w:sz w:val="17"/>
              </w:rPr>
              <w:t>Decreased</w:t>
              <w:tab/>
            </w:r>
            <w:r>
              <w:rPr>
                <w:b/>
                <w:sz w:val="17"/>
              </w:rPr>
              <w:t>No</w:t>
            </w:r>
            <w:r>
              <w:rPr>
                <w:b/>
                <w:spacing w:val="-19"/>
                <w:sz w:val="17"/>
              </w:rPr>
              <w:t> </w:t>
            </w:r>
            <w:r>
              <w:rPr>
                <w:b/>
                <w:sz w:val="17"/>
              </w:rPr>
              <w:t>Change</w:t>
              <w:tab/>
              <w:t>Income</w:t>
            </w:r>
            <w:r>
              <w:rPr>
                <w:b/>
                <w:spacing w:val="-18"/>
                <w:sz w:val="17"/>
              </w:rPr>
              <w:t> </w:t>
            </w:r>
            <w:r>
              <w:rPr>
                <w:b/>
                <w:sz w:val="17"/>
              </w:rPr>
              <w:t>Increased</w:t>
            </w:r>
          </w:p>
          <w:p>
            <w:pPr>
              <w:pStyle w:val="TableParagraph"/>
              <w:spacing w:before="4"/>
              <w:ind w:left="39"/>
              <w:rPr>
                <w:b/>
                <w:sz w:val="17"/>
              </w:rPr>
            </w:pPr>
            <w:r>
              <w:rPr>
                <w:b/>
                <w:sz w:val="17"/>
              </w:rPr>
              <w:t>60</w:t>
            </w:r>
          </w:p>
          <w:p>
            <w:pPr>
              <w:pStyle w:val="TableParagraph"/>
              <w:spacing w:before="6"/>
              <w:rPr>
                <w:rFonts w:ascii="Arial"/>
                <w:sz w:val="15"/>
              </w:rPr>
            </w:pPr>
          </w:p>
          <w:p>
            <w:pPr>
              <w:pStyle w:val="TableParagraph"/>
              <w:ind w:left="39"/>
              <w:rPr>
                <w:b/>
                <w:sz w:val="17"/>
              </w:rPr>
            </w:pPr>
            <w:r>
              <w:rPr>
                <w:b/>
                <w:sz w:val="17"/>
              </w:rPr>
              <w:t>50</w:t>
            </w:r>
          </w:p>
          <w:p>
            <w:pPr>
              <w:pStyle w:val="TableParagraph"/>
              <w:spacing w:line="175" w:lineRule="exact" w:before="36"/>
              <w:ind w:left="466"/>
              <w:rPr>
                <w:b/>
                <w:sz w:val="17"/>
              </w:rPr>
            </w:pPr>
            <w:r>
              <w:rPr>
                <w:b/>
                <w:w w:val="91"/>
                <w:sz w:val="17"/>
              </w:rPr>
              <w:t>%</w:t>
            </w:r>
          </w:p>
          <w:p>
            <w:pPr>
              <w:pStyle w:val="TableParagraph"/>
              <w:spacing w:line="175" w:lineRule="exact"/>
              <w:ind w:left="39"/>
              <w:rPr>
                <w:b/>
                <w:sz w:val="17"/>
              </w:rPr>
            </w:pPr>
            <w:r>
              <w:rPr>
                <w:b/>
                <w:sz w:val="17"/>
              </w:rPr>
              <w:t>40</w:t>
            </w:r>
          </w:p>
          <w:p>
            <w:pPr>
              <w:pStyle w:val="TableParagraph"/>
              <w:spacing w:before="6"/>
              <w:rPr>
                <w:rFonts w:ascii="Arial"/>
                <w:sz w:val="15"/>
              </w:rPr>
            </w:pPr>
          </w:p>
          <w:p>
            <w:pPr>
              <w:pStyle w:val="TableParagraph"/>
              <w:ind w:left="39"/>
              <w:rPr>
                <w:b/>
                <w:sz w:val="17"/>
              </w:rPr>
            </w:pPr>
            <w:r>
              <w:rPr>
                <w:b/>
                <w:sz w:val="17"/>
              </w:rPr>
              <w:t>30</w:t>
            </w:r>
          </w:p>
          <w:p>
            <w:pPr>
              <w:pStyle w:val="TableParagraph"/>
              <w:spacing w:before="6"/>
              <w:rPr>
                <w:rFonts w:ascii="Arial"/>
                <w:sz w:val="15"/>
              </w:rPr>
            </w:pPr>
          </w:p>
          <w:p>
            <w:pPr>
              <w:pStyle w:val="TableParagraph"/>
              <w:ind w:left="39"/>
              <w:rPr>
                <w:b/>
                <w:sz w:val="17"/>
              </w:rPr>
            </w:pPr>
            <w:r>
              <w:rPr>
                <w:b/>
                <w:sz w:val="17"/>
              </w:rPr>
              <w:t>20</w:t>
            </w:r>
          </w:p>
          <w:p>
            <w:pPr>
              <w:pStyle w:val="TableParagraph"/>
              <w:spacing w:before="6"/>
              <w:rPr>
                <w:rFonts w:ascii="Arial"/>
                <w:sz w:val="15"/>
              </w:rPr>
            </w:pPr>
          </w:p>
          <w:p>
            <w:pPr>
              <w:pStyle w:val="TableParagraph"/>
              <w:ind w:left="39"/>
              <w:rPr>
                <w:b/>
                <w:sz w:val="17"/>
              </w:rPr>
            </w:pPr>
            <w:r>
              <w:rPr>
                <w:b/>
                <w:sz w:val="17"/>
              </w:rPr>
              <w:t>10</w:t>
            </w:r>
          </w:p>
          <w:p>
            <w:pPr>
              <w:pStyle w:val="TableParagraph"/>
              <w:spacing w:before="6"/>
              <w:rPr>
                <w:rFonts w:ascii="Arial"/>
                <w:sz w:val="15"/>
              </w:rPr>
            </w:pPr>
          </w:p>
          <w:p>
            <w:pPr>
              <w:pStyle w:val="TableParagraph"/>
              <w:ind w:left="118"/>
              <w:rPr>
                <w:b/>
                <w:sz w:val="17"/>
              </w:rPr>
            </w:pPr>
            <w:r>
              <w:rPr>
                <w:b/>
                <w:w w:val="91"/>
                <w:sz w:val="17"/>
              </w:rPr>
              <w:t>0</w:t>
            </w:r>
          </w:p>
          <w:p>
            <w:pPr>
              <w:pStyle w:val="TableParagraph"/>
              <w:tabs>
                <w:tab w:pos="1194" w:val="left" w:leader="none"/>
                <w:tab w:pos="1729" w:val="left" w:leader="none"/>
                <w:tab w:pos="2343" w:val="left" w:leader="none"/>
                <w:tab w:pos="2956" w:val="left" w:leader="none"/>
                <w:tab w:pos="3649" w:val="left" w:leader="none"/>
                <w:tab w:pos="4184" w:val="left" w:leader="none"/>
              </w:tabs>
              <w:spacing w:before="21"/>
              <w:ind w:left="502"/>
              <w:rPr>
                <w:b/>
                <w:sz w:val="17"/>
              </w:rPr>
            </w:pPr>
            <w:r>
              <w:rPr>
                <w:b/>
                <w:sz w:val="17"/>
              </w:rPr>
              <w:t>27-31</w:t>
              <w:tab/>
              <w:t>3-7</w:t>
              <w:tab/>
              <w:t>10-13</w:t>
              <w:tab/>
              <w:t>17-20</w:t>
              <w:tab/>
              <w:t>24-27</w:t>
              <w:tab/>
              <w:t>1-4</w:t>
              <w:tab/>
              <w:t>18-20</w:t>
            </w:r>
          </w:p>
          <w:p>
            <w:pPr>
              <w:pStyle w:val="TableParagraph"/>
              <w:tabs>
                <w:tab w:pos="1142" w:val="left" w:leader="none"/>
                <w:tab w:pos="1756" w:val="left" w:leader="none"/>
                <w:tab w:pos="2369" w:val="left" w:leader="none"/>
                <w:tab w:pos="2983" w:val="left" w:leader="none"/>
                <w:tab w:pos="3608" w:val="left" w:leader="none"/>
                <w:tab w:pos="4222" w:val="left" w:leader="none"/>
              </w:tabs>
              <w:spacing w:before="7"/>
              <w:ind w:left="475"/>
              <w:rPr>
                <w:b/>
                <w:sz w:val="17"/>
              </w:rPr>
            </w:pPr>
            <w:r>
              <w:rPr>
                <w:b/>
                <w:sz w:val="17"/>
              </w:rPr>
              <w:t>March</w:t>
              <w:tab/>
              <w:t>April</w:t>
              <w:tab/>
              <w:t>April</w:t>
              <w:tab/>
              <w:t>April</w:t>
              <w:tab/>
              <w:t>April</w:t>
              <w:tab/>
              <w:t>May</w:t>
              <w:tab/>
              <w:t>May</w:t>
            </w:r>
          </w:p>
        </w:tc>
        <w:tc>
          <w:tcPr>
            <w:tcW w:w="70" w:type="dxa"/>
            <w:tcBorders>
              <w:top w:val="single" w:sz="2" w:space="0" w:color="D9D9D9"/>
              <w:bottom w:val="single" w:sz="2" w:space="0" w:color="D9D9D9"/>
              <w:right w:val="single" w:sz="2" w:space="0" w:color="D9D9D9"/>
            </w:tcBorders>
          </w:tcPr>
          <w:p>
            <w:pPr>
              <w:pStyle w:val="TableParagraph"/>
              <w:rPr>
                <w:rFonts w:ascii="Times New Roman"/>
                <w:sz w:val="18"/>
              </w:rPr>
            </w:pPr>
          </w:p>
        </w:tc>
        <w:tc>
          <w:tcPr>
            <w:tcW w:w="187" w:type="dxa"/>
            <w:tcBorders>
              <w:left w:val="single" w:sz="2" w:space="0" w:color="D9D9D9"/>
              <w:right w:val="single" w:sz="2" w:space="0" w:color="D9D9D9"/>
            </w:tcBorders>
          </w:tcPr>
          <w:p>
            <w:pPr>
              <w:pStyle w:val="TableParagraph"/>
              <w:rPr>
                <w:rFonts w:ascii="Times New Roman"/>
                <w:sz w:val="18"/>
              </w:rPr>
            </w:pPr>
          </w:p>
        </w:tc>
        <w:tc>
          <w:tcPr>
            <w:tcW w:w="4740" w:type="dxa"/>
            <w:tcBorders>
              <w:top w:val="single" w:sz="2" w:space="0" w:color="D9D9D9"/>
              <w:left w:val="single" w:sz="2" w:space="0" w:color="D9D9D9"/>
              <w:bottom w:val="single" w:sz="2" w:space="0" w:color="D9D9D9"/>
              <w:right w:val="single" w:sz="2" w:space="0" w:color="D9D9D9"/>
            </w:tcBorders>
          </w:tcPr>
          <w:p>
            <w:pPr>
              <w:pStyle w:val="TableParagraph"/>
              <w:spacing w:line="175" w:lineRule="exact" w:before="27"/>
              <w:ind w:left="39"/>
              <w:rPr>
                <w:b/>
                <w:sz w:val="17"/>
              </w:rPr>
            </w:pPr>
            <w:r>
              <w:rPr>
                <w:b/>
                <w:sz w:val="17"/>
              </w:rPr>
              <w:t>35</w:t>
            </w:r>
          </w:p>
          <w:p>
            <w:pPr>
              <w:pStyle w:val="TableParagraph"/>
              <w:tabs>
                <w:tab w:pos="3278" w:val="left" w:leader="none"/>
              </w:tabs>
              <w:spacing w:line="226" w:lineRule="exact"/>
              <w:ind w:left="407"/>
              <w:rPr>
                <w:b/>
                <w:sz w:val="17"/>
              </w:rPr>
            </w:pPr>
            <w:r>
              <w:rPr>
                <w:b/>
                <w:position w:val="7"/>
                <w:sz w:val="17"/>
              </w:rPr>
              <w:t>%</w:t>
              <w:tab/>
            </w:r>
            <w:r>
              <w:rPr>
                <w:b/>
                <w:sz w:val="17"/>
              </w:rPr>
              <w:t>Up to</w:t>
            </w:r>
            <w:r>
              <w:rPr>
                <w:b/>
                <w:spacing w:val="-14"/>
                <w:sz w:val="17"/>
              </w:rPr>
              <w:t> </w:t>
            </w:r>
            <w:r>
              <w:rPr>
                <w:b/>
                <w:sz w:val="17"/>
              </w:rPr>
              <w:t>£19,999</w:t>
            </w:r>
          </w:p>
          <w:p>
            <w:pPr>
              <w:pStyle w:val="TableParagraph"/>
              <w:tabs>
                <w:tab w:pos="3278" w:val="left" w:leader="none"/>
              </w:tabs>
              <w:spacing w:line="288" w:lineRule="exact"/>
              <w:ind w:left="39"/>
              <w:rPr>
                <w:b/>
                <w:sz w:val="17"/>
              </w:rPr>
            </w:pPr>
            <w:r>
              <w:rPr>
                <w:b/>
                <w:position w:val="10"/>
                <w:sz w:val="17"/>
              </w:rPr>
              <w:t>30</w:t>
              <w:tab/>
            </w:r>
            <w:r>
              <w:rPr>
                <w:b/>
                <w:w w:val="90"/>
                <w:sz w:val="17"/>
              </w:rPr>
              <w:t>£20,000 -</w:t>
            </w:r>
            <w:r>
              <w:rPr>
                <w:b/>
                <w:spacing w:val="9"/>
                <w:w w:val="90"/>
                <w:sz w:val="17"/>
              </w:rPr>
              <w:t> </w:t>
            </w:r>
            <w:r>
              <w:rPr>
                <w:b/>
                <w:w w:val="90"/>
                <w:sz w:val="17"/>
              </w:rPr>
              <w:t>£34,999</w:t>
            </w:r>
          </w:p>
          <w:p>
            <w:pPr>
              <w:pStyle w:val="TableParagraph"/>
              <w:tabs>
                <w:tab w:pos="3278" w:val="left" w:leader="none"/>
              </w:tabs>
              <w:spacing w:before="64"/>
              <w:ind w:left="39"/>
              <w:rPr>
                <w:b/>
                <w:sz w:val="17"/>
              </w:rPr>
            </w:pPr>
            <w:r>
              <w:rPr>
                <w:b/>
                <w:sz w:val="17"/>
              </w:rPr>
              <w:t>25</w:t>
              <w:tab/>
            </w:r>
            <w:r>
              <w:rPr>
                <w:b/>
                <w:w w:val="90"/>
                <w:position w:val="1"/>
                <w:sz w:val="17"/>
              </w:rPr>
              <w:t>£35,000 -</w:t>
            </w:r>
            <w:r>
              <w:rPr>
                <w:b/>
                <w:spacing w:val="9"/>
                <w:w w:val="90"/>
                <w:position w:val="1"/>
                <w:sz w:val="17"/>
              </w:rPr>
              <w:t> </w:t>
            </w:r>
            <w:r>
              <w:rPr>
                <w:b/>
                <w:w w:val="90"/>
                <w:position w:val="1"/>
                <w:sz w:val="17"/>
              </w:rPr>
              <w:t>£54,999</w:t>
            </w:r>
          </w:p>
          <w:p>
            <w:pPr>
              <w:pStyle w:val="TableParagraph"/>
              <w:spacing w:line="167" w:lineRule="exact" w:before="47"/>
              <w:ind w:left="3278"/>
              <w:rPr>
                <w:b/>
                <w:sz w:val="17"/>
              </w:rPr>
            </w:pPr>
            <w:r>
              <w:rPr>
                <w:b/>
                <w:sz w:val="17"/>
              </w:rPr>
              <w:t>£55,000+</w:t>
            </w:r>
          </w:p>
          <w:p>
            <w:pPr>
              <w:pStyle w:val="TableParagraph"/>
              <w:spacing w:line="167" w:lineRule="exact"/>
              <w:ind w:left="39"/>
              <w:rPr>
                <w:b/>
                <w:sz w:val="17"/>
              </w:rPr>
            </w:pPr>
            <w:r>
              <w:rPr>
                <w:b/>
                <w:sz w:val="17"/>
              </w:rPr>
              <w:t>20</w:t>
            </w:r>
          </w:p>
          <w:p>
            <w:pPr>
              <w:pStyle w:val="TableParagraph"/>
              <w:spacing w:before="1"/>
              <w:rPr>
                <w:rFonts w:ascii="Arial"/>
                <w:sz w:val="15"/>
              </w:rPr>
            </w:pPr>
          </w:p>
          <w:p>
            <w:pPr>
              <w:pStyle w:val="TableParagraph"/>
              <w:ind w:left="39"/>
              <w:rPr>
                <w:b/>
                <w:sz w:val="17"/>
              </w:rPr>
            </w:pPr>
            <w:r>
              <w:rPr>
                <w:b/>
                <w:sz w:val="17"/>
              </w:rPr>
              <w:t>15</w:t>
            </w:r>
          </w:p>
          <w:p>
            <w:pPr>
              <w:pStyle w:val="TableParagraph"/>
              <w:spacing w:before="2"/>
              <w:rPr>
                <w:rFonts w:ascii="Arial"/>
                <w:sz w:val="15"/>
              </w:rPr>
            </w:pPr>
          </w:p>
          <w:p>
            <w:pPr>
              <w:pStyle w:val="TableParagraph"/>
              <w:ind w:left="39"/>
              <w:rPr>
                <w:b/>
                <w:sz w:val="17"/>
              </w:rPr>
            </w:pPr>
            <w:r>
              <w:rPr>
                <w:b/>
                <w:sz w:val="17"/>
              </w:rPr>
              <w:t>10</w:t>
            </w:r>
          </w:p>
          <w:p>
            <w:pPr>
              <w:pStyle w:val="TableParagraph"/>
              <w:spacing w:before="1"/>
              <w:rPr>
                <w:rFonts w:ascii="Arial"/>
                <w:sz w:val="15"/>
              </w:rPr>
            </w:pPr>
          </w:p>
          <w:p>
            <w:pPr>
              <w:pStyle w:val="TableParagraph"/>
              <w:spacing w:before="1"/>
              <w:ind w:left="118"/>
              <w:rPr>
                <w:b/>
                <w:sz w:val="17"/>
              </w:rPr>
            </w:pPr>
            <w:r>
              <w:rPr>
                <w:b/>
                <w:w w:val="91"/>
                <w:sz w:val="17"/>
              </w:rPr>
              <w:t>5</w:t>
            </w:r>
          </w:p>
          <w:p>
            <w:pPr>
              <w:pStyle w:val="TableParagraph"/>
              <w:spacing w:before="1"/>
              <w:rPr>
                <w:rFonts w:ascii="Arial"/>
                <w:sz w:val="15"/>
              </w:rPr>
            </w:pPr>
          </w:p>
          <w:p>
            <w:pPr>
              <w:pStyle w:val="TableParagraph"/>
              <w:ind w:left="118"/>
              <w:rPr>
                <w:b/>
                <w:sz w:val="17"/>
              </w:rPr>
            </w:pPr>
            <w:r>
              <w:rPr>
                <w:b/>
                <w:w w:val="91"/>
                <w:sz w:val="17"/>
              </w:rPr>
              <w:t>0</w:t>
            </w:r>
          </w:p>
          <w:p>
            <w:pPr>
              <w:pStyle w:val="TableParagraph"/>
              <w:tabs>
                <w:tab w:pos="1994" w:val="left" w:leader="none"/>
                <w:tab w:pos="2549" w:val="left" w:leader="none"/>
                <w:tab w:pos="2713" w:val="left" w:leader="none"/>
                <w:tab w:pos="3273" w:val="left" w:leader="none"/>
                <w:tab w:pos="4115" w:val="left" w:leader="none"/>
                <w:tab w:pos="4162" w:val="left" w:leader="none"/>
              </w:tabs>
              <w:spacing w:line="249" w:lineRule="auto" w:before="21"/>
              <w:ind w:left="478" w:right="224" w:firstLine="42"/>
              <w:rPr>
                <w:b/>
                <w:sz w:val="17"/>
              </w:rPr>
            </w:pPr>
            <w:r>
              <w:rPr>
                <w:b/>
                <w:sz w:val="17"/>
              </w:rPr>
              <w:t>Some  </w:t>
            </w:r>
            <w:r>
              <w:rPr>
                <w:b/>
                <w:spacing w:val="17"/>
                <w:sz w:val="17"/>
              </w:rPr>
              <w:t> </w:t>
            </w:r>
            <w:r>
              <w:rPr>
                <w:b/>
                <w:sz w:val="17"/>
              </w:rPr>
              <w:t>Utility</w:t>
            </w:r>
            <w:r>
              <w:rPr>
                <w:b/>
                <w:spacing w:val="-14"/>
                <w:sz w:val="17"/>
              </w:rPr>
              <w:t> </w:t>
            </w:r>
            <w:r>
              <w:rPr>
                <w:b/>
                <w:sz w:val="17"/>
              </w:rPr>
              <w:t>Bills</w:t>
              <w:tab/>
              <w:t>Rent</w:t>
              <w:tab/>
              <w:tab/>
              <w:t>Loan</w:t>
              <w:tab/>
              <w:t>Mortgage</w:t>
              <w:tab/>
            </w:r>
            <w:r>
              <w:rPr>
                <w:b/>
                <w:spacing w:val="-4"/>
                <w:w w:val="95"/>
                <w:sz w:val="17"/>
              </w:rPr>
              <w:t>Credit </w:t>
            </w:r>
            <w:r>
              <w:rPr>
                <w:b/>
                <w:sz w:val="17"/>
              </w:rPr>
              <w:t>Impact</w:t>
              <w:tab/>
              <w:tab/>
              <w:t>Payments </w:t>
            </w:r>
            <w:r>
              <w:rPr>
                <w:b/>
                <w:spacing w:val="13"/>
                <w:sz w:val="17"/>
              </w:rPr>
              <w:t> </w:t>
            </w:r>
            <w:r>
              <w:rPr>
                <w:b/>
                <w:sz w:val="17"/>
              </w:rPr>
              <w:t>Holiday</w:t>
              <w:tab/>
              <w:tab/>
              <w:t>Card</w:t>
            </w:r>
          </w:p>
        </w:tc>
      </w:tr>
    </w:tbl>
    <w:p>
      <w:pPr>
        <w:spacing w:line="360" w:lineRule="auto" w:before="128"/>
        <w:ind w:left="232" w:right="493" w:firstLine="0"/>
        <w:jc w:val="left"/>
        <w:rPr>
          <w:sz w:val="16"/>
        </w:rPr>
      </w:pPr>
      <w:r>
        <w:rPr/>
        <w:pict>
          <v:group style="position:absolute;margin-left:75.564728pt;margin-top:-167.815353pt;width:214.85pt;height:135.1pt;mso-position-horizontal-relative:page;mso-position-vertical-relative:paragraph;z-index:-253132800" coordorigin="1511,-3356" coordsize="4297,2702">
            <v:rect style="position:absolute;left:1513;top:-3355;width:4293;height:2698" filled="false" stroked="true" strokeweight=".212558pt" strokecolor="#000000">
              <v:stroke dashstyle="solid"/>
            </v:rect>
            <v:shape style="position:absolute;left:1820;top:-2274;width:3678;height:541" coordorigin="1821,-2273" coordsize="3678,541" path="m1821,-1733l2432,-1926,3047,-1966,3658,-2234,4273,-2080,4887,-2273,5498,-2120e" filled="false" stroked="true" strokeweight="1.095639pt" strokecolor="#0000ff">
              <v:path arrowok="t"/>
              <v:stroke dashstyle="solid"/>
            </v:shape>
            <v:shape style="position:absolute;left:1820;top:-2968;width:3678;height:616" coordorigin="1821,-2968" coordsize="3678,616" path="m1821,-2968l2432,-2814,3047,-2660,3658,-2546,4273,-2506,4887,-2353,5498,-2546e" filled="false" stroked="true" strokeweight="1.094878pt" strokecolor="#ff00ff">
              <v:path arrowok="t"/>
              <v:stroke dashstyle="solid"/>
            </v:shape>
            <v:shape style="position:absolute;left:1820;top:-1119;width:3678;height:194" coordorigin="1821,-1118" coordsize="3678,194" path="m1821,-925l2432,-964,3047,-1079,3658,-964,4273,-1118,4887,-1079,5498,-1039e" filled="false" stroked="true" strokeweight="1.097944pt" strokecolor="#66ff33">
              <v:path arrowok="t"/>
              <v:stroke dashstyle="solid"/>
            </v:shape>
            <v:line style="position:absolute" from="1766,-3178" to="1891,-3178" stroked="true" strokeweight="1.098289pt" strokecolor="#0000ff">
              <v:stroke dashstyle="solid"/>
            </v:line>
            <v:line style="position:absolute" from="3284,-3178" to="3409,-3178" stroked="true" strokeweight="1.098289pt" strokecolor="#ff00ff">
              <v:stroke dashstyle="solid"/>
            </v:line>
            <v:line style="position:absolute" from="4311,-3178" to="4436,-3178" stroked="true" strokeweight="1.098289pt" strokecolor="#66ff33">
              <v:stroke dashstyle="solid"/>
            </v:line>
            <w10:wrap type="none"/>
          </v:group>
        </w:pict>
      </w:r>
      <w:r>
        <w:rPr/>
        <w:pict>
          <v:group style="position:absolute;margin-left:320.163422pt;margin-top:-167.815445pt;width:216.6pt;height:133.550pt;mso-position-horizontal-relative:page;mso-position-vertical-relative:paragraph;z-index:-253131776" coordorigin="6403,-3356" coordsize="4332,2671">
            <v:rect style="position:absolute;left:6405;top:-3355;width:4328;height:2667" filled="false" stroked="true" strokeweight=".212756pt" strokecolor="#000000">
              <v:stroke dashstyle="solid"/>
            </v:rect>
            <v:shape style="position:absolute;left:6477;top:-2821;width:3752;height:2136" coordorigin="6477,-2820" coordsize="3752,2136" path="m6621,-2820l6477,-2820,6477,-685,6621,-685,6621,-2820m7341,-1371l7197,-1371,7197,-685,7341,-685,7341,-1371m8065,-1142l7921,-1142,7921,-685,8065,-685,8065,-1142m8785,-914l8641,-914,8641,-685,8785,-685,8785,-914m9505,-993l9361,-993,9361,-685,9505,-685,9505,-993m10229,-1221l10085,-1221,10085,-685,10229,-685,10229,-1221e" filled="true" fillcolor="#0000ff" stroked="false">
              <v:path arrowok="t"/>
              <v:fill type="solid"/>
            </v:shape>
            <v:shape style="position:absolute;left:6621;top:-2746;width:3752;height:2061" coordorigin="6621,-2746" coordsize="3752,2061" path="m6765,-2746l6621,-2746,6621,-685,6765,-685,6765,-2746m7485,-1142l7341,-1142,7341,-685,7485,-685,7485,-1142m8209,-993l8065,-993,8065,-685,8209,-685,8209,-993m8929,-1068l8785,-1068,8785,-685,8929,-685,8929,-1068m9649,-1068l9505,-1068,9505,-685,9649,-685,9649,-1068m10373,-1221l10229,-1221,10229,-685,10373,-685,10373,-1221e" filled="true" fillcolor="#ff00ff" stroked="false">
              <v:path arrowok="t"/>
              <v:fill type="solid"/>
            </v:shape>
            <v:shape style="position:absolute;left:6765;top:-2821;width:3752;height:2136" coordorigin="6765,-2820" coordsize="3752,2136" path="m6909,-2820l6765,-2820,6765,-685,6909,-685,6909,-2820m7629,-1068l7485,-1068,7485,-685,7629,-685,7629,-1068m8353,-914l8209,-914,8209,-685,8353,-685,8353,-914m9073,-1371l8929,-1371,8929,-685,9073,-685,9073,-1371m9793,-1221l9649,-1221,9649,-685,9793,-685,9793,-1221m10517,-1142l10373,-1142,10373,-685,10517,-685,10517,-1142e" filled="true" fillcolor="#66ff33" stroked="false">
              <v:path arrowok="t"/>
              <v:fill type="solid"/>
            </v:shape>
            <v:shape style="position:absolute;left:6909;top:-2746;width:3752;height:2061" coordorigin="6909,-2746" coordsize="3752,2061" path="m7053,-2746l6909,-2746,6909,-685,7053,-685,7053,-2746m7777,-1068l7629,-1068,7629,-685,7777,-685,7777,-1068m8497,-914l8353,-914,8353,-685,8497,-685,8497,-914m9217,-1142l9073,-1142,9073,-685,9217,-685,9217,-1142m9941,-1296l9793,-1296,9793,-685,9941,-685,9941,-1296m10661,-1296l10517,-1296,10517,-685,10661,-685,10661,-1296e" filled="true" fillcolor="#ffc000" stroked="false">
              <v:path arrowok="t"/>
              <v:fill type="solid"/>
            </v:shape>
            <v:rect style="position:absolute;left:9213;top:-3190;width:86;height:97" filled="true" fillcolor="#0000ff" stroked="false">
              <v:fill type="solid"/>
            </v:rect>
            <v:rect style="position:absolute;left:9213;top:-2922;width:86;height:97" filled="true" fillcolor="#ff00ff" stroked="false">
              <v:fill type="solid"/>
            </v:rect>
            <v:rect style="position:absolute;left:9213;top:-2654;width:86;height:97" filled="true" fillcolor="#66ff33" stroked="false">
              <v:fill type="solid"/>
            </v:rect>
            <v:rect style="position:absolute;left:9213;top:-2386;width:86;height:97" filled="true" fillcolor="#ffc000" stroked="false">
              <v:fill type="solid"/>
            </v:rect>
            <w10:wrap type="none"/>
          </v:group>
        </w:pict>
      </w:r>
      <w:r>
        <w:rPr>
          <w:sz w:val="16"/>
        </w:rPr>
        <w:t>Note: In the right chart, we show the share of households who report difficulties in meeting various financial commitments. We have shown the main categories but the survey covers other financial commitments as well. Sources: Ipsos MORI and Bank of England.</w:t>
      </w:r>
    </w:p>
    <w:p>
      <w:pPr>
        <w:pStyle w:val="BodyText"/>
        <w:rPr>
          <w:sz w:val="18"/>
        </w:rPr>
      </w:pPr>
    </w:p>
    <w:p>
      <w:pPr>
        <w:pStyle w:val="BodyText"/>
        <w:spacing w:line="360" w:lineRule="auto" w:before="139"/>
        <w:ind w:left="232" w:right="146"/>
      </w:pPr>
      <w:r>
        <w:rPr/>
        <w:t>The drop in activity reflects reductions in supply as well as demand. Even so, it is clear that the net effect has been highly disinflationary so far, with lower oil prices and a substantial squeeze on margins. Headline CPI inflation has now fallen into letter-writing territory below 1% and the MPC expects that inflation will fall to about zero around the end of this year.</w:t>
      </w:r>
    </w:p>
    <w:p>
      <w:pPr>
        <w:pStyle w:val="BodyText"/>
        <w:spacing w:before="10"/>
        <w:rPr>
          <w:sz w:val="29"/>
        </w:rPr>
      </w:pPr>
    </w:p>
    <w:p>
      <w:pPr>
        <w:pStyle w:val="BodyText"/>
        <w:spacing w:line="360" w:lineRule="auto" w:before="1"/>
        <w:ind w:left="232" w:right="194"/>
      </w:pPr>
      <w:r>
        <w:rPr/>
        <w:t>Guided by its remit, the MPC in recent months has had two key aims. First, to ensure that inflation returns to the 2% target. Second, to support activity and financial conditions in order to limit the longer-term damage to the economy from hysteresis and scarring. As economic prospects and financial conditions worsened, the MPC has eased monetary policy markedly in recent months, cutting Bank Rate to a record low of 0.1%, reinforced by the launch of the TFSME, and announced a further £200bn increase in asset purchases that includes both government bonds and investment grade corporate bonds. These actions have complemented those taken by other parts of the BoE and by the Government.</w:t>
      </w:r>
    </w:p>
    <w:p>
      <w:pPr>
        <w:pStyle w:val="BodyText"/>
      </w:pPr>
    </w:p>
    <w:p>
      <w:pPr>
        <w:pStyle w:val="BodyText"/>
      </w:pPr>
    </w:p>
    <w:p>
      <w:pPr>
        <w:pStyle w:val="BodyText"/>
      </w:pPr>
    </w:p>
    <w:p>
      <w:pPr>
        <w:pStyle w:val="BodyText"/>
      </w:pPr>
    </w:p>
    <w:p>
      <w:pPr>
        <w:pStyle w:val="BodyText"/>
      </w:pPr>
    </w:p>
    <w:p>
      <w:pPr>
        <w:pStyle w:val="BodyText"/>
        <w:rPr>
          <w:sz w:val="26"/>
        </w:rPr>
      </w:pPr>
      <w:r>
        <w:rPr/>
        <w:pict>
          <v:shape style="position:absolute;margin-left:56.639999pt;margin-top:17.167896pt;width:144.050pt;height:.1pt;mso-position-horizontal-relative:page;mso-position-vertical-relative:paragraph;z-index:-251646976;mso-wrap-distance-left:0;mso-wrap-distance-right:0" coordorigin="1133,343" coordsize="2881,0" path="m1133,343l4014,343e" filled="false" stroked="true" strokeweight=".48004pt" strokecolor="#000000">
            <v:path arrowok="t"/>
            <v:stroke dashstyle="solid"/>
            <w10:wrap type="topAndBottom"/>
          </v:shape>
        </w:pict>
      </w:r>
    </w:p>
    <w:p>
      <w:pPr>
        <w:spacing w:before="50"/>
        <w:ind w:left="232" w:right="350" w:firstLine="0"/>
        <w:jc w:val="left"/>
        <w:rPr>
          <w:sz w:val="16"/>
        </w:rPr>
      </w:pPr>
      <w:r>
        <w:rPr>
          <w:position w:val="6"/>
          <w:sz w:val="10"/>
        </w:rPr>
        <w:t>5 </w:t>
      </w:r>
      <w:r>
        <w:rPr>
          <w:sz w:val="16"/>
        </w:rPr>
        <w:t>For example, falling behind on payments for utility charges, bills, rent, unsecured loan payments, or making increased use of credit card debt or overdraft.</w:t>
      </w:r>
    </w:p>
    <w:p>
      <w:pPr>
        <w:spacing w:after="0"/>
        <w:jc w:val="left"/>
        <w:rPr>
          <w:sz w:val="16"/>
        </w:rPr>
        <w:sectPr>
          <w:footerReference w:type="default" r:id="rId12"/>
          <w:pgSz w:w="11910" w:h="16840"/>
          <w:pgMar w:footer="1338" w:header="0" w:top="1520" w:bottom="1520" w:left="900" w:right="980"/>
        </w:sectPr>
      </w:pPr>
    </w:p>
    <w:p>
      <w:pPr>
        <w:pStyle w:val="Heading1"/>
        <w:spacing w:before="79"/>
      </w:pPr>
      <w:r>
        <w:rPr/>
        <w:t>The economic outlook</w:t>
      </w:r>
    </w:p>
    <w:p>
      <w:pPr>
        <w:pStyle w:val="BodyText"/>
        <w:rPr>
          <w:b/>
          <w:sz w:val="22"/>
        </w:rPr>
      </w:pPr>
    </w:p>
    <w:p>
      <w:pPr>
        <w:pStyle w:val="BodyText"/>
        <w:spacing w:before="1"/>
        <w:rPr>
          <w:b/>
          <w:sz w:val="18"/>
        </w:rPr>
      </w:pPr>
    </w:p>
    <w:p>
      <w:pPr>
        <w:pStyle w:val="BodyText"/>
        <w:spacing w:line="360" w:lineRule="auto"/>
        <w:ind w:left="232" w:right="150"/>
      </w:pPr>
      <w:r>
        <w:rPr/>
        <w:t>In the May MPR, the MPC published an illustrative scenario for the economy over the next three years. The economy’s path will depend in part on the extent of the measures aimed at protecting public health. The scenario is based on stylised assumptions as to how these will unfold and assumes that the lockdown eases gradually over several months. As this occurs, constraints on activity will diminish as some businesses reopen and some people resume work. Some purchases that were deferred will be able to take place. This is likely to produce a temporary period of very strong growth rates in the economy as activity rebounds towards its pre-Covid trend. In the MPC’s illustrative scenario, this rebound occurs over several quarters from the middle of this year, and leaves GDP close to its pre-Covid trend three years ahead, with unemployment at that stage slightly below 4% and CPI inflation close to the 2% target (see figures 5 and 6).</w:t>
      </w:r>
    </w:p>
    <w:p>
      <w:pPr>
        <w:pStyle w:val="BodyText"/>
        <w:spacing w:before="9"/>
        <w:rPr>
          <w:sz w:val="29"/>
        </w:rPr>
      </w:pPr>
    </w:p>
    <w:p>
      <w:pPr>
        <w:pStyle w:val="Heading1"/>
        <w:tabs>
          <w:tab w:pos="5160" w:val="left" w:leader="none"/>
        </w:tabs>
      </w:pPr>
      <w:r>
        <w:rPr/>
        <w:pict>
          <v:group style="position:absolute;margin-left:56.691151pt;margin-top:17.392481pt;width:237.25pt;height:174.85pt;mso-position-horizontal-relative:page;mso-position-vertical-relative:paragraph;z-index:-251633664;mso-wrap-distance-left:0;mso-wrap-distance-right:0" coordorigin="1134,348" coordsize="4745,3497">
            <v:rect style="position:absolute;left:1555;top:490;width:4251;height:3014" filled="false" stroked="true" strokeweight=".211216pt" strokecolor="#000000">
              <v:stroke dashstyle="solid"/>
            </v:rect>
            <v:shape style="position:absolute;left:1563;top:978;width:4188;height:1789" coordorigin="1564,978" coordsize="4188,1789" path="m1564,2766l1610,2744,1657,2735,1700,2727,1746,2674,1793,2643,1836,2608,1929,2577,2019,2529,2065,2494,2112,2467,2201,2388,2291,2331,2384,2309,2431,2292,2474,2257,2520,2204,2567,2156,2610,2090,2656,2072,2703,2063,2750,2059,2792,2033,2839,1993,2886,1967,2929,1927,2975,1910,3022,1883,3065,1910,3111,1980,3158,2072,3205,2151,3247,2164,3294,2160,3341,2147,3384,2120,3430,2072,3477,2046,3523,2041,3566,2015,3613,2011,3660,1997,3702,1989,3749,1958,3796,1962,3838,1905,3885,1914,3932,1883,3978,1857,4021,1813,4068,1791,4115,1760,4157,1725,4204,1699,4251,1672,4293,1646,4340,1611,4387,1593,4433,1554,4476,1545,4523,1519,4570,1497,4612,1466,4659,1435,4706,1418,4752,1396,4795,1374,4842,1365,4888,1334,4931,1303,4978,1290,5024,1259,5067,1268,5114,1246,5161,1246,5207,1237,5250,1224,5297,1207,5343,1185,5386,1167,5433,1150,5479,1128,5526,1106,5569,1084,5616,1057,5662,1031,5705,1005,5752,978e" filled="false" stroked="true" strokeweight="1.078838pt" strokecolor="#ff00ff">
              <v:path arrowok="t"/>
              <v:stroke dashstyle="solid"/>
            </v:shape>
            <v:shape style="position:absolute;left:1563;top:1233;width:3597;height:1534" coordorigin="1564,1233" coordsize="3597,1534" path="m1564,2766l1610,2744,1657,2735,1700,2727,1746,2674,1793,2643,1836,2608,1929,2577,2019,2529,2065,2494,2112,2467,2201,2388,2291,2331,2384,2309,2431,2292,2474,2257,2520,2204,2567,2156,2610,2090,2656,2072,2703,2063,2750,2059,2792,2033,2839,1993,2886,1967,2929,1927,2975,1910,3022,1883,3065,1910,3111,1980,3158,2072,3205,2151,3247,2164,3294,2160,3341,2147,3384,2120,3430,2072,3477,2046,3523,2041,3566,2015,3613,2011,3660,1997,3702,1989,3749,1958,3796,1962,3838,1905,3885,1914,3932,1883,3978,1857,4021,1813,4068,1791,4115,1760,4157,1725,4204,1699,4251,1672,4293,1646,4340,1611,4387,1593,4433,1554,4476,1545,4523,1519,4570,1497,4612,1466,4659,1435,4706,1418,4752,1396,4795,1374,4842,1365,4888,1334,4931,1308,4978,1286,5024,1251,5067,1259,5114,1242,5161,1233e" filled="false" stroked="true" strokeweight="1.078891pt" strokecolor="#0000ff">
              <v:path arrowok="t"/>
              <v:stroke dashstyle="solid"/>
            </v:shape>
            <v:shape style="position:absolute;left:5160;top:1039;width:638;height:1630" coordorigin="5161,1040" coordsize="638,1630" path="m5161,1233l5207,1382,5250,2670,5297,2182,5343,1655,5386,1439,5433,1286,5479,1220,5526,1171,5616,1119,5662,1097,5705,1075,5752,1057,5798,1040e" filled="false" stroked="true" strokeweight=".988881pt" strokecolor="#0000ff">
              <v:path arrowok="t"/>
              <v:stroke dashstyle="dash"/>
            </v:shape>
            <v:line style="position:absolute" from="5207,3504" to="5207,491" stroked="true" strokeweight=".194426pt" strokecolor="#000000">
              <v:stroke dashstyle="solid"/>
            </v:line>
            <v:line style="position:absolute" from="2757,2744" to="2882,2744" stroked="true" strokeweight="1.098289pt" strokecolor="#ff00ff">
              <v:stroke dashstyle="solid"/>
            </v:line>
            <v:rect style="position:absolute;left:1135;top:349;width:4741;height:3493" filled="false" stroked="true" strokeweight=".21078pt" strokecolor="#d9d9d9">
              <v:stroke dashstyle="solid"/>
            </v:rect>
            <v:shape style="position:absolute;left:5051;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2020</w:t>
                    </w:r>
                  </w:p>
                </w:txbxContent>
              </v:textbox>
              <w10:wrap type="none"/>
            </v:shape>
            <v:shape style="position:absolute;left:4322;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2016</w:t>
                    </w:r>
                  </w:p>
                </w:txbxContent>
              </v:textbox>
              <w10:wrap type="none"/>
            </v:shape>
            <v:shape style="position:absolute;left:3593;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2012</w:t>
                    </w:r>
                  </w:p>
                </w:txbxContent>
              </v:textbox>
              <w10:wrap type="none"/>
            </v:shape>
            <v:shape style="position:absolute;left:2864;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2008</w:t>
                    </w:r>
                  </w:p>
                </w:txbxContent>
              </v:textbox>
              <w10:wrap type="none"/>
            </v:shape>
            <v:shape style="position:absolute;left:2135;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2004</w:t>
                    </w:r>
                  </w:p>
                </w:txbxContent>
              </v:textbox>
              <w10:wrap type="none"/>
            </v:shape>
            <v:shape style="position:absolute;left:1176;top:3425;width:568;height:405" type="#_x0000_t202" filled="false" stroked="false">
              <v:textbox inset="0,0,0,0">
                <w:txbxContent>
                  <w:p>
                    <w:pPr>
                      <w:spacing w:line="178" w:lineRule="exact" w:before="0"/>
                      <w:ind w:left="0" w:right="0" w:firstLine="0"/>
                      <w:jc w:val="left"/>
                      <w:rPr>
                        <w:rFonts w:ascii="Calibri"/>
                        <w:b/>
                        <w:sz w:val="17"/>
                      </w:rPr>
                    </w:pPr>
                    <w:r>
                      <w:rPr>
                        <w:rFonts w:ascii="Calibri"/>
                        <w:b/>
                        <w:sz w:val="17"/>
                      </w:rPr>
                      <w:t>300</w:t>
                    </w:r>
                  </w:p>
                  <w:p>
                    <w:pPr>
                      <w:spacing w:line="206" w:lineRule="exact" w:before="21"/>
                      <w:ind w:left="230" w:right="0" w:firstLine="0"/>
                      <w:jc w:val="left"/>
                      <w:rPr>
                        <w:rFonts w:ascii="Calibri"/>
                        <w:b/>
                        <w:sz w:val="17"/>
                      </w:rPr>
                    </w:pPr>
                    <w:r>
                      <w:rPr>
                        <w:rFonts w:ascii="Calibri"/>
                        <w:b/>
                        <w:w w:val="95"/>
                        <w:sz w:val="17"/>
                      </w:rPr>
                      <w:t>2000</w:t>
                    </w:r>
                  </w:p>
                </w:txbxContent>
              </v:textbox>
              <w10:wrap type="none"/>
            </v:shape>
            <v:shape style="position:absolute;left:2757;top:2665;width:1568;height:503" type="#_x0000_t202" filled="false" stroked="false">
              <v:textbox inset="0,0,0,0">
                <w:txbxContent>
                  <w:p>
                    <w:pPr>
                      <w:spacing w:line="178" w:lineRule="exact" w:before="0"/>
                      <w:ind w:left="55" w:right="18" w:firstLine="0"/>
                      <w:jc w:val="center"/>
                      <w:rPr>
                        <w:rFonts w:ascii="Calibri"/>
                        <w:b/>
                        <w:sz w:val="17"/>
                      </w:rPr>
                    </w:pPr>
                    <w:r>
                      <w:rPr>
                        <w:rFonts w:ascii="Calibri"/>
                        <w:b/>
                        <w:sz w:val="17"/>
                      </w:rPr>
                      <w:t>Jan 20 MPR Forecast</w:t>
                    </w:r>
                  </w:p>
                  <w:p>
                    <w:pPr>
                      <w:spacing w:line="206" w:lineRule="exact" w:before="118"/>
                      <w:ind w:left="0" w:right="18" w:firstLine="0"/>
                      <w:jc w:val="center"/>
                      <w:rPr>
                        <w:rFonts w:ascii="Calibri"/>
                        <w:b/>
                        <w:sz w:val="17"/>
                      </w:rPr>
                    </w:pPr>
                    <w:r>
                      <w:rPr>
                        <w:rFonts w:ascii="Calibri"/>
                        <w:b/>
                        <w:w w:val="91"/>
                        <w:position w:val="7"/>
                        <w:sz w:val="17"/>
                        <w:u w:val="thick" w:color="0000FF"/>
                      </w:rPr>
                      <w:t> </w:t>
                    </w:r>
                    <w:r>
                      <w:rPr>
                        <w:rFonts w:ascii="Calibri"/>
                        <w:b/>
                        <w:position w:val="7"/>
                        <w:sz w:val="17"/>
                        <w:u w:val="thick" w:color="0000FF"/>
                      </w:rPr>
                      <w:t>  </w:t>
                    </w:r>
                    <w:r>
                      <w:rPr>
                        <w:rFonts w:ascii="Calibri"/>
                        <w:b/>
                        <w:spacing w:val="7"/>
                        <w:position w:val="7"/>
                        <w:sz w:val="17"/>
                        <w:u w:val="thick" w:color="0000FF"/>
                      </w:rPr>
                      <w:t> </w:t>
                    </w:r>
                    <w:r>
                      <w:rPr>
                        <w:rFonts w:ascii="Calibri"/>
                        <w:b/>
                        <w:w w:val="95"/>
                        <w:sz w:val="17"/>
                      </w:rPr>
                      <w:t>May</w:t>
                    </w:r>
                    <w:r>
                      <w:rPr>
                        <w:rFonts w:ascii="Calibri"/>
                        <w:b/>
                        <w:spacing w:val="-16"/>
                        <w:w w:val="95"/>
                        <w:sz w:val="17"/>
                      </w:rPr>
                      <w:t> </w:t>
                    </w:r>
                    <w:r>
                      <w:rPr>
                        <w:rFonts w:ascii="Calibri"/>
                        <w:b/>
                        <w:w w:val="95"/>
                        <w:sz w:val="17"/>
                      </w:rPr>
                      <w:t>20</w:t>
                    </w:r>
                    <w:r>
                      <w:rPr>
                        <w:rFonts w:ascii="Calibri"/>
                        <w:b/>
                        <w:spacing w:val="-16"/>
                        <w:w w:val="95"/>
                        <w:sz w:val="17"/>
                      </w:rPr>
                      <w:t> </w:t>
                    </w:r>
                    <w:r>
                      <w:rPr>
                        <w:rFonts w:ascii="Calibri"/>
                        <w:b/>
                        <w:w w:val="95"/>
                        <w:sz w:val="17"/>
                      </w:rPr>
                      <w:t>MPR</w:t>
                    </w:r>
                    <w:r>
                      <w:rPr>
                        <w:rFonts w:ascii="Calibri"/>
                        <w:b/>
                        <w:spacing w:val="-17"/>
                        <w:w w:val="95"/>
                        <w:sz w:val="17"/>
                      </w:rPr>
                      <w:t> </w:t>
                    </w:r>
                    <w:r>
                      <w:rPr>
                        <w:rFonts w:ascii="Calibri"/>
                        <w:b/>
                        <w:spacing w:val="-5"/>
                        <w:w w:val="95"/>
                        <w:sz w:val="17"/>
                      </w:rPr>
                      <w:t>Scenario</w:t>
                    </w:r>
                  </w:p>
                </w:txbxContent>
              </v:textbox>
              <w10:wrap type="none"/>
            </v:shape>
            <v:shape style="position:absolute;left:1176;top:912;width:259;height:2187" type="#_x0000_t202" filled="false" stroked="false">
              <v:textbox inset="0,0,0,0">
                <w:txbxContent>
                  <w:p>
                    <w:pPr>
                      <w:spacing w:line="178" w:lineRule="exact" w:before="0"/>
                      <w:ind w:left="0" w:right="0" w:firstLine="0"/>
                      <w:jc w:val="left"/>
                      <w:rPr>
                        <w:rFonts w:ascii="Calibri"/>
                        <w:b/>
                        <w:sz w:val="17"/>
                      </w:rPr>
                    </w:pPr>
                    <w:r>
                      <w:rPr>
                        <w:rFonts w:ascii="Calibri"/>
                        <w:b/>
                        <w:w w:val="95"/>
                        <w:sz w:val="17"/>
                      </w:rPr>
                      <w:t>550</w:t>
                    </w:r>
                  </w:p>
                  <w:p>
                    <w:pPr>
                      <w:spacing w:line="240" w:lineRule="auto" w:before="2"/>
                      <w:rPr>
                        <w:rFonts w:ascii="Calibri"/>
                        <w:b/>
                        <w:sz w:val="24"/>
                      </w:rPr>
                    </w:pPr>
                  </w:p>
                  <w:p>
                    <w:pPr>
                      <w:spacing w:before="0"/>
                      <w:ind w:left="0" w:right="0" w:firstLine="0"/>
                      <w:jc w:val="left"/>
                      <w:rPr>
                        <w:rFonts w:ascii="Calibri"/>
                        <w:b/>
                        <w:sz w:val="17"/>
                      </w:rPr>
                    </w:pPr>
                    <w:r>
                      <w:rPr>
                        <w:rFonts w:ascii="Calibri"/>
                        <w:b/>
                        <w:w w:val="95"/>
                        <w:sz w:val="17"/>
                      </w:rPr>
                      <w:t>500</w:t>
                    </w:r>
                  </w:p>
                  <w:p>
                    <w:pPr>
                      <w:spacing w:line="240" w:lineRule="auto" w:before="2"/>
                      <w:rPr>
                        <w:rFonts w:ascii="Calibri"/>
                        <w:b/>
                        <w:sz w:val="24"/>
                      </w:rPr>
                    </w:pPr>
                  </w:p>
                  <w:p>
                    <w:pPr>
                      <w:spacing w:before="0"/>
                      <w:ind w:left="0" w:right="0" w:firstLine="0"/>
                      <w:jc w:val="left"/>
                      <w:rPr>
                        <w:rFonts w:ascii="Calibri"/>
                        <w:b/>
                        <w:sz w:val="17"/>
                      </w:rPr>
                    </w:pPr>
                    <w:r>
                      <w:rPr>
                        <w:rFonts w:ascii="Calibri"/>
                        <w:b/>
                        <w:w w:val="95"/>
                        <w:sz w:val="17"/>
                      </w:rPr>
                      <w:t>450</w:t>
                    </w:r>
                  </w:p>
                  <w:p>
                    <w:pPr>
                      <w:spacing w:line="240" w:lineRule="auto" w:before="2"/>
                      <w:rPr>
                        <w:rFonts w:ascii="Calibri"/>
                        <w:b/>
                        <w:sz w:val="24"/>
                      </w:rPr>
                    </w:pPr>
                  </w:p>
                  <w:p>
                    <w:pPr>
                      <w:spacing w:before="0"/>
                      <w:ind w:left="0" w:right="0" w:firstLine="0"/>
                      <w:jc w:val="left"/>
                      <w:rPr>
                        <w:rFonts w:ascii="Calibri"/>
                        <w:b/>
                        <w:sz w:val="17"/>
                      </w:rPr>
                    </w:pPr>
                    <w:r>
                      <w:rPr>
                        <w:rFonts w:ascii="Calibri"/>
                        <w:b/>
                        <w:w w:val="95"/>
                        <w:sz w:val="17"/>
                      </w:rPr>
                      <w:t>400</w:t>
                    </w:r>
                  </w:p>
                  <w:p>
                    <w:pPr>
                      <w:spacing w:line="240" w:lineRule="auto" w:before="2"/>
                      <w:rPr>
                        <w:rFonts w:ascii="Calibri"/>
                        <w:b/>
                        <w:sz w:val="24"/>
                      </w:rPr>
                    </w:pPr>
                  </w:p>
                  <w:p>
                    <w:pPr>
                      <w:spacing w:line="206" w:lineRule="exact" w:before="1"/>
                      <w:ind w:left="0" w:right="0" w:firstLine="0"/>
                      <w:jc w:val="left"/>
                      <w:rPr>
                        <w:rFonts w:ascii="Calibri"/>
                        <w:b/>
                        <w:sz w:val="17"/>
                      </w:rPr>
                    </w:pPr>
                    <w:r>
                      <w:rPr>
                        <w:rFonts w:ascii="Calibri"/>
                        <w:b/>
                        <w:w w:val="95"/>
                        <w:sz w:val="17"/>
                      </w:rPr>
                      <w:t>350</w:t>
                    </w:r>
                  </w:p>
                </w:txbxContent>
              </v:textbox>
              <w10:wrap type="none"/>
            </v:shape>
            <v:shape style="position:absolute;left:1642;top:770;width:262;height:177" type="#_x0000_t202" filled="false" stroked="false">
              <v:textbox inset="0,0,0,0">
                <w:txbxContent>
                  <w:p>
                    <w:pPr>
                      <w:spacing w:line="176" w:lineRule="exact" w:before="0"/>
                      <w:ind w:left="0" w:right="0" w:firstLine="0"/>
                      <w:jc w:val="left"/>
                      <w:rPr>
                        <w:rFonts w:ascii="Calibri" w:hAnsi="Calibri"/>
                        <w:b/>
                        <w:sz w:val="17"/>
                      </w:rPr>
                    </w:pPr>
                    <w:r>
                      <w:rPr>
                        <w:rFonts w:ascii="Calibri" w:hAnsi="Calibri"/>
                        <w:b/>
                        <w:w w:val="95"/>
                        <w:sz w:val="17"/>
                      </w:rPr>
                      <w:t>£bn</w:t>
                    </w:r>
                  </w:p>
                </w:txbxContent>
              </v:textbox>
              <w10:wrap type="none"/>
            </v:shape>
            <v:shape style="position:absolute;left:1176;top:409;width:259;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600</w:t>
                    </w:r>
                  </w:p>
                </w:txbxContent>
              </v:textbox>
              <w10:wrap type="none"/>
            </v:shape>
            <w10:wrap type="topAndBottom"/>
          </v:group>
        </w:pict>
      </w:r>
      <w:r>
        <w:rPr/>
        <w:pict>
          <v:group style="position:absolute;margin-left:303.041138pt;margin-top:17.392481pt;width:237.25pt;height:174.85pt;mso-position-horizontal-relative:page;mso-position-vertical-relative:paragraph;z-index:-251619328;mso-wrap-distance-left:0;mso-wrap-distance-right:0" coordorigin="6061,348" coordsize="4745,3497">
            <v:rect style="position:absolute;left:6374;top:490;width:4360;height:3014" filled="false" stroked="true" strokeweight=".211498pt" strokecolor="#000000">
              <v:stroke dashstyle="solid"/>
            </v:rect>
            <v:line style="position:absolute" from="6374,3003" to="10733,3003" stroked="true" strokeweight=".219658pt" strokecolor="#000000">
              <v:stroke dashstyle="solid"/>
            </v:line>
            <v:shape style="position:absolute;left:6381;top:600;width:4297;height:2412" coordorigin="6382,600" coordsize="4297,2412" path="m6382,2604l6428,2687,6475,2595,6522,2525,6568,2569,6615,2243,6662,2230,6708,2489,6755,2226,6802,2533,6848,2485,6895,2235,6942,2257,6988,2366,7035,2309,7082,2340,7128,2362,7175,2301,7222,2371,7268,2274,7315,2134,7362,2019,7408,1795,7455,1932,7502,2033,7548,1870,7595,1787,7642,1646,7688,1567,7735,1716,7782,2103,7828,1953,7875,1808,7922,1308,7968,600,8015,1070,8062,1492,8108,1953,8155,2252,8202,1945,8248,1356,8295,1268,8342,1453,8388,1308,8435,934,8482,802,8528,640,8575,671,8622,1251,8668,1620,8715,1791,8762,1664,8808,1606,8855,1655,8902,1642,8948,1945,8995,2129,9042,2138,9088,2270,9135,2533,9182,2951,9228,3012,9275,2999,9322,2968,9368,2828,9415,2823,9462,2639,9508,2393,9555,1927,9602,1624,9652,1589,9699,1483,9745,1637,9792,1787,9839,1738,9885,1861,9932,2059,9979,1975,10025,2081,10072,2292,10119,2098,10165,2340,10212,2375,10259,2283,10305,2230,10352,2081,10399,2046,10445,2002,10492,1989,10539,1962,10585,1949,10632,1923,10679,1923e" filled="false" stroked="true" strokeweight="1.068064pt" strokecolor="#ff00ff">
              <v:path arrowok="t"/>
              <v:stroke dashstyle="solid"/>
            </v:shape>
            <v:shape style="position:absolute;left:6381;top:600;width:3737;height:2412" coordorigin="6382,600" coordsize="3737,2412" path="m6382,2604l6428,2687,6475,2595,6522,2525,6568,2569,6615,2243,6662,2230,6708,2489,6755,2226,6802,2533,6848,2485,6895,2235,6942,2257,6988,2366,7035,2309,7082,2340,7128,2362,7175,2301,7222,2371,7268,2274,7315,2134,7362,2019,7408,1795,7455,1932,7502,2033,7548,1870,7595,1787,7642,1646,7688,1567,7735,1716,7782,2103,7828,1953,7875,1808,7922,1308,7968,600,8015,1070,8062,1492,8108,1953,8155,2252,8202,1945,8248,1356,8295,1268,8342,1453,8388,1308,8435,934,8482,802,8528,640,8575,671,8622,1251,8668,1620,8715,1791,8762,1664,8808,1606,8855,1655,8902,1642,8948,1945,8995,2129,9042,2138,9088,2270,9135,2533,9182,2951,9228,3012,9275,2999,9322,2968,9368,2828,9415,2823,9462,2639,9508,2393,9555,1927,9602,1624,9652,1589,9699,1483,9745,1637,9792,1787,9839,1738,9885,1861,9932,2059,9979,1975,10025,2081,10072,2292,10119,2164e" filled="false" stroked="true" strokeweight="1.061190pt" strokecolor="#0000ff">
              <v:path arrowok="t"/>
              <v:stroke dashstyle="solid"/>
            </v:shape>
            <v:shape style="position:absolute;left:10118;top:1949;width:607;height:1037" coordorigin="10119,1949" coordsize="607,1037" path="m10119,2164l10165,2731,10212,2894,10259,2964,10305,2986,10352,2920,10399,2656,10445,2388,10492,2081,10539,1971,10585,1967,10632,1958,10679,1949,10725,1949e" filled="false" stroked="true" strokeweight="1.004305pt" strokecolor="#0000ff">
              <v:path arrowok="t"/>
              <v:stroke dashstyle="dash"/>
            </v:shape>
            <v:line style="position:absolute" from="6380,1997" to="10727,1997" stroked="true" strokeweight=".219658pt" strokecolor="#000000">
              <v:stroke dashstyle="shortdot"/>
            </v:line>
            <v:line style="position:absolute" from="10165,3504" to="10165,491" stroked="true" strokeweight=".194426pt" strokecolor="#000000">
              <v:stroke dashstyle="solid"/>
            </v:line>
            <v:line style="position:absolute" from="6619,3245" to="6743,3245" stroked="true" strokeweight="1.098289pt" strokecolor="#ff00ff">
              <v:stroke dashstyle="solid"/>
            </v:line>
            <v:line style="position:absolute" from="8303,3245" to="8427,3245" stroked="true" strokeweight="1.098289pt" strokecolor="#0000ff">
              <v:stroke dashstyle="solid"/>
            </v:line>
            <v:rect style="position:absolute;left:6062;top:349;width:4741;height:3493" filled="false" stroked="true" strokeweight=".21078pt" strokecolor="#d9d9d9">
              <v:stroke dashstyle="solid"/>
            </v:rect>
            <v:shape style="position:absolute;left:9962;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2020</w:t>
                    </w:r>
                  </w:p>
                </w:txbxContent>
              </v:textbox>
              <w10:wrap type="none"/>
            </v:shape>
            <v:shape style="position:absolute;left:9214;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2016</w:t>
                    </w:r>
                  </w:p>
                </w:txbxContent>
              </v:textbox>
              <w10:wrap type="none"/>
            </v:shape>
            <v:shape style="position:absolute;left:8467;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2012</w:t>
                    </w:r>
                  </w:p>
                </w:txbxContent>
              </v:textbox>
              <w10:wrap type="none"/>
            </v:shape>
            <v:shape style="position:absolute;left:7719;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2008</w:t>
                    </w:r>
                  </w:p>
                </w:txbxContent>
              </v:textbox>
              <w10:wrap type="none"/>
            </v:shape>
            <v:shape style="position:absolute;left:6971;top:3654;width:337;height:177" type="#_x0000_t202" filled="false" stroked="false">
              <v:textbox inset="0,0,0,0">
                <w:txbxContent>
                  <w:p>
                    <w:pPr>
                      <w:spacing w:line="176" w:lineRule="exact" w:before="0"/>
                      <w:ind w:left="0" w:right="0" w:firstLine="0"/>
                      <w:jc w:val="left"/>
                      <w:rPr>
                        <w:rFonts w:ascii="Calibri"/>
                        <w:b/>
                        <w:sz w:val="17"/>
                      </w:rPr>
                    </w:pPr>
                    <w:r>
                      <w:rPr>
                        <w:rFonts w:ascii="Calibri"/>
                        <w:b/>
                        <w:w w:val="95"/>
                        <w:sz w:val="17"/>
                      </w:rPr>
                      <w:t>2004</w:t>
                    </w:r>
                  </w:p>
                </w:txbxContent>
              </v:textbox>
              <w10:wrap type="none"/>
            </v:shape>
            <v:shape style="position:absolute;left:6103;top:3425;width:458;height:405" type="#_x0000_t202" filled="false" stroked="false">
              <v:textbox inset="0,0,0,0">
                <w:txbxContent>
                  <w:p>
                    <w:pPr>
                      <w:spacing w:line="178" w:lineRule="exact" w:before="0"/>
                      <w:ind w:left="0" w:right="0" w:firstLine="0"/>
                      <w:jc w:val="left"/>
                      <w:rPr>
                        <w:rFonts w:ascii="Calibri"/>
                        <w:b/>
                        <w:sz w:val="17"/>
                      </w:rPr>
                    </w:pPr>
                    <w:r>
                      <w:rPr>
                        <w:rFonts w:ascii="Calibri"/>
                        <w:b/>
                        <w:sz w:val="17"/>
                      </w:rPr>
                      <w:t>-1</w:t>
                    </w:r>
                  </w:p>
                  <w:p>
                    <w:pPr>
                      <w:spacing w:line="206" w:lineRule="exact" w:before="21"/>
                      <w:ind w:left="121" w:right="0" w:firstLine="0"/>
                      <w:jc w:val="left"/>
                      <w:rPr>
                        <w:rFonts w:ascii="Calibri"/>
                        <w:b/>
                        <w:sz w:val="17"/>
                      </w:rPr>
                    </w:pPr>
                    <w:r>
                      <w:rPr>
                        <w:rFonts w:ascii="Calibri"/>
                        <w:b/>
                        <w:w w:val="95"/>
                        <w:sz w:val="17"/>
                      </w:rPr>
                      <w:t>2000</w:t>
                    </w:r>
                  </w:p>
                </w:txbxContent>
              </v:textbox>
              <w10:wrap type="none"/>
            </v:shape>
            <v:shape style="position:absolute;left:6755;top:3165;width:3119;height:176" type="#_x0000_t202" filled="false" stroked="false">
              <v:textbox inset="0,0,0,0">
                <w:txbxContent>
                  <w:p>
                    <w:pPr>
                      <w:tabs>
                        <w:tab w:pos="1687" w:val="left" w:leader="none"/>
                      </w:tabs>
                      <w:spacing w:line="176" w:lineRule="exact" w:before="0"/>
                      <w:ind w:left="0" w:right="0" w:firstLine="0"/>
                      <w:jc w:val="left"/>
                      <w:rPr>
                        <w:rFonts w:ascii="Calibri"/>
                        <w:b/>
                        <w:sz w:val="17"/>
                      </w:rPr>
                    </w:pPr>
                    <w:r>
                      <w:rPr>
                        <w:rFonts w:ascii="Calibri"/>
                        <w:b/>
                        <w:sz w:val="17"/>
                      </w:rPr>
                      <w:t>Jan</w:t>
                    </w:r>
                    <w:r>
                      <w:rPr>
                        <w:rFonts w:ascii="Calibri"/>
                        <w:b/>
                        <w:spacing w:val="-23"/>
                        <w:sz w:val="17"/>
                      </w:rPr>
                      <w:t> </w:t>
                    </w:r>
                    <w:r>
                      <w:rPr>
                        <w:rFonts w:ascii="Calibri"/>
                        <w:b/>
                        <w:sz w:val="17"/>
                      </w:rPr>
                      <w:t>20</w:t>
                    </w:r>
                    <w:r>
                      <w:rPr>
                        <w:rFonts w:ascii="Calibri"/>
                        <w:b/>
                        <w:spacing w:val="-25"/>
                        <w:sz w:val="17"/>
                      </w:rPr>
                      <w:t> </w:t>
                    </w:r>
                    <w:r>
                      <w:rPr>
                        <w:rFonts w:ascii="Calibri"/>
                        <w:b/>
                        <w:sz w:val="17"/>
                      </w:rPr>
                      <w:t>MPR</w:t>
                    </w:r>
                    <w:r>
                      <w:rPr>
                        <w:rFonts w:ascii="Calibri"/>
                        <w:b/>
                        <w:spacing w:val="-22"/>
                        <w:sz w:val="17"/>
                      </w:rPr>
                      <w:t> </w:t>
                    </w:r>
                    <w:r>
                      <w:rPr>
                        <w:rFonts w:ascii="Calibri"/>
                        <w:b/>
                        <w:sz w:val="17"/>
                      </w:rPr>
                      <w:t>Forecast</w:t>
                      <w:tab/>
                    </w:r>
                    <w:r>
                      <w:rPr>
                        <w:rFonts w:ascii="Calibri"/>
                        <w:b/>
                        <w:w w:val="95"/>
                        <w:sz w:val="17"/>
                      </w:rPr>
                      <w:t>May</w:t>
                    </w:r>
                    <w:r>
                      <w:rPr>
                        <w:rFonts w:ascii="Calibri"/>
                        <w:b/>
                        <w:spacing w:val="-16"/>
                        <w:w w:val="95"/>
                        <w:sz w:val="17"/>
                      </w:rPr>
                      <w:t> </w:t>
                    </w:r>
                    <w:r>
                      <w:rPr>
                        <w:rFonts w:ascii="Calibri"/>
                        <w:b/>
                        <w:w w:val="95"/>
                        <w:sz w:val="17"/>
                      </w:rPr>
                      <w:t>20</w:t>
                    </w:r>
                    <w:r>
                      <w:rPr>
                        <w:rFonts w:ascii="Calibri"/>
                        <w:b/>
                        <w:spacing w:val="-16"/>
                        <w:w w:val="95"/>
                        <w:sz w:val="17"/>
                      </w:rPr>
                      <w:t> </w:t>
                    </w:r>
                    <w:r>
                      <w:rPr>
                        <w:rFonts w:ascii="Calibri"/>
                        <w:b/>
                        <w:w w:val="95"/>
                        <w:sz w:val="17"/>
                      </w:rPr>
                      <w:t>MPR</w:t>
                    </w:r>
                    <w:r>
                      <w:rPr>
                        <w:rFonts w:ascii="Calibri"/>
                        <w:b/>
                        <w:spacing w:val="-17"/>
                        <w:w w:val="95"/>
                        <w:sz w:val="17"/>
                      </w:rPr>
                      <w:t> </w:t>
                    </w:r>
                    <w:r>
                      <w:rPr>
                        <w:rFonts w:ascii="Calibri"/>
                        <w:b/>
                        <w:w w:val="95"/>
                        <w:sz w:val="17"/>
                      </w:rPr>
                      <w:t>Scenario</w:t>
                    </w:r>
                  </w:p>
                </w:txbxContent>
              </v:textbox>
              <w10:wrap type="none"/>
            </v:shape>
            <v:shape style="position:absolute;left:6150;top:1918;width:99;height:1182" type="#_x0000_t202" filled="false" stroked="false">
              <v:textbox inset="0,0,0,0">
                <w:txbxContent>
                  <w:p>
                    <w:pPr>
                      <w:spacing w:line="178" w:lineRule="exact" w:before="0"/>
                      <w:ind w:left="0" w:right="0" w:firstLine="0"/>
                      <w:jc w:val="left"/>
                      <w:rPr>
                        <w:rFonts w:ascii="Calibri"/>
                        <w:b/>
                        <w:sz w:val="17"/>
                      </w:rPr>
                    </w:pPr>
                    <w:r>
                      <w:rPr>
                        <w:rFonts w:ascii="Calibri"/>
                        <w:b/>
                        <w:w w:val="91"/>
                        <w:sz w:val="17"/>
                      </w:rPr>
                      <w:t>2</w:t>
                    </w:r>
                  </w:p>
                  <w:p>
                    <w:pPr>
                      <w:spacing w:line="240" w:lineRule="auto" w:before="2"/>
                      <w:rPr>
                        <w:rFonts w:ascii="Calibri"/>
                        <w:b/>
                        <w:sz w:val="24"/>
                      </w:rPr>
                    </w:pPr>
                  </w:p>
                  <w:p>
                    <w:pPr>
                      <w:spacing w:before="0"/>
                      <w:ind w:left="0" w:right="0" w:firstLine="0"/>
                      <w:jc w:val="left"/>
                      <w:rPr>
                        <w:rFonts w:ascii="Calibri"/>
                        <w:b/>
                        <w:sz w:val="17"/>
                      </w:rPr>
                    </w:pPr>
                    <w:r>
                      <w:rPr>
                        <w:rFonts w:ascii="Calibri"/>
                        <w:b/>
                        <w:w w:val="91"/>
                        <w:sz w:val="17"/>
                      </w:rPr>
                      <w:t>1</w:t>
                    </w:r>
                  </w:p>
                  <w:p>
                    <w:pPr>
                      <w:spacing w:line="240" w:lineRule="auto" w:before="2"/>
                      <w:rPr>
                        <w:rFonts w:ascii="Calibri"/>
                        <w:b/>
                        <w:sz w:val="24"/>
                      </w:rPr>
                    </w:pPr>
                  </w:p>
                  <w:p>
                    <w:pPr>
                      <w:spacing w:line="206" w:lineRule="exact" w:before="0"/>
                      <w:ind w:left="0" w:right="0" w:firstLine="0"/>
                      <w:jc w:val="left"/>
                      <w:rPr>
                        <w:rFonts w:ascii="Calibri"/>
                        <w:b/>
                        <w:sz w:val="17"/>
                      </w:rPr>
                    </w:pPr>
                    <w:r>
                      <w:rPr>
                        <w:rFonts w:ascii="Calibri"/>
                        <w:b/>
                        <w:w w:val="91"/>
                        <w:sz w:val="17"/>
                      </w:rPr>
                      <w:t>0</w:t>
                    </w:r>
                  </w:p>
                </w:txbxContent>
              </v:textbox>
              <w10:wrap type="none"/>
            </v:shape>
            <v:shape style="position:absolute;left:6510;top:1529;width:800;height:392" type="#_x0000_t202" filled="false" stroked="false">
              <v:textbox inset="0,0,0,0">
                <w:txbxContent>
                  <w:p>
                    <w:pPr>
                      <w:spacing w:line="178" w:lineRule="exact" w:before="0"/>
                      <w:ind w:left="0" w:right="0" w:firstLine="0"/>
                      <w:jc w:val="left"/>
                      <w:rPr>
                        <w:rFonts w:ascii="Calibri"/>
                        <w:b/>
                        <w:sz w:val="17"/>
                      </w:rPr>
                    </w:pPr>
                    <w:r>
                      <w:rPr>
                        <w:rFonts w:ascii="Calibri"/>
                        <w:b/>
                        <w:w w:val="95"/>
                        <w:sz w:val="17"/>
                      </w:rPr>
                      <w:t>2%</w:t>
                    </w:r>
                    <w:r>
                      <w:rPr>
                        <w:rFonts w:ascii="Calibri"/>
                        <w:b/>
                        <w:spacing w:val="-19"/>
                        <w:w w:val="95"/>
                        <w:sz w:val="17"/>
                      </w:rPr>
                      <w:t> </w:t>
                    </w:r>
                    <w:r>
                      <w:rPr>
                        <w:rFonts w:ascii="Calibri"/>
                        <w:b/>
                        <w:w w:val="95"/>
                        <w:sz w:val="17"/>
                      </w:rPr>
                      <w:t>Inflation</w:t>
                    </w:r>
                  </w:p>
                  <w:p>
                    <w:pPr>
                      <w:spacing w:line="206" w:lineRule="exact" w:before="8"/>
                      <w:ind w:left="0" w:right="0" w:firstLine="0"/>
                      <w:jc w:val="left"/>
                      <w:rPr>
                        <w:rFonts w:ascii="Calibri"/>
                        <w:b/>
                        <w:sz w:val="17"/>
                      </w:rPr>
                    </w:pPr>
                    <w:r>
                      <w:rPr>
                        <w:rFonts w:ascii="Calibri"/>
                        <w:b/>
                        <w:sz w:val="17"/>
                      </w:rPr>
                      <w:t>Target</w:t>
                    </w:r>
                  </w:p>
                </w:txbxContent>
              </v:textbox>
              <w10:wrap type="none"/>
            </v:shape>
            <v:shape style="position:absolute;left:6150;top:1415;width:99;height:177" type="#_x0000_t202" filled="false" stroked="false">
              <v:textbox inset="0,0,0,0">
                <w:txbxContent>
                  <w:p>
                    <w:pPr>
                      <w:spacing w:line="176" w:lineRule="exact" w:before="0"/>
                      <w:ind w:left="0" w:right="0" w:firstLine="0"/>
                      <w:jc w:val="left"/>
                      <w:rPr>
                        <w:rFonts w:ascii="Calibri"/>
                        <w:b/>
                        <w:sz w:val="17"/>
                      </w:rPr>
                    </w:pPr>
                    <w:r>
                      <w:rPr>
                        <w:rFonts w:ascii="Calibri"/>
                        <w:b/>
                        <w:w w:val="91"/>
                        <w:sz w:val="17"/>
                      </w:rPr>
                      <w:t>3</w:t>
                    </w:r>
                  </w:p>
                </w:txbxContent>
              </v:textbox>
              <w10:wrap type="none"/>
            </v:shape>
            <v:shape style="position:absolute;left:6150;top:912;width:99;height:177" type="#_x0000_t202" filled="false" stroked="false">
              <v:textbox inset="0,0,0,0">
                <w:txbxContent>
                  <w:p>
                    <w:pPr>
                      <w:spacing w:line="176" w:lineRule="exact" w:before="0"/>
                      <w:ind w:left="0" w:right="0" w:firstLine="0"/>
                      <w:jc w:val="left"/>
                      <w:rPr>
                        <w:rFonts w:ascii="Calibri"/>
                        <w:b/>
                        <w:sz w:val="17"/>
                      </w:rPr>
                    </w:pPr>
                    <w:r>
                      <w:rPr>
                        <w:rFonts w:ascii="Calibri"/>
                        <w:b/>
                        <w:w w:val="91"/>
                        <w:sz w:val="17"/>
                      </w:rPr>
                      <w:t>4</w:t>
                    </w:r>
                  </w:p>
                </w:txbxContent>
              </v:textbox>
              <w10:wrap type="none"/>
            </v:shape>
            <v:shape style="position:absolute;left:6424;top:653;width:134;height:176" type="#_x0000_t202" filled="false" stroked="false">
              <v:textbox inset="0,0,0,0">
                <w:txbxContent>
                  <w:p>
                    <w:pPr>
                      <w:spacing w:line="176" w:lineRule="exact" w:before="0"/>
                      <w:ind w:left="0" w:right="0" w:firstLine="0"/>
                      <w:jc w:val="left"/>
                      <w:rPr>
                        <w:rFonts w:ascii="Calibri"/>
                        <w:b/>
                        <w:sz w:val="17"/>
                      </w:rPr>
                    </w:pPr>
                    <w:r>
                      <w:rPr>
                        <w:rFonts w:ascii="Calibri"/>
                        <w:b/>
                        <w:w w:val="91"/>
                        <w:sz w:val="17"/>
                      </w:rPr>
                      <w:t>%</w:t>
                    </w:r>
                  </w:p>
                </w:txbxContent>
              </v:textbox>
              <w10:wrap type="none"/>
            </v:shape>
            <v:shape style="position:absolute;left:6150;top:409;width:99;height:177" type="#_x0000_t202" filled="false" stroked="false">
              <v:textbox inset="0,0,0,0">
                <w:txbxContent>
                  <w:p>
                    <w:pPr>
                      <w:spacing w:line="176" w:lineRule="exact" w:before="0"/>
                      <w:ind w:left="0" w:right="0" w:firstLine="0"/>
                      <w:jc w:val="left"/>
                      <w:rPr>
                        <w:rFonts w:ascii="Calibri"/>
                        <w:b/>
                        <w:sz w:val="17"/>
                      </w:rPr>
                    </w:pPr>
                    <w:r>
                      <w:rPr>
                        <w:rFonts w:ascii="Calibri"/>
                        <w:b/>
                        <w:w w:val="91"/>
                        <w:sz w:val="17"/>
                      </w:rPr>
                      <w:t>5</w:t>
                    </w:r>
                  </w:p>
                </w:txbxContent>
              </v:textbox>
              <w10:wrap type="none"/>
            </v:shape>
            <w10:wrap type="topAndBottom"/>
          </v:group>
        </w:pict>
      </w:r>
      <w:r>
        <w:rPr/>
        <w:t>Figure 5. UK – Level of</w:t>
      </w:r>
      <w:r>
        <w:rPr>
          <w:spacing w:val="-6"/>
        </w:rPr>
        <w:t> </w:t>
      </w:r>
      <w:r>
        <w:rPr/>
        <w:t>Real</w:t>
      </w:r>
      <w:r>
        <w:rPr>
          <w:spacing w:val="-2"/>
        </w:rPr>
        <w:t> </w:t>
      </w:r>
      <w:r>
        <w:rPr/>
        <w:t>GDP</w:t>
        <w:tab/>
        <w:t>Figure 6. UK – CPI</w:t>
      </w:r>
      <w:r>
        <w:rPr>
          <w:spacing w:val="1"/>
        </w:rPr>
        <w:t> </w:t>
      </w:r>
      <w:r>
        <w:rPr/>
        <w:t>Inflation</w:t>
      </w:r>
    </w:p>
    <w:p>
      <w:pPr>
        <w:spacing w:before="99"/>
        <w:ind w:left="232" w:right="0" w:firstLine="0"/>
        <w:jc w:val="left"/>
        <w:rPr>
          <w:sz w:val="16"/>
        </w:rPr>
      </w:pPr>
      <w:r>
        <w:rPr>
          <w:sz w:val="16"/>
        </w:rPr>
        <w:t>Sources: ONS and Bank of England.</w:t>
      </w:r>
    </w:p>
    <w:p>
      <w:pPr>
        <w:pStyle w:val="BodyText"/>
        <w:rPr>
          <w:sz w:val="18"/>
        </w:rPr>
      </w:pPr>
    </w:p>
    <w:p>
      <w:pPr>
        <w:pStyle w:val="BodyText"/>
        <w:spacing w:before="11"/>
        <w:rPr>
          <w:sz w:val="19"/>
        </w:rPr>
      </w:pPr>
    </w:p>
    <w:p>
      <w:pPr>
        <w:pStyle w:val="BodyText"/>
        <w:spacing w:line="360" w:lineRule="auto"/>
        <w:ind w:left="232" w:right="184"/>
      </w:pPr>
      <w:r>
        <w:rPr/>
        <w:t>I agree that some recovery in activity is likely over time as the extent of social distancing eases. Some firms have reopened in recent weeks. More will be able to open in coming weeks. Moreover, as a first approximation, it is reasonable to aim to return the economy to something like the pre-Covid trend for activity and unemployment. After all, unlike previous recessions, the pre-Covid economy did not have substantial excesses in terms of inflation or credit growth which might imply that activity was beyond sustainable limits. At the start of this year, before the full extent of the Coronavirus outbreak, headline inflation was slightly below the 2% target, the jobless rate (at around 4%) was close to equilibrium, while there had been little change in the private sector debt/GDP ratio over recent years.</w:t>
      </w:r>
    </w:p>
    <w:p>
      <w:pPr>
        <w:pStyle w:val="BodyText"/>
        <w:spacing w:before="10"/>
        <w:rPr>
          <w:sz w:val="29"/>
        </w:rPr>
      </w:pPr>
    </w:p>
    <w:p>
      <w:pPr>
        <w:spacing w:line="360" w:lineRule="auto" w:before="0"/>
        <w:ind w:left="232" w:right="182" w:firstLine="0"/>
        <w:jc w:val="left"/>
        <w:rPr>
          <w:sz w:val="13"/>
        </w:rPr>
      </w:pPr>
      <w:r>
        <w:rPr>
          <w:sz w:val="20"/>
        </w:rPr>
        <w:t>But I want to discuss some uncertainties around that scenario. My top concern is that </w:t>
      </w:r>
      <w:r>
        <w:rPr>
          <w:b/>
          <w:sz w:val="20"/>
        </w:rPr>
        <w:t>risks lie on the side of a relatively slow recovery</w:t>
      </w:r>
      <w:r>
        <w:rPr>
          <w:sz w:val="20"/>
        </w:rPr>
        <w:t>, reflecting persistently high levels of uncertainty and risk premia (see figures 7 and 8).</w:t>
      </w:r>
      <w:r>
        <w:rPr>
          <w:position w:val="6"/>
          <w:sz w:val="13"/>
        </w:rPr>
        <w:t>6</w:t>
      </w:r>
    </w:p>
    <w:p>
      <w:pPr>
        <w:pStyle w:val="BodyText"/>
        <w:spacing w:before="2"/>
        <w:rPr>
          <w:sz w:val="16"/>
        </w:rPr>
      </w:pPr>
      <w:r>
        <w:rPr/>
        <w:pict>
          <v:shape style="position:absolute;margin-left:56.639999pt;margin-top:11.543463pt;width:144.050pt;height:.1pt;mso-position-horizontal-relative:page;mso-position-vertical-relative:paragraph;z-index:-251618304;mso-wrap-distance-left:0;mso-wrap-distance-right:0" coordorigin="1133,231" coordsize="2881,0" path="m1133,231l4014,231e" filled="false" stroked="true" strokeweight=".48004pt" strokecolor="#000000">
            <v:path arrowok="t"/>
            <v:stroke dashstyle="solid"/>
            <w10:wrap type="topAndBottom"/>
          </v:shape>
        </w:pict>
      </w:r>
    </w:p>
    <w:p>
      <w:pPr>
        <w:spacing w:before="47"/>
        <w:ind w:left="232" w:right="0" w:firstLine="0"/>
        <w:jc w:val="left"/>
        <w:rPr>
          <w:sz w:val="16"/>
        </w:rPr>
      </w:pPr>
      <w:r>
        <w:rPr>
          <w:position w:val="6"/>
          <w:sz w:val="10"/>
        </w:rPr>
        <w:t>6 </w:t>
      </w:r>
      <w:r>
        <w:rPr>
          <w:sz w:val="16"/>
        </w:rPr>
        <w:t>See Bernanke, Gertler and Gilchrist (1999), Di Tella and Hall (2019).</w:t>
      </w:r>
    </w:p>
    <w:p>
      <w:pPr>
        <w:spacing w:after="0"/>
        <w:jc w:val="left"/>
        <w:rPr>
          <w:sz w:val="16"/>
        </w:rPr>
        <w:sectPr>
          <w:footerReference w:type="default" r:id="rId13"/>
          <w:pgSz w:w="11910" w:h="16840"/>
          <w:pgMar w:footer="1338" w:header="0" w:top="1520" w:bottom="1520" w:left="900" w:right="980"/>
        </w:sectPr>
      </w:pPr>
    </w:p>
    <w:p>
      <w:pPr>
        <w:pStyle w:val="BodyText"/>
        <w:spacing w:before="3"/>
        <w:rPr>
          <w:sz w:val="2"/>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0"/>
        <w:gridCol w:w="187"/>
        <w:gridCol w:w="4740"/>
      </w:tblGrid>
      <w:tr>
        <w:trPr>
          <w:trHeight w:val="684" w:hRule="atLeast"/>
        </w:trPr>
        <w:tc>
          <w:tcPr>
            <w:tcW w:w="4740" w:type="dxa"/>
            <w:tcBorders>
              <w:bottom w:val="single" w:sz="2" w:space="0" w:color="D9D9D9"/>
            </w:tcBorders>
          </w:tcPr>
          <w:p>
            <w:pPr>
              <w:pStyle w:val="TableParagraph"/>
              <w:spacing w:line="223" w:lineRule="exact"/>
              <w:ind w:left="-2"/>
              <w:rPr>
                <w:rFonts w:ascii="Arial" w:hAnsi="Arial"/>
                <w:b/>
                <w:sz w:val="20"/>
              </w:rPr>
            </w:pPr>
            <w:r>
              <w:rPr>
                <w:rFonts w:ascii="Arial" w:hAnsi="Arial"/>
                <w:b/>
                <w:sz w:val="20"/>
              </w:rPr>
              <w:t>Figure 7. UK – Pct of Firms Reporting ‘High’ or</w:t>
            </w:r>
          </w:p>
          <w:p>
            <w:pPr>
              <w:pStyle w:val="TableParagraph"/>
              <w:spacing w:before="113"/>
              <w:ind w:left="-2"/>
              <w:rPr>
                <w:rFonts w:ascii="Arial" w:hAnsi="Arial"/>
                <w:b/>
                <w:sz w:val="20"/>
              </w:rPr>
            </w:pPr>
            <w:r>
              <w:rPr>
                <w:rFonts w:ascii="Arial" w:hAnsi="Arial"/>
                <w:b/>
                <w:sz w:val="20"/>
              </w:rPr>
              <w:t>‘Very High’ External Uncertainty</w:t>
            </w:r>
          </w:p>
        </w:tc>
        <w:tc>
          <w:tcPr>
            <w:tcW w:w="187" w:type="dxa"/>
          </w:tcPr>
          <w:p>
            <w:pPr>
              <w:pStyle w:val="TableParagraph"/>
              <w:rPr>
                <w:rFonts w:ascii="Times New Roman"/>
                <w:sz w:val="18"/>
              </w:rPr>
            </w:pPr>
          </w:p>
        </w:tc>
        <w:tc>
          <w:tcPr>
            <w:tcW w:w="4740" w:type="dxa"/>
            <w:tcBorders>
              <w:bottom w:val="single" w:sz="2" w:space="0" w:color="D9D9D9"/>
            </w:tcBorders>
          </w:tcPr>
          <w:p>
            <w:pPr>
              <w:pStyle w:val="TableParagraph"/>
              <w:spacing w:line="223" w:lineRule="exact"/>
              <w:rPr>
                <w:rFonts w:ascii="Arial" w:hAnsi="Arial"/>
                <w:b/>
                <w:sz w:val="20"/>
              </w:rPr>
            </w:pPr>
            <w:r>
              <w:rPr>
                <w:rFonts w:ascii="Arial" w:hAnsi="Arial"/>
                <w:b/>
                <w:sz w:val="20"/>
              </w:rPr>
              <w:t>Figure 8. UK – Measures of Risk Premia</w:t>
            </w:r>
          </w:p>
        </w:tc>
      </w:tr>
      <w:tr>
        <w:trPr>
          <w:trHeight w:val="3487" w:hRule="atLeast"/>
        </w:trPr>
        <w:tc>
          <w:tcPr>
            <w:tcW w:w="4740" w:type="dxa"/>
            <w:tcBorders>
              <w:top w:val="single" w:sz="2" w:space="0" w:color="D9D9D9"/>
              <w:left w:val="single" w:sz="2" w:space="0" w:color="D9D9D9"/>
              <w:bottom w:val="single" w:sz="2" w:space="0" w:color="D9D9D9"/>
              <w:right w:val="single" w:sz="2" w:space="0" w:color="D9D9D9"/>
            </w:tcBorders>
          </w:tcPr>
          <w:p>
            <w:pPr>
              <w:pStyle w:val="TableParagraph"/>
              <w:spacing w:before="27"/>
              <w:ind w:left="39"/>
              <w:rPr>
                <w:b/>
                <w:sz w:val="17"/>
              </w:rPr>
            </w:pPr>
            <w:r>
              <w:rPr>
                <w:b/>
                <w:sz w:val="17"/>
              </w:rPr>
              <w:t>100</w:t>
            </w:r>
          </w:p>
          <w:p>
            <w:pPr>
              <w:pStyle w:val="TableParagraph"/>
              <w:spacing w:line="193" w:lineRule="exact" w:before="90"/>
              <w:ind w:left="118"/>
              <w:rPr>
                <w:b/>
                <w:sz w:val="17"/>
              </w:rPr>
            </w:pPr>
            <w:r>
              <w:rPr>
                <w:b/>
                <w:sz w:val="17"/>
              </w:rPr>
              <w:t>90</w:t>
            </w:r>
          </w:p>
          <w:p>
            <w:pPr>
              <w:pStyle w:val="TableParagraph"/>
              <w:spacing w:line="149" w:lineRule="exact"/>
              <w:ind w:left="522"/>
              <w:rPr>
                <w:b/>
                <w:sz w:val="17"/>
              </w:rPr>
            </w:pPr>
            <w:r>
              <w:rPr>
                <w:b/>
                <w:w w:val="91"/>
                <w:sz w:val="17"/>
              </w:rPr>
              <w:t>%</w:t>
            </w:r>
          </w:p>
          <w:p>
            <w:pPr>
              <w:pStyle w:val="TableParagraph"/>
              <w:spacing w:line="163" w:lineRule="exact"/>
              <w:ind w:left="118"/>
              <w:rPr>
                <w:b/>
                <w:sz w:val="17"/>
              </w:rPr>
            </w:pPr>
            <w:r>
              <w:rPr>
                <w:b/>
                <w:sz w:val="17"/>
              </w:rPr>
              <w:t>80</w:t>
            </w:r>
          </w:p>
          <w:p>
            <w:pPr>
              <w:pStyle w:val="TableParagraph"/>
              <w:spacing w:before="91"/>
              <w:ind w:left="118"/>
              <w:rPr>
                <w:b/>
                <w:sz w:val="17"/>
              </w:rPr>
            </w:pPr>
            <w:r>
              <w:rPr>
                <w:b/>
                <w:sz w:val="17"/>
              </w:rPr>
              <w:t>70</w:t>
            </w:r>
          </w:p>
          <w:p>
            <w:pPr>
              <w:pStyle w:val="TableParagraph"/>
              <w:spacing w:before="90"/>
              <w:ind w:left="118"/>
              <w:rPr>
                <w:b/>
                <w:sz w:val="17"/>
              </w:rPr>
            </w:pPr>
            <w:r>
              <w:rPr>
                <w:b/>
                <w:sz w:val="17"/>
              </w:rPr>
              <w:t>60</w:t>
            </w:r>
          </w:p>
          <w:p>
            <w:pPr>
              <w:pStyle w:val="TableParagraph"/>
              <w:spacing w:before="91"/>
              <w:ind w:left="118"/>
              <w:rPr>
                <w:b/>
                <w:sz w:val="17"/>
              </w:rPr>
            </w:pPr>
            <w:r>
              <w:rPr>
                <w:b/>
                <w:sz w:val="17"/>
              </w:rPr>
              <w:t>50</w:t>
            </w:r>
          </w:p>
          <w:p>
            <w:pPr>
              <w:pStyle w:val="TableParagraph"/>
              <w:spacing w:before="90"/>
              <w:ind w:left="118"/>
              <w:rPr>
                <w:b/>
                <w:sz w:val="17"/>
              </w:rPr>
            </w:pPr>
            <w:r>
              <w:rPr>
                <w:b/>
                <w:sz w:val="17"/>
              </w:rPr>
              <w:t>40</w:t>
            </w:r>
          </w:p>
          <w:p>
            <w:pPr>
              <w:pStyle w:val="TableParagraph"/>
              <w:spacing w:before="91"/>
              <w:ind w:left="118"/>
              <w:rPr>
                <w:b/>
                <w:sz w:val="17"/>
              </w:rPr>
            </w:pPr>
            <w:r>
              <w:rPr>
                <w:b/>
                <w:sz w:val="17"/>
              </w:rPr>
              <w:t>30</w:t>
            </w:r>
          </w:p>
          <w:p>
            <w:pPr>
              <w:pStyle w:val="TableParagraph"/>
              <w:spacing w:before="90"/>
              <w:ind w:left="118"/>
              <w:rPr>
                <w:b/>
                <w:sz w:val="17"/>
              </w:rPr>
            </w:pPr>
            <w:r>
              <w:rPr>
                <w:b/>
                <w:sz w:val="17"/>
              </w:rPr>
              <w:t>20</w:t>
            </w:r>
          </w:p>
          <w:p>
            <w:pPr>
              <w:pStyle w:val="TableParagraph"/>
              <w:spacing w:before="91"/>
              <w:ind w:left="118"/>
              <w:rPr>
                <w:b/>
                <w:sz w:val="17"/>
              </w:rPr>
            </w:pPr>
            <w:r>
              <w:rPr>
                <w:b/>
                <w:sz w:val="17"/>
              </w:rPr>
              <w:t>10</w:t>
            </w:r>
          </w:p>
          <w:p>
            <w:pPr>
              <w:pStyle w:val="TableParagraph"/>
              <w:spacing w:before="90"/>
              <w:ind w:left="197"/>
              <w:rPr>
                <w:b/>
                <w:sz w:val="17"/>
              </w:rPr>
            </w:pPr>
            <w:r>
              <w:rPr>
                <w:b/>
                <w:w w:val="91"/>
                <w:sz w:val="17"/>
              </w:rPr>
              <w:t>0</w:t>
            </w:r>
          </w:p>
          <w:p>
            <w:pPr>
              <w:pStyle w:val="TableParagraph"/>
              <w:spacing w:before="21"/>
              <w:ind w:left="529"/>
              <w:rPr>
                <w:b/>
                <w:sz w:val="17"/>
              </w:rPr>
            </w:pPr>
            <w:r>
              <w:rPr>
                <w:b/>
                <w:sz w:val="17"/>
              </w:rPr>
              <w:t>2011 2012 2013 2014 2015 2016 2017 2018 2019 2020</w:t>
            </w:r>
          </w:p>
        </w:tc>
        <w:tc>
          <w:tcPr>
            <w:tcW w:w="187" w:type="dxa"/>
            <w:tcBorders>
              <w:left w:val="single" w:sz="2" w:space="0" w:color="D9D9D9"/>
              <w:right w:val="single" w:sz="2" w:space="0" w:color="D9D9D9"/>
            </w:tcBorders>
          </w:tcPr>
          <w:p>
            <w:pPr>
              <w:pStyle w:val="TableParagraph"/>
              <w:rPr>
                <w:rFonts w:ascii="Times New Roman"/>
                <w:sz w:val="18"/>
              </w:rPr>
            </w:pPr>
          </w:p>
        </w:tc>
        <w:tc>
          <w:tcPr>
            <w:tcW w:w="4740" w:type="dxa"/>
            <w:tcBorders>
              <w:top w:val="single" w:sz="2" w:space="0" w:color="D9D9D9"/>
              <w:left w:val="single" w:sz="2" w:space="0" w:color="D9D9D9"/>
              <w:bottom w:val="single" w:sz="2" w:space="0" w:color="D9D9D9"/>
              <w:right w:val="single" w:sz="2" w:space="0" w:color="D9D9D9"/>
            </w:tcBorders>
          </w:tcPr>
          <w:p>
            <w:pPr>
              <w:pStyle w:val="TableParagraph"/>
              <w:tabs>
                <w:tab w:pos="4544" w:val="left" w:leader="none"/>
              </w:tabs>
              <w:spacing w:line="180" w:lineRule="exact" w:before="27"/>
              <w:ind w:left="39"/>
              <w:rPr>
                <w:b/>
                <w:sz w:val="17"/>
              </w:rPr>
            </w:pPr>
            <w:r>
              <w:rPr>
                <w:b/>
                <w:sz w:val="17"/>
              </w:rPr>
              <w:t>4.0</w:t>
              <w:tab/>
              <w:t>12</w:t>
            </w:r>
          </w:p>
          <w:p>
            <w:pPr>
              <w:pStyle w:val="TableParagraph"/>
              <w:tabs>
                <w:tab w:pos="4135" w:val="left" w:leader="none"/>
              </w:tabs>
              <w:spacing w:line="189" w:lineRule="auto"/>
              <w:ind w:left="2725"/>
              <w:rPr>
                <w:b/>
                <w:sz w:val="17"/>
              </w:rPr>
            </w:pPr>
            <w:r>
              <w:rPr>
                <w:b/>
                <w:position w:val="-5"/>
                <w:sz w:val="17"/>
              </w:rPr>
              <w:t>IG</w:t>
              <w:tab/>
            </w:r>
            <w:r>
              <w:rPr>
                <w:b/>
                <w:sz w:val="17"/>
              </w:rPr>
              <w:t>pp</w:t>
            </w:r>
          </w:p>
          <w:p>
            <w:pPr>
              <w:pStyle w:val="TableParagraph"/>
              <w:spacing w:line="148" w:lineRule="exact"/>
              <w:ind w:left="39"/>
              <w:rPr>
                <w:b/>
                <w:sz w:val="17"/>
              </w:rPr>
            </w:pPr>
            <w:r>
              <w:rPr>
                <w:b/>
                <w:sz w:val="17"/>
              </w:rPr>
              <w:t>3.5</w:t>
            </w:r>
          </w:p>
          <w:p>
            <w:pPr>
              <w:pStyle w:val="TableParagraph"/>
              <w:tabs>
                <w:tab w:pos="2725" w:val="left" w:leader="none"/>
                <w:tab w:pos="4699" w:val="right" w:leader="none"/>
              </w:tabs>
              <w:spacing w:line="182" w:lineRule="auto"/>
              <w:ind w:left="446"/>
              <w:rPr>
                <w:b/>
                <w:sz w:val="17"/>
              </w:rPr>
            </w:pPr>
            <w:r>
              <w:rPr>
                <w:b/>
                <w:position w:val="3"/>
                <w:sz w:val="17"/>
              </w:rPr>
              <w:t>pp</w:t>
              <w:tab/>
            </w:r>
            <w:r>
              <w:rPr>
                <w:b/>
                <w:sz w:val="17"/>
              </w:rPr>
              <w:t>OpCo</w:t>
              <w:tab/>
            </w:r>
            <w:r>
              <w:rPr>
                <w:b/>
                <w:position w:val="-5"/>
                <w:sz w:val="17"/>
              </w:rPr>
              <w:t>10</w:t>
            </w:r>
          </w:p>
          <w:p>
            <w:pPr>
              <w:pStyle w:val="TableParagraph"/>
              <w:tabs>
                <w:tab w:pos="2725" w:val="left" w:leader="none"/>
              </w:tabs>
              <w:spacing w:line="292" w:lineRule="exact"/>
              <w:ind w:left="39"/>
              <w:rPr>
                <w:b/>
                <w:sz w:val="17"/>
              </w:rPr>
            </w:pPr>
            <w:r>
              <w:rPr>
                <w:b/>
                <w:position w:val="11"/>
                <w:sz w:val="17"/>
              </w:rPr>
              <w:t>3.0</w:t>
              <w:tab/>
            </w:r>
            <w:r>
              <w:rPr>
                <w:b/>
                <w:sz w:val="17"/>
              </w:rPr>
              <w:t>ERP</w:t>
            </w:r>
            <w:r>
              <w:rPr>
                <w:b/>
                <w:spacing w:val="-7"/>
                <w:sz w:val="17"/>
              </w:rPr>
              <w:t> </w:t>
            </w:r>
            <w:r>
              <w:rPr>
                <w:b/>
                <w:sz w:val="17"/>
              </w:rPr>
              <w:t>(rhs)</w:t>
            </w:r>
          </w:p>
          <w:p>
            <w:pPr>
              <w:pStyle w:val="TableParagraph"/>
              <w:tabs>
                <w:tab w:pos="2725" w:val="left" w:leader="none"/>
                <w:tab w:pos="4623" w:val="right" w:leader="none"/>
              </w:tabs>
              <w:spacing w:before="32"/>
              <w:ind w:left="39"/>
              <w:rPr>
                <w:b/>
                <w:sz w:val="17"/>
              </w:rPr>
            </w:pPr>
            <w:r>
              <w:rPr>
                <w:b/>
                <w:position w:val="8"/>
                <w:sz w:val="17"/>
              </w:rPr>
              <w:t>2.5</w:t>
              <w:tab/>
            </w:r>
            <w:r>
              <w:rPr>
                <w:b/>
                <w:position w:val="1"/>
                <w:sz w:val="17"/>
              </w:rPr>
              <w:t>HY</w:t>
            </w:r>
            <w:r>
              <w:rPr>
                <w:b/>
                <w:spacing w:val="-5"/>
                <w:position w:val="1"/>
                <w:sz w:val="17"/>
              </w:rPr>
              <w:t> </w:t>
            </w:r>
            <w:r>
              <w:rPr>
                <w:b/>
                <w:position w:val="1"/>
                <w:sz w:val="17"/>
              </w:rPr>
              <w:t>(rhs)</w:t>
              <w:tab/>
            </w:r>
            <w:r>
              <w:rPr>
                <w:b/>
                <w:sz w:val="17"/>
              </w:rPr>
              <w:t>8</w:t>
            </w:r>
          </w:p>
          <w:p>
            <w:pPr>
              <w:pStyle w:val="TableParagraph"/>
              <w:spacing w:before="94"/>
              <w:ind w:left="39"/>
              <w:rPr>
                <w:b/>
                <w:sz w:val="17"/>
              </w:rPr>
            </w:pPr>
            <w:r>
              <w:rPr>
                <w:b/>
                <w:sz w:val="17"/>
              </w:rPr>
              <w:t>2.0</w:t>
            </w:r>
          </w:p>
          <w:p>
            <w:pPr>
              <w:pStyle w:val="TableParagraph"/>
              <w:tabs>
                <w:tab w:pos="4544" w:val="left" w:leader="none"/>
              </w:tabs>
              <w:spacing w:before="89"/>
              <w:ind w:left="39"/>
              <w:rPr>
                <w:b/>
                <w:sz w:val="17"/>
              </w:rPr>
            </w:pPr>
            <w:r>
              <w:rPr>
                <w:b/>
                <w:sz w:val="17"/>
              </w:rPr>
              <w:t>1.5</w:t>
              <w:tab/>
            </w:r>
            <w:r>
              <w:rPr>
                <w:b/>
                <w:position w:val="8"/>
                <w:sz w:val="17"/>
              </w:rPr>
              <w:t>6</w:t>
            </w:r>
          </w:p>
          <w:p>
            <w:pPr>
              <w:pStyle w:val="TableParagraph"/>
              <w:spacing w:line="179" w:lineRule="exact" w:before="170"/>
              <w:ind w:left="39"/>
              <w:rPr>
                <w:b/>
                <w:sz w:val="17"/>
              </w:rPr>
            </w:pPr>
            <w:r>
              <w:rPr>
                <w:b/>
                <w:sz w:val="17"/>
              </w:rPr>
              <w:t>1.0</w:t>
            </w:r>
          </w:p>
          <w:p>
            <w:pPr>
              <w:pStyle w:val="TableParagraph"/>
              <w:spacing w:line="179" w:lineRule="exact"/>
              <w:ind w:left="4544"/>
              <w:rPr>
                <w:b/>
                <w:sz w:val="17"/>
              </w:rPr>
            </w:pPr>
            <w:r>
              <w:rPr>
                <w:b/>
                <w:w w:val="91"/>
                <w:sz w:val="17"/>
              </w:rPr>
              <w:t>4</w:t>
            </w:r>
          </w:p>
          <w:p>
            <w:pPr>
              <w:pStyle w:val="TableParagraph"/>
              <w:spacing w:before="19"/>
              <w:ind w:left="39"/>
              <w:rPr>
                <w:b/>
                <w:sz w:val="17"/>
              </w:rPr>
            </w:pPr>
            <w:r>
              <w:rPr>
                <w:b/>
                <w:sz w:val="17"/>
              </w:rPr>
              <w:t>0.5</w:t>
            </w:r>
          </w:p>
          <w:p>
            <w:pPr>
              <w:pStyle w:val="TableParagraph"/>
              <w:spacing w:before="8"/>
              <w:rPr>
                <w:rFonts w:ascii="Arial"/>
                <w:sz w:val="14"/>
              </w:rPr>
            </w:pPr>
          </w:p>
          <w:p>
            <w:pPr>
              <w:pStyle w:val="TableParagraph"/>
              <w:tabs>
                <w:tab w:pos="4544" w:val="left" w:leader="none"/>
              </w:tabs>
              <w:ind w:left="39"/>
              <w:rPr>
                <w:b/>
                <w:sz w:val="17"/>
              </w:rPr>
            </w:pPr>
            <w:r>
              <w:rPr>
                <w:b/>
                <w:sz w:val="17"/>
              </w:rPr>
              <w:t>0.0</w:t>
              <w:tab/>
              <w:t>2</w:t>
            </w:r>
          </w:p>
          <w:p>
            <w:pPr>
              <w:pStyle w:val="TableParagraph"/>
              <w:tabs>
                <w:tab w:pos="1185" w:val="left" w:leader="none"/>
                <w:tab w:pos="2144" w:val="left" w:leader="none"/>
                <w:tab w:pos="3103" w:val="left" w:leader="none"/>
                <w:tab w:pos="4062" w:val="left" w:leader="none"/>
              </w:tabs>
              <w:spacing w:line="195" w:lineRule="exact" w:before="21"/>
              <w:ind w:left="226"/>
              <w:rPr>
                <w:b/>
                <w:sz w:val="17"/>
              </w:rPr>
            </w:pPr>
            <w:r>
              <w:rPr>
                <w:b/>
                <w:sz w:val="17"/>
              </w:rPr>
              <w:t>2004</w:t>
              <w:tab/>
              <w:t>2008</w:t>
              <w:tab/>
              <w:t>2012</w:t>
              <w:tab/>
              <w:t>2016</w:t>
              <w:tab/>
              <w:t>2020</w:t>
            </w:r>
          </w:p>
        </w:tc>
      </w:tr>
    </w:tbl>
    <w:p>
      <w:pPr>
        <w:spacing w:line="360" w:lineRule="auto" w:before="126"/>
        <w:ind w:left="232" w:right="156" w:firstLine="0"/>
        <w:jc w:val="left"/>
        <w:rPr>
          <w:sz w:val="16"/>
        </w:rPr>
      </w:pPr>
      <w:r>
        <w:rPr/>
        <w:pict>
          <v:group style="position:absolute;margin-left:77.689148pt;margin-top:-167.857559pt;width:207.9pt;height:149.2pt;mso-position-horizontal-relative:page;mso-position-vertical-relative:paragraph;z-index:-253103104" coordorigin="1554,-3357" coordsize="4158,2984">
            <v:shape style="position:absolute;left:1302;top:1858;width:12816;height:8148" coordorigin="1302,1858" coordsize="12816,8148" path="m1556,-376l5709,-376,5709,-3355,1556,-3355,1556,-376xm1556,-376l5709,-376e" filled="false" stroked="true" strokeweight=".206911pt" strokecolor="#000000">
              <v:path arrowok="t"/>
              <v:stroke dashstyle="solid"/>
            </v:shape>
            <v:shape style="position:absolute;left:1610;top:-3040;width:4045;height:2506" coordorigin="1610,-3039" coordsize="4045,2506" path="m1610,-1060l1715,-1122,1824,-1007,1929,-1152,2034,-1762,2143,-2056,2248,-1165,2357,-1701,2462,-1639,2567,-1468,2676,-1047,2781,-841,2886,-534,2995,-718,3100,-683,3205,-595,3314,-810,3419,-779,3527,-1038,3632,-792,3737,-942,3846,-964,3951,-1244,4056,-2302,4165,-1508,4270,-1854,4375,-1385,4484,-1644,4589,-1402,4698,-1521,4803,-1306,4908,-1126,5017,-1819,5122,-2109,5227,-1986,5336,-1920,5441,-2210,5549,-1376,5654,-3039e" filled="false" stroked="true" strokeweight="1.062349pt" strokecolor="#0000ff">
              <v:path arrowok="t"/>
              <v:stroke dashstyle="solid"/>
            </v:shape>
            <w10:wrap type="none"/>
          </v:group>
        </w:pict>
      </w:r>
      <w:r>
        <w:rPr/>
        <w:drawing>
          <wp:anchor distT="0" distB="0" distL="0" distR="0" allowOverlap="1" layoutInCell="1" locked="0" behindDoc="1" simplePos="0" relativeHeight="250214400">
            <wp:simplePos x="0" y="0"/>
            <wp:positionH relativeFrom="page">
              <wp:posOffset>4087816</wp:posOffset>
            </wp:positionH>
            <wp:positionV relativeFrom="paragraph">
              <wp:posOffset>-2138318</wp:posOffset>
            </wp:positionV>
            <wp:extent cx="2557202" cy="1924050"/>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5" cstate="print"/>
                    <a:stretch>
                      <a:fillRect/>
                    </a:stretch>
                  </pic:blipFill>
                  <pic:spPr>
                    <a:xfrm>
                      <a:off x="0" y="0"/>
                      <a:ext cx="2557202" cy="1924050"/>
                    </a:xfrm>
                    <a:prstGeom prst="rect">
                      <a:avLst/>
                    </a:prstGeom>
                  </pic:spPr>
                </pic:pic>
              </a:graphicData>
            </a:graphic>
          </wp:anchor>
        </w:drawing>
      </w:r>
      <w:r>
        <w:rPr>
          <w:sz w:val="16"/>
        </w:rPr>
        <w:t>Note: In the right chart, IG and HY: option-adjusted spreads on government bond yields. Investment-grade (IG) corporate bond yields are calculated using an index of bonds with a rating of BBB3 or above. High-yield (HY) corporate bond yields are calculated using aggregate indices of bonds rated lower than BBB3. OpCo: Senior unsecured bond spread (operating company). Calculated as constant- maturity unweighted average of secondary market spreads to mid-swaps for the major UK lenders’ five-year euro-denominated bonds or a suitable proxy when unavailable. ERP: Equity Risk Premium for UK-focused equity index. Based on a geographic decomposition of the FTSE All-Share, derived from companies’ primary source of revenues using annual financial accounts data. UK-focused companies are defined as generating at least 70% of their revenues in the UK. Sources: Deloitte CFO Survey, Eikon from Refinitiv, ICE/BoAML Global Research, Bloomberg Finance L.P. and Bank of</w:t>
      </w:r>
      <w:r>
        <w:rPr>
          <w:spacing w:val="-8"/>
          <w:sz w:val="16"/>
        </w:rPr>
        <w:t> </w:t>
      </w:r>
      <w:r>
        <w:rPr>
          <w:sz w:val="16"/>
        </w:rPr>
        <w:t>England.</w:t>
      </w:r>
    </w:p>
    <w:p>
      <w:pPr>
        <w:pStyle w:val="BodyText"/>
        <w:rPr>
          <w:sz w:val="18"/>
        </w:rPr>
      </w:pPr>
    </w:p>
    <w:p>
      <w:pPr>
        <w:pStyle w:val="BodyText"/>
        <w:spacing w:line="360" w:lineRule="auto" w:before="140"/>
        <w:ind w:left="232" w:right="273"/>
        <w:rPr>
          <w:sz w:val="13"/>
        </w:rPr>
      </w:pPr>
      <w:r>
        <w:rPr/>
        <w:t>Even as the lockdown eases, households and businesses will still face considerable uncertainty and downside macro risks, for example because of fear of further job losses or business failures, and the possibility of a renewed escalation of the Covid outbreak that requires some lockdown measures to be reimposed. Individual firms will also face substantial micro uncertainties because of the heterogeneous impacts of the Covid-19 outbreak, and the measures to tackle it, on the longrun outlook for their sector and company. For example, will persistent social distancing require businesses that involve a high degree of social contact to totally rethink their business model? Should companies with complex global supply chains assume that they will have to completely revamp their operations? Or should they assume that things will “get back to normal” soon? The economy will continue to face other major uncertainties, for example over Brexit and global trade policies. At the moment, and I suspect for some time to come, many firms will not be able to plan ahead with much confidence. As we have seen previously, when there is high uncertainty with downside risks, households and businesses tend to defer major spending decisions, especially those that would be costly to reverse.</w:t>
      </w:r>
      <w:r>
        <w:rPr>
          <w:position w:val="6"/>
          <w:sz w:val="13"/>
        </w:rPr>
        <w:t>7</w:t>
      </w:r>
    </w:p>
    <w:p>
      <w:pPr>
        <w:pStyle w:val="BodyText"/>
        <w:rPr>
          <w:sz w:val="30"/>
        </w:rPr>
      </w:pPr>
    </w:p>
    <w:p>
      <w:pPr>
        <w:pStyle w:val="BodyText"/>
        <w:spacing w:line="360" w:lineRule="auto"/>
        <w:ind w:left="232" w:right="350"/>
      </w:pPr>
      <w:r>
        <w:rPr/>
        <w:t>Moreover, private sector balance sheets will be in worse shape, especially among companies, with higher debts, depleted cash reserves and (with asset values having fallen) reduced collateral.</w:t>
      </w:r>
      <w:r>
        <w:rPr>
          <w:position w:val="6"/>
          <w:sz w:val="13"/>
        </w:rPr>
        <w:t>8 </w:t>
      </w:r>
      <w:r>
        <w:rPr/>
        <w:t>As a result, companies will be more fragile, and less able to take risks or to absorb further losses.</w:t>
      </w:r>
    </w:p>
    <w:p>
      <w:pPr>
        <w:pStyle w:val="BodyText"/>
        <w:rPr>
          <w:sz w:val="12"/>
        </w:rPr>
      </w:pPr>
      <w:r>
        <w:rPr/>
        <w:pict>
          <v:shape style="position:absolute;margin-left:56.639999pt;margin-top:9.145993pt;width:144.050pt;height:.1pt;mso-position-horizontal-relative:page;mso-position-vertical-relative:paragraph;z-index:-251617280;mso-wrap-distance-left:0;mso-wrap-distance-right:0" coordorigin="1133,183" coordsize="2881,0" path="m1133,183l4014,183e" filled="false" stroked="true" strokeweight=".48004pt" strokecolor="#000000">
            <v:path arrowok="t"/>
            <v:stroke dashstyle="solid"/>
            <w10:wrap type="topAndBottom"/>
          </v:shape>
        </w:pict>
      </w:r>
    </w:p>
    <w:p>
      <w:pPr>
        <w:spacing w:line="185" w:lineRule="exact" w:before="50"/>
        <w:ind w:left="232" w:right="0" w:firstLine="0"/>
        <w:jc w:val="left"/>
        <w:rPr>
          <w:sz w:val="16"/>
        </w:rPr>
      </w:pPr>
      <w:r>
        <w:rPr>
          <w:position w:val="6"/>
          <w:sz w:val="10"/>
        </w:rPr>
        <w:t>7 </w:t>
      </w:r>
      <w:r>
        <w:rPr>
          <w:sz w:val="16"/>
        </w:rPr>
        <w:t>See Broadbent (2019) and Saunders (2019).</w:t>
      </w:r>
    </w:p>
    <w:p>
      <w:pPr>
        <w:spacing w:line="185" w:lineRule="exact" w:before="0"/>
        <w:ind w:left="232" w:right="0" w:firstLine="0"/>
        <w:jc w:val="left"/>
        <w:rPr>
          <w:sz w:val="16"/>
        </w:rPr>
      </w:pPr>
      <w:r>
        <w:rPr>
          <w:position w:val="6"/>
          <w:sz w:val="10"/>
        </w:rPr>
        <w:t>8 </w:t>
      </w:r>
      <w:r>
        <w:rPr>
          <w:sz w:val="16"/>
        </w:rPr>
        <w:t>See Bahaj </w:t>
      </w:r>
      <w:r>
        <w:rPr>
          <w:i/>
          <w:sz w:val="16"/>
        </w:rPr>
        <w:t>et al. </w:t>
      </w:r>
      <w:r>
        <w:rPr>
          <w:sz w:val="16"/>
        </w:rPr>
        <w:t>(2019).</w:t>
      </w:r>
    </w:p>
    <w:p>
      <w:pPr>
        <w:spacing w:after="0" w:line="185" w:lineRule="exact"/>
        <w:jc w:val="left"/>
        <w:rPr>
          <w:sz w:val="16"/>
        </w:rPr>
        <w:sectPr>
          <w:footerReference w:type="default" r:id="rId14"/>
          <w:pgSz w:w="11910" w:h="16840"/>
          <w:pgMar w:footer="1338" w:header="0" w:top="1580" w:bottom="1520" w:left="900" w:right="980"/>
        </w:sectPr>
      </w:pPr>
    </w:p>
    <w:p>
      <w:pPr>
        <w:pStyle w:val="BodyText"/>
        <w:spacing w:line="360" w:lineRule="auto" w:before="81"/>
        <w:ind w:left="232" w:right="273"/>
      </w:pPr>
      <w:r>
        <w:rPr/>
        <w:t>In addition, even if and when this virus is contained, the searing experience of such a dramatic drop in incomes, jobs and profits is likely to have lasting behavioural effects, as after previous crises.</w:t>
      </w:r>
      <w:r>
        <w:rPr>
          <w:position w:val="6"/>
          <w:sz w:val="13"/>
        </w:rPr>
        <w:t>9 </w:t>
      </w:r>
      <w:r>
        <w:rPr/>
        <w:t>Before this year, the idea that GDP could fall by more than 25% in two quarters, or that something like 25% of the workforce could suddenly become unemployed or furloughed, was almost unthinkable. Quite reasonably, many people and firms did not build such possibilities into their decision-making. Having seen that such dramatic swings in economic activity can happen, I suspect that people’s expectations for the future will put much more weight than previously on extreme downside possibilities. The desire to self-insure against such adverse tail risks is likely to lead to lower risk appetite than in the pre-Covid period.</w:t>
      </w:r>
    </w:p>
    <w:p>
      <w:pPr>
        <w:pStyle w:val="BodyText"/>
        <w:spacing w:before="10"/>
        <w:rPr>
          <w:sz w:val="29"/>
        </w:rPr>
      </w:pPr>
    </w:p>
    <w:p>
      <w:pPr>
        <w:pStyle w:val="BodyText"/>
        <w:spacing w:line="360" w:lineRule="auto"/>
        <w:ind w:left="232" w:right="228"/>
      </w:pPr>
      <w:r>
        <w:rPr/>
        <w:t>All this is likely, I suspect, to create a continued mood of caution among households and businesses over major spending decisions, with a lasting preference for greater financial resilience, stronger balance sheets and less debt than in the pre-Covid period. Lenders also will probably be more cautious, pricing in higher credit risks and wanting to see greater resilience and extra collateral before lending. There are signs of such a shift in the latest Deloitte CFO survey. Even with the policy rate at a record low, the survey shows that a sizeable net balance of CFOs now judge that corporate balance sheets are over-leveraged.</w:t>
      </w:r>
    </w:p>
    <w:p>
      <w:pPr>
        <w:pStyle w:val="BodyText"/>
        <w:rPr>
          <w:sz w:val="30"/>
        </w:rPr>
      </w:pPr>
    </w:p>
    <w:p>
      <w:pPr>
        <w:pStyle w:val="BodyText"/>
        <w:spacing w:line="360" w:lineRule="auto"/>
        <w:ind w:left="232" w:right="139"/>
      </w:pPr>
      <w:r>
        <w:rPr/>
        <w:t>Note that a slow recovery would probably not mean no recovery. And even a period of high growth might still imply that output remains well below its pre-Covid levels. If, for example, GDP falls by roughly 27% over Q1 and Q2 combined, consistent with the May MPR scenario, then even a 20% rise in output over the subsequent year would still leave activity substantially (more than 10%) below the pre-Covid level.</w:t>
      </w:r>
    </w:p>
    <w:p>
      <w:pPr>
        <w:pStyle w:val="BodyText"/>
        <w:spacing w:before="1"/>
        <w:rPr>
          <w:sz w:val="30"/>
        </w:rPr>
      </w:pPr>
    </w:p>
    <w:p>
      <w:pPr>
        <w:pStyle w:val="BodyText"/>
        <w:spacing w:line="360" w:lineRule="auto"/>
        <w:ind w:left="232" w:right="350"/>
      </w:pPr>
      <w:r>
        <w:rPr/>
        <w:t>Of course, one cannot be too precise about the balance of risks at present, given the high degree of uncertainty. But, and this is my second big concern, while a range of outcomes are possible, some are clearly more undesirable than others. </w:t>
      </w:r>
      <w:r>
        <w:rPr>
          <w:b/>
        </w:rPr>
        <w:t>A relatively slow recovery would be costly</w:t>
      </w:r>
      <w:r>
        <w:rPr/>
        <w:t>, not just in terms of leaving inflation below target and the economy operating with spare capacity for a longer period, but</w:t>
      </w:r>
      <w:r>
        <w:rPr>
          <w:spacing w:val="-31"/>
        </w:rPr>
        <w:t> </w:t>
      </w:r>
      <w:r>
        <w:rPr/>
        <w:t>also because it would increase the long term costs to the economy from hysteresis and</w:t>
      </w:r>
      <w:r>
        <w:rPr>
          <w:spacing w:val="-14"/>
        </w:rPr>
        <w:t> </w:t>
      </w:r>
      <w:r>
        <w:rPr/>
        <w:t>scarring.</w:t>
      </w:r>
    </w:p>
    <w:p>
      <w:pPr>
        <w:pStyle w:val="BodyText"/>
        <w:spacing w:before="11"/>
        <w:rPr>
          <w:sz w:val="29"/>
        </w:rPr>
      </w:pPr>
    </w:p>
    <w:p>
      <w:pPr>
        <w:pStyle w:val="BodyText"/>
        <w:ind w:left="232"/>
        <w:rPr>
          <w:sz w:val="13"/>
        </w:rPr>
      </w:pPr>
      <w:r>
        <w:rPr/>
        <w:t>Periods of economic weakness tend to damage potential output through various</w:t>
      </w:r>
      <w:r>
        <w:rPr>
          <w:spacing w:val="-21"/>
        </w:rPr>
        <w:t> </w:t>
      </w:r>
      <w:r>
        <w:rPr/>
        <w:t>channels.</w:t>
      </w:r>
      <w:r>
        <w:rPr>
          <w:position w:val="6"/>
          <w:sz w:val="13"/>
        </w:rPr>
        <w:t>10</w:t>
      </w:r>
    </w:p>
    <w:p>
      <w:pPr>
        <w:pStyle w:val="BodyText"/>
        <w:rPr>
          <w:sz w:val="22"/>
        </w:rPr>
      </w:pPr>
    </w:p>
    <w:p>
      <w:pPr>
        <w:pStyle w:val="BodyText"/>
        <w:spacing w:before="1"/>
        <w:rPr>
          <w:sz w:val="18"/>
        </w:rPr>
      </w:pPr>
    </w:p>
    <w:p>
      <w:pPr>
        <w:pStyle w:val="BodyText"/>
        <w:spacing w:line="360" w:lineRule="auto"/>
        <w:ind w:left="232" w:right="295"/>
      </w:pPr>
      <w:r>
        <w:rPr/>
        <w:pict>
          <v:shape style="position:absolute;margin-left:56.639999pt;margin-top:127.129898pt;width:144.050pt;height:.1pt;mso-position-horizontal-relative:page;mso-position-vertical-relative:paragraph;z-index:-251614208;mso-wrap-distance-left:0;mso-wrap-distance-right:0" coordorigin="1133,2543" coordsize="2881,0" path="m1133,2543l4014,2543e" filled="false" stroked="true" strokeweight=".47998pt" strokecolor="#000000">
            <v:path arrowok="t"/>
            <v:stroke dashstyle="solid"/>
            <w10:wrap type="topAndBottom"/>
          </v:shape>
        </w:pict>
      </w:r>
      <w:r>
        <w:rPr/>
        <w:t>Some of these channels occur through cutbacks in investment, R&amp;D and training – which often fall severely in downturns, for example because worsening trends in credit availability and cashflow oblige firms to prioritise survival and cost-cutting over longer term gains from such spending.</w:t>
      </w:r>
      <w:r>
        <w:rPr>
          <w:position w:val="6"/>
          <w:sz w:val="13"/>
        </w:rPr>
        <w:t>11 </w:t>
      </w:r>
      <w:r>
        <w:rPr/>
        <w:t>The same financial pressures may cause otherwise-viable firms to fail, leading to more capital scrapping. As a result of these effects, recessions are usually followed by lower growth of the capital stock and capital services in future years (see figure 9). Deteriorating credit availability is likely to inhibit new business formation, slowing the pipeline of firms that will take the lead in future expansions. These channels are evident in recent business</w:t>
      </w:r>
    </w:p>
    <w:p>
      <w:pPr>
        <w:spacing w:before="47"/>
        <w:ind w:left="232" w:right="0" w:firstLine="0"/>
        <w:jc w:val="left"/>
        <w:rPr>
          <w:sz w:val="16"/>
        </w:rPr>
      </w:pPr>
      <w:r>
        <w:rPr>
          <w:position w:val="6"/>
          <w:sz w:val="10"/>
        </w:rPr>
        <w:t>9 </w:t>
      </w:r>
      <w:r>
        <w:rPr>
          <w:sz w:val="16"/>
        </w:rPr>
        <w:t>See Guttentag and Herring (1986), Haldane (2015), Kozlowski, Veldkamp and Venkateswaran (2015) and (2020), Jorda, Singh and Taylor (2020).</w:t>
      </w:r>
    </w:p>
    <w:p>
      <w:pPr>
        <w:spacing w:line="183" w:lineRule="exact" w:before="0"/>
        <w:ind w:left="232" w:right="0" w:firstLine="0"/>
        <w:jc w:val="left"/>
        <w:rPr>
          <w:sz w:val="16"/>
        </w:rPr>
      </w:pPr>
      <w:r>
        <w:rPr>
          <w:position w:val="6"/>
          <w:sz w:val="10"/>
        </w:rPr>
        <w:t>10 </w:t>
      </w:r>
      <w:r>
        <w:rPr>
          <w:sz w:val="16"/>
        </w:rPr>
        <w:t>See for example Haltmaier (2012), Reifschneider, Wascher and Wilcox (2015).</w:t>
      </w:r>
    </w:p>
    <w:p>
      <w:pPr>
        <w:spacing w:line="185" w:lineRule="exact" w:before="0"/>
        <w:ind w:left="232" w:right="0" w:firstLine="0"/>
        <w:jc w:val="left"/>
        <w:rPr>
          <w:sz w:val="16"/>
        </w:rPr>
      </w:pPr>
      <w:r>
        <w:rPr>
          <w:position w:val="6"/>
          <w:sz w:val="10"/>
        </w:rPr>
        <w:t>11 </w:t>
      </w:r>
      <w:r>
        <w:rPr>
          <w:sz w:val="16"/>
        </w:rPr>
        <w:t>See for example Aghion </w:t>
      </w:r>
      <w:r>
        <w:rPr>
          <w:i/>
          <w:sz w:val="16"/>
        </w:rPr>
        <w:t>et al. </w:t>
      </w:r>
      <w:r>
        <w:rPr>
          <w:sz w:val="16"/>
        </w:rPr>
        <w:t>(2012), Dosi </w:t>
      </w:r>
      <w:r>
        <w:rPr>
          <w:i/>
          <w:sz w:val="16"/>
        </w:rPr>
        <w:t>et al. </w:t>
      </w:r>
      <w:r>
        <w:rPr>
          <w:sz w:val="16"/>
        </w:rPr>
        <w:t>(2018), Bianchi, Kung and Morales (2019).</w:t>
      </w:r>
    </w:p>
    <w:p>
      <w:pPr>
        <w:spacing w:after="0" w:line="185" w:lineRule="exact"/>
        <w:jc w:val="left"/>
        <w:rPr>
          <w:sz w:val="16"/>
        </w:rPr>
        <w:sectPr>
          <w:footerReference w:type="default" r:id="rId16"/>
          <w:pgSz w:w="11910" w:h="16840"/>
          <w:pgMar w:footer="1338" w:header="0" w:top="1520" w:bottom="1520" w:left="900" w:right="980"/>
        </w:sectPr>
      </w:pPr>
    </w:p>
    <w:p>
      <w:pPr>
        <w:pStyle w:val="BodyText"/>
        <w:spacing w:line="357" w:lineRule="auto" w:before="81"/>
        <w:ind w:left="232"/>
      </w:pPr>
      <w:r>
        <w:rPr/>
        <w:t>surveys. Firms’ investment intentions have fallen very sharply,</w:t>
      </w:r>
      <w:r>
        <w:rPr>
          <w:position w:val="6"/>
          <w:sz w:val="13"/>
        </w:rPr>
        <w:t>12 </w:t>
      </w:r>
      <w:r>
        <w:rPr/>
        <w:t>with weaker readings also for spending on training and process innovation. All this is likely to hit productivity growth, including total factor productivity.</w:t>
      </w:r>
    </w:p>
    <w:p>
      <w:pPr>
        <w:pStyle w:val="BodyText"/>
      </w:pPr>
    </w:p>
    <w:p>
      <w:pPr>
        <w:pStyle w:val="BodyText"/>
        <w:spacing w:before="9"/>
        <w:rPr>
          <w:sz w:val="10"/>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2"/>
        <w:gridCol w:w="77"/>
        <w:gridCol w:w="186"/>
        <w:gridCol w:w="4739"/>
      </w:tblGrid>
      <w:tr>
        <w:trPr>
          <w:trHeight w:val="684" w:hRule="atLeast"/>
        </w:trPr>
        <w:tc>
          <w:tcPr>
            <w:tcW w:w="4662" w:type="dxa"/>
            <w:tcBorders>
              <w:bottom w:val="single" w:sz="2" w:space="0" w:color="D9D9D9"/>
            </w:tcBorders>
          </w:tcPr>
          <w:p>
            <w:pPr>
              <w:pStyle w:val="TableParagraph"/>
              <w:spacing w:line="223" w:lineRule="exact"/>
              <w:ind w:left="-2"/>
              <w:rPr>
                <w:rFonts w:ascii="Arial" w:hAnsi="Arial"/>
                <w:b/>
                <w:sz w:val="20"/>
              </w:rPr>
            </w:pPr>
            <w:r>
              <w:rPr>
                <w:rFonts w:ascii="Arial" w:hAnsi="Arial"/>
                <w:b/>
                <w:sz w:val="20"/>
              </w:rPr>
              <w:t>Figure 9. UK – Real GDP and Real Capital</w:t>
            </w:r>
          </w:p>
          <w:p>
            <w:pPr>
              <w:pStyle w:val="TableParagraph"/>
              <w:spacing w:before="115"/>
              <w:ind w:left="-2"/>
              <w:rPr>
                <w:rFonts w:ascii="Arial"/>
                <w:b/>
                <w:sz w:val="20"/>
              </w:rPr>
            </w:pPr>
            <w:r>
              <w:rPr>
                <w:rFonts w:ascii="Arial"/>
                <w:b/>
                <w:sz w:val="20"/>
              </w:rPr>
              <w:t>Services YoY</w:t>
            </w:r>
          </w:p>
        </w:tc>
        <w:tc>
          <w:tcPr>
            <w:tcW w:w="77" w:type="dxa"/>
            <w:tcBorders>
              <w:bottom w:val="single" w:sz="2" w:space="0" w:color="D9D9D9"/>
            </w:tcBorders>
          </w:tcPr>
          <w:p>
            <w:pPr>
              <w:pStyle w:val="TableParagraph"/>
              <w:rPr>
                <w:rFonts w:ascii="Times New Roman"/>
                <w:sz w:val="18"/>
              </w:rPr>
            </w:pPr>
          </w:p>
        </w:tc>
        <w:tc>
          <w:tcPr>
            <w:tcW w:w="186" w:type="dxa"/>
          </w:tcPr>
          <w:p>
            <w:pPr>
              <w:pStyle w:val="TableParagraph"/>
              <w:rPr>
                <w:rFonts w:ascii="Times New Roman"/>
                <w:sz w:val="18"/>
              </w:rPr>
            </w:pPr>
          </w:p>
        </w:tc>
        <w:tc>
          <w:tcPr>
            <w:tcW w:w="4739" w:type="dxa"/>
            <w:tcBorders>
              <w:bottom w:val="single" w:sz="2" w:space="0" w:color="D9D9D9"/>
            </w:tcBorders>
          </w:tcPr>
          <w:p>
            <w:pPr>
              <w:pStyle w:val="TableParagraph"/>
              <w:spacing w:line="223" w:lineRule="exact"/>
              <w:ind w:left="2"/>
              <w:rPr>
                <w:rFonts w:ascii="Arial" w:hAnsi="Arial"/>
                <w:b/>
                <w:sz w:val="20"/>
              </w:rPr>
            </w:pPr>
            <w:r>
              <w:rPr>
                <w:rFonts w:ascii="Arial" w:hAnsi="Arial"/>
                <w:b/>
                <w:sz w:val="20"/>
              </w:rPr>
              <w:t>Figure 10. UK – Unemployment Rate</w:t>
            </w:r>
            <w:r>
              <w:rPr>
                <w:rFonts w:ascii="Arial" w:hAnsi="Arial"/>
                <w:b/>
                <w:spacing w:val="-11"/>
                <w:sz w:val="20"/>
              </w:rPr>
              <w:t> </w:t>
            </w:r>
            <w:r>
              <w:rPr>
                <w:rFonts w:ascii="Arial" w:hAnsi="Arial"/>
                <w:b/>
                <w:sz w:val="20"/>
              </w:rPr>
              <w:t>and</w:t>
            </w:r>
          </w:p>
          <w:p>
            <w:pPr>
              <w:pStyle w:val="TableParagraph"/>
              <w:spacing w:before="115"/>
              <w:ind w:left="2"/>
              <w:rPr>
                <w:rFonts w:ascii="Arial"/>
                <w:b/>
                <w:sz w:val="20"/>
              </w:rPr>
            </w:pPr>
            <w:r>
              <w:rPr>
                <w:rFonts w:ascii="Arial"/>
                <w:b/>
                <w:sz w:val="20"/>
              </w:rPr>
              <w:t>Measures of Equilibrium</w:t>
            </w:r>
            <w:r>
              <w:rPr>
                <w:rFonts w:ascii="Arial"/>
                <w:b/>
                <w:spacing w:val="-13"/>
                <w:sz w:val="20"/>
              </w:rPr>
              <w:t> </w:t>
            </w:r>
            <w:r>
              <w:rPr>
                <w:rFonts w:ascii="Arial"/>
                <w:b/>
                <w:sz w:val="20"/>
              </w:rPr>
              <w:t>Unemployment</w:t>
            </w:r>
          </w:p>
        </w:tc>
      </w:tr>
      <w:tr>
        <w:trPr>
          <w:trHeight w:val="3487" w:hRule="atLeast"/>
        </w:trPr>
        <w:tc>
          <w:tcPr>
            <w:tcW w:w="4662" w:type="dxa"/>
            <w:tcBorders>
              <w:top w:val="single" w:sz="2" w:space="0" w:color="D9D9D9"/>
              <w:left w:val="single" w:sz="2" w:space="0" w:color="D9D9D9"/>
              <w:bottom w:val="single" w:sz="2" w:space="0" w:color="D9D9D9"/>
            </w:tcBorders>
          </w:tcPr>
          <w:p>
            <w:pPr>
              <w:pStyle w:val="TableParagraph"/>
              <w:spacing w:line="185" w:lineRule="exact" w:before="10"/>
              <w:ind w:left="128"/>
              <w:rPr>
                <w:b/>
                <w:sz w:val="17"/>
              </w:rPr>
            </w:pPr>
            <w:r>
              <w:rPr>
                <w:b/>
                <w:w w:val="91"/>
                <w:sz w:val="17"/>
              </w:rPr>
              <w:t>6</w:t>
            </w:r>
          </w:p>
          <w:p>
            <w:pPr>
              <w:pStyle w:val="TableParagraph"/>
              <w:spacing w:line="185" w:lineRule="exact"/>
              <w:ind w:left="533"/>
              <w:rPr>
                <w:b/>
                <w:sz w:val="17"/>
              </w:rPr>
            </w:pPr>
            <w:r>
              <w:rPr>
                <w:b/>
                <w:w w:val="91"/>
                <w:sz w:val="17"/>
              </w:rPr>
              <w:t>%</w:t>
            </w:r>
          </w:p>
          <w:p>
            <w:pPr>
              <w:pStyle w:val="TableParagraph"/>
              <w:spacing w:before="135"/>
              <w:ind w:left="128"/>
              <w:rPr>
                <w:b/>
                <w:sz w:val="17"/>
              </w:rPr>
            </w:pPr>
            <w:r>
              <w:rPr>
                <w:b/>
                <w:w w:val="91"/>
                <w:sz w:val="17"/>
              </w:rPr>
              <w:t>4</w:t>
            </w:r>
          </w:p>
          <w:p>
            <w:pPr>
              <w:pStyle w:val="TableParagraph"/>
              <w:spacing w:before="11"/>
              <w:rPr>
                <w:rFonts w:ascii="Arial"/>
                <w:sz w:val="25"/>
              </w:rPr>
            </w:pPr>
          </w:p>
          <w:p>
            <w:pPr>
              <w:pStyle w:val="TableParagraph"/>
              <w:ind w:left="128"/>
              <w:rPr>
                <w:b/>
                <w:sz w:val="17"/>
              </w:rPr>
            </w:pPr>
            <w:r>
              <w:rPr>
                <w:b/>
                <w:w w:val="91"/>
                <w:sz w:val="17"/>
              </w:rPr>
              <w:t>2</w:t>
            </w:r>
          </w:p>
          <w:p>
            <w:pPr>
              <w:pStyle w:val="TableParagraph"/>
              <w:spacing w:before="10"/>
              <w:rPr>
                <w:rFonts w:ascii="Arial"/>
                <w:sz w:val="25"/>
              </w:rPr>
            </w:pPr>
          </w:p>
          <w:p>
            <w:pPr>
              <w:pStyle w:val="TableParagraph"/>
              <w:spacing w:before="1"/>
              <w:ind w:left="128"/>
              <w:rPr>
                <w:b/>
                <w:sz w:val="17"/>
              </w:rPr>
            </w:pPr>
            <w:r>
              <w:rPr>
                <w:b/>
                <w:w w:val="91"/>
                <w:sz w:val="17"/>
              </w:rPr>
              <w:t>0</w:t>
            </w:r>
          </w:p>
          <w:p>
            <w:pPr>
              <w:pStyle w:val="TableParagraph"/>
              <w:spacing w:before="10"/>
              <w:rPr>
                <w:rFonts w:ascii="Arial"/>
                <w:sz w:val="25"/>
              </w:rPr>
            </w:pPr>
          </w:p>
          <w:p>
            <w:pPr>
              <w:pStyle w:val="TableParagraph"/>
              <w:ind w:left="80"/>
              <w:rPr>
                <w:b/>
                <w:sz w:val="17"/>
              </w:rPr>
            </w:pPr>
            <w:r>
              <w:rPr>
                <w:b/>
                <w:sz w:val="17"/>
              </w:rPr>
              <w:t>-2</w:t>
            </w:r>
          </w:p>
          <w:p>
            <w:pPr>
              <w:pStyle w:val="TableParagraph"/>
              <w:rPr>
                <w:rFonts w:ascii="Arial"/>
                <w:sz w:val="25"/>
              </w:rPr>
            </w:pPr>
          </w:p>
          <w:p>
            <w:pPr>
              <w:pStyle w:val="TableParagraph"/>
              <w:tabs>
                <w:tab w:pos="2840" w:val="left" w:leader="none"/>
                <w:tab w:pos="4085" w:val="left" w:leader="none"/>
              </w:tabs>
              <w:spacing w:before="1"/>
              <w:ind w:left="80"/>
              <w:rPr>
                <w:b/>
                <w:sz w:val="17"/>
              </w:rPr>
            </w:pPr>
            <w:r>
              <w:rPr>
                <w:b/>
                <w:sz w:val="17"/>
              </w:rPr>
              <w:t>-4</w:t>
              <w:tab/>
            </w:r>
            <w:r>
              <w:rPr>
                <w:b/>
                <w:position w:val="1"/>
                <w:sz w:val="17"/>
              </w:rPr>
              <w:t>Capital</w:t>
            </w:r>
            <w:r>
              <w:rPr>
                <w:b/>
                <w:spacing w:val="-26"/>
                <w:position w:val="1"/>
                <w:sz w:val="17"/>
              </w:rPr>
              <w:t> </w:t>
            </w:r>
            <w:r>
              <w:rPr>
                <w:b/>
                <w:position w:val="1"/>
                <w:sz w:val="17"/>
              </w:rPr>
              <w:t>Services</w:t>
              <w:tab/>
              <w:t>GDP</w:t>
            </w:r>
          </w:p>
          <w:p>
            <w:pPr>
              <w:pStyle w:val="TableParagraph"/>
              <w:spacing w:before="10"/>
              <w:rPr>
                <w:rFonts w:ascii="Arial"/>
                <w:sz w:val="25"/>
              </w:rPr>
            </w:pPr>
          </w:p>
          <w:p>
            <w:pPr>
              <w:pStyle w:val="TableParagraph"/>
              <w:ind w:left="80"/>
              <w:rPr>
                <w:b/>
                <w:sz w:val="17"/>
              </w:rPr>
            </w:pPr>
            <w:r>
              <w:rPr>
                <w:b/>
                <w:sz w:val="17"/>
              </w:rPr>
              <w:t>-6</w:t>
            </w:r>
          </w:p>
          <w:p>
            <w:pPr>
              <w:pStyle w:val="TableParagraph"/>
              <w:tabs>
                <w:tab w:pos="872" w:val="left" w:leader="none"/>
                <w:tab w:pos="1542" w:val="left" w:leader="none"/>
                <w:tab w:pos="2211" w:val="left" w:leader="none"/>
                <w:tab w:pos="2881" w:val="left" w:leader="none"/>
                <w:tab w:pos="3551" w:val="left" w:leader="none"/>
                <w:tab w:pos="4220" w:val="left" w:leader="none"/>
              </w:tabs>
              <w:spacing w:line="195" w:lineRule="exact" w:before="21"/>
              <w:ind w:left="202"/>
              <w:rPr>
                <w:b/>
                <w:sz w:val="17"/>
              </w:rPr>
            </w:pPr>
            <w:r>
              <w:rPr>
                <w:b/>
                <w:sz w:val="17"/>
              </w:rPr>
              <w:t>2000</w:t>
              <w:tab/>
              <w:t>2003</w:t>
              <w:tab/>
              <w:t>2006</w:t>
              <w:tab/>
              <w:t>2009</w:t>
              <w:tab/>
              <w:t>2012</w:t>
              <w:tab/>
              <w:t>2015</w:t>
              <w:tab/>
              <w:t>2018</w:t>
            </w:r>
          </w:p>
        </w:tc>
        <w:tc>
          <w:tcPr>
            <w:tcW w:w="77" w:type="dxa"/>
            <w:tcBorders>
              <w:top w:val="single" w:sz="2" w:space="0" w:color="D9D9D9"/>
              <w:bottom w:val="single" w:sz="2" w:space="0" w:color="D9D9D9"/>
              <w:right w:val="single" w:sz="2" w:space="0" w:color="D9D9D9"/>
            </w:tcBorders>
          </w:tcPr>
          <w:p>
            <w:pPr>
              <w:pStyle w:val="TableParagraph"/>
              <w:rPr>
                <w:rFonts w:ascii="Times New Roman"/>
                <w:sz w:val="18"/>
              </w:rPr>
            </w:pPr>
          </w:p>
        </w:tc>
        <w:tc>
          <w:tcPr>
            <w:tcW w:w="186" w:type="dxa"/>
            <w:tcBorders>
              <w:left w:val="single" w:sz="2" w:space="0" w:color="D9D9D9"/>
              <w:right w:val="single" w:sz="2" w:space="0" w:color="D9D9D9"/>
            </w:tcBorders>
          </w:tcPr>
          <w:p>
            <w:pPr>
              <w:pStyle w:val="TableParagraph"/>
              <w:rPr>
                <w:rFonts w:ascii="Times New Roman"/>
                <w:sz w:val="18"/>
              </w:rPr>
            </w:pPr>
          </w:p>
        </w:tc>
        <w:tc>
          <w:tcPr>
            <w:tcW w:w="4739" w:type="dxa"/>
            <w:tcBorders>
              <w:top w:val="single" w:sz="2" w:space="0" w:color="D9D9D9"/>
              <w:left w:val="single" w:sz="2" w:space="0" w:color="D9D9D9"/>
              <w:bottom w:val="single" w:sz="2" w:space="0" w:color="D9D9D9"/>
              <w:right w:val="single" w:sz="2" w:space="0" w:color="D9D9D9"/>
            </w:tcBorders>
          </w:tcPr>
          <w:p>
            <w:pPr>
              <w:pStyle w:val="TableParagraph"/>
              <w:spacing w:before="22"/>
              <w:ind w:left="131"/>
              <w:rPr>
                <w:b/>
                <w:sz w:val="17"/>
              </w:rPr>
            </w:pPr>
            <w:r>
              <w:rPr>
                <w:b/>
                <w:w w:val="91"/>
                <w:sz w:val="17"/>
              </w:rPr>
              <w:t>9</w:t>
            </w:r>
          </w:p>
          <w:p>
            <w:pPr>
              <w:pStyle w:val="TableParagraph"/>
              <w:spacing w:line="181" w:lineRule="exact" w:before="138"/>
              <w:ind w:left="588"/>
              <w:rPr>
                <w:b/>
                <w:sz w:val="17"/>
              </w:rPr>
            </w:pPr>
            <w:r>
              <w:rPr>
                <w:b/>
                <w:sz w:val="17"/>
              </w:rPr>
              <w:t>Longer-Term Equilibrium</w:t>
            </w:r>
          </w:p>
          <w:p>
            <w:pPr>
              <w:pStyle w:val="TableParagraph"/>
              <w:spacing w:line="155" w:lineRule="exact"/>
              <w:ind w:left="131"/>
              <w:rPr>
                <w:b/>
                <w:sz w:val="17"/>
              </w:rPr>
            </w:pPr>
            <w:r>
              <w:rPr>
                <w:b/>
                <w:w w:val="91"/>
                <w:sz w:val="17"/>
              </w:rPr>
              <w:t>8</w:t>
            </w:r>
          </w:p>
          <w:p>
            <w:pPr>
              <w:pStyle w:val="TableParagraph"/>
              <w:spacing w:line="181" w:lineRule="exact"/>
              <w:ind w:left="588"/>
              <w:rPr>
                <w:b/>
                <w:sz w:val="17"/>
              </w:rPr>
            </w:pPr>
            <w:r>
              <w:rPr>
                <w:b/>
                <w:sz w:val="17"/>
              </w:rPr>
              <w:t>Shorter-Term Equilibrium</w:t>
            </w:r>
          </w:p>
          <w:p>
            <w:pPr>
              <w:pStyle w:val="TableParagraph"/>
              <w:tabs>
                <w:tab w:pos="588" w:val="left" w:leader="none"/>
              </w:tabs>
              <w:spacing w:line="573" w:lineRule="auto" w:before="102"/>
              <w:ind w:left="131" w:right="3132"/>
              <w:rPr>
                <w:b/>
                <w:sz w:val="17"/>
              </w:rPr>
            </w:pPr>
            <w:r>
              <w:rPr>
                <w:b/>
                <w:position w:val="-3"/>
                <w:sz w:val="17"/>
              </w:rPr>
              <w:t>7</w:t>
              <w:tab/>
            </w:r>
            <w:r>
              <w:rPr>
                <w:b/>
                <w:spacing w:val="-1"/>
                <w:w w:val="90"/>
                <w:sz w:val="17"/>
              </w:rPr>
              <w:t>Unemployment </w:t>
            </w:r>
            <w:r>
              <w:rPr>
                <w:b/>
                <w:sz w:val="17"/>
              </w:rPr>
              <w:t>6</w:t>
            </w:r>
          </w:p>
          <w:p>
            <w:pPr>
              <w:pStyle w:val="TableParagraph"/>
              <w:spacing w:before="3"/>
              <w:ind w:left="131"/>
              <w:rPr>
                <w:b/>
                <w:sz w:val="17"/>
              </w:rPr>
            </w:pPr>
            <w:r>
              <w:rPr>
                <w:b/>
                <w:w w:val="91"/>
                <w:sz w:val="17"/>
              </w:rPr>
              <w:t>5</w:t>
            </w:r>
          </w:p>
          <w:p>
            <w:pPr>
              <w:pStyle w:val="TableParagraph"/>
              <w:spacing w:before="6"/>
              <w:rPr>
                <w:rFonts w:ascii="Arial"/>
                <w:sz w:val="25"/>
              </w:rPr>
            </w:pPr>
          </w:p>
          <w:p>
            <w:pPr>
              <w:pStyle w:val="TableParagraph"/>
              <w:tabs>
                <w:tab w:pos="436" w:val="left" w:leader="none"/>
              </w:tabs>
              <w:ind w:left="131"/>
              <w:rPr>
                <w:b/>
                <w:sz w:val="17"/>
              </w:rPr>
            </w:pPr>
            <w:r>
              <w:rPr>
                <w:b/>
                <w:sz w:val="17"/>
              </w:rPr>
              <w:t>4</w:t>
              <w:tab/>
              <w:t>%</w:t>
            </w:r>
          </w:p>
          <w:p>
            <w:pPr>
              <w:pStyle w:val="TableParagraph"/>
              <w:spacing w:before="3"/>
              <w:rPr>
                <w:rFonts w:ascii="Arial"/>
                <w:sz w:val="25"/>
              </w:rPr>
            </w:pPr>
          </w:p>
          <w:p>
            <w:pPr>
              <w:pStyle w:val="TableParagraph"/>
              <w:ind w:left="131"/>
              <w:rPr>
                <w:b/>
                <w:sz w:val="17"/>
              </w:rPr>
            </w:pPr>
            <w:r>
              <w:rPr>
                <w:b/>
                <w:w w:val="91"/>
                <w:sz w:val="17"/>
              </w:rPr>
              <w:t>3</w:t>
            </w:r>
          </w:p>
          <w:p>
            <w:pPr>
              <w:pStyle w:val="TableParagraph"/>
              <w:tabs>
                <w:tab w:pos="865" w:val="left" w:leader="none"/>
                <w:tab w:pos="1524" w:val="left" w:leader="none"/>
                <w:tab w:pos="2183" w:val="left" w:leader="none"/>
                <w:tab w:pos="2842" w:val="left" w:leader="none"/>
                <w:tab w:pos="3501" w:val="left" w:leader="none"/>
                <w:tab w:pos="4160" w:val="left" w:leader="none"/>
              </w:tabs>
              <w:spacing w:before="21"/>
              <w:ind w:left="206"/>
              <w:rPr>
                <w:b/>
                <w:sz w:val="17"/>
              </w:rPr>
            </w:pPr>
            <w:r>
              <w:rPr>
                <w:b/>
                <w:sz w:val="17"/>
              </w:rPr>
              <w:t>2000</w:t>
              <w:tab/>
              <w:t>2003</w:t>
              <w:tab/>
              <w:t>2006</w:t>
              <w:tab/>
              <w:t>2009</w:t>
              <w:tab/>
              <w:t>2012</w:t>
              <w:tab/>
              <w:t>2015</w:t>
              <w:tab/>
              <w:t>2018</w:t>
            </w:r>
          </w:p>
        </w:tc>
      </w:tr>
    </w:tbl>
    <w:p>
      <w:pPr>
        <w:spacing w:line="360" w:lineRule="auto" w:before="128"/>
        <w:ind w:left="232" w:right="573" w:firstLine="0"/>
        <w:jc w:val="left"/>
        <w:rPr>
          <w:sz w:val="16"/>
        </w:rPr>
      </w:pPr>
      <w:r>
        <w:rPr/>
        <w:pict>
          <v:group style="position:absolute;margin-left:74.189369pt;margin-top:-168.735214pt;width:215.9pt;height:151.85pt;mso-position-horizontal-relative:page;mso-position-vertical-relative:paragraph;z-index:-253099008" coordorigin="1484,-3375" coordsize="4318,3037">
            <v:shape style="position:absolute;left:1086;top:775;width:13308;height:8292" coordorigin="1086,775" coordsize="13308,8292" path="m1486,-341l5798,-341,5798,-3373,1486,-3373,1486,-341xm1486,-1854l5798,-1854e" filled="false" stroked="true" strokeweight=".206911pt" strokecolor="#000000">
              <v:path arrowok="t"/>
              <v:stroke dashstyle="solid"/>
            </v:shape>
            <v:shape style="position:absolute;left:1497;top:-2702;width:4293;height:1264" coordorigin="1498,-2701" coordsize="4293,1264" path="m1498,-2666l1552,-2701,1606,-2644,1665,-2649,1719,-2649,1774,-2649,1832,-2670,1886,-2613,1941,-2526,1999,-2473,2054,-2442,2112,-2513,2166,-2587,2221,-2548,2279,-2517,2334,-2407,2388,-2319,2446,-2245,2501,-2183,2555,-2148,2614,-2104,2668,-2197,2722,-2262,2781,-2341,2835,-2407,2890,-2377,2948,-2438,3002,-2473,3057,-2521,3115,-2561,3170,-2556,3224,-2600,3282,-2552,3337,-2517,3391,-2420,3450,-2240,3504,-2056,3558,-1846,3617,-1661,3671,-1503,3726,-1473,3784,-1437,3838,-1490,3893,-1613,3951,-1626,4006,-1701,4060,-1749,4118,-1789,4173,-1876,4227,-1894,4286,-1911,4340,-1960,4395,-1951,4453,-2012,4507,-2061,4562,-2056,4620,-2100,4675,-2175,4733,-2210,4787,-2254,4842,-2315,4900,-2346,4954,-2377,5009,-2451,5067,-2508,5122,-2565,5176,-2622,5234,-2565,5289,-2521,5343,-2469,5402,-2420,5456,-2412,5511,-2377,5569,-2341,5623,-2293,5678,-2245,5736,-2262,5791,-2271e" filled="false" stroked="true" strokeweight="1.087022pt" strokecolor="#ff00ff">
              <v:path arrowok="t"/>
              <v:stroke dashstyle="solid"/>
            </v:shape>
            <v:shape style="position:absolute;left:1497;top:-3070;width:4293;height:2681" coordorigin="1498,-3070" coordsize="4293,2681" path="m1498,-2943l1552,-3035,1606,-2631,1665,-2302,1719,-2473,1774,-2543,1832,-2679,1886,-2732,1941,-2477,1999,-2394,2054,-2385,2112,-2513,2166,-2570,2221,-2679,2279,-2749,2334,-2745,2388,-2714,2446,-2565,2501,-2341,2555,-2210,2614,-2284,2668,-2513,2722,-2763,2781,-3070,2835,-2951,2890,-2697,2948,-2429,3002,-2179,3057,-2315,3115,-2407,3170,-2583,3224,-2570,3282,-2469,3337,-2166,3391,-1574,3450,-946,3504,-389,3558,-463,3617,-858,3671,-1446,3726,-2047,3784,-2368,3838,-2517,3893,-2460,3951,-2455,4006,-2223,4060,-2135,4118,-2166,4173,-2170,4227,-2126,4286,-2355,4340,-2267,4395,-2267,4453,-2425,4507,-2355,4562,-2534,4620,-2539,4675,-2570,4733,-2473,4787,-2482,4842,-2447,4900,-2460,4954,-2425,5009,-2473,5067,-2381,5122,-2333,5176,-2337,5234,-2311,5289,-2420,5343,-2372,5402,-2359,5456,-2302,5511,-2210,5569,-2267,5623,-2306,5678,-2289,5736,-2403,5791,-2219e" filled="false" stroked="true" strokeweight="1.061948pt" strokecolor="#0000ff">
              <v:path arrowok="t"/>
              <v:stroke dashstyle="solid"/>
            </v:shape>
            <v:line style="position:absolute" from="3838,-858" to="3963,-858" stroked="true" strokeweight="1.096978pt" strokecolor="#ff00ff">
              <v:stroke dashstyle="solid"/>
            </v:line>
            <v:line style="position:absolute" from="5079,-858" to="5203,-858" stroked="true" strokeweight="1.096978pt" strokecolor="#0000ff">
              <v:stroke dashstyle="solid"/>
            </v:line>
            <w10:wrap type="none"/>
          </v:group>
        </w:pict>
      </w:r>
      <w:r>
        <w:rPr/>
        <w:pict>
          <v:group style="position:absolute;margin-left:320.208099pt;margin-top:-168.064514pt;width:215.65pt;height:150.050pt;mso-position-horizontal-relative:page;mso-position-vertical-relative:paragraph;z-index:-253097984" coordorigin="6404,-3361" coordsize="4313,3001">
            <v:shape style="position:absolute;left:1098;top:822;width:13248;height:8184" coordorigin="1098,823" coordsize="13248,8184" path="m6417,-363l10713,-363,10713,-3359,6417,-3359,6417,-363xm6417,-363l10713,-363e" filled="false" stroked="true" strokeweight=".207119pt" strokecolor="#000000">
              <v:path arrowok="t"/>
              <v:stroke dashstyle="solid"/>
            </v:shape>
            <v:shape style="position:absolute;left:6415;top:-1392;width:4291;height:405" coordorigin="6415,-1391" coordsize="4291,405" path="m6415,-1391l6415,-1391,9332,-1391,9390,-1325,9445,-1255,9499,-1189,9554,-1123,9608,-1057,9663,-987,9717,-987,9772,-987,10651,-987,10706,-987e" filled="false" stroked="true" strokeweight="1.097186pt" strokecolor="#66ff33">
              <v:path arrowok="t"/>
              <v:stroke dashstyle="solid"/>
            </v:shape>
            <v:shape style="position:absolute;left:6415;top:-2108;width:4291;height:1055" coordorigin="6415,-2107" coordsize="4291,1055" path="m6415,-1995l6425,-2002,6479,-1918,6534,-1874,6588,-1852,6647,-1800,6701,-1716,6756,-1716,6810,-1729,6865,-1694,6919,-1681,6974,-1699,7028,-1584,7083,-1633,7137,-1510,7195,-1580,7250,-1562,7304,-1540,7359,-1576,7413,-1554,7468,-1558,7522,-1532,7577,-1554,7631,-1483,7686,-1633,7744,-1663,7799,-1782,7853,-1769,7908,-1778,7962,-1791,8017,-1699,8071,-1641,8125,-1584,8180,-1580,8234,-1558,8293,-1646,8347,-1707,8402,-1839,8456,-2037,8511,-1927,8565,-1861,8620,-1931,8674,-1892,8729,-1865,8783,-1931,8842,-1901,8896,-1927,8951,-2076,9005,-2107,9059,-2024,9114,-1971,9168,-1945,9223,-1901,9277,-1905,9332,-1914,9390,-1896,9445,-1769,9499,-1668,9554,-1523,9608,-1470,9663,-1413,9717,-1378,9772,-1461,9826,-1360,9881,-1299,9939,-1334,9993,-1281,10048,-1250,10102,-1220,10157,-1198,10211,-1145,10266,-1123,10320,-1193,10375,-1132,10429,-1070,10488,-1145,10542,-1127,10597,-1053,10651,-1123,10706,-1079e" filled="false" stroked="true" strokeweight="1.091148pt" strokecolor="#ff00ff">
              <v:path arrowok="t"/>
              <v:stroke dashstyle="solid"/>
            </v:shape>
            <v:shape style="position:absolute;left:6415;top:-3057;width:4291;height:2285" coordorigin="6415,-3056" coordsize="4291,2285" path="m6415,-1761l6425,-1760,6479,-1615,6534,-1523,6588,-1474,6647,-1409,6701,-1378,6756,-1409,6810,-1457,6865,-1448,6919,-1439,6974,-1518,7028,-1422,7083,-1444,7137,-1334,7195,-1387,7250,-1312,7304,-1264,7359,-1268,7413,-1202,7468,-1228,7522,-1207,7577,-1242,7631,-1228,7686,-1435,7744,-1479,7799,-1598,7853,-1606,7908,-1615,7962,-1619,8017,-1536,8071,-1514,8125,-1439,8180,-1453,8234,-1536,8293,-1791,8347,-2041,8402,-2397,8456,-2744,8511,-2784,8565,-2744,8620,-2863,8674,-2788,8729,-2740,8783,-2792,8842,-2749,8896,-2828,8951,-3025,9005,-3056,9059,-2964,9114,-2854,9168,-2788,9223,-2766,9277,-2784,9332,-2735,9390,-2669,9445,-2472,9499,-2239,9554,-2006,9608,-1852,9663,-1712,9717,-1633,9772,-1668,9826,-1523,9881,-1400,9939,-1400,9993,-1325,10048,-1281,10102,-1233,10157,-1145,10211,-1075,10266,-996,10320,-1040,10375,-960,10429,-881,10488,-899,10542,-873,10597,-772,10651,-811,10706,-780e" filled="false" stroked="true" strokeweight="1.070594pt" strokecolor="#0000ff">
              <v:path arrowok="t"/>
              <v:stroke dashstyle="solid"/>
            </v:shape>
            <v:line style="position:absolute" from="6510,-3012" to="6635,-3012" stroked="true" strokeweight="1.098289pt" strokecolor="#66ff33">
              <v:stroke dashstyle="solid"/>
            </v:line>
            <v:line style="position:absolute" from="6510,-2705" to="6635,-2705" stroked="true" strokeweight="1.098289pt" strokecolor="#ff00ff">
              <v:stroke dashstyle="solid"/>
            </v:line>
            <v:line style="position:absolute" from="6510,-2397" to="6635,-2397" stroked="true" strokeweight="1.098289pt" strokecolor="#0000ff">
              <v:stroke dashstyle="solid"/>
            </v:line>
            <w10:wrap type="none"/>
          </v:group>
        </w:pict>
      </w:r>
      <w:r>
        <w:rPr>
          <w:sz w:val="16"/>
        </w:rPr>
        <w:t>Note: Capital services refer to the flow of productive services provided by an asset that is employed in production. Capital services reflect a (physical) quantity, not to be confused with the value, or price concept of capital. Sources: ONS and Bank of England.</w:t>
      </w:r>
    </w:p>
    <w:p>
      <w:pPr>
        <w:pStyle w:val="BodyText"/>
        <w:rPr>
          <w:sz w:val="18"/>
        </w:rPr>
      </w:pPr>
    </w:p>
    <w:p>
      <w:pPr>
        <w:pStyle w:val="BodyText"/>
        <w:spacing w:line="360" w:lineRule="auto" w:before="138"/>
        <w:ind w:left="232" w:right="183"/>
        <w:rPr>
          <w:sz w:val="13"/>
        </w:rPr>
      </w:pPr>
      <w:r>
        <w:rPr/>
        <w:t>In addition, downturns tend to make people more reluctant to switch jobs, choosing the comfort of keeping their existing job rather than risk the uncertainties that come with a change of job (e.g. probation period, loss of ‘length of service’ benefits including redundancy package). This also may hit productivity growth, by hindering the reallocation of employment from less productive to more productive firms.</w:t>
      </w:r>
      <w:r>
        <w:rPr>
          <w:position w:val="6"/>
          <w:sz w:val="13"/>
        </w:rPr>
        <w:t>13</w:t>
      </w:r>
    </w:p>
    <w:p>
      <w:pPr>
        <w:pStyle w:val="BodyText"/>
        <w:rPr>
          <w:sz w:val="30"/>
        </w:rPr>
      </w:pPr>
    </w:p>
    <w:p>
      <w:pPr>
        <w:pStyle w:val="BodyText"/>
        <w:spacing w:line="360" w:lineRule="auto" w:before="1"/>
        <w:ind w:left="232" w:right="255"/>
      </w:pPr>
      <w:r>
        <w:rPr/>
        <w:t>Downturns also may hit potential GDP through adverse effects on equilibrium rates of unemployment and/or workforce participation.</w:t>
      </w:r>
      <w:r>
        <w:rPr>
          <w:position w:val="6"/>
          <w:sz w:val="13"/>
        </w:rPr>
        <w:t>14 </w:t>
      </w:r>
      <w:r>
        <w:rPr/>
        <w:t>In the long run, the equilibrium jobless rate (ie the rate consistent with meeting the inflation target over time) is determined by structural factors, eg tax and benefit system, skills mismatch, demographics, labour market flexibility. In the shorter term, cyclical factors can have an impact as well.</w:t>
      </w:r>
      <w:r>
        <w:rPr>
          <w:position w:val="6"/>
          <w:sz w:val="13"/>
        </w:rPr>
        <w:t>15</w:t>
      </w:r>
      <w:r>
        <w:rPr>
          <w:sz w:val="13"/>
        </w:rPr>
        <w:t> </w:t>
      </w:r>
      <w:r>
        <w:rPr/>
        <w:t>For example, when unemployment is high, the workplace skills of those out of work might deteriorate, while new entrants to the workforce never acquire them. People who have been unemployed for a long period (eg over six months, over a year) tend to be less likely to find work than those unemployed for a short</w:t>
      </w:r>
      <w:r>
        <w:rPr>
          <w:spacing w:val="-32"/>
        </w:rPr>
        <w:t> </w:t>
      </w:r>
      <w:r>
        <w:rPr/>
        <w:t>period.</w:t>
      </w:r>
    </w:p>
    <w:p>
      <w:pPr>
        <w:pStyle w:val="BodyText"/>
        <w:spacing w:line="360" w:lineRule="auto"/>
        <w:ind w:left="232" w:right="150"/>
      </w:pPr>
      <w:r>
        <w:rPr/>
        <w:t>Using a standard filter, figure 10 shows the estimated path for the UK equilibrium jobless rate that best explains the observed behaviour of wages, based on a Phillips curve relationship. One could quibble about the details of such estimates, but the key point is that episodes of persistent high unemployment seem to become embedded for a period in a higher equilibrium jobless rate. Moreover, when unemployment is high and job openings are scarce, discouraged job-seekers tend to become less engaged with the workforce such</w:t>
      </w:r>
    </w:p>
    <w:p>
      <w:pPr>
        <w:pStyle w:val="BodyText"/>
        <w:spacing w:before="11"/>
        <w:rPr>
          <w:sz w:val="17"/>
        </w:rPr>
      </w:pPr>
      <w:r>
        <w:rPr/>
        <w:pict>
          <v:shape style="position:absolute;margin-left:56.639999pt;margin-top:12.545418pt;width:144.050pt;height:.1pt;mso-position-horizontal-relative:page;mso-position-vertical-relative:paragraph;z-index:-251613184;mso-wrap-distance-left:0;mso-wrap-distance-right:0" coordorigin="1133,251" coordsize="2881,0" path="m1133,251l4014,251e" filled="false" stroked="true" strokeweight=".47998pt" strokecolor="#000000">
            <v:path arrowok="t"/>
            <v:stroke dashstyle="solid"/>
            <w10:wrap type="topAndBottom"/>
          </v:shape>
        </w:pict>
      </w:r>
    </w:p>
    <w:p>
      <w:pPr>
        <w:spacing w:before="50"/>
        <w:ind w:left="232" w:right="183" w:firstLine="0"/>
        <w:jc w:val="left"/>
        <w:rPr>
          <w:sz w:val="16"/>
        </w:rPr>
      </w:pPr>
      <w:r>
        <w:rPr>
          <w:position w:val="6"/>
          <w:sz w:val="10"/>
        </w:rPr>
        <w:t>12 </w:t>
      </w:r>
      <w:r>
        <w:rPr>
          <w:sz w:val="16"/>
        </w:rPr>
        <w:t>For example, the April DMP survey suggested that on average firms expected their investment spending to fall by about 50% in Q2. The Quarterly CBI Industrial Trends survey showed investment intentions among manufacturing firms at a record low.</w:t>
      </w:r>
    </w:p>
    <w:p>
      <w:pPr>
        <w:spacing w:line="182" w:lineRule="exact" w:before="0"/>
        <w:ind w:left="232" w:right="0" w:firstLine="0"/>
        <w:jc w:val="left"/>
        <w:rPr>
          <w:sz w:val="16"/>
        </w:rPr>
      </w:pPr>
      <w:r>
        <w:rPr>
          <w:position w:val="6"/>
          <w:sz w:val="10"/>
        </w:rPr>
        <w:t>13 </w:t>
      </w:r>
      <w:r>
        <w:rPr>
          <w:sz w:val="16"/>
        </w:rPr>
        <w:t>See Haltiwanger, Hyatt and McEntarfer (2017), and Haldane (2019).</w:t>
      </w:r>
    </w:p>
    <w:p>
      <w:pPr>
        <w:spacing w:line="184" w:lineRule="exact" w:before="0"/>
        <w:ind w:left="232" w:right="0" w:firstLine="0"/>
        <w:jc w:val="left"/>
        <w:rPr>
          <w:sz w:val="16"/>
        </w:rPr>
      </w:pPr>
      <w:r>
        <w:rPr>
          <w:position w:val="6"/>
          <w:sz w:val="10"/>
        </w:rPr>
        <w:t>14 </w:t>
      </w:r>
      <w:r>
        <w:rPr>
          <w:sz w:val="16"/>
        </w:rPr>
        <w:t>See for example, Blanchard and Summers (1986).</w:t>
      </w:r>
    </w:p>
    <w:p>
      <w:pPr>
        <w:spacing w:line="185" w:lineRule="exact" w:before="0"/>
        <w:ind w:left="232" w:right="0" w:firstLine="0"/>
        <w:jc w:val="left"/>
        <w:rPr>
          <w:sz w:val="16"/>
        </w:rPr>
      </w:pPr>
      <w:r>
        <w:rPr>
          <w:position w:val="6"/>
          <w:sz w:val="10"/>
        </w:rPr>
        <w:t>15 </w:t>
      </w:r>
      <w:r>
        <w:rPr>
          <w:sz w:val="16"/>
        </w:rPr>
        <w:t>See Gordon (2013), Berry </w:t>
      </w:r>
      <w:r>
        <w:rPr>
          <w:i/>
          <w:sz w:val="16"/>
        </w:rPr>
        <w:t>et al. </w:t>
      </w:r>
      <w:r>
        <w:rPr>
          <w:sz w:val="16"/>
        </w:rPr>
        <w:t>(2015), and Section 3 (pages 19-27) of BoE </w:t>
      </w:r>
      <w:r>
        <w:rPr>
          <w:i/>
          <w:sz w:val="16"/>
        </w:rPr>
        <w:t>Inflation Report </w:t>
      </w:r>
      <w:r>
        <w:rPr>
          <w:sz w:val="16"/>
        </w:rPr>
        <w:t>February 2018.</w:t>
      </w:r>
    </w:p>
    <w:p>
      <w:pPr>
        <w:spacing w:after="0" w:line="185" w:lineRule="exact"/>
        <w:jc w:val="left"/>
        <w:rPr>
          <w:sz w:val="16"/>
        </w:rPr>
        <w:sectPr>
          <w:footerReference w:type="default" r:id="rId17"/>
          <w:pgSz w:w="11910" w:h="16840"/>
          <w:pgMar w:footer="1338" w:header="0" w:top="1520" w:bottom="1520" w:left="900" w:right="980"/>
        </w:sectPr>
      </w:pPr>
    </w:p>
    <w:p>
      <w:pPr>
        <w:pStyle w:val="BodyText"/>
        <w:spacing w:line="360" w:lineRule="auto" w:before="81"/>
        <w:ind w:left="232" w:right="1175"/>
        <w:jc w:val="both"/>
      </w:pPr>
      <w:r>
        <w:rPr/>
        <w:t>that participation falls, especially among younger and older age groups.</w:t>
      </w:r>
      <w:r>
        <w:rPr>
          <w:position w:val="6"/>
          <w:sz w:val="13"/>
        </w:rPr>
        <w:t>16 </w:t>
      </w:r>
      <w:r>
        <w:rPr/>
        <w:t>A lengthy period of high unemployment would tend to exacerbate these adverse effects on equilibrium unemployment and participation, as well as leading to increased social deprivation.</w:t>
      </w:r>
    </w:p>
    <w:p>
      <w:pPr>
        <w:pStyle w:val="BodyText"/>
        <w:rPr>
          <w:sz w:val="30"/>
        </w:rPr>
      </w:pPr>
    </w:p>
    <w:p>
      <w:pPr>
        <w:pStyle w:val="BodyText"/>
        <w:spacing w:line="360" w:lineRule="auto"/>
        <w:ind w:left="232" w:right="183"/>
      </w:pPr>
      <w:r>
        <w:rPr/>
        <w:t>The extensive range of government measures taken during the crisis may help limit these scarring effects. Even so, in the May MPR scenario, these effects imply that the level of potential GDP three years ahead will be 1%-2% lower than in the January forecast. In my view, that would be a relatively benign outcome.</w:t>
      </w:r>
    </w:p>
    <w:p>
      <w:pPr>
        <w:pStyle w:val="BodyText"/>
        <w:spacing w:line="357" w:lineRule="auto"/>
        <w:ind w:left="232" w:right="139"/>
        <w:rPr>
          <w:sz w:val="13"/>
        </w:rPr>
      </w:pPr>
      <w:r>
        <w:rPr/>
        <w:t>Research based on prior recessions suggests that scarring effects could be much larger, especially given the likely scale of the drop in GDP and employment in Q1 and Q2.</w:t>
      </w:r>
      <w:r>
        <w:rPr>
          <w:position w:val="6"/>
          <w:sz w:val="13"/>
        </w:rPr>
        <w:t>17</w:t>
      </w:r>
    </w:p>
    <w:p>
      <w:pPr>
        <w:pStyle w:val="BodyText"/>
        <w:spacing w:before="4"/>
        <w:rPr>
          <w:sz w:val="30"/>
        </w:rPr>
      </w:pPr>
    </w:p>
    <w:p>
      <w:pPr>
        <w:pStyle w:val="BodyText"/>
        <w:spacing w:line="360" w:lineRule="auto"/>
        <w:ind w:left="232" w:right="162"/>
      </w:pPr>
      <w:r>
        <w:rPr/>
        <w:t>The likelihood of more substantial scarring on potential growth would probably be greater with a relatively slow recovery.</w:t>
      </w:r>
      <w:r>
        <w:rPr>
          <w:position w:val="6"/>
          <w:sz w:val="13"/>
        </w:rPr>
        <w:t>18 </w:t>
      </w:r>
      <w:r>
        <w:rPr/>
        <w:t>A slow recovery would leave more people out of work for longer, increasing risks that workplace skills are eroded such that people find it harder to get back into work or drift out of the workforce. It would increase financial pressures on companies, with a longer period of weak cashflow and rising debt. This would increase the likelihood of cutbacks to business investment, training and R&amp;D, as well as the prospect of more business failures. These financial pressures would also make it less likely </w:t>
      </w:r>
      <w:r>
        <w:rPr>
          <w:spacing w:val="2"/>
        </w:rPr>
        <w:t>that </w:t>
      </w:r>
      <w:r>
        <w:rPr/>
        <w:t>firms will retain existing staff, and bring back those on furlough. Thus far, the cost of the furlough programme has</w:t>
      </w:r>
      <w:r>
        <w:rPr>
          <w:spacing w:val="-32"/>
        </w:rPr>
        <w:t> </w:t>
      </w:r>
      <w:r>
        <w:rPr/>
        <w:t>been borne by the government. But decisions for firms on whether to retain staff will come into much sharper focus in coming months as the costs of the furlough scheme start to fall more directly on employers. Moreover, it must be noted that other government support measures for businesses such as the BBL and CBILs,</w:t>
      </w:r>
      <w:r>
        <w:rPr>
          <w:spacing w:val="-35"/>
        </w:rPr>
        <w:t> </w:t>
      </w:r>
      <w:r>
        <w:rPr/>
        <w:t>valuable though they are, leave businesses with higher debts. The aim that support measures can allow households and businesses to bridge through the downturn will become less viable if recovery proves</w:t>
      </w:r>
      <w:r>
        <w:rPr>
          <w:spacing w:val="-21"/>
        </w:rPr>
        <w:t> </w:t>
      </w:r>
      <w:r>
        <w:rPr/>
        <w:t>disappointing.</w:t>
      </w:r>
    </w:p>
    <w:p>
      <w:pPr>
        <w:pStyle w:val="BodyText"/>
        <w:spacing w:before="2"/>
        <w:rPr>
          <w:sz w:val="30"/>
        </w:rPr>
      </w:pPr>
    </w:p>
    <w:p>
      <w:pPr>
        <w:pStyle w:val="BodyText"/>
        <w:spacing w:line="360" w:lineRule="auto"/>
        <w:ind w:left="232" w:right="161"/>
        <w:rPr>
          <w:sz w:val="13"/>
        </w:rPr>
      </w:pPr>
      <w:r>
        <w:rPr/>
        <w:t>As a result, the more that uncertainty and caution weigh on spending, the greater the likely extent of persistent scarring on potential GDP through high unemployment and business failures. In turn, the greater the loss of potential GDP, the greater the likelihood that consumers and businesses downgrade expectations for future income gains and hence cut spending. If unchecked, there are risks of a vicious circle, whereby the economy gets stuck in a self-feeding loop of weak activity, pessimistic expectations and low investment.</w:t>
      </w:r>
      <w:r>
        <w:rPr>
          <w:position w:val="6"/>
          <w:sz w:val="13"/>
        </w:rPr>
        <w:t>19</w:t>
      </w:r>
    </w:p>
    <w:p>
      <w:pPr>
        <w:pStyle w:val="BodyText"/>
        <w:spacing w:before="8"/>
        <w:rPr>
          <w:sz w:val="29"/>
        </w:rPr>
      </w:pPr>
    </w:p>
    <w:p>
      <w:pPr>
        <w:pStyle w:val="BodyText"/>
        <w:spacing w:line="362" w:lineRule="auto"/>
        <w:ind w:left="232" w:right="351"/>
      </w:pPr>
      <w:r>
        <w:rPr/>
        <w:t>What about risks on the other side, that </w:t>
      </w:r>
      <w:r>
        <w:rPr>
          <w:b/>
        </w:rPr>
        <w:t>inflation </w:t>
      </w:r>
      <w:r>
        <w:rPr/>
        <w:t>might pick up significantly even while output is well below its pre-Covid trend?</w:t>
      </w:r>
    </w:p>
    <w:p>
      <w:pPr>
        <w:pStyle w:val="BodyText"/>
        <w:spacing w:before="9"/>
        <w:rPr>
          <w:sz w:val="29"/>
        </w:rPr>
      </w:pPr>
    </w:p>
    <w:p>
      <w:pPr>
        <w:pStyle w:val="BodyText"/>
        <w:spacing w:line="360" w:lineRule="auto"/>
        <w:ind w:left="232" w:right="183"/>
      </w:pPr>
      <w:r>
        <w:rPr/>
        <w:pict>
          <v:shape style="position:absolute;margin-left:56.639999pt;margin-top:56.929893pt;width:144.050pt;height:.1pt;mso-position-horizontal-relative:page;mso-position-vertical-relative:paragraph;z-index:-251610112;mso-wrap-distance-left:0;mso-wrap-distance-right:0" coordorigin="1133,1139" coordsize="2881,0" path="m1133,1139l4014,1139e" filled="false" stroked="true" strokeweight=".47998pt" strokecolor="#000000">
            <v:path arrowok="t"/>
            <v:stroke dashstyle="solid"/>
            <w10:wrap type="topAndBottom"/>
          </v:shape>
        </w:pict>
      </w:r>
      <w:r>
        <w:rPr/>
        <w:t>So far, this seems a pretty negligible risk. The crisis has led to lower inflation, both here and overseas. Oil prices have fallen and a range of other short-term guides point to lower inflation. For example, the ONS’s BICS results suggest that more firms have been cutting selling prices than raising them in recent weeks, not</w:t>
      </w:r>
    </w:p>
    <w:p>
      <w:pPr>
        <w:spacing w:line="186" w:lineRule="exact" w:before="50"/>
        <w:ind w:left="232" w:right="0" w:firstLine="0"/>
        <w:jc w:val="left"/>
        <w:rPr>
          <w:sz w:val="16"/>
        </w:rPr>
      </w:pPr>
      <w:r>
        <w:rPr>
          <w:position w:val="6"/>
          <w:sz w:val="10"/>
        </w:rPr>
        <w:t>16 </w:t>
      </w:r>
      <w:r>
        <w:rPr>
          <w:sz w:val="16"/>
        </w:rPr>
        <w:t>See Duval, Eris and Furceri (2010).</w:t>
      </w:r>
    </w:p>
    <w:p>
      <w:pPr>
        <w:spacing w:line="184" w:lineRule="exact" w:before="0"/>
        <w:ind w:left="232" w:right="0" w:firstLine="0"/>
        <w:jc w:val="left"/>
        <w:rPr>
          <w:sz w:val="16"/>
        </w:rPr>
      </w:pPr>
      <w:r>
        <w:rPr>
          <w:position w:val="6"/>
          <w:sz w:val="10"/>
        </w:rPr>
        <w:t>17 </w:t>
      </w:r>
      <w:r>
        <w:rPr>
          <w:sz w:val="16"/>
        </w:rPr>
        <w:t>See Haltmaier (2012) and Ball (2014).</w:t>
      </w:r>
    </w:p>
    <w:p>
      <w:pPr>
        <w:spacing w:line="240" w:lineRule="auto" w:before="0"/>
        <w:ind w:left="232" w:right="0" w:firstLine="0"/>
        <w:jc w:val="left"/>
        <w:rPr>
          <w:sz w:val="16"/>
        </w:rPr>
      </w:pPr>
      <w:r>
        <w:rPr>
          <w:position w:val="6"/>
          <w:sz w:val="10"/>
        </w:rPr>
        <w:t>18 </w:t>
      </w:r>
      <w:r>
        <w:rPr>
          <w:sz w:val="16"/>
        </w:rPr>
        <w:t>For example, simulations using the BoE’s COMPASS model suggest that a sustained 1% drop in the level of real GDP (triggered by a generic adverse demand shock) cuts potential output of by ⅓% through lower workforce participation and capital stock growth. If the demand shock is all due to lower investment, then the drop in potential GDP would be roughly ½% of GDP.</w:t>
      </w:r>
    </w:p>
    <w:p>
      <w:pPr>
        <w:spacing w:line="184" w:lineRule="exact" w:before="0"/>
        <w:ind w:left="232" w:right="0" w:firstLine="0"/>
        <w:jc w:val="left"/>
        <w:rPr>
          <w:sz w:val="16"/>
        </w:rPr>
      </w:pPr>
      <w:r>
        <w:rPr>
          <w:position w:val="6"/>
          <w:sz w:val="10"/>
        </w:rPr>
        <w:t>19 </w:t>
      </w:r>
      <w:r>
        <w:rPr>
          <w:sz w:val="16"/>
        </w:rPr>
        <w:t>See Acharya </w:t>
      </w:r>
      <w:r>
        <w:rPr>
          <w:i/>
          <w:sz w:val="16"/>
        </w:rPr>
        <w:t>et al. </w:t>
      </w:r>
      <w:r>
        <w:rPr>
          <w:sz w:val="16"/>
        </w:rPr>
        <w:t>(2018) and Benigno and Fornaro (2018).</w:t>
      </w:r>
    </w:p>
    <w:p>
      <w:pPr>
        <w:spacing w:after="0" w:line="184" w:lineRule="exact"/>
        <w:jc w:val="left"/>
        <w:rPr>
          <w:sz w:val="16"/>
        </w:rPr>
        <w:sectPr>
          <w:footerReference w:type="default" r:id="rId18"/>
          <w:pgSz w:w="11910" w:h="16840"/>
          <w:pgMar w:footer="1338" w:header="0" w:top="1520" w:bottom="1520" w:left="900" w:right="980"/>
        </w:sectPr>
      </w:pPr>
    </w:p>
    <w:p>
      <w:pPr>
        <w:pStyle w:val="BodyText"/>
        <w:spacing w:line="360" w:lineRule="auto" w:before="81"/>
        <w:ind w:left="232" w:right="183"/>
      </w:pPr>
      <w:r>
        <w:rPr/>
        <w:pict>
          <v:group style="position:absolute;margin-left:80.234085pt;margin-top:130.032776pt;width:208.65pt;height:114.45pt;mso-position-horizontal-relative:page;mso-position-vertical-relative:paragraph;z-index:-253094912" coordorigin="1605,2601" coordsize="4173,2289">
            <v:rect style="position:absolute;left:1606;top:2602;width:4168;height:2285" filled="false" stroked="true" strokeweight=".213865pt" strokecolor="#000000">
              <v:stroke dashstyle="solid"/>
            </v:rect>
            <v:rect style="position:absolute;left:1637;top:3582;width:59;height:40" filled="true" fillcolor="#66ff33" stroked="false">
              <v:fill type="solid"/>
            </v:rect>
            <v:line style="position:absolute" from="1965,3582" to="1965,4470" stroked="true" strokeweight="3.113287pt" strokecolor="#66ff33">
              <v:stroke dashstyle="solid"/>
            </v:line>
            <v:line style="position:absolute" from="2263,3582" to="2263,3758" stroked="true" strokeweight="2.918707pt" strokecolor="#66ff33">
              <v:stroke dashstyle="solid"/>
            </v:line>
            <v:rect style="position:absolute;left:2529;top:3569;width:63;height:14" filled="true" fillcolor="#66ff33" stroked="false">
              <v:fill type="solid"/>
            </v:rect>
            <v:line style="position:absolute" from="2858,3582" to="2858,4589" stroked="true" strokeweight="2.918707pt" strokecolor="#66ff33">
              <v:stroke dashstyle="solid"/>
            </v:line>
            <v:line style="position:absolute" from="3154,3235" to="3154,3582" stroked="true" strokeweight="2.918707pt" strokecolor="#66ff33">
              <v:stroke dashstyle="solid"/>
            </v:line>
            <v:line style="position:absolute" from="3453,3582" to="3453,4180" stroked="true" strokeweight="2.918707pt" strokecolor="#66ff33">
              <v:stroke dashstyle="solid"/>
            </v:line>
            <v:line style="position:absolute" from="4049,3582" to="4049,4013" stroked="true" strokeweight="2.918707pt" strokecolor="#66ff33">
              <v:stroke dashstyle="solid"/>
            </v:line>
            <v:line style="position:absolute" from="4345,3582" to="4345,3973" stroked="true" strokeweight="2.918707pt" strokecolor="#66ff33">
              <v:stroke dashstyle="solid"/>
            </v:line>
            <v:line style="position:absolute" from="4642,3582" to="4642,3802" stroked="true" strokeweight="3.113287pt" strokecolor="#66ff33">
              <v:stroke dashstyle="solid"/>
            </v:line>
            <v:rect style="position:absolute;left:4910;top:3477;width:59;height:106" filled="true" fillcolor="#66ff33" stroked="false">
              <v:fill type="solid"/>
            </v:rect>
            <v:line style="position:absolute" from="5238,3582" to="5238,4110" stroked="true" strokeweight="3.113287pt" strokecolor="#66ff33">
              <v:stroke dashstyle="solid"/>
            </v:line>
            <v:line style="position:absolute" from="5535,3582" to="5535,3855" stroked="true" strokeweight="2.918707pt" strokecolor="#66ff33">
              <v:stroke dashstyle="solid"/>
            </v:line>
            <v:shape style="position:absolute;left:1554;top:7769;width:12108;height:3696" coordorigin="1554,7770" coordsize="12108,3696" path="m1638,3622l1696,3622,1696,3582,1638,3582,1638,3622xm1934,4470l1996,4470,1996,3582,1934,3582,1934,4470xm2233,3758l2292,3758,2292,3582,2233,3582,2233,3758xm2529,3569l2591,3569,2591,3582,2529,3582,2529,3569xm2829,4589l2887,4589,2887,3582,2829,3582,2829,4589xm3125,3235l3183,3235,3183,3582,3125,3582,3125,3235xm3424,4180l3483,4180,3483,3582,3424,3582,3424,4180xm4020,4013l4078,4013,4078,3582,4020,3582,4020,4013xm4315,3973l4374,3973,4374,3582,4315,3582,4315,3973xm4611,3802l4673,3802,4673,3582,4611,3582,4611,3802xm4911,3477l4969,3477,4969,3582,4911,3582,4911,3477xm5207,4110l5269,4110,5269,3582,5207,3582,5207,4110xm5506,3855l5565,3855,5565,3582,5506,3582,5506,3855xe" filled="false" stroked="true" strokeweight=".207119pt" strokecolor="#66ff33">
              <v:path arrowok="t"/>
              <v:stroke dashstyle="solid"/>
            </v:shape>
            <v:rect style="position:absolute;left:1696;top:3582;width:63;height:53" filled="true" fillcolor="#ff00ff" stroked="false">
              <v:fill type="solid"/>
            </v:rect>
            <v:line style="position:absolute" from="2025,3582" to="2025,4162" stroked="true" strokeweight="2.918707pt" strokecolor="#ff00ff">
              <v:stroke dashstyle="solid"/>
            </v:line>
            <v:shape style="position:absolute;left:2291;top:3542;width:359;height:40" coordorigin="2292,3543" coordsize="359,40" path="m2350,3543l2292,3543,2292,3582,2350,3582,2350,3543m2650,3547l2591,3547,2591,3582,2650,3582,2650,3547e" filled="true" fillcolor="#ff00ff" stroked="false">
              <v:path arrowok="t"/>
              <v:fill type="solid"/>
            </v:shape>
            <v:line style="position:absolute" from="2916,3582" to="2916,4321" stroked="true" strokeweight="2.918707pt" strokecolor="#ff00ff">
              <v:stroke dashstyle="solid"/>
            </v:line>
            <v:rect style="position:absolute;left:3182;top:3547;width:63;height:36" filled="true" fillcolor="#ff00ff" stroked="false">
              <v:fill type="solid"/>
            </v:rect>
            <v:line style="position:absolute" from="3512,3582" to="3512,4325" stroked="true" strokeweight="2.918707pt" strokecolor="#ff00ff">
              <v:stroke dashstyle="solid"/>
            </v:line>
            <v:line style="position:absolute" from="4107,3582" to="4107,3771" stroked="true" strokeweight="2.918707pt" strokecolor="#ff00ff">
              <v:stroke dashstyle="solid"/>
            </v:line>
            <v:line style="position:absolute" from="4405,3582" to="4405,3824" stroked="true" strokeweight="3.113287pt" strokecolor="#ff00ff">
              <v:stroke dashstyle="solid"/>
            </v:line>
            <v:shape style="position:absolute;left:4702;top:3582;width:596;height:488" coordorigin="4703,3582" coordsize="596,488" path="m4703,3582l4703,4070m4998,3582l4998,3890m5298,3582l5298,3763e" filled="false" stroked="true" strokeweight="2.918707pt" strokecolor="#ff00ff">
              <v:path arrowok="t"/>
              <v:stroke dashstyle="solid"/>
            </v:shape>
            <v:line style="position:absolute" from="5594,3582" to="5594,3749" stroked="true" strokeweight="2.918707pt" strokecolor="#ff00ff">
              <v:stroke dashstyle="solid"/>
            </v:line>
            <v:shape style="position:absolute;left:1734;top:8609;width:12108;height:2136" coordorigin="1734,8610" coordsize="12108,2136" path="m1696,3635l1759,3635,1759,3582,1696,3582,1696,3635xm1996,4162l2054,4162,2054,3582,1996,3582,1996,4162xm2292,3543l2350,3543,2350,3582,2292,3582,2292,3543xm2591,3547l2650,3547,2650,3582,2591,3582,2591,3547xm2887,4321l2946,4321,2946,3582,2887,3582,2887,4321xm3183,3547l3245,3547,3245,3582,3183,3582,3183,3547xm3483,4325l3541,4325,3541,3582,3483,3582,3483,4325xm4078,3771l4136,3771,4136,3582,4078,3582,4078,3771xm4374,3824l4436,3824,4436,3582,4374,3582,4374,3824xm4673,4070l4732,4070,4732,3582,4673,3582,4673,4070xm4969,3890l5028,3890,5028,3582,4969,3582,4969,3890xm5269,3763l5327,3763,5327,3582,5269,3582,5269,3763xm5565,3749l5623,3749,5623,3582,5565,3582,5565,3749xe" filled="false" stroked="true" strokeweight=".207119pt" strokecolor="#ff00ff">
              <v:path arrowok="t"/>
              <v:stroke dashstyle="solid"/>
            </v:shape>
            <v:shape style="position:absolute;left:1758;top:3582;width:355;height:132" coordorigin="1759,3582" coordsize="355,132" path="m1817,3582l1759,3582,1759,3600,1817,3600,1817,3582m2113,3582l2054,3582,2054,3714,2113,3714,2113,3582e" filled="true" fillcolor="#ffc000" stroked="false">
              <v:path arrowok="t"/>
              <v:fill type="solid"/>
            </v:shape>
            <v:line style="position:absolute" from="2381,3372" to="2381,3582" stroked="true" strokeweight="3.113287pt" strokecolor="#ffc000">
              <v:stroke dashstyle="solid"/>
            </v:line>
            <v:rect style="position:absolute;left:2649;top:3534;width:59;height:49" filled="true" fillcolor="#ffc000" stroked="false">
              <v:fill type="solid"/>
            </v:rect>
            <v:line style="position:absolute" from="2977,3582" to="2977,4712" stroked="true" strokeweight="3.113287pt" strokecolor="#ffc000">
              <v:stroke dashstyle="solid"/>
            </v:line>
            <v:line style="position:absolute" from="3274,3398" to="3274,3582" stroked="true" strokeweight="2.918707pt" strokecolor="#ffc000">
              <v:stroke dashstyle="solid"/>
            </v:line>
            <v:line style="position:absolute" from="3572,3582" to="3572,4553" stroked="true" strokeweight="3.113287pt" strokecolor="#ffc000">
              <v:stroke dashstyle="solid"/>
            </v:line>
            <v:shape style="position:absolute;left:4165;top:3582;width:596;height:528" coordorigin="4166,3582" coordsize="596,528" path="m4166,3582l4166,3960m4465,3582l4465,3785m4761,3582l4761,4110e" filled="false" stroked="true" strokeweight="2.918707pt" strokecolor="#ffc000">
              <v:path arrowok="t"/>
              <v:stroke dashstyle="solid"/>
            </v:shape>
            <v:line style="position:absolute" from="5059,3582" to="5059,4053" stroked="true" strokeweight="3.113287pt" strokecolor="#ffc000">
              <v:stroke dashstyle="solid"/>
            </v:line>
            <v:line style="position:absolute" from="5356,3582" to="5356,4690" stroked="true" strokeweight="2.918707pt" strokecolor="#ffc000">
              <v:stroke dashstyle="solid"/>
            </v:line>
            <v:line style="position:absolute" from="5654,3582" to="5654,3771" stroked="true" strokeweight="3.113287pt" strokecolor="#ffc000">
              <v:stroke dashstyle="solid"/>
            </v:line>
            <v:shape style="position:absolute;left:1926;top:8141;width:12108;height:3660" coordorigin="1926,8142" coordsize="12108,3660" path="m1759,3600l1817,3600,1817,3582,1759,3582,1759,3600xm2054,3714l2113,3714,2113,3582,2054,3582,2054,3714xm2350,3372l2412,3372,2412,3582,2350,3582,2350,3372xm2650,3534l2708,3534,2708,3582,2650,3582,2650,3534xm2946,4712l3008,4712,3008,3582,2946,3582,2946,4712xm3245,3398l3304,3398,3304,3582,3245,3582,3245,3398xm3541,4553l3603,4553,3603,3582,3541,3582,3541,4553xm4136,3960l4195,3960,4195,3582,4136,3582,4136,3960xm4436,3785l4494,3785,4494,3582,4436,3582,4436,3785xm4732,4110l4790,4110,4790,3582,4732,3582,4732,4110xm5028,4053l5090,4053,5090,3582,5028,3582,5028,4053xm5327,4690l5386,4690,5386,3582,5327,3582,5327,4690xm5623,3771l5685,3771,5685,3582,5623,3582,5623,3771xe" filled="false" stroked="true" strokeweight=".207119pt" strokecolor="#ffc000">
              <v:path arrowok="t"/>
              <v:stroke dashstyle="solid"/>
            </v:shape>
            <v:shape style="position:absolute;left:1816;top:3477;width:1250;height:172" coordorigin="1817,3477" coordsize="1250,172" path="m1875,3582l1817,3582,1817,3648,1875,3648,1875,3582m2471,3477l2412,3477,2412,3582,2471,3582,2471,3477m2767,3582l2708,3582,2708,3622,2767,3622,2767,3582m3066,3582l3008,3582,3008,3609,3066,3609,3066,3582e" filled="true" fillcolor="#0000ff" stroked="false">
              <v:path arrowok="t"/>
              <v:fill type="solid"/>
            </v:shape>
            <v:line style="position:absolute" from="3333,3582" to="3333,4509" stroked="true" strokeweight="2.918707pt" strokecolor="#0000ff">
              <v:stroke dashstyle="solid"/>
            </v:line>
            <v:line style="position:absolute" from="3632,3582" to="3632,4325" stroked="true" strokeweight="2.918707pt" strokecolor="#0000ff">
              <v:stroke dashstyle="solid"/>
            </v:line>
            <v:line style="position:absolute" from="3928,3582" to="3928,4325" stroked="true" strokeweight="2.918707pt" strokecolor="#0000ff">
              <v:stroke dashstyle="solid"/>
            </v:line>
            <v:line style="position:absolute" from="4226,3582" to="4226,3815" stroked="true" strokeweight="3.113287pt" strokecolor="#0000ff">
              <v:stroke dashstyle="solid"/>
            </v:line>
            <v:rect style="position:absolute;left:4494;top:3582;width:59;height:44" filled="true" fillcolor="#0000ff" stroked="false">
              <v:fill type="solid"/>
            </v:rect>
            <v:line style="position:absolute" from="4821,3582" to="4821,3824" stroked="true" strokeweight="3.113287pt" strokecolor="#0000ff">
              <v:stroke dashstyle="solid"/>
            </v:line>
            <v:shape style="position:absolute;left:5414;top:3582;width:300;height:607" coordorigin="5415,3582" coordsize="300,607" path="m5415,3582l5415,4189m5714,3582l5714,3732e" filled="false" stroked="true" strokeweight="2.918707pt" strokecolor="#0000ff">
              <v:path arrowok="t"/>
              <v:stroke dashstyle="solid"/>
            </v:shape>
            <v:shape style="position:absolute;left:2106;top:8429;width:12108;height:2820" coordorigin="2106,8430" coordsize="12108,2820" path="m1817,3648l1875,3648,1875,3582,1817,3582,1817,3648xm2412,3477l2471,3477,2471,3582,2412,3582,2412,3477xm2708,3622l2767,3622,2767,3582,2708,3582,2708,3622xm3008,3609l3066,3609,3066,3582,3008,3582,3008,3609xm3304,4509l3362,4509,3362,3582,3304,3582,3304,4509xm3603,4325l3662,4325,3662,3582,3603,3582,3603,4325xm3899,4325l3957,4325,3957,3582,3899,3582,3899,4325xm4195,3815l4257,3815,4257,3582,4195,3582,4195,3815xm4494,3626l4553,3626,4553,3582,4494,3582,4494,3626xm4790,3824l4852,3824,4852,3582,4790,3582,4790,3824xm5386,4189l5444,4189,5444,3582,5386,3582,5386,4189xm5685,3732l5744,3732,5744,3582,5685,3582,5685,3732xe" filled="false" stroked="true" strokeweight=".207119pt" strokecolor="#0000ff">
              <v:path arrowok="t"/>
              <v:stroke dashstyle="solid"/>
            </v:shape>
            <v:line style="position:absolute" from="1607,3582" to="5775,3582" stroked="true" strokeweight=".219658pt" strokecolor="#000000">
              <v:stroke dashstyle="solid"/>
            </v:line>
            <v:rect style="position:absolute;left:2151;top:2765;width:86;height:97" filled="true" fillcolor="#66ff33" stroked="false">
              <v:fill type="solid"/>
            </v:rect>
            <v:rect style="position:absolute;left:2151;top:2765;width:86;height:97" filled="false" stroked="true" strokeweight=".205607pt" strokecolor="#66ff33">
              <v:stroke dashstyle="solid"/>
            </v:rect>
            <v:rect style="position:absolute;left:3930;top:2765;width:86;height:97" filled="true" fillcolor="#ff00ff" stroked="false">
              <v:fill type="solid"/>
            </v:rect>
            <v:rect style="position:absolute;left:3930;top:2765;width:86;height:97" filled="false" stroked="true" strokeweight=".205607pt" strokecolor="#ff00ff">
              <v:stroke dashstyle="solid"/>
            </v:rect>
            <v:rect style="position:absolute;left:2151;top:3015;width:86;height:97" filled="true" fillcolor="#ffc000" stroked="false">
              <v:fill type="solid"/>
            </v:rect>
            <v:rect style="position:absolute;left:2151;top:3015;width:86;height:97" filled="false" stroked="true" strokeweight=".205607pt" strokecolor="#ffc000">
              <v:stroke dashstyle="solid"/>
            </v:rect>
            <v:rect style="position:absolute;left:3930;top:3015;width:86;height:97" filled="true" fillcolor="#0000ff" stroked="false">
              <v:fill type="solid"/>
            </v:rect>
            <v:rect style="position:absolute;left:3930;top:3015;width:86;height:97" filled="false" stroked="true" strokeweight=".205607pt" strokecolor="#0000ff">
              <v:stroke dashstyle="solid"/>
            </v:rect>
            <w10:wrap type="none"/>
          </v:group>
        </w:pict>
      </w:r>
      <w:r>
        <w:rPr/>
        <w:t>just in aggregate but across most sectors of the economy (see figure 11). Business surveys show a sizeable balance of both manufacturing and service sector firms expect to cut their selling prices in coming months (see figure 12). CPI inflation fell to just 0.8% YoY in April and, as noted above, the MPC’s scenario shows headline CPI inflation falling to about zero around yearend.</w:t>
      </w:r>
    </w:p>
    <w:p>
      <w:pPr>
        <w:pStyle w:val="BodyText"/>
      </w:pPr>
    </w:p>
    <w:p>
      <w:pPr>
        <w:pStyle w:val="BodyText"/>
        <w:spacing w:before="3" w:after="1"/>
        <w:rPr>
          <w:sz w:val="10"/>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9"/>
        <w:gridCol w:w="101"/>
        <w:gridCol w:w="187"/>
        <w:gridCol w:w="4740"/>
      </w:tblGrid>
      <w:tr>
        <w:trPr>
          <w:trHeight w:val="685" w:hRule="atLeast"/>
        </w:trPr>
        <w:tc>
          <w:tcPr>
            <w:tcW w:w="4639" w:type="dxa"/>
            <w:tcBorders>
              <w:bottom w:val="single" w:sz="2" w:space="0" w:color="D9D9D9"/>
            </w:tcBorders>
          </w:tcPr>
          <w:p>
            <w:pPr>
              <w:pStyle w:val="TableParagraph"/>
              <w:spacing w:line="223" w:lineRule="exact"/>
              <w:ind w:left="-2"/>
              <w:rPr>
                <w:rFonts w:ascii="Arial" w:hAnsi="Arial"/>
                <w:b/>
                <w:sz w:val="20"/>
              </w:rPr>
            </w:pPr>
            <w:r>
              <w:rPr>
                <w:rFonts w:ascii="Arial" w:hAnsi="Arial"/>
                <w:b/>
                <w:sz w:val="20"/>
              </w:rPr>
              <w:t>Figure 11. UK – Net Balance of Firms</w:t>
            </w:r>
            <w:r>
              <w:rPr>
                <w:rFonts w:ascii="Arial" w:hAnsi="Arial"/>
                <w:b/>
                <w:spacing w:val="-13"/>
                <w:sz w:val="20"/>
              </w:rPr>
              <w:t> </w:t>
            </w:r>
            <w:r>
              <w:rPr>
                <w:rFonts w:ascii="Arial" w:hAnsi="Arial"/>
                <w:b/>
                <w:sz w:val="20"/>
              </w:rPr>
              <w:t>Reporting</w:t>
            </w:r>
          </w:p>
          <w:p>
            <w:pPr>
              <w:pStyle w:val="TableParagraph"/>
              <w:spacing w:before="115"/>
              <w:ind w:left="-2"/>
              <w:rPr>
                <w:rFonts w:ascii="Arial"/>
                <w:b/>
                <w:sz w:val="20"/>
              </w:rPr>
            </w:pPr>
            <w:r>
              <w:rPr>
                <w:rFonts w:ascii="Arial"/>
                <w:b/>
                <w:sz w:val="20"/>
              </w:rPr>
              <w:t>Increases in Prices of Goods and Services</w:t>
            </w:r>
            <w:r>
              <w:rPr>
                <w:rFonts w:ascii="Arial"/>
                <w:b/>
                <w:spacing w:val="-18"/>
                <w:sz w:val="20"/>
              </w:rPr>
              <w:t> </w:t>
            </w:r>
            <w:r>
              <w:rPr>
                <w:rFonts w:ascii="Arial"/>
                <w:b/>
                <w:sz w:val="20"/>
              </w:rPr>
              <w:t>Sold</w:t>
            </w:r>
          </w:p>
        </w:tc>
        <w:tc>
          <w:tcPr>
            <w:tcW w:w="101" w:type="dxa"/>
            <w:tcBorders>
              <w:bottom w:val="single" w:sz="2" w:space="0" w:color="D9D9D9"/>
            </w:tcBorders>
          </w:tcPr>
          <w:p>
            <w:pPr>
              <w:pStyle w:val="TableParagraph"/>
              <w:rPr>
                <w:rFonts w:ascii="Times New Roman"/>
                <w:sz w:val="18"/>
              </w:rPr>
            </w:pPr>
          </w:p>
        </w:tc>
        <w:tc>
          <w:tcPr>
            <w:tcW w:w="187" w:type="dxa"/>
          </w:tcPr>
          <w:p>
            <w:pPr>
              <w:pStyle w:val="TableParagraph"/>
              <w:rPr>
                <w:rFonts w:ascii="Times New Roman"/>
                <w:sz w:val="18"/>
              </w:rPr>
            </w:pPr>
          </w:p>
        </w:tc>
        <w:tc>
          <w:tcPr>
            <w:tcW w:w="4740" w:type="dxa"/>
            <w:tcBorders>
              <w:bottom w:val="single" w:sz="2" w:space="0" w:color="D9D9D9"/>
            </w:tcBorders>
          </w:tcPr>
          <w:p>
            <w:pPr>
              <w:pStyle w:val="TableParagraph"/>
              <w:spacing w:line="223" w:lineRule="exact"/>
              <w:rPr>
                <w:rFonts w:ascii="Arial" w:hAnsi="Arial"/>
                <w:b/>
                <w:sz w:val="20"/>
              </w:rPr>
            </w:pPr>
            <w:r>
              <w:rPr>
                <w:rFonts w:ascii="Arial" w:hAnsi="Arial"/>
                <w:b/>
                <w:sz w:val="20"/>
              </w:rPr>
              <w:t>Figure 12. UK – Selling Price Expectations over</w:t>
            </w:r>
          </w:p>
          <w:p>
            <w:pPr>
              <w:pStyle w:val="TableParagraph"/>
              <w:spacing w:before="115"/>
              <w:rPr>
                <w:rFonts w:ascii="Arial"/>
                <w:b/>
                <w:sz w:val="20"/>
              </w:rPr>
            </w:pPr>
            <w:r>
              <w:rPr>
                <w:rFonts w:ascii="Arial"/>
                <w:b/>
                <w:sz w:val="20"/>
              </w:rPr>
              <w:t>the Next 3 Months (Net Balance)</w:t>
            </w:r>
          </w:p>
        </w:tc>
      </w:tr>
      <w:tr>
        <w:trPr>
          <w:trHeight w:val="3487" w:hRule="atLeast"/>
        </w:trPr>
        <w:tc>
          <w:tcPr>
            <w:tcW w:w="4639" w:type="dxa"/>
            <w:tcBorders>
              <w:top w:val="single" w:sz="2" w:space="0" w:color="D9D9D9"/>
              <w:left w:val="single" w:sz="2" w:space="0" w:color="D9D9D9"/>
              <w:bottom w:val="single" w:sz="2" w:space="0" w:color="D9D9D9"/>
            </w:tcBorders>
          </w:tcPr>
          <w:p>
            <w:pPr>
              <w:pStyle w:val="TableParagraph"/>
              <w:spacing w:line="198" w:lineRule="exact"/>
              <w:ind w:left="169"/>
              <w:rPr>
                <w:b/>
                <w:sz w:val="17"/>
              </w:rPr>
            </w:pPr>
            <w:r>
              <w:rPr>
                <w:b/>
                <w:sz w:val="17"/>
              </w:rPr>
              <w:t>15</w:t>
            </w:r>
          </w:p>
          <w:p>
            <w:pPr>
              <w:pStyle w:val="TableParagraph"/>
              <w:tabs>
                <w:tab w:pos="533" w:val="left" w:leader="none"/>
                <w:tab w:pos="1141" w:val="left" w:leader="none"/>
                <w:tab w:pos="2920" w:val="left" w:leader="none"/>
              </w:tabs>
              <w:spacing w:line="189" w:lineRule="auto" w:before="16"/>
              <w:ind w:left="1141" w:right="471" w:hanging="972"/>
              <w:rPr>
                <w:b/>
                <w:sz w:val="17"/>
              </w:rPr>
            </w:pPr>
            <w:r>
              <w:rPr>
                <w:b/>
                <w:position w:val="-10"/>
                <w:sz w:val="17"/>
              </w:rPr>
              <w:t>10</w:t>
              <w:tab/>
            </w:r>
            <w:r>
              <w:rPr>
                <w:b/>
                <w:position w:val="-7"/>
                <w:sz w:val="17"/>
              </w:rPr>
              <w:t>%</w:t>
              <w:tab/>
            </w:r>
            <w:r>
              <w:rPr>
                <w:b/>
                <w:sz w:val="17"/>
              </w:rPr>
              <w:t>9-22</w:t>
            </w:r>
            <w:r>
              <w:rPr>
                <w:b/>
                <w:spacing w:val="-17"/>
                <w:sz w:val="17"/>
              </w:rPr>
              <w:t> </w:t>
            </w:r>
            <w:r>
              <w:rPr>
                <w:b/>
                <w:sz w:val="17"/>
              </w:rPr>
              <w:t>March</w:t>
              <w:tab/>
              <w:t>23</w:t>
            </w:r>
            <w:r>
              <w:rPr>
                <w:b/>
                <w:spacing w:val="-23"/>
                <w:sz w:val="17"/>
              </w:rPr>
              <w:t> </w:t>
            </w:r>
            <w:r>
              <w:rPr>
                <w:b/>
                <w:sz w:val="17"/>
              </w:rPr>
              <w:t>March</w:t>
            </w:r>
            <w:r>
              <w:rPr>
                <w:b/>
                <w:spacing w:val="-24"/>
                <w:sz w:val="17"/>
              </w:rPr>
              <w:t> </w:t>
            </w:r>
            <w:r>
              <w:rPr>
                <w:b/>
                <w:sz w:val="17"/>
              </w:rPr>
              <w:t>to</w:t>
            </w:r>
            <w:r>
              <w:rPr>
                <w:b/>
                <w:spacing w:val="-26"/>
                <w:sz w:val="17"/>
              </w:rPr>
              <w:t> </w:t>
            </w:r>
            <w:r>
              <w:rPr>
                <w:b/>
                <w:sz w:val="17"/>
              </w:rPr>
              <w:t>5</w:t>
            </w:r>
            <w:r>
              <w:rPr>
                <w:b/>
                <w:spacing w:val="-25"/>
                <w:sz w:val="17"/>
              </w:rPr>
              <w:t> </w:t>
            </w:r>
            <w:r>
              <w:rPr>
                <w:b/>
                <w:spacing w:val="-4"/>
                <w:sz w:val="17"/>
              </w:rPr>
              <w:t>April </w:t>
            </w:r>
            <w:r>
              <w:rPr>
                <w:b/>
                <w:sz w:val="17"/>
              </w:rPr>
              <w:t>6</w:t>
            </w:r>
            <w:r>
              <w:rPr>
                <w:b/>
                <w:spacing w:val="-16"/>
                <w:sz w:val="17"/>
              </w:rPr>
              <w:t> </w:t>
            </w:r>
            <w:r>
              <w:rPr>
                <w:b/>
                <w:sz w:val="17"/>
              </w:rPr>
              <w:t>April</w:t>
            </w:r>
            <w:r>
              <w:rPr>
                <w:b/>
                <w:spacing w:val="-14"/>
                <w:sz w:val="17"/>
              </w:rPr>
              <w:t> </w:t>
            </w:r>
            <w:r>
              <w:rPr>
                <w:b/>
                <w:sz w:val="17"/>
              </w:rPr>
              <w:t>to</w:t>
            </w:r>
            <w:r>
              <w:rPr>
                <w:b/>
                <w:spacing w:val="-15"/>
                <w:sz w:val="17"/>
              </w:rPr>
              <w:t> </w:t>
            </w:r>
            <w:r>
              <w:rPr>
                <w:b/>
                <w:sz w:val="17"/>
              </w:rPr>
              <w:t>19</w:t>
            </w:r>
            <w:r>
              <w:rPr>
                <w:b/>
                <w:spacing w:val="-16"/>
                <w:sz w:val="17"/>
              </w:rPr>
              <w:t> </w:t>
            </w:r>
            <w:r>
              <w:rPr>
                <w:b/>
                <w:sz w:val="17"/>
              </w:rPr>
              <w:t>April</w:t>
              <w:tab/>
              <w:t>20</w:t>
            </w:r>
            <w:r>
              <w:rPr>
                <w:b/>
                <w:spacing w:val="-13"/>
                <w:sz w:val="17"/>
              </w:rPr>
              <w:t> </w:t>
            </w:r>
            <w:r>
              <w:rPr>
                <w:b/>
                <w:sz w:val="17"/>
              </w:rPr>
              <w:t>April</w:t>
            </w:r>
            <w:r>
              <w:rPr>
                <w:b/>
                <w:spacing w:val="-15"/>
                <w:sz w:val="17"/>
              </w:rPr>
              <w:t> </w:t>
            </w:r>
            <w:r>
              <w:rPr>
                <w:b/>
                <w:sz w:val="17"/>
              </w:rPr>
              <w:t>to</w:t>
            </w:r>
            <w:r>
              <w:rPr>
                <w:b/>
                <w:spacing w:val="-14"/>
                <w:sz w:val="17"/>
              </w:rPr>
              <w:t> </w:t>
            </w:r>
            <w:r>
              <w:rPr>
                <w:b/>
                <w:sz w:val="17"/>
              </w:rPr>
              <w:t>3</w:t>
            </w:r>
            <w:r>
              <w:rPr>
                <w:b/>
                <w:spacing w:val="-16"/>
                <w:sz w:val="17"/>
              </w:rPr>
              <w:t> </w:t>
            </w:r>
            <w:r>
              <w:rPr>
                <w:b/>
                <w:sz w:val="17"/>
              </w:rPr>
              <w:t>May</w:t>
            </w:r>
          </w:p>
          <w:p>
            <w:pPr>
              <w:pStyle w:val="TableParagraph"/>
              <w:spacing w:line="199" w:lineRule="exact"/>
              <w:ind w:left="248"/>
              <w:rPr>
                <w:b/>
                <w:sz w:val="17"/>
              </w:rPr>
            </w:pPr>
            <w:r>
              <w:rPr>
                <w:b/>
                <w:w w:val="91"/>
                <w:sz w:val="17"/>
              </w:rPr>
              <w:t>5</w:t>
            </w:r>
          </w:p>
          <w:p>
            <w:pPr>
              <w:pStyle w:val="TableParagraph"/>
              <w:spacing w:before="120"/>
              <w:ind w:right="4306"/>
              <w:jc w:val="right"/>
              <w:rPr>
                <w:b/>
                <w:sz w:val="17"/>
              </w:rPr>
            </w:pPr>
            <w:r>
              <w:rPr>
                <w:b/>
                <w:w w:val="91"/>
                <w:sz w:val="17"/>
              </w:rPr>
              <w:t>0</w:t>
            </w:r>
          </w:p>
          <w:p>
            <w:pPr>
              <w:pStyle w:val="TableParagraph"/>
              <w:spacing w:before="119"/>
              <w:ind w:right="4308"/>
              <w:jc w:val="right"/>
              <w:rPr>
                <w:b/>
                <w:sz w:val="17"/>
              </w:rPr>
            </w:pPr>
            <w:r>
              <w:rPr>
                <w:b/>
                <w:spacing w:val="-2"/>
                <w:w w:val="90"/>
                <w:sz w:val="17"/>
              </w:rPr>
              <w:t>-5</w:t>
            </w:r>
          </w:p>
          <w:p>
            <w:pPr>
              <w:pStyle w:val="TableParagraph"/>
              <w:spacing w:before="119"/>
              <w:ind w:right="4305"/>
              <w:jc w:val="right"/>
              <w:rPr>
                <w:b/>
                <w:sz w:val="17"/>
              </w:rPr>
            </w:pPr>
            <w:r>
              <w:rPr>
                <w:b/>
                <w:w w:val="90"/>
                <w:sz w:val="17"/>
              </w:rPr>
              <w:t>-10</w:t>
            </w:r>
          </w:p>
          <w:p>
            <w:pPr>
              <w:pStyle w:val="TableParagraph"/>
              <w:spacing w:before="119"/>
              <w:ind w:right="4305"/>
              <w:jc w:val="right"/>
              <w:rPr>
                <w:b/>
                <w:sz w:val="17"/>
              </w:rPr>
            </w:pPr>
            <w:r>
              <w:rPr>
                <w:b/>
                <w:w w:val="90"/>
                <w:sz w:val="17"/>
              </w:rPr>
              <w:t>-15</w:t>
            </w:r>
          </w:p>
          <w:p>
            <w:pPr>
              <w:pStyle w:val="TableParagraph"/>
              <w:spacing w:before="120"/>
              <w:ind w:right="4305"/>
              <w:jc w:val="right"/>
              <w:rPr>
                <w:b/>
                <w:sz w:val="17"/>
              </w:rPr>
            </w:pPr>
            <w:r>
              <w:rPr>
                <w:b/>
                <w:w w:val="90"/>
                <w:sz w:val="17"/>
              </w:rPr>
              <w:t>-20</w:t>
            </w:r>
          </w:p>
          <w:p>
            <w:pPr>
              <w:pStyle w:val="TableParagraph"/>
              <w:ind w:left="152"/>
              <w:rPr>
                <w:rFonts w:ascii="Arial"/>
                <w:sz w:val="20"/>
              </w:rPr>
            </w:pPr>
            <w:r>
              <w:rPr>
                <w:rFonts w:ascii="Arial"/>
                <w:sz w:val="20"/>
              </w:rPr>
              <w:drawing>
                <wp:inline distT="0" distB="0" distL="0" distR="0">
                  <wp:extent cx="1260361" cy="614362"/>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20" cstate="print"/>
                          <a:stretch>
                            <a:fillRect/>
                          </a:stretch>
                        </pic:blipFill>
                        <pic:spPr>
                          <a:xfrm>
                            <a:off x="0" y="0"/>
                            <a:ext cx="1260361" cy="614362"/>
                          </a:xfrm>
                          <a:prstGeom prst="rect">
                            <a:avLst/>
                          </a:prstGeom>
                        </pic:spPr>
                      </pic:pic>
                    </a:graphicData>
                  </a:graphic>
                </wp:inline>
              </w:drawing>
            </w:r>
            <w:r>
              <w:rPr>
                <w:rFonts w:ascii="Arial"/>
                <w:sz w:val="20"/>
              </w:rPr>
            </w:r>
            <w:r>
              <w:rPr>
                <w:rFonts w:ascii="Times New Roman"/>
                <w:spacing w:val="106"/>
                <w:sz w:val="20"/>
              </w:rPr>
              <w:t> </w:t>
            </w:r>
            <w:r>
              <w:rPr>
                <w:rFonts w:ascii="Arial"/>
                <w:spacing w:val="106"/>
                <w:position w:val="11"/>
                <w:sz w:val="20"/>
              </w:rPr>
              <w:drawing>
                <wp:inline distT="0" distB="0" distL="0" distR="0">
                  <wp:extent cx="1409082" cy="547687"/>
                  <wp:effectExtent l="0" t="0" r="0" b="0"/>
                  <wp:docPr id="9" name="image7.png"/>
                  <wp:cNvGraphicFramePr>
                    <a:graphicFrameLocks noChangeAspect="1"/>
                  </wp:cNvGraphicFramePr>
                  <a:graphic>
                    <a:graphicData uri="http://schemas.openxmlformats.org/drawingml/2006/picture">
                      <pic:pic>
                        <pic:nvPicPr>
                          <pic:cNvPr id="10" name="image7.png"/>
                          <pic:cNvPicPr/>
                        </pic:nvPicPr>
                        <pic:blipFill>
                          <a:blip r:embed="rId21" cstate="print"/>
                          <a:stretch>
                            <a:fillRect/>
                          </a:stretch>
                        </pic:blipFill>
                        <pic:spPr>
                          <a:xfrm>
                            <a:off x="0" y="0"/>
                            <a:ext cx="1409082" cy="547687"/>
                          </a:xfrm>
                          <a:prstGeom prst="rect">
                            <a:avLst/>
                          </a:prstGeom>
                        </pic:spPr>
                      </pic:pic>
                    </a:graphicData>
                  </a:graphic>
                </wp:inline>
              </w:drawing>
            </w:r>
            <w:r>
              <w:rPr>
                <w:rFonts w:ascii="Arial"/>
                <w:spacing w:val="106"/>
                <w:position w:val="11"/>
                <w:sz w:val="20"/>
              </w:rPr>
            </w:r>
          </w:p>
        </w:tc>
        <w:tc>
          <w:tcPr>
            <w:tcW w:w="101" w:type="dxa"/>
            <w:tcBorders>
              <w:top w:val="single" w:sz="2" w:space="0" w:color="D9D9D9"/>
              <w:bottom w:val="single" w:sz="2" w:space="0" w:color="D9D9D9"/>
              <w:right w:val="single" w:sz="2" w:space="0" w:color="D9D9D9"/>
            </w:tcBorders>
          </w:tcPr>
          <w:p>
            <w:pPr>
              <w:pStyle w:val="TableParagraph"/>
              <w:rPr>
                <w:rFonts w:ascii="Times New Roman"/>
                <w:sz w:val="18"/>
              </w:rPr>
            </w:pPr>
          </w:p>
        </w:tc>
        <w:tc>
          <w:tcPr>
            <w:tcW w:w="187" w:type="dxa"/>
            <w:tcBorders>
              <w:left w:val="single" w:sz="2" w:space="0" w:color="D9D9D9"/>
              <w:right w:val="single" w:sz="2" w:space="0" w:color="D9D9D9"/>
            </w:tcBorders>
          </w:tcPr>
          <w:p>
            <w:pPr>
              <w:pStyle w:val="TableParagraph"/>
              <w:rPr>
                <w:rFonts w:ascii="Times New Roman"/>
                <w:sz w:val="18"/>
              </w:rPr>
            </w:pPr>
          </w:p>
        </w:tc>
        <w:tc>
          <w:tcPr>
            <w:tcW w:w="4740" w:type="dxa"/>
            <w:tcBorders>
              <w:top w:val="single" w:sz="2" w:space="0" w:color="D9D9D9"/>
              <w:left w:val="single" w:sz="2" w:space="0" w:color="D9D9D9"/>
              <w:bottom w:val="single" w:sz="2" w:space="0" w:color="D9D9D9"/>
              <w:right w:val="single" w:sz="2" w:space="0" w:color="D9D9D9"/>
            </w:tcBorders>
          </w:tcPr>
          <w:p>
            <w:pPr>
              <w:pStyle w:val="TableParagraph"/>
              <w:spacing w:before="27"/>
              <w:ind w:left="87"/>
              <w:rPr>
                <w:b/>
                <w:sz w:val="17"/>
              </w:rPr>
            </w:pPr>
            <w:r>
              <w:rPr>
                <w:b/>
                <w:sz w:val="17"/>
              </w:rPr>
              <w:t>50</w:t>
            </w:r>
          </w:p>
          <w:p>
            <w:pPr>
              <w:pStyle w:val="TableParagraph"/>
              <w:tabs>
                <w:tab w:pos="474" w:val="left" w:leader="none"/>
              </w:tabs>
              <w:spacing w:before="34"/>
              <w:ind w:left="87"/>
              <w:rPr>
                <w:b/>
                <w:sz w:val="17"/>
              </w:rPr>
            </w:pPr>
            <w:r>
              <w:rPr>
                <w:b/>
                <w:sz w:val="17"/>
              </w:rPr>
              <w:t>40</w:t>
              <w:tab/>
            </w:r>
            <w:r>
              <w:rPr>
                <w:b/>
                <w:position w:val="6"/>
                <w:sz w:val="17"/>
              </w:rPr>
              <w:t>%</w:t>
            </w:r>
          </w:p>
          <w:p>
            <w:pPr>
              <w:pStyle w:val="TableParagraph"/>
              <w:spacing w:before="94"/>
              <w:ind w:left="87"/>
              <w:rPr>
                <w:b/>
                <w:sz w:val="17"/>
              </w:rPr>
            </w:pPr>
            <w:r>
              <w:rPr>
                <w:b/>
                <w:sz w:val="17"/>
              </w:rPr>
              <w:t>30</w:t>
            </w:r>
          </w:p>
          <w:p>
            <w:pPr>
              <w:pStyle w:val="TableParagraph"/>
              <w:spacing w:before="94"/>
              <w:ind w:left="87"/>
              <w:rPr>
                <w:b/>
                <w:sz w:val="17"/>
              </w:rPr>
            </w:pPr>
            <w:r>
              <w:rPr>
                <w:b/>
                <w:sz w:val="17"/>
              </w:rPr>
              <w:t>20</w:t>
            </w:r>
          </w:p>
          <w:p>
            <w:pPr>
              <w:pStyle w:val="TableParagraph"/>
              <w:spacing w:before="95"/>
              <w:ind w:left="87"/>
              <w:rPr>
                <w:b/>
                <w:sz w:val="17"/>
              </w:rPr>
            </w:pPr>
            <w:r>
              <w:rPr>
                <w:b/>
                <w:sz w:val="17"/>
              </w:rPr>
              <w:t>10</w:t>
            </w:r>
          </w:p>
          <w:p>
            <w:pPr>
              <w:pStyle w:val="TableParagraph"/>
              <w:spacing w:before="94"/>
              <w:ind w:left="166"/>
              <w:rPr>
                <w:b/>
                <w:sz w:val="17"/>
              </w:rPr>
            </w:pPr>
            <w:r>
              <w:rPr>
                <w:b/>
                <w:w w:val="91"/>
                <w:sz w:val="17"/>
              </w:rPr>
              <w:t>0</w:t>
            </w:r>
          </w:p>
          <w:p>
            <w:pPr>
              <w:pStyle w:val="TableParagraph"/>
              <w:spacing w:before="94"/>
              <w:ind w:left="39"/>
              <w:rPr>
                <w:b/>
                <w:sz w:val="17"/>
              </w:rPr>
            </w:pPr>
            <w:r>
              <w:rPr>
                <w:b/>
                <w:sz w:val="17"/>
              </w:rPr>
              <w:t>-10</w:t>
            </w:r>
          </w:p>
          <w:p>
            <w:pPr>
              <w:pStyle w:val="TableParagraph"/>
              <w:spacing w:before="94"/>
              <w:ind w:left="39"/>
              <w:rPr>
                <w:b/>
                <w:sz w:val="17"/>
              </w:rPr>
            </w:pPr>
            <w:r>
              <w:rPr>
                <w:b/>
                <w:sz w:val="17"/>
              </w:rPr>
              <w:t>-20</w:t>
            </w:r>
          </w:p>
          <w:p>
            <w:pPr>
              <w:pStyle w:val="TableParagraph"/>
              <w:spacing w:before="94"/>
              <w:ind w:left="39"/>
              <w:rPr>
                <w:b/>
                <w:sz w:val="17"/>
              </w:rPr>
            </w:pPr>
            <w:r>
              <w:rPr>
                <w:b/>
                <w:sz w:val="17"/>
              </w:rPr>
              <w:t>-30</w:t>
            </w:r>
          </w:p>
          <w:p>
            <w:pPr>
              <w:pStyle w:val="TableParagraph"/>
              <w:tabs>
                <w:tab w:pos="1711" w:val="left" w:leader="none"/>
                <w:tab w:pos="2947" w:val="left" w:leader="none"/>
              </w:tabs>
              <w:spacing w:before="91"/>
              <w:ind w:left="39"/>
              <w:rPr>
                <w:b/>
                <w:sz w:val="17"/>
              </w:rPr>
            </w:pPr>
            <w:r>
              <w:rPr>
                <w:b/>
                <w:position w:val="3"/>
                <w:sz w:val="17"/>
              </w:rPr>
              <w:t>-40</w:t>
              <w:tab/>
            </w:r>
            <w:r>
              <w:rPr>
                <w:b/>
                <w:w w:val="95"/>
                <w:sz w:val="17"/>
              </w:rPr>
              <w:t>Manufacturing</w:t>
              <w:tab/>
            </w:r>
            <w:r>
              <w:rPr>
                <w:b/>
                <w:sz w:val="17"/>
              </w:rPr>
              <w:t>Services</w:t>
            </w:r>
          </w:p>
          <w:p>
            <w:pPr>
              <w:pStyle w:val="TableParagraph"/>
              <w:spacing w:before="67"/>
              <w:ind w:left="39"/>
              <w:rPr>
                <w:b/>
                <w:sz w:val="17"/>
              </w:rPr>
            </w:pPr>
            <w:r>
              <w:rPr>
                <w:b/>
                <w:sz w:val="17"/>
              </w:rPr>
              <w:t>-50</w:t>
            </w:r>
          </w:p>
          <w:p>
            <w:pPr>
              <w:pStyle w:val="TableParagraph"/>
              <w:spacing w:line="195" w:lineRule="exact" w:before="21"/>
              <w:ind w:left="241"/>
              <w:rPr>
                <w:b/>
                <w:sz w:val="17"/>
              </w:rPr>
            </w:pPr>
            <w:r>
              <w:rPr>
                <w:b/>
                <w:sz w:val="17"/>
              </w:rPr>
              <w:t>2002 2004 2006 2008 2010 2012 2014 2016 2018 2020</w:t>
            </w:r>
          </w:p>
        </w:tc>
      </w:tr>
    </w:tbl>
    <w:p>
      <w:pPr>
        <w:spacing w:line="360" w:lineRule="auto" w:before="127"/>
        <w:ind w:left="232" w:right="181" w:firstLine="0"/>
        <w:jc w:val="left"/>
        <w:rPr>
          <w:sz w:val="16"/>
        </w:rPr>
      </w:pPr>
      <w:r>
        <w:rPr/>
        <w:pict>
          <v:group style="position:absolute;margin-left:322.499023pt;margin-top:-167.834808pt;width:214.3pt;height:150.9pt;mso-position-horizontal-relative:page;mso-position-vertical-relative:paragraph;z-index:-253093888" coordorigin="6450,-3357" coordsize="4286,3018">
            <v:shape style="position:absolute;left:1206;top:145;width:13200;height:8232" coordorigin="1206,145" coordsize="13200,8232" path="m6452,-341l10733,-341,10733,-3355,6452,-3355,6452,-341xm6452,-1848l10733,-1848e" filled="false" stroked="true" strokeweight=".207119pt" strokecolor="#000000">
              <v:path arrowok="t"/>
              <v:stroke dashstyle="solid"/>
            </v:shape>
            <v:shape style="position:absolute;left:6463;top:-3052;width:4184;height:1898" coordorigin="6464,-3051" coordsize="4184,1898" path="m6464,-1154l6483,-1246,6499,-1364,6518,-1545,6538,-1518,6557,-1545,6577,-1545,6596,-1545,6616,-1457,6635,-1606,6651,-1426,6670,-1487,6689,-1487,6709,-1426,6728,-1277,6748,-1668,6767,-1518,6787,-1395,6806,-1457,6822,-1426,6841,-1487,6861,-1637,6880,-1395,6900,-1755,6919,-1878,6939,-1786,6958,-1668,6977,-1909,6993,-1936,7012,-1997,7032,-2028,7051,-2177,7071,-2059,7090,-1878,7110,-2089,7129,-2146,7149,-2419,7164,-2177,7184,-2120,7203,-1997,7223,-1755,7242,-1668,7262,-1518,7281,-1606,7300,-1606,7320,-1817,7336,-1698,7355,-1848,7374,-2208,7394,-2028,7413,-2059,7433,-2177,7452,-1848,7472,-2089,7491,-2028,7507,-2239,7526,-2089,7546,-2208,7565,-2419,7585,-2089,7604,-2419,7623,-2419,7643,-2480,7662,-2331,7678,-2599,7697,-2331,7717,-2177,7736,-2331,7756,-2331,7775,-2269,7795,-2480,7814,-2300,7834,-2480,7849,-2511,7869,-2599,7888,-2599,7908,-2753,7927,-2691,7946,-2871,7966,-2779,7985,-2542,8005,-2146,8020,-1848,8040,-1848,8059,-1487,8079,-1457,8098,-1545,8118,-1246,8137,-1457,8157,-1668,8172,-1334,8192,-1545,8211,-1725,8231,-1698,8250,-1637,8269,-1668,8289,-2089,8308,-2089,8328,-2357,8343,-2331,8363,-2269,8382,-2120,8402,-1997,8421,-2177,8441,-2300,8460,-2028,8480,-2357,8499,-2331,8515,-2779,8534,-2810,8554,-2841,8573,-2933,8592,-2568,8612,-2660,8631,-1966,8651,-2120,8670,-2239,8686,-1878,8705,-1909,8725,-2059,8744,-2239,8764,-2146,8783,-2568,8803,-2059,8822,-2208,8842,-1909,8857,-1755,8877,-1878,8896,-1936,8915,-2059,8935,-2089,8954,-2357,8974,-2480,8993,-2450,9013,-1997,9028,-2089,9048,-1966,9067,-1936,9087,-1909,9106,-1848,9126,-1936,9145,-1786,9165,-1997,9184,-2177,9200,-2450,9219,-2357,9238,-2208,9258,-2120,9277,-1966,9297,-1936,9316,-1725,9336,-1817,9355,-1878,9371,-1755,9390,-1817,9410,-2059,9429,-1668,9449,-2089,9468,-1966,9488,-1755,9507,-1909,9526,-1637,9542,-1878,9562,-1668,9581,-1606,9600,-1637,9620,-1786,9639,-1786,9659,-1878,9678,-1755,9698,-1817,9713,-1966,9733,-1909,9752,-1878,9772,-1997,9791,-2089,9811,-1997,9830,-2089,9849,-2419,9865,-2630,9885,-2691,9904,-2810,9923,-2722,9943,-2722,9962,-2542,9982,-2542,10001,-2120,10021,-2419,10036,-2388,10056,-2388,10075,-2357,10095,-2542,10114,-3051,10134,-2599,10153,-2388,10172,-2388,10192,-2419,10208,-2239,10227,-2239,10246,-2300,10266,-2239,10285,-2146,10305,-2120,10324,-2269,10344,-2388,10363,-2511,10379,-2059,10398,-1878,10418,-1817,10437,-1966,10457,-2208,10476,-1786,10495,-2208,10515,-1755,10534,-1817,10550,-2028,10569,-1909,10589,-1786,10608,-2059,10628,-1518,10647,-1246e" filled="false" stroked="true" strokeweight="1.076889pt" strokecolor="#0000ff">
              <v:path arrowok="t"/>
              <v:stroke dashstyle="solid"/>
            </v:shape>
            <v:shape style="position:absolute;left:6786;top:-2564;width:3842;height:1863" coordorigin="6787,-2564" coordsize="3842,1863" path="m6787,-1426l6806,-1571,6822,-1896,6841,-1690,6861,-1575,6880,-1773,6900,-2059,6919,-1650,6939,-1821,6958,-1593,6977,-1492,6993,-1764,7012,-2208,7032,-2142,7051,-1773,7071,-1751,7090,-1813,7110,-1830,7129,-1545,7149,-1487,7164,-1452,7184,-1799,7203,-1878,7223,-1769,7242,-1527,7262,-1334,7281,-1408,7300,-1733,7320,-1949,7336,-1505,7355,-1755,7374,-2124,7394,-2168,7413,-2063,7433,-2054,7452,-2239,7472,-2168,7491,-2247,7507,-2349,7526,-2164,7546,-1944,7565,-2318,7585,-2107,7604,-2362,7623,-2182,7643,-2247,7662,-2313,7678,-1962,7697,-2032,7717,-2199,7736,-2032,7756,-2204,7775,-2239,7795,-2340,7814,-2089,7834,-1958,7849,-1900,7869,-1821,7888,-1927,7908,-1729,7927,-2089,7946,-2072,7966,-1813,7985,-1966,8005,-1624,8020,-1356,8040,-1101,8059,-1263,8079,-815,8098,-855,8118,-925,8137,-1118,8157,-978,8172,-1228,8192,-1250,8211,-1457,8231,-1553,8250,-1518,8269,-1690,8289,-1698,8308,-1690,8328,-1575,8343,-1562,8363,-1786,8382,-1804,8402,-1492,8421,-1804,8441,-1637,8460,-1457,8480,-1610,8499,-1430,8515,-1729,8534,-1918,8554,-1944,8573,-1681,8592,-1817,8612,-1720,8631,-1430,8651,-1808,8670,-1659,8686,-1531,8705,-1839,8725,-1602,8744,-1782,8764,-1703,8783,-2041,8803,-1870,8822,-1681,8842,-1804,8857,-1804,8877,-1536,8896,-1553,8915,-1773,8935,-1905,8954,-1786,8974,-1742,8993,-1694,9013,-1747,9028,-1909,9048,-2072,9067,-1799,9087,-1940,9106,-2265,9126,-1997,9145,-2243,9165,-1975,9184,-2278,9200,-2037,9219,-2098,9238,-2247,9258,-2397,9277,-2120,9297,-2133,9316,-2401,9336,-2349,9355,-2138,9371,-2028,9390,-2089,9410,-2103,9429,-1892,9449,-2023,9468,-1966,9488,-2076,9507,-1940,9526,-2124,9542,-2428,9562,-2221,9581,-2199,9600,-2160,9620,-2195,9639,-2419,9659,-2269,9678,-2076,9698,-2116,9713,-2032,9733,-1865,9752,-1857,9772,-1918,9791,-1931,9811,-2072,9830,-1936,9849,-2103,9865,-2388,9885,-2142,9904,-2485,9923,-2300,9943,-2450,9962,-2511,9982,-2313,10001,-2142,10021,-2226,10036,-2274,10056,-2278,10075,-2476,10095,-2331,10114,-2564,10134,-2384,10153,-2195,10172,-2177,10192,-2335,10208,-2322,10227,-2234,10246,-2155,10266,-2472,10285,-2357,10305,-2283,10324,-2410,10344,-2230,10363,-2243,10379,-2103,10398,-2037,10418,-2081,10437,-2230,10457,-2168,10476,-2072,10495,-1861,10515,-1975,10534,-1931,10550,-1861,10569,-2103,10589,-2160,10608,-1786,10628,-701e" filled="false" stroked="true" strokeweight="1.074416pt" strokecolor="#ff00ff">
              <v:path arrowok="t"/>
              <v:stroke dashstyle="solid"/>
            </v:shape>
            <v:line style="position:absolute" from="7635,-618" to="7760,-618" stroked="true" strokeweight="1.098289pt" strokecolor="#0000ff">
              <v:stroke dashstyle="solid"/>
            </v:line>
            <v:line style="position:absolute" from="8873,-618" to="8997,-618" stroked="true" strokeweight="1.098289pt" strokecolor="#ff00ff">
              <v:stroke dashstyle="solid"/>
            </v:line>
            <w10:wrap type="none"/>
          </v:group>
        </w:pict>
      </w:r>
      <w:r>
        <w:rPr>
          <w:sz w:val="16"/>
        </w:rPr>
        <w:t>Note: In the left chart, there were no figures for the real estate sector in the first three waves. Both charts show net balances, and hence a negative figure implies that more firms report/expect falling prices than rising prices.</w:t>
      </w:r>
    </w:p>
    <w:p>
      <w:pPr>
        <w:spacing w:before="0"/>
        <w:ind w:left="232" w:right="0" w:firstLine="0"/>
        <w:jc w:val="left"/>
        <w:rPr>
          <w:sz w:val="16"/>
        </w:rPr>
      </w:pPr>
      <w:r>
        <w:rPr>
          <w:sz w:val="16"/>
        </w:rPr>
        <w:t>Sources: ONS, European Commission, CBI and Bank of England.</w:t>
      </w:r>
    </w:p>
    <w:p>
      <w:pPr>
        <w:pStyle w:val="BodyText"/>
        <w:rPr>
          <w:sz w:val="18"/>
        </w:rPr>
      </w:pPr>
    </w:p>
    <w:p>
      <w:pPr>
        <w:pStyle w:val="BodyText"/>
        <w:spacing w:before="2"/>
      </w:pPr>
    </w:p>
    <w:p>
      <w:pPr>
        <w:pStyle w:val="BodyText"/>
        <w:spacing w:line="360" w:lineRule="auto"/>
        <w:ind w:left="232" w:right="213"/>
      </w:pPr>
      <w:r>
        <w:rPr/>
        <w:t>To be sure, it is conceivable that recovery may create some temporary supply-side frictions that could lift costs and prices for a period. For example, social distancing measures might create a one off rise in costs in some sectors (e.g. airlines and restaurants). Some firms may temporarily switch to very simple and resilient supply chains, even if more costly, and gradually revert to more complex but cheaper supply chains over time if that proves possible.</w:t>
      </w:r>
    </w:p>
    <w:p>
      <w:pPr>
        <w:pStyle w:val="BodyText"/>
        <w:spacing w:before="10"/>
        <w:rPr>
          <w:sz w:val="29"/>
        </w:rPr>
      </w:pPr>
    </w:p>
    <w:p>
      <w:pPr>
        <w:pStyle w:val="BodyText"/>
        <w:spacing w:line="360" w:lineRule="auto" w:before="1"/>
        <w:ind w:left="232" w:right="309"/>
      </w:pPr>
      <w:r>
        <w:rPr/>
        <w:t>However, I think it is likely that, provided inflation expectations remain contained, the background of ample labour market slack and subdued activity levels will keep a lid on labour costs and margins, so that inflation will remain fairly limited as long as activity is well below its pre-Covid trend. After all, even before the Covid outbreak, domestic inflation pressures had been modest in recent years, not just in the UK but in other advanced economies.</w:t>
      </w:r>
      <w:r>
        <w:rPr>
          <w:position w:val="6"/>
          <w:sz w:val="13"/>
        </w:rPr>
        <w:t>20 </w:t>
      </w:r>
      <w:r>
        <w:rPr/>
        <w:t>The resources that allowed the UK and other major economies to operate at their pre-Covid levels are, to a large extent, still intact. Or, to put it a different way, when considering risks of persistent above-target inflation before we have recovered most of the lost ground, my attitude is I will believe it if and when I see it.</w:t>
      </w:r>
    </w:p>
    <w:p>
      <w:pPr>
        <w:pStyle w:val="BodyText"/>
      </w:pPr>
    </w:p>
    <w:p>
      <w:pPr>
        <w:pStyle w:val="BodyText"/>
      </w:pPr>
    </w:p>
    <w:p>
      <w:pPr>
        <w:pStyle w:val="BodyText"/>
      </w:pPr>
    </w:p>
    <w:p>
      <w:pPr>
        <w:pStyle w:val="BodyText"/>
        <w:spacing w:before="1"/>
        <w:rPr>
          <w:sz w:val="28"/>
        </w:rPr>
      </w:pPr>
      <w:r>
        <w:rPr/>
        <w:pict>
          <v:shape style="position:absolute;margin-left:56.639999pt;margin-top:18.360632pt;width:144.050pt;height:.1pt;mso-position-horizontal-relative:page;mso-position-vertical-relative:paragraph;z-index:-251609088;mso-wrap-distance-left:0;mso-wrap-distance-right:0" coordorigin="1133,367" coordsize="2881,0" path="m1133,367l4014,367e" filled="false" stroked="true" strokeweight=".48004pt" strokecolor="#000000">
            <v:path arrowok="t"/>
            <v:stroke dashstyle="solid"/>
            <w10:wrap type="topAndBottom"/>
          </v:shape>
        </w:pict>
      </w:r>
    </w:p>
    <w:p>
      <w:pPr>
        <w:spacing w:before="47"/>
        <w:ind w:left="232" w:right="0" w:firstLine="0"/>
        <w:jc w:val="left"/>
        <w:rPr>
          <w:sz w:val="16"/>
        </w:rPr>
      </w:pPr>
      <w:r>
        <w:rPr>
          <w:position w:val="6"/>
          <w:sz w:val="10"/>
        </w:rPr>
        <w:t>20 </w:t>
      </w:r>
      <w:r>
        <w:rPr>
          <w:sz w:val="16"/>
        </w:rPr>
        <w:t>See Tenreyro (2020).</w:t>
      </w:r>
    </w:p>
    <w:p>
      <w:pPr>
        <w:spacing w:after="0"/>
        <w:jc w:val="left"/>
        <w:rPr>
          <w:sz w:val="16"/>
        </w:rPr>
        <w:sectPr>
          <w:footerReference w:type="default" r:id="rId19"/>
          <w:pgSz w:w="11910" w:h="16840"/>
          <w:pgMar w:footer="1338" w:header="0" w:top="1520" w:bottom="1520" w:left="900" w:right="980"/>
        </w:sectPr>
      </w:pPr>
    </w:p>
    <w:p>
      <w:pPr>
        <w:pStyle w:val="Heading1"/>
        <w:spacing w:before="79"/>
      </w:pPr>
      <w:r>
        <w:rPr/>
        <w:t>Risk management considerations</w:t>
      </w:r>
    </w:p>
    <w:p>
      <w:pPr>
        <w:pStyle w:val="BodyText"/>
        <w:rPr>
          <w:b/>
          <w:sz w:val="22"/>
        </w:rPr>
      </w:pPr>
    </w:p>
    <w:p>
      <w:pPr>
        <w:pStyle w:val="BodyText"/>
        <w:spacing w:before="1"/>
        <w:rPr>
          <w:b/>
          <w:sz w:val="18"/>
        </w:rPr>
      </w:pPr>
    </w:p>
    <w:p>
      <w:pPr>
        <w:pStyle w:val="BodyText"/>
        <w:spacing w:line="360" w:lineRule="auto"/>
        <w:ind w:left="232" w:right="164"/>
      </w:pPr>
      <w:r>
        <w:rPr/>
        <w:t>At the start of this year, before the Covid-19 outbreak had any economic significance for the UK, I argued that risk management considerations called for a relatively prompt response to downside risks.</w:t>
      </w:r>
      <w:r>
        <w:rPr>
          <w:position w:val="6"/>
          <w:sz w:val="13"/>
        </w:rPr>
        <w:t>21 </w:t>
      </w:r>
      <w:r>
        <w:rPr/>
        <w:t>I stress this view was nothing to do with Covid-related risks. Rather, it was based on the observation that the economy had some slack and seemed likely to remain sluggish, and risk management considerations implied that monetary policy should respond promptly to such downside risks. This is because, with a low neutral rate and limited monetary policy space, the MPC’s ability to return inflation to the 2% target is asymmetric.</w:t>
      </w:r>
      <w:r>
        <w:rPr>
          <w:position w:val="6"/>
          <w:sz w:val="13"/>
        </w:rPr>
        <w:t>22 </w:t>
      </w:r>
      <w:r>
        <w:rPr/>
        <w:t>If the economy were to overheat and lift inflation above target, the MPC would have ample scope to tighten policy to push inflation back down to target. But if the economy were to be stuck with sluggish growth and below- target inflation, the MPC would have more limited scope for stimulus to lift inflation back to target. In such conditions, risk management implies that policy should react in an asymmetric fashion – if tightening is needed, it should be gradual; if easing is needed, it should occur promptly. And when the economy is soft, as it was early this year, it is better to err on the side of somewhat too much stimulus rather than too</w:t>
      </w:r>
      <w:r>
        <w:rPr>
          <w:spacing w:val="-14"/>
        </w:rPr>
        <w:t> </w:t>
      </w:r>
      <w:r>
        <w:rPr/>
        <w:t>little.</w:t>
      </w:r>
    </w:p>
    <w:p>
      <w:pPr>
        <w:pStyle w:val="BodyText"/>
        <w:spacing w:before="2"/>
        <w:rPr>
          <w:sz w:val="30"/>
        </w:rPr>
      </w:pPr>
    </w:p>
    <w:p>
      <w:pPr>
        <w:pStyle w:val="BodyText"/>
        <w:spacing w:line="360" w:lineRule="auto"/>
        <w:ind w:left="232" w:right="159"/>
        <w:rPr>
          <w:sz w:val="13"/>
        </w:rPr>
      </w:pPr>
      <w:r>
        <w:rPr/>
        <w:t>I think these risk management arguments apply even more strongly now. This is in part because the prospects for the economy are tilted more on the side of a slower recovery, in my view, stemming from high uncertainty, elevated risk premia and reduced risk appetite. It is also because a slow recovery would be especially costly, since it would probably imply greater longterm losses from scarring on potential growth.</w:t>
      </w:r>
      <w:r>
        <w:rPr>
          <w:position w:val="6"/>
          <w:sz w:val="13"/>
        </w:rPr>
        <w:t>23 </w:t>
      </w:r>
      <w:r>
        <w:rPr/>
        <w:t>In addition, the Covid crisis and headwinds associated with it seem to have put further downward pressure on the neutral level of interest rates, such that the need to take account of the limited extent of monetary policy space is even more pressing.</w:t>
      </w:r>
      <w:r>
        <w:rPr>
          <w:position w:val="6"/>
          <w:sz w:val="13"/>
        </w:rPr>
        <w:t>24</w:t>
      </w:r>
    </w:p>
    <w:p>
      <w:pPr>
        <w:pStyle w:val="BodyText"/>
        <w:rPr>
          <w:sz w:val="30"/>
        </w:rPr>
      </w:pPr>
    </w:p>
    <w:p>
      <w:pPr>
        <w:pStyle w:val="BodyText"/>
        <w:spacing w:line="360" w:lineRule="auto"/>
        <w:ind w:left="232" w:right="177"/>
      </w:pPr>
      <w:r>
        <w:rPr/>
        <w:t>Estimates of the neutral level of rates are inherently uncertain. Back in 2018, the MPC estimated that the trend neutral interest rate in coming years will be in a range of 2-3% in nominal terms, with a central estimate of 2¼% (ie just above zero in real terms, assuming inflation in line with the 2% target).</w:t>
      </w:r>
      <w:r>
        <w:rPr>
          <w:position w:val="6"/>
          <w:sz w:val="13"/>
        </w:rPr>
        <w:t>25 </w:t>
      </w:r>
      <w:r>
        <w:rPr/>
        <w:t>That was already well below typical estimates of the neutral level of rates in the pre-GFC period, reflecting factors such as demographics and lower productivity growth.</w:t>
      </w:r>
      <w:r>
        <w:rPr>
          <w:position w:val="6"/>
          <w:sz w:val="13"/>
        </w:rPr>
        <w:t>26 </w:t>
      </w:r>
      <w:r>
        <w:rPr/>
        <w:t>Even before the coronavirus crisis, it appeared that the neutral level of rates had fallen since then. With the Covid outbreak, the forward path of interest rates implied by gilt yields has declined further and does not even reach 1¼% at any point in the next few</w:t>
      </w:r>
      <w:r>
        <w:rPr>
          <w:spacing w:val="-23"/>
        </w:rPr>
        <w:t> </w:t>
      </w:r>
      <w:r>
        <w:rPr/>
        <w:t>decades</w:t>
      </w:r>
    </w:p>
    <w:p>
      <w:pPr>
        <w:pStyle w:val="BodyText"/>
        <w:spacing w:before="1"/>
        <w:rPr>
          <w:sz w:val="27"/>
        </w:rPr>
      </w:pPr>
      <w:r>
        <w:rPr/>
        <w:pict>
          <v:shape style="position:absolute;margin-left:56.639999pt;margin-top:17.793926pt;width:144.050pt;height:.1pt;mso-position-horizontal-relative:page;mso-position-vertical-relative:paragraph;z-index:-251606016;mso-wrap-distance-left:0;mso-wrap-distance-right:0" coordorigin="1133,356" coordsize="2881,0" path="m1133,356l4014,356e" filled="false" stroked="true" strokeweight=".48004pt" strokecolor="#000000">
            <v:path arrowok="t"/>
            <v:stroke dashstyle="solid"/>
            <w10:wrap type="topAndBottom"/>
          </v:shape>
        </w:pict>
      </w:r>
    </w:p>
    <w:p>
      <w:pPr>
        <w:spacing w:line="186" w:lineRule="exact" w:before="50"/>
        <w:ind w:left="232" w:right="0" w:firstLine="0"/>
        <w:jc w:val="left"/>
        <w:rPr>
          <w:sz w:val="16"/>
        </w:rPr>
      </w:pPr>
      <w:r>
        <w:rPr>
          <w:position w:val="6"/>
          <w:sz w:val="10"/>
        </w:rPr>
        <w:t>21 </w:t>
      </w:r>
      <w:r>
        <w:rPr>
          <w:sz w:val="16"/>
        </w:rPr>
        <w:t>See Saunders (2020).</w:t>
      </w:r>
    </w:p>
    <w:p>
      <w:pPr>
        <w:spacing w:before="0"/>
        <w:ind w:left="232" w:right="158" w:firstLine="0"/>
        <w:jc w:val="left"/>
        <w:rPr>
          <w:sz w:val="16"/>
        </w:rPr>
      </w:pPr>
      <w:r>
        <w:rPr>
          <w:position w:val="6"/>
          <w:sz w:val="10"/>
        </w:rPr>
        <w:t>22 </w:t>
      </w:r>
      <w:r>
        <w:rPr>
          <w:sz w:val="16"/>
        </w:rPr>
        <w:t>See </w:t>
      </w:r>
      <w:r>
        <w:rPr>
          <w:i/>
          <w:sz w:val="16"/>
        </w:rPr>
        <w:t>Evans et al. </w:t>
      </w:r>
      <w:r>
        <w:rPr>
          <w:sz w:val="16"/>
        </w:rPr>
        <w:t>(2015), Kiley and Roberts (2017), Mendes, Murchison and Wilkins (2017), Evans (2019), and Williams (2019). In one key respect, my argument differs from that in Evans </w:t>
      </w:r>
      <w:r>
        <w:rPr>
          <w:i/>
          <w:sz w:val="16"/>
        </w:rPr>
        <w:t>et al. </w:t>
      </w:r>
      <w:r>
        <w:rPr>
          <w:sz w:val="16"/>
        </w:rPr>
        <w:t>(2015). In arguing that risk management considerations become increasingly important when monetary policy space is limited, Evans </w:t>
      </w:r>
      <w:r>
        <w:rPr>
          <w:i/>
          <w:sz w:val="16"/>
        </w:rPr>
        <w:t>et al. </w:t>
      </w:r>
      <w:r>
        <w:rPr>
          <w:sz w:val="16"/>
        </w:rPr>
        <w:t>defined monetary policy space in terms of scope to cut interest rates to the effective lower bound. In my speech in January, and again now, consistent with Carney (2020), I am referring to monetary policy space in terms of the MPC’s current toolkit, namely the scope for rate cuts to the effective lower bound, purchases of government and high grade corporate debt, and forward guidance. Policy space is limited because, unless term premia become substantially negative, asset purchases probably could not push longer term rates much below the effective lower bound for the policy rate. The MPC could still expand QE or reintroduce forward guidance even if the entire yield curve is at or below the ELB. But the effectiveness of such measures may be less – and surely is less certain – under those</w:t>
      </w:r>
      <w:r>
        <w:rPr>
          <w:spacing w:val="-11"/>
          <w:sz w:val="16"/>
        </w:rPr>
        <w:t> </w:t>
      </w:r>
      <w:r>
        <w:rPr>
          <w:sz w:val="16"/>
        </w:rPr>
        <w:t>conditions.</w:t>
      </w:r>
    </w:p>
    <w:p>
      <w:pPr>
        <w:spacing w:line="181" w:lineRule="exact" w:before="0"/>
        <w:ind w:left="232" w:right="0" w:firstLine="0"/>
        <w:jc w:val="left"/>
        <w:rPr>
          <w:sz w:val="16"/>
        </w:rPr>
      </w:pPr>
      <w:r>
        <w:rPr>
          <w:position w:val="6"/>
          <w:sz w:val="10"/>
        </w:rPr>
        <w:t>23 </w:t>
      </w:r>
      <w:r>
        <w:rPr>
          <w:sz w:val="16"/>
        </w:rPr>
        <w:t>See Reifschneider, Wascher and Wilcox (2015).</w:t>
      </w:r>
    </w:p>
    <w:p>
      <w:pPr>
        <w:spacing w:line="185" w:lineRule="exact" w:before="0"/>
        <w:ind w:left="232" w:right="0" w:firstLine="0"/>
        <w:jc w:val="left"/>
        <w:rPr>
          <w:sz w:val="16"/>
        </w:rPr>
      </w:pPr>
      <w:r>
        <w:rPr>
          <w:position w:val="6"/>
          <w:sz w:val="10"/>
        </w:rPr>
        <w:t>24 </w:t>
      </w:r>
      <w:r>
        <w:rPr>
          <w:sz w:val="16"/>
        </w:rPr>
        <w:t>See Acharya </w:t>
      </w:r>
      <w:r>
        <w:rPr>
          <w:i/>
          <w:sz w:val="16"/>
        </w:rPr>
        <w:t>et al. </w:t>
      </w:r>
      <w:r>
        <w:rPr>
          <w:sz w:val="16"/>
        </w:rPr>
        <w:t>(2018), Garga and Singh (2018), Poloz (2020).</w:t>
      </w:r>
    </w:p>
    <w:p>
      <w:pPr>
        <w:spacing w:line="184" w:lineRule="exact" w:before="0"/>
        <w:ind w:left="232" w:right="0" w:firstLine="0"/>
        <w:jc w:val="left"/>
        <w:rPr>
          <w:sz w:val="16"/>
        </w:rPr>
      </w:pPr>
      <w:r>
        <w:rPr>
          <w:position w:val="6"/>
          <w:sz w:val="10"/>
        </w:rPr>
        <w:t>25 </w:t>
      </w:r>
      <w:r>
        <w:rPr>
          <w:sz w:val="16"/>
        </w:rPr>
        <w:t>See BoE </w:t>
      </w:r>
      <w:r>
        <w:rPr>
          <w:i/>
          <w:sz w:val="16"/>
        </w:rPr>
        <w:t>Inflation Report </w:t>
      </w:r>
      <w:r>
        <w:rPr>
          <w:sz w:val="16"/>
        </w:rPr>
        <w:t>of August 2018.</w:t>
      </w:r>
    </w:p>
    <w:p>
      <w:pPr>
        <w:spacing w:line="185" w:lineRule="exact" w:before="0"/>
        <w:ind w:left="232" w:right="0" w:firstLine="0"/>
        <w:jc w:val="left"/>
        <w:rPr>
          <w:sz w:val="16"/>
        </w:rPr>
      </w:pPr>
      <w:r>
        <w:rPr>
          <w:position w:val="6"/>
          <w:sz w:val="10"/>
        </w:rPr>
        <w:t>26 </w:t>
      </w:r>
      <w:r>
        <w:rPr>
          <w:sz w:val="16"/>
        </w:rPr>
        <w:t>See Lisack, Sajedi and Thwaites (2017).</w:t>
      </w:r>
    </w:p>
    <w:p>
      <w:pPr>
        <w:spacing w:after="0" w:line="185" w:lineRule="exact"/>
        <w:jc w:val="left"/>
        <w:rPr>
          <w:sz w:val="16"/>
        </w:rPr>
        <w:sectPr>
          <w:footerReference w:type="default" r:id="rId22"/>
          <w:pgSz w:w="11910" w:h="16840"/>
          <w:pgMar w:footer="1338" w:header="0" w:top="1520" w:bottom="1520" w:left="900" w:right="980"/>
        </w:sectPr>
      </w:pPr>
    </w:p>
    <w:p>
      <w:pPr>
        <w:pStyle w:val="BodyText"/>
        <w:spacing w:line="360" w:lineRule="auto" w:before="81"/>
        <w:ind w:left="232"/>
      </w:pPr>
      <w:r>
        <w:rPr/>
        <w:t>(see figure 13). Even so, as noted earlier, financial conditions have tightened since early this year (see figure 14). With a lower neutral rate, the likelihood that the economy gets stuck in a low inflation rut is higher and hence the case to respond strongly to downside risks is correspondingly greater.</w:t>
      </w:r>
    </w:p>
    <w:p>
      <w:pPr>
        <w:pStyle w:val="BodyText"/>
      </w:pPr>
    </w:p>
    <w:p>
      <w:pPr>
        <w:pStyle w:val="BodyText"/>
        <w:spacing w:before="5"/>
        <w:rPr>
          <w:sz w:val="10"/>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9"/>
        <w:gridCol w:w="120"/>
        <w:gridCol w:w="186"/>
        <w:gridCol w:w="4739"/>
      </w:tblGrid>
      <w:tr>
        <w:trPr>
          <w:trHeight w:val="683" w:hRule="atLeast"/>
        </w:trPr>
        <w:tc>
          <w:tcPr>
            <w:tcW w:w="4619" w:type="dxa"/>
            <w:tcBorders>
              <w:bottom w:val="single" w:sz="2" w:space="0" w:color="D9D9D9"/>
            </w:tcBorders>
          </w:tcPr>
          <w:p>
            <w:pPr>
              <w:pStyle w:val="TableParagraph"/>
              <w:spacing w:line="223" w:lineRule="exact"/>
              <w:ind w:left="-2"/>
              <w:rPr>
                <w:rFonts w:ascii="Arial" w:hAnsi="Arial"/>
                <w:b/>
                <w:sz w:val="20"/>
              </w:rPr>
            </w:pPr>
            <w:r>
              <w:rPr>
                <w:rFonts w:ascii="Arial" w:hAnsi="Arial"/>
                <w:b/>
                <w:sz w:val="20"/>
              </w:rPr>
              <w:t>Figure 13. UK – Forward Path of Short-Term</w:t>
            </w:r>
          </w:p>
          <w:p>
            <w:pPr>
              <w:pStyle w:val="TableParagraph"/>
              <w:spacing w:before="113"/>
              <w:ind w:left="-2"/>
              <w:rPr>
                <w:rFonts w:ascii="Arial"/>
                <w:b/>
                <w:sz w:val="20"/>
              </w:rPr>
            </w:pPr>
            <w:r>
              <w:rPr>
                <w:rFonts w:ascii="Arial"/>
                <w:b/>
                <w:sz w:val="20"/>
              </w:rPr>
              <w:t>Rates Implied By Yield Curves</w:t>
            </w:r>
          </w:p>
        </w:tc>
        <w:tc>
          <w:tcPr>
            <w:tcW w:w="120" w:type="dxa"/>
            <w:tcBorders>
              <w:bottom w:val="single" w:sz="2" w:space="0" w:color="D9D9D9"/>
            </w:tcBorders>
          </w:tcPr>
          <w:p>
            <w:pPr>
              <w:pStyle w:val="TableParagraph"/>
              <w:rPr>
                <w:rFonts w:ascii="Times New Roman"/>
                <w:sz w:val="18"/>
              </w:rPr>
            </w:pPr>
          </w:p>
        </w:tc>
        <w:tc>
          <w:tcPr>
            <w:tcW w:w="186" w:type="dxa"/>
          </w:tcPr>
          <w:p>
            <w:pPr>
              <w:pStyle w:val="TableParagraph"/>
              <w:rPr>
                <w:rFonts w:ascii="Times New Roman"/>
                <w:sz w:val="18"/>
              </w:rPr>
            </w:pPr>
          </w:p>
        </w:tc>
        <w:tc>
          <w:tcPr>
            <w:tcW w:w="4739" w:type="dxa"/>
            <w:tcBorders>
              <w:bottom w:val="single" w:sz="2" w:space="0" w:color="D9D9D9"/>
            </w:tcBorders>
          </w:tcPr>
          <w:p>
            <w:pPr>
              <w:pStyle w:val="TableParagraph"/>
              <w:spacing w:line="223" w:lineRule="exact"/>
              <w:ind w:left="2"/>
              <w:rPr>
                <w:rFonts w:ascii="Arial" w:hAnsi="Arial"/>
                <w:b/>
                <w:sz w:val="20"/>
              </w:rPr>
            </w:pPr>
            <w:r>
              <w:rPr>
                <w:rFonts w:ascii="Arial" w:hAnsi="Arial"/>
                <w:b/>
                <w:sz w:val="20"/>
              </w:rPr>
              <w:t>Figure 14. UK – Changes in the Monetary</w:t>
            </w:r>
            <w:r>
              <w:rPr>
                <w:rFonts w:ascii="Arial" w:hAnsi="Arial"/>
                <w:b/>
                <w:spacing w:val="-15"/>
                <w:sz w:val="20"/>
              </w:rPr>
              <w:t> </w:t>
            </w:r>
            <w:r>
              <w:rPr>
                <w:rFonts w:ascii="Arial" w:hAnsi="Arial"/>
                <w:b/>
                <w:sz w:val="20"/>
              </w:rPr>
              <w:t>and</w:t>
            </w:r>
          </w:p>
          <w:p>
            <w:pPr>
              <w:pStyle w:val="TableParagraph"/>
              <w:spacing w:before="113"/>
              <w:ind w:left="2"/>
              <w:rPr>
                <w:rFonts w:ascii="Arial"/>
                <w:b/>
                <w:sz w:val="20"/>
              </w:rPr>
            </w:pPr>
            <w:r>
              <w:rPr>
                <w:rFonts w:ascii="Arial"/>
                <w:b/>
                <w:sz w:val="20"/>
              </w:rPr>
              <w:t>Financial Conditions Index since Jan 20</w:t>
            </w:r>
            <w:r>
              <w:rPr>
                <w:rFonts w:ascii="Arial"/>
                <w:b/>
                <w:spacing w:val="-14"/>
                <w:sz w:val="20"/>
              </w:rPr>
              <w:t> </w:t>
            </w:r>
            <w:r>
              <w:rPr>
                <w:rFonts w:ascii="Arial"/>
                <w:b/>
                <w:sz w:val="20"/>
              </w:rPr>
              <w:t>MPR</w:t>
            </w:r>
          </w:p>
        </w:tc>
      </w:tr>
      <w:tr>
        <w:trPr>
          <w:trHeight w:val="3487" w:hRule="atLeast"/>
        </w:trPr>
        <w:tc>
          <w:tcPr>
            <w:tcW w:w="4619" w:type="dxa"/>
            <w:tcBorders>
              <w:top w:val="single" w:sz="2" w:space="0" w:color="D9D9D9"/>
              <w:left w:val="single" w:sz="2" w:space="0" w:color="D9D9D9"/>
              <w:bottom w:val="single" w:sz="2" w:space="0" w:color="D9D9D9"/>
            </w:tcBorders>
          </w:tcPr>
          <w:p>
            <w:pPr>
              <w:pStyle w:val="TableParagraph"/>
              <w:spacing w:line="198" w:lineRule="exact"/>
              <w:ind w:right="4328"/>
              <w:jc w:val="center"/>
              <w:rPr>
                <w:b/>
                <w:sz w:val="17"/>
              </w:rPr>
            </w:pPr>
            <w:r>
              <w:rPr>
                <w:b/>
                <w:w w:val="91"/>
                <w:sz w:val="17"/>
              </w:rPr>
              <w:t>5</w:t>
            </w:r>
          </w:p>
          <w:p>
            <w:pPr>
              <w:pStyle w:val="TableParagraph"/>
              <w:spacing w:line="177" w:lineRule="exact" w:before="112"/>
              <w:ind w:left="425"/>
              <w:rPr>
                <w:b/>
                <w:sz w:val="17"/>
              </w:rPr>
            </w:pPr>
            <w:r>
              <w:rPr>
                <w:b/>
                <w:w w:val="91"/>
                <w:sz w:val="17"/>
              </w:rPr>
              <w:t>%</w:t>
            </w:r>
          </w:p>
          <w:p>
            <w:pPr>
              <w:pStyle w:val="TableParagraph"/>
              <w:spacing w:line="177" w:lineRule="exact"/>
              <w:ind w:right="4328"/>
              <w:jc w:val="center"/>
              <w:rPr>
                <w:b/>
                <w:sz w:val="17"/>
              </w:rPr>
            </w:pPr>
            <w:r>
              <w:rPr>
                <w:b/>
                <w:w w:val="91"/>
                <w:sz w:val="17"/>
              </w:rPr>
              <w:t>4</w:t>
            </w:r>
          </w:p>
          <w:p>
            <w:pPr>
              <w:pStyle w:val="TableParagraph"/>
              <w:spacing w:before="5"/>
              <w:rPr>
                <w:rFonts w:ascii="Arial"/>
                <w:sz w:val="22"/>
              </w:rPr>
            </w:pPr>
          </w:p>
          <w:p>
            <w:pPr>
              <w:pStyle w:val="TableParagraph"/>
              <w:spacing w:before="1"/>
              <w:ind w:right="4328"/>
              <w:jc w:val="center"/>
              <w:rPr>
                <w:b/>
                <w:sz w:val="17"/>
              </w:rPr>
            </w:pPr>
            <w:r>
              <w:rPr>
                <w:b/>
                <w:w w:val="91"/>
                <w:sz w:val="17"/>
              </w:rPr>
              <w:t>3</w:t>
            </w:r>
          </w:p>
          <w:p>
            <w:pPr>
              <w:pStyle w:val="TableParagraph"/>
              <w:spacing w:before="5"/>
              <w:rPr>
                <w:rFonts w:ascii="Arial"/>
                <w:sz w:val="22"/>
              </w:rPr>
            </w:pPr>
          </w:p>
          <w:p>
            <w:pPr>
              <w:pStyle w:val="TableParagraph"/>
              <w:ind w:right="4328"/>
              <w:jc w:val="center"/>
              <w:rPr>
                <w:b/>
                <w:sz w:val="17"/>
              </w:rPr>
            </w:pPr>
            <w:r>
              <w:rPr>
                <w:b/>
                <w:w w:val="91"/>
                <w:sz w:val="17"/>
              </w:rPr>
              <w:t>2</w:t>
            </w:r>
          </w:p>
          <w:p>
            <w:pPr>
              <w:pStyle w:val="TableParagraph"/>
              <w:spacing w:before="5"/>
              <w:rPr>
                <w:rFonts w:ascii="Arial"/>
                <w:sz w:val="22"/>
              </w:rPr>
            </w:pPr>
          </w:p>
          <w:p>
            <w:pPr>
              <w:pStyle w:val="TableParagraph"/>
              <w:ind w:right="4329"/>
              <w:jc w:val="center"/>
              <w:rPr>
                <w:b/>
                <w:sz w:val="17"/>
              </w:rPr>
            </w:pPr>
            <w:r>
              <w:rPr>
                <w:b/>
                <w:w w:val="91"/>
                <w:sz w:val="17"/>
              </w:rPr>
              <w:t>1</w:t>
            </w:r>
          </w:p>
          <w:p>
            <w:pPr>
              <w:pStyle w:val="TableParagraph"/>
              <w:spacing w:before="6"/>
              <w:rPr>
                <w:rFonts w:ascii="Arial"/>
                <w:sz w:val="22"/>
              </w:rPr>
            </w:pPr>
          </w:p>
          <w:p>
            <w:pPr>
              <w:pStyle w:val="TableParagraph"/>
              <w:tabs>
                <w:tab w:pos="950" w:val="left" w:leader="none"/>
                <w:tab w:pos="2374" w:val="left" w:leader="none"/>
                <w:tab w:pos="3799" w:val="left" w:leader="none"/>
              </w:tabs>
              <w:ind w:right="449"/>
              <w:jc w:val="center"/>
              <w:rPr>
                <w:b/>
                <w:sz w:val="17"/>
              </w:rPr>
            </w:pPr>
            <w:r>
              <w:rPr>
                <w:b/>
                <w:sz w:val="17"/>
              </w:rPr>
              <w:t>0</w:t>
              <w:tab/>
            </w:r>
            <w:r>
              <w:rPr>
                <w:b/>
                <w:w w:val="91"/>
                <w:sz w:val="17"/>
                <w:u w:val="thick" w:color="66FF33"/>
              </w:rPr>
              <w:t> </w:t>
            </w:r>
            <w:r>
              <w:rPr>
                <w:b/>
                <w:sz w:val="17"/>
                <w:u w:val="thick" w:color="66FF33"/>
              </w:rPr>
              <w:t>  </w:t>
            </w:r>
            <w:r>
              <w:rPr>
                <w:b/>
                <w:spacing w:val="7"/>
                <w:sz w:val="17"/>
                <w:u w:val="thick" w:color="66FF33"/>
              </w:rPr>
              <w:t> </w:t>
            </w:r>
            <w:r>
              <w:rPr>
                <w:b/>
                <w:sz w:val="17"/>
              </w:rPr>
              <w:tab/>
            </w:r>
            <w:r>
              <w:rPr>
                <w:b/>
                <w:w w:val="91"/>
                <w:sz w:val="17"/>
                <w:u w:val="thick" w:color="FF00FF"/>
              </w:rPr>
              <w:t> </w:t>
            </w:r>
            <w:r>
              <w:rPr>
                <w:b/>
                <w:sz w:val="17"/>
                <w:u w:val="thick" w:color="FF00FF"/>
              </w:rPr>
              <w:t>  </w:t>
            </w:r>
            <w:r>
              <w:rPr>
                <w:b/>
                <w:spacing w:val="7"/>
                <w:sz w:val="17"/>
                <w:u w:val="thick" w:color="FF00FF"/>
              </w:rPr>
              <w:t> </w:t>
            </w:r>
            <w:r>
              <w:rPr>
                <w:b/>
                <w:sz w:val="17"/>
              </w:rPr>
              <w:tab/>
            </w:r>
            <w:r>
              <w:rPr>
                <w:b/>
                <w:w w:val="91"/>
                <w:sz w:val="17"/>
                <w:u w:val="thick" w:color="0000FF"/>
              </w:rPr>
              <w:t> </w:t>
            </w:r>
            <w:r>
              <w:rPr>
                <w:b/>
                <w:spacing w:val="7"/>
                <w:sz w:val="17"/>
                <w:u w:val="thick" w:color="0000FF"/>
              </w:rPr>
              <w:t> </w:t>
            </w:r>
          </w:p>
          <w:p>
            <w:pPr>
              <w:pStyle w:val="TableParagraph"/>
              <w:tabs>
                <w:tab w:pos="2437" w:val="left" w:leader="none"/>
                <w:tab w:pos="3862" w:val="left" w:leader="none"/>
              </w:tabs>
              <w:spacing w:before="30"/>
              <w:ind w:left="1013"/>
              <w:jc w:val="center"/>
              <w:rPr>
                <w:b/>
                <w:sz w:val="17"/>
              </w:rPr>
            </w:pPr>
            <w:r>
              <w:rPr>
                <w:b/>
                <w:w w:val="95"/>
                <w:sz w:val="17"/>
              </w:rPr>
              <w:t>2010-14</w:t>
            </w:r>
            <w:r>
              <w:rPr>
                <w:b/>
                <w:spacing w:val="-15"/>
                <w:w w:val="95"/>
                <w:sz w:val="17"/>
              </w:rPr>
              <w:t> </w:t>
            </w:r>
            <w:r>
              <w:rPr>
                <w:b/>
                <w:w w:val="95"/>
                <w:sz w:val="17"/>
              </w:rPr>
              <w:t>Average</w:t>
              <w:tab/>
              <w:t>2015-19</w:t>
            </w:r>
            <w:r>
              <w:rPr>
                <w:b/>
                <w:spacing w:val="-15"/>
                <w:w w:val="95"/>
                <w:sz w:val="17"/>
              </w:rPr>
              <w:t> </w:t>
            </w:r>
            <w:r>
              <w:rPr>
                <w:b/>
                <w:w w:val="95"/>
                <w:sz w:val="17"/>
              </w:rPr>
              <w:t>Average</w:t>
              <w:tab/>
            </w:r>
            <w:r>
              <w:rPr>
                <w:b/>
                <w:sz w:val="17"/>
              </w:rPr>
              <w:t>Latest</w:t>
            </w:r>
          </w:p>
          <w:p>
            <w:pPr>
              <w:pStyle w:val="TableParagraph"/>
              <w:spacing w:before="21"/>
              <w:ind w:right="4377"/>
              <w:jc w:val="center"/>
              <w:rPr>
                <w:b/>
                <w:sz w:val="17"/>
              </w:rPr>
            </w:pPr>
            <w:r>
              <w:rPr>
                <w:b/>
                <w:sz w:val="17"/>
              </w:rPr>
              <w:t>-1</w:t>
            </w:r>
          </w:p>
          <w:p>
            <w:pPr>
              <w:pStyle w:val="TableParagraph"/>
              <w:tabs>
                <w:tab w:pos="538" w:val="left" w:leader="none"/>
                <w:tab w:pos="875" w:val="left" w:leader="none"/>
                <w:tab w:pos="1212" w:val="left" w:leader="none"/>
                <w:tab w:pos="1549" w:val="left" w:leader="none"/>
                <w:tab w:pos="1846" w:val="left" w:leader="none"/>
              </w:tabs>
              <w:spacing w:before="21"/>
              <w:ind w:left="202"/>
              <w:jc w:val="center"/>
              <w:rPr>
                <w:b/>
                <w:sz w:val="17"/>
              </w:rPr>
            </w:pPr>
            <w:r>
              <w:rPr>
                <w:b/>
                <w:sz w:val="17"/>
              </w:rPr>
              <w:t>0</w:t>
              <w:tab/>
              <w:t>2</w:t>
              <w:tab/>
              <w:t>4</w:t>
              <w:tab/>
              <w:t>6</w:t>
              <w:tab/>
              <w:t>8</w:t>
              <w:tab/>
              <w:t>10</w:t>
            </w:r>
            <w:r>
              <w:rPr>
                <w:b/>
                <w:spacing w:val="8"/>
                <w:sz w:val="17"/>
              </w:rPr>
              <w:t> </w:t>
            </w:r>
            <w:r>
              <w:rPr>
                <w:b/>
                <w:sz w:val="17"/>
              </w:rPr>
              <w:t>12</w:t>
            </w:r>
            <w:r>
              <w:rPr>
                <w:b/>
                <w:spacing w:val="9"/>
                <w:sz w:val="17"/>
              </w:rPr>
              <w:t> </w:t>
            </w:r>
            <w:r>
              <w:rPr>
                <w:b/>
                <w:sz w:val="17"/>
              </w:rPr>
              <w:t>14</w:t>
            </w:r>
            <w:r>
              <w:rPr>
                <w:b/>
                <w:spacing w:val="8"/>
                <w:sz w:val="17"/>
              </w:rPr>
              <w:t> </w:t>
            </w:r>
            <w:r>
              <w:rPr>
                <w:b/>
                <w:sz w:val="17"/>
              </w:rPr>
              <w:t>16</w:t>
            </w:r>
            <w:r>
              <w:rPr>
                <w:b/>
                <w:spacing w:val="9"/>
                <w:sz w:val="17"/>
              </w:rPr>
              <w:t> </w:t>
            </w:r>
            <w:r>
              <w:rPr>
                <w:b/>
                <w:sz w:val="17"/>
              </w:rPr>
              <w:t>18</w:t>
            </w:r>
            <w:r>
              <w:rPr>
                <w:b/>
                <w:spacing w:val="9"/>
                <w:sz w:val="17"/>
              </w:rPr>
              <w:t> </w:t>
            </w:r>
            <w:r>
              <w:rPr>
                <w:b/>
                <w:sz w:val="17"/>
              </w:rPr>
              <w:t>20</w:t>
            </w:r>
            <w:r>
              <w:rPr>
                <w:b/>
                <w:spacing w:val="8"/>
                <w:sz w:val="17"/>
              </w:rPr>
              <w:t> </w:t>
            </w:r>
            <w:r>
              <w:rPr>
                <w:b/>
                <w:sz w:val="17"/>
              </w:rPr>
              <w:t>22</w:t>
            </w:r>
            <w:r>
              <w:rPr>
                <w:b/>
                <w:spacing w:val="9"/>
                <w:sz w:val="17"/>
              </w:rPr>
              <w:t> </w:t>
            </w:r>
            <w:r>
              <w:rPr>
                <w:b/>
                <w:sz w:val="17"/>
              </w:rPr>
              <w:t>24</w:t>
            </w:r>
          </w:p>
          <w:p>
            <w:pPr>
              <w:pStyle w:val="TableParagraph"/>
              <w:spacing w:before="27"/>
              <w:ind w:left="710" w:right="449"/>
              <w:jc w:val="center"/>
              <w:rPr>
                <w:b/>
                <w:sz w:val="17"/>
              </w:rPr>
            </w:pPr>
            <w:r>
              <w:rPr>
                <w:b/>
                <w:sz w:val="17"/>
              </w:rPr>
              <w:t>Years Forward ---&gt;</w:t>
            </w:r>
          </w:p>
        </w:tc>
        <w:tc>
          <w:tcPr>
            <w:tcW w:w="120" w:type="dxa"/>
            <w:tcBorders>
              <w:top w:val="single" w:sz="2" w:space="0" w:color="D9D9D9"/>
              <w:bottom w:val="single" w:sz="2" w:space="0" w:color="D9D9D9"/>
              <w:right w:val="single" w:sz="2" w:space="0" w:color="D9D9D9"/>
            </w:tcBorders>
          </w:tcPr>
          <w:p>
            <w:pPr>
              <w:pStyle w:val="TableParagraph"/>
              <w:rPr>
                <w:rFonts w:ascii="Times New Roman"/>
                <w:sz w:val="18"/>
              </w:rPr>
            </w:pPr>
          </w:p>
        </w:tc>
        <w:tc>
          <w:tcPr>
            <w:tcW w:w="186" w:type="dxa"/>
            <w:tcBorders>
              <w:left w:val="single" w:sz="2" w:space="0" w:color="D9D9D9"/>
              <w:right w:val="single" w:sz="2" w:space="0" w:color="D9D9D9"/>
            </w:tcBorders>
          </w:tcPr>
          <w:p>
            <w:pPr>
              <w:pStyle w:val="TableParagraph"/>
              <w:rPr>
                <w:rFonts w:ascii="Times New Roman"/>
                <w:sz w:val="18"/>
              </w:rPr>
            </w:pPr>
          </w:p>
        </w:tc>
        <w:tc>
          <w:tcPr>
            <w:tcW w:w="4739" w:type="dxa"/>
            <w:tcBorders>
              <w:top w:val="single" w:sz="2" w:space="0" w:color="D9D9D9"/>
              <w:left w:val="single" w:sz="2" w:space="0" w:color="D9D9D9"/>
              <w:bottom w:val="single" w:sz="2" w:space="0" w:color="D9D9D9"/>
              <w:right w:val="single" w:sz="2" w:space="0" w:color="D9D9D9"/>
            </w:tcBorders>
          </w:tcPr>
          <w:p>
            <w:pPr>
              <w:pStyle w:val="TableParagraph"/>
              <w:spacing w:before="27"/>
              <w:ind w:left="57"/>
              <w:rPr>
                <w:b/>
                <w:sz w:val="17"/>
              </w:rPr>
            </w:pPr>
            <w:r>
              <w:rPr>
                <w:b/>
                <w:sz w:val="17"/>
              </w:rPr>
              <w:t>1.5</w:t>
            </w:r>
          </w:p>
          <w:p>
            <w:pPr>
              <w:pStyle w:val="TableParagraph"/>
              <w:spacing w:before="6"/>
              <w:ind w:left="483"/>
              <w:rPr>
                <w:b/>
                <w:sz w:val="17"/>
              </w:rPr>
            </w:pPr>
            <w:r>
              <w:rPr>
                <w:b/>
                <w:sz w:val="17"/>
              </w:rPr>
              <w:t>Index Points</w:t>
            </w:r>
          </w:p>
          <w:p>
            <w:pPr>
              <w:pStyle w:val="TableParagraph"/>
              <w:spacing w:before="9"/>
              <w:rPr>
                <w:rFonts w:ascii="Arial"/>
                <w:sz w:val="15"/>
              </w:rPr>
            </w:pPr>
          </w:p>
          <w:p>
            <w:pPr>
              <w:pStyle w:val="TableParagraph"/>
              <w:ind w:left="57"/>
              <w:rPr>
                <w:b/>
                <w:sz w:val="17"/>
              </w:rPr>
            </w:pPr>
            <w:r>
              <w:rPr>
                <w:b/>
                <w:sz w:val="17"/>
              </w:rPr>
              <w:t>1.0</w:t>
            </w:r>
          </w:p>
          <w:p>
            <w:pPr>
              <w:pStyle w:val="TableParagraph"/>
              <w:spacing w:before="74"/>
              <w:ind w:left="854"/>
              <w:rPr>
                <w:b/>
                <w:sz w:val="17"/>
              </w:rPr>
            </w:pPr>
            <w:r>
              <w:rPr>
                <w:b/>
                <w:sz w:val="17"/>
              </w:rPr>
              <w:t>Tighter Financial</w:t>
            </w:r>
          </w:p>
          <w:p>
            <w:pPr>
              <w:pStyle w:val="TableParagraph"/>
              <w:tabs>
                <w:tab w:pos="854" w:val="left" w:leader="none"/>
              </w:tabs>
              <w:spacing w:before="8"/>
              <w:ind w:left="57"/>
              <w:rPr>
                <w:b/>
                <w:sz w:val="17"/>
              </w:rPr>
            </w:pPr>
            <w:r>
              <w:rPr>
                <w:b/>
                <w:position w:val="-10"/>
                <w:sz w:val="17"/>
              </w:rPr>
              <w:t>0.5</w:t>
              <w:tab/>
            </w:r>
            <w:r>
              <w:rPr>
                <w:b/>
                <w:sz w:val="17"/>
              </w:rPr>
              <w:t>Conditions</w:t>
            </w:r>
          </w:p>
          <w:p>
            <w:pPr>
              <w:pStyle w:val="TableParagraph"/>
              <w:spacing w:before="1"/>
              <w:rPr>
                <w:rFonts w:ascii="Arial"/>
                <w:sz w:val="34"/>
              </w:rPr>
            </w:pPr>
          </w:p>
          <w:p>
            <w:pPr>
              <w:pStyle w:val="TableParagraph"/>
              <w:spacing w:before="1"/>
              <w:ind w:left="57"/>
              <w:rPr>
                <w:b/>
                <w:sz w:val="17"/>
              </w:rPr>
            </w:pPr>
            <w:r>
              <w:rPr>
                <w:b/>
                <w:sz w:val="17"/>
              </w:rPr>
              <w:t>0.0</w:t>
            </w:r>
          </w:p>
          <w:p>
            <w:pPr>
              <w:pStyle w:val="TableParagraph"/>
              <w:spacing w:before="120"/>
              <w:ind w:left="661"/>
              <w:rPr>
                <w:b/>
                <w:sz w:val="17"/>
              </w:rPr>
            </w:pPr>
            <w:r>
              <w:rPr>
                <w:b/>
                <w:sz w:val="17"/>
              </w:rPr>
              <w:t>Equity Prices, Credit Spreads and Other</w:t>
            </w:r>
          </w:p>
          <w:p>
            <w:pPr>
              <w:pStyle w:val="TableParagraph"/>
              <w:tabs>
                <w:tab w:pos="661" w:val="left" w:leader="none"/>
                <w:tab w:pos="3206" w:val="left" w:leader="none"/>
              </w:tabs>
              <w:spacing w:line="230" w:lineRule="auto" w:before="53"/>
              <w:ind w:left="661" w:right="491" w:hanging="652"/>
              <w:rPr>
                <w:b/>
                <w:sz w:val="17"/>
              </w:rPr>
            </w:pPr>
            <w:r>
              <w:rPr>
                <w:b/>
                <w:position w:val="-1"/>
                <w:sz w:val="17"/>
              </w:rPr>
              <w:t>-0.5</w:t>
              <w:tab/>
            </w:r>
            <w:r>
              <w:rPr>
                <w:b/>
                <w:sz w:val="17"/>
              </w:rPr>
              <w:t>Sterling</w:t>
            </w:r>
            <w:r>
              <w:rPr>
                <w:b/>
                <w:spacing w:val="-21"/>
                <w:sz w:val="17"/>
              </w:rPr>
              <w:t> </w:t>
            </w:r>
            <w:r>
              <w:rPr>
                <w:b/>
                <w:sz w:val="17"/>
              </w:rPr>
              <w:t>ERI</w:t>
              <w:tab/>
            </w:r>
            <w:r>
              <w:rPr>
                <w:b/>
                <w:w w:val="95"/>
                <w:sz w:val="17"/>
              </w:rPr>
              <w:t>Looser</w:t>
            </w:r>
            <w:r>
              <w:rPr>
                <w:b/>
                <w:spacing w:val="-21"/>
                <w:w w:val="95"/>
                <w:sz w:val="17"/>
              </w:rPr>
              <w:t> </w:t>
            </w:r>
            <w:r>
              <w:rPr>
                <w:b/>
                <w:spacing w:val="-3"/>
                <w:w w:val="95"/>
                <w:sz w:val="17"/>
              </w:rPr>
              <w:t>Financial </w:t>
            </w:r>
            <w:r>
              <w:rPr>
                <w:b/>
                <w:sz w:val="17"/>
              </w:rPr>
              <w:t>Interest</w:t>
            </w:r>
            <w:r>
              <w:rPr>
                <w:b/>
                <w:spacing w:val="-21"/>
                <w:sz w:val="17"/>
              </w:rPr>
              <w:t> </w:t>
            </w:r>
            <w:r>
              <w:rPr>
                <w:b/>
                <w:sz w:val="17"/>
              </w:rPr>
              <w:t>Rates</w:t>
              <w:tab/>
            </w:r>
            <w:r>
              <w:rPr>
                <w:b/>
                <w:position w:val="4"/>
                <w:sz w:val="17"/>
              </w:rPr>
              <w:t>Conditions</w:t>
            </w:r>
          </w:p>
          <w:p>
            <w:pPr>
              <w:pStyle w:val="TableParagraph"/>
              <w:tabs>
                <w:tab w:pos="661" w:val="left" w:leader="none"/>
              </w:tabs>
              <w:spacing w:before="47"/>
              <w:ind w:left="9"/>
              <w:rPr>
                <w:b/>
                <w:sz w:val="17"/>
              </w:rPr>
            </w:pPr>
            <w:r>
              <w:rPr>
                <w:b/>
                <w:position w:val="-10"/>
                <w:sz w:val="17"/>
              </w:rPr>
              <w:t>-1.0</w:t>
              <w:tab/>
            </w:r>
            <w:r>
              <w:rPr>
                <w:b/>
                <w:sz w:val="17"/>
              </w:rPr>
              <w:t>Monetary</w:t>
            </w:r>
            <w:r>
              <w:rPr>
                <w:b/>
                <w:spacing w:val="-10"/>
                <w:sz w:val="17"/>
              </w:rPr>
              <w:t> </w:t>
            </w:r>
            <w:r>
              <w:rPr>
                <w:b/>
                <w:sz w:val="17"/>
              </w:rPr>
              <w:t>and</w:t>
            </w:r>
            <w:r>
              <w:rPr>
                <w:b/>
                <w:spacing w:val="-8"/>
                <w:sz w:val="17"/>
              </w:rPr>
              <w:t> </w:t>
            </w:r>
            <w:r>
              <w:rPr>
                <w:b/>
                <w:sz w:val="17"/>
              </w:rPr>
              <w:t>Financial</w:t>
            </w:r>
            <w:r>
              <w:rPr>
                <w:b/>
                <w:spacing w:val="-8"/>
                <w:sz w:val="17"/>
              </w:rPr>
              <w:t> </w:t>
            </w:r>
            <w:r>
              <w:rPr>
                <w:b/>
                <w:sz w:val="17"/>
              </w:rPr>
              <w:t>Conditions</w:t>
            </w:r>
            <w:r>
              <w:rPr>
                <w:b/>
                <w:spacing w:val="-10"/>
                <w:sz w:val="17"/>
              </w:rPr>
              <w:t> </w:t>
            </w:r>
            <w:r>
              <w:rPr>
                <w:b/>
                <w:sz w:val="17"/>
              </w:rPr>
              <w:t>Index</w:t>
            </w:r>
          </w:p>
          <w:p>
            <w:pPr>
              <w:pStyle w:val="TableParagraph"/>
              <w:tabs>
                <w:tab w:pos="1199" w:val="left" w:leader="none"/>
                <w:tab w:pos="2168" w:val="left" w:leader="none"/>
                <w:tab w:pos="3172" w:val="left" w:leader="none"/>
                <w:tab w:pos="4132" w:val="left" w:leader="none"/>
              </w:tabs>
              <w:spacing w:line="195" w:lineRule="exact" w:before="24"/>
              <w:ind w:left="223"/>
              <w:rPr>
                <w:b/>
                <w:sz w:val="17"/>
              </w:rPr>
            </w:pPr>
            <w:r>
              <w:rPr>
                <w:b/>
                <w:sz w:val="17"/>
              </w:rPr>
              <w:t>22</w:t>
            </w:r>
            <w:r>
              <w:rPr>
                <w:b/>
                <w:spacing w:val="-11"/>
                <w:sz w:val="17"/>
              </w:rPr>
              <w:t> </w:t>
            </w:r>
            <w:r>
              <w:rPr>
                <w:b/>
                <w:sz w:val="17"/>
              </w:rPr>
              <w:t>Jan</w:t>
              <w:tab/>
              <w:t>19</w:t>
            </w:r>
            <w:r>
              <w:rPr>
                <w:b/>
                <w:spacing w:val="-12"/>
                <w:sz w:val="17"/>
              </w:rPr>
              <w:t> </w:t>
            </w:r>
            <w:r>
              <w:rPr>
                <w:b/>
                <w:sz w:val="17"/>
              </w:rPr>
              <w:t>Feb</w:t>
              <w:tab/>
              <w:t>18</w:t>
            </w:r>
            <w:r>
              <w:rPr>
                <w:b/>
                <w:spacing w:val="-13"/>
                <w:sz w:val="17"/>
              </w:rPr>
              <w:t> </w:t>
            </w:r>
            <w:r>
              <w:rPr>
                <w:b/>
                <w:sz w:val="17"/>
              </w:rPr>
              <w:t>Mar</w:t>
              <w:tab/>
              <w:t>15</w:t>
            </w:r>
            <w:r>
              <w:rPr>
                <w:b/>
                <w:spacing w:val="-12"/>
                <w:sz w:val="17"/>
              </w:rPr>
              <w:t> </w:t>
            </w:r>
            <w:r>
              <w:rPr>
                <w:b/>
                <w:sz w:val="17"/>
              </w:rPr>
              <w:t>Apr</w:t>
              <w:tab/>
              <w:t>13</w:t>
            </w:r>
            <w:r>
              <w:rPr>
                <w:b/>
                <w:spacing w:val="-11"/>
                <w:sz w:val="17"/>
              </w:rPr>
              <w:t> </w:t>
            </w:r>
            <w:r>
              <w:rPr>
                <w:b/>
                <w:sz w:val="17"/>
              </w:rPr>
              <w:t>May</w:t>
            </w:r>
          </w:p>
        </w:tc>
      </w:tr>
    </w:tbl>
    <w:p>
      <w:pPr>
        <w:spacing w:line="360" w:lineRule="auto" w:before="127"/>
        <w:ind w:left="232" w:right="173" w:firstLine="0"/>
        <w:jc w:val="left"/>
        <w:rPr>
          <w:sz w:val="16"/>
        </w:rPr>
      </w:pPr>
      <w:r>
        <w:rPr/>
        <w:pict>
          <v:group style="position:absolute;margin-left:73.035347pt;margin-top:-169.562454pt;width:214.85pt;height:139.950pt;mso-position-horizontal-relative:page;mso-position-vertical-relative:paragraph;z-index:-253091840" coordorigin="1461,-3391" coordsize="4297,2799">
            <v:shape style="position:absolute;left:1014;top:394;width:13236;height:7632" coordorigin="1014,395" coordsize="13236,7632" path="m1463,-595l5755,-595,5755,-3389,1463,-3389,1463,-595xm1463,-1061l5755,-1061e" filled="false" stroked="true" strokeweight=".207119pt" strokecolor="#000000">
              <v:path arrowok="t"/>
              <v:stroke dashstyle="solid"/>
            </v:shape>
            <v:shape style="position:absolute;left:1591;top:-3183;width:4122;height:1903" coordorigin="1591,-3183" coordsize="4122,1903" path="m1591,-1280l1673,-1338,1759,-1478,1840,-1654,1926,-1830,2012,-1992,2093,-2146,2179,-2286,2265,-2414,2346,-2528,2432,-2629,2514,-2721,2599,-2805,2685,-2875,2767,-2937,2852,-2989,2938,-3033,3019,-3073,3105,-3099,3187,-3126,3272,-3143,3358,-3156,3440,-3165,3525,-3174,3611,-3178,3693,-3183,3778,-3183,3860,-3183,3946,-3183,4031,-3178,4113,-3178,4199,-3174,4284,-3169,4366,-3165,4452,-3161,4533,-3152,4619,-3147,4705,-3139,4786,-3130,4872,-3121,4958,-3112,5039,-3104,5125,-3090,5207,-3082,5292,-3068,5378,-3055,5460,-3042,5545,-3029,5627,-3016,5712,-3003e" filled="false" stroked="true" strokeweight="1.076267pt" strokecolor="#66ff33">
              <v:path arrowok="t"/>
              <v:stroke dashstyle="solid"/>
            </v:shape>
            <v:shape style="position:absolute;left:1591;top:-2304;width:4122;height:1042" coordorigin="1591,-2304" coordsize="4122,1042" path="m1591,-1272l1673,-1263,1759,-1302,1840,-1368,1926,-1434,2012,-1500,2093,-1566,2179,-1623,2265,-1680,2346,-1729,2432,-1777,2514,-1825,2599,-1869,2685,-1913,2767,-1953,2852,-1992,2938,-2027,3019,-2062,3105,-2093,3187,-2124,3272,-2150,3358,-2177,3440,-2199,3525,-2221,3611,-2243,3693,-2256,3778,-2269,3860,-2282,3946,-2291,4031,-2300,4113,-2304,4199,-2304,4284,-2304,4366,-2300,4452,-2295,4533,-2286,4619,-2278,4705,-2264,4786,-2251,4872,-2234,4958,-2216,5039,-2199,5125,-2177,5207,-2155,5292,-2133,5378,-2111,5460,-2084,5545,-2058,5627,-2032,5712,-2001e" filled="false" stroked="true" strokeweight="1.090766pt" strokecolor="#ff00ff">
              <v:path arrowok="t"/>
              <v:stroke dashstyle="solid"/>
            </v:shape>
            <v:shape style="position:absolute;left:1591;top:-1580;width:4122;height:550" coordorigin="1591,-1579" coordsize="4122,550" path="m1591,-1070l1673,-1048,1759,-1030,1840,-1030,1926,-1030,2012,-1034,2093,-1043,2179,-1056,2265,-1074,2346,-1096,2432,-1122,2514,-1149,2599,-1179,2685,-1210,2767,-1245,2852,-1280,2938,-1316,3019,-1346,3105,-1381,3187,-1412,3272,-1443,3358,-1469,3440,-1496,3525,-1518,3611,-1535,3693,-1548,3778,-1562,3860,-1570,3946,-1575,4031,-1579,4113,-1579,4199,-1579,4284,-1575,4366,-1566,4452,-1562,4533,-1553,4619,-1544,4705,-1531,4786,-1518,4872,-1504,4958,-1491,5039,-1474,5125,-1461,5207,-1443,5292,-1425,5378,-1403,5460,-1386,5545,-1364,5627,-1342,5712,-1320e" filled="false" stroked="true" strokeweight="1.096102pt" strokecolor="#0000ff">
              <v:path arrowok="t"/>
              <v:stroke dashstyle="solid"/>
            </v:shape>
            <w10:wrap type="none"/>
          </v:group>
        </w:pict>
      </w:r>
      <w:r>
        <w:rPr/>
        <w:pict>
          <v:group style="position:absolute;margin-left:323.083008pt;margin-top:-167.804581pt;width:204.75pt;height:150.9pt;mso-position-horizontal-relative:page;mso-position-vertical-relative:paragraph;z-index:-253090816" coordorigin="6462,-3356" coordsize="4095,3018">
            <v:rect style="position:absolute;left:6463;top:-3354;width:4091;height:3014" filled="false" stroked="true" strokeweight=".210834pt" strokecolor="#000000">
              <v:stroke dashstyle="solid"/>
            </v:rect>
            <v:shape style="position:absolute;left:6524;top:-1547;width:1257;height:115" coordorigin="6524,-1546" coordsize="1257,115" path="m6547,-1546l6524,-1546,6524,-1480,6547,-1480,6547,-1546m6598,-1546l6575,-1546,6575,-1467,6598,-1467,6598,-1546m6649,-1546l6621,-1546,6621,-1445,6649,-1445,6649,-1546m6695,-1546l6672,-1546,6672,-1476,6695,-1476,6695,-1546m6746,-1546l6723,-1546,6723,-1463,6746,-1463,6746,-1546m6797,-1546l6769,-1546,6769,-1480,6797,-1480,6797,-1546m6843,-1546l6820,-1546,6820,-1467,6843,-1467,6843,-1546m6894,-1546l6870,-1546,6870,-1463,6894,-1463,6894,-1546m6944,-1546l6917,-1546,6917,-1489,6944,-1489,6944,-1546m6991,-1546l6968,-1546,6968,-1507,6991,-1507,6991,-1546m7042,-1546l7018,-1546,7018,-1493,7042,-1493,7042,-1546m7092,-1546l7065,-1546,7065,-1498,7092,-1498,7092,-1546m7139,-1546l7116,-1546,7116,-1485,7139,-1485,7139,-1546m7190,-1546l7166,-1546,7166,-1489,7190,-1489,7190,-1546m7240,-1546l7213,-1546,7213,-1507,7240,-1507,7240,-1546m7287,-1546l7264,-1546,7264,-1515,7287,-1515,7287,-1546m7337,-1546l7314,-1546,7314,-1511,7337,-1511,7337,-1546m7388,-1546l7361,-1546,7361,-1520,7388,-1520,7388,-1546m7435,-1546l7411,-1546,7411,-1507,7435,-1507,7435,-1546m7485,-1546l7462,-1546,7462,-1502,7485,-1502,7485,-1546m7536,-1546l7509,-1546,7509,-1485,7536,-1485,7536,-1546m7583,-1546l7559,-1546,7559,-1485,7583,-1485,7583,-1546m7633,-1546l7610,-1546,7610,-1450,7633,-1450,7633,-1546m7684,-1546l7657,-1546,7657,-1441,7684,-1441,7684,-1546m7731,-1546l7707,-1546,7707,-1441,7731,-1441,7731,-1546m7781,-1546l7758,-1546,7758,-1432,7781,-1432,7781,-1546e" filled="true" fillcolor="#0000ff" stroked="false">
              <v:path arrowok="t"/>
              <v:fill type="solid"/>
            </v:shape>
            <v:line style="position:absolute" from="7818,-1546" to="7818,-1410" stroked="true" strokeweight="1.362063pt" strokecolor="#0000ff">
              <v:stroke dashstyle="solid"/>
            </v:line>
            <v:line style="position:absolute" from="7867,-1546" to="7867,-1397" stroked="true" strokeweight="1.167483pt" strokecolor="#0000ff">
              <v:stroke dashstyle="solid"/>
            </v:line>
            <v:line style="position:absolute" from="7917,-1546" to="7917,-1388" stroked="true" strokeweight="1.167483pt" strokecolor="#0000ff">
              <v:stroke dashstyle="solid"/>
            </v:line>
            <v:line style="position:absolute" from="7966,-1546" to="7966,-1384" stroked="true" strokeweight="1.362063pt" strokecolor="#0000ff">
              <v:stroke dashstyle="solid"/>
            </v:line>
            <v:line style="position:absolute" from="8015,-1546" to="8015,-1344" stroked="true" strokeweight="1.167483pt" strokecolor="#0000ff">
              <v:stroke dashstyle="solid"/>
            </v:line>
            <v:line style="position:absolute" from="8065,-1546" to="8065,-1327" stroked="true" strokeweight="1.167483pt" strokecolor="#0000ff">
              <v:stroke dashstyle="solid"/>
            </v:line>
            <v:line style="position:absolute" from="8114,-1546" to="8114,-1300" stroked="true" strokeweight="1.362063pt" strokecolor="#0000ff">
              <v:stroke dashstyle="solid"/>
            </v:line>
            <v:line style="position:absolute" from="8162,-1546" to="8162,-1353" stroked="true" strokeweight="1.167483pt" strokecolor="#0000ff">
              <v:stroke dashstyle="solid"/>
            </v:line>
            <v:line style="position:absolute" from="8213,-1546" to="8213,-1375" stroked="true" strokeweight="1.167483pt" strokecolor="#0000ff">
              <v:stroke dashstyle="solid"/>
            </v:line>
            <v:line style="position:absolute" from="8262,-1546" to="8262,-1401" stroked="true" strokeweight="1.362063pt" strokecolor="#0000ff">
              <v:stroke dashstyle="solid"/>
            </v:line>
            <v:shape style="position:absolute;left:8298;top:-1547;width:273;height:124" coordorigin="8299,-1546" coordsize="273,124" path="m8322,-1546l8299,-1546,8299,-1450,8322,-1450,8322,-1546m8373,-1546l8349,-1546,8349,-1436,8373,-1436,8373,-1546m8423,-1546l8396,-1546,8396,-1476,8423,-1476,8423,-1546m8470,-1546l8447,-1546,8447,-1529,8470,-1529,8470,-1546m8520,-1546l8497,-1546,8497,-1458,8520,-1458,8520,-1546m8571,-1546l8544,-1546,8544,-1423,8571,-1423,8571,-1546e" filled="true" fillcolor="#0000ff" stroked="false">
              <v:path arrowok="t"/>
              <v:fill type="solid"/>
            </v:shape>
            <v:shape style="position:absolute;left:8606;top:-1547;width:51;height:194" coordorigin="8606,-1546" coordsize="51,194" path="m8606,-1546l8606,-1353m8657,-1546l8657,-1392e" filled="false" stroked="true" strokeweight="1.167483pt" strokecolor="#0000ff">
              <v:path arrowok="t"/>
              <v:stroke dashstyle="solid"/>
            </v:shape>
            <v:line style="position:absolute" from="8705,-1546" to="8705,-1379" stroked="true" strokeweight="1.362063pt" strokecolor="#0000ff">
              <v:stroke dashstyle="solid"/>
            </v:line>
            <v:shape style="position:absolute;left:8754;top:-1547;width:51;height:172" coordorigin="8754,-1546" coordsize="51,172" path="m8754,-1546l8754,-1375m8805,-1546l8805,-1375e" filled="false" stroked="true" strokeweight="1.167483pt" strokecolor="#0000ff">
              <v:path arrowok="t"/>
              <v:stroke dashstyle="solid"/>
            </v:shape>
            <v:line style="position:absolute" from="8853,-1546" to="8853,-1370" stroked="true" strokeweight="1.362063pt" strokecolor="#0000ff">
              <v:stroke dashstyle="solid"/>
            </v:line>
            <v:shape style="position:absolute;left:8901;top:-1547;width:51;height:185" coordorigin="8902,-1546" coordsize="51,185" path="m8902,-1546l8902,-1375m8952,-1546l8952,-1362e" filled="false" stroked="true" strokeweight="1.167483pt" strokecolor="#0000ff">
              <v:path arrowok="t"/>
              <v:stroke dashstyle="solid"/>
            </v:shape>
            <v:line style="position:absolute" from="9001,-1546" to="9001,-1362" stroked="true" strokeweight="1.362063pt" strokecolor="#0000ff">
              <v:stroke dashstyle="solid"/>
            </v:line>
            <v:line style="position:absolute" from="9050,-1546" to="9050,-1348" stroked="true" strokeweight="1.167483pt" strokecolor="#0000ff">
              <v:stroke dashstyle="solid"/>
            </v:line>
            <v:line style="position:absolute" from="9100,-1546" to="9100,-1362" stroked="true" strokeweight="1.167483pt" strokecolor="#0000ff">
              <v:stroke dashstyle="solid"/>
            </v:line>
            <v:line style="position:absolute" from="9149,-1546" to="9149,-1397" stroked="true" strokeweight="1.362063pt" strokecolor="#0000ff">
              <v:stroke dashstyle="solid"/>
            </v:line>
            <v:line style="position:absolute" from="9198,-1546" to="9198,-1379" stroked="true" strokeweight="1.167483pt" strokecolor="#0000ff">
              <v:stroke dashstyle="solid"/>
            </v:line>
            <v:line style="position:absolute" from="9248,-1546" to="9248,-1340" stroked="true" strokeweight="1.167483pt" strokecolor="#0000ff">
              <v:stroke dashstyle="solid"/>
            </v:line>
            <v:line style="position:absolute" from="9297,-1546" to="9297,-1340" stroked="true" strokeweight="1.362063pt" strokecolor="#0000ff">
              <v:stroke dashstyle="solid"/>
            </v:line>
            <v:shape style="position:absolute;left:9345;top:-1547;width:51;height:207" coordorigin="9346,-1546" coordsize="51,207" path="m9346,-1546l9346,-1340m9396,-1546l9396,-1353e" filled="false" stroked="true" strokeweight="1.167483pt" strokecolor="#0000ff">
              <v:path arrowok="t"/>
              <v:stroke dashstyle="solid"/>
            </v:shape>
            <v:line style="position:absolute" from="9445,-1546" to="9445,-1335" stroked="true" strokeweight="1.362063pt" strokecolor="#0000ff">
              <v:stroke dashstyle="solid"/>
            </v:line>
            <v:line style="position:absolute" from="9493,-1546" to="9493,-1344" stroked="true" strokeweight="1.167483pt" strokecolor="#0000ff">
              <v:stroke dashstyle="solid"/>
            </v:line>
            <v:line style="position:absolute" from="9544,-1546" to="9544,-1353" stroked="true" strokeweight="1.167483pt" strokecolor="#0000ff">
              <v:stroke dashstyle="solid"/>
            </v:line>
            <v:line style="position:absolute" from="9593,-1546" to="9593,-1348" stroked="true" strokeweight="1.362063pt" strokecolor="#0000ff">
              <v:stroke dashstyle="solid"/>
            </v:line>
            <v:shape style="position:absolute;left:9641;top:-1547;width:51;height:211" coordorigin="9641,-1546" coordsize="51,211" path="m9641,-1546l9641,-1335m9692,-1546l9692,-1340e" filled="false" stroked="true" strokeweight="1.167483pt" strokecolor="#0000ff">
              <v:path arrowok="t"/>
              <v:stroke dashstyle="solid"/>
            </v:shape>
            <v:line style="position:absolute" from="9741,-1546" to="9741,-1335" stroked="true" strokeweight="1.362063pt" strokecolor="#0000ff">
              <v:stroke dashstyle="solid"/>
            </v:line>
            <v:line style="position:absolute" from="9789,-1546" to="9789,-1331" stroked="true" strokeweight="1.167483pt" strokecolor="#0000ff">
              <v:stroke dashstyle="solid"/>
            </v:line>
            <v:line style="position:absolute" from="9840,-1546" to="9840,-1335" stroked="true" strokeweight="1.167483pt" strokecolor="#0000ff">
              <v:stroke dashstyle="solid"/>
            </v:line>
            <v:line style="position:absolute" from="9888,-1546" to="9888,-1327" stroked="true" strokeweight="1.362063pt" strokecolor="#0000ff">
              <v:stroke dashstyle="solid"/>
            </v:line>
            <v:shape style="position:absolute;left:9937;top:-1547;width:51;height:242" coordorigin="9937,-1546" coordsize="51,242" path="m9937,-1546l9937,-1327m9988,-1546l9988,-1305e" filled="false" stroked="true" strokeweight="1.167483pt" strokecolor="#0000ff">
              <v:path arrowok="t"/>
              <v:stroke dashstyle="solid"/>
            </v:shape>
            <v:line style="position:absolute" from="10036,-1546" to="10036,-1309" stroked="true" strokeweight="1.362063pt" strokecolor="#0000ff">
              <v:stroke dashstyle="solid"/>
            </v:line>
            <v:shape style="position:absolute;left:10084;top:-1547;width:51;height:255" coordorigin="10085,-1546" coordsize="51,255" path="m10085,-1546l10085,-1305m10136,-1546l10136,-1291e" filled="false" stroked="true" strokeweight="1.167483pt" strokecolor="#0000ff">
              <v:path arrowok="t"/>
              <v:stroke dashstyle="solid"/>
            </v:shape>
            <v:line style="position:absolute" from="10184,-1546" to="10184,-1296" stroked="true" strokeweight="1.362063pt" strokecolor="#0000ff">
              <v:stroke dashstyle="solid"/>
            </v:line>
            <v:line style="position:absolute" from="10233,-1546" to="10233,-1287" stroked="true" strokeweight="1.167483pt" strokecolor="#0000ff">
              <v:stroke dashstyle="solid"/>
            </v:line>
            <v:line style="position:absolute" from="10283,-1546" to="10283,-1287" stroked="true" strokeweight="1.167483pt" strokecolor="#0000ff">
              <v:stroke dashstyle="solid"/>
            </v:line>
            <v:line style="position:absolute" from="10332,-1546" to="10332,-1300" stroked="true" strokeweight="1.362063pt" strokecolor="#0000ff">
              <v:stroke dashstyle="solid"/>
            </v:line>
            <v:shape style="position:absolute;left:10380;top:-1547;width:51;height:286" coordorigin="10381,-1546" coordsize="51,286" path="m10381,-1546l10381,-1278m10431,-1546l10431,-1261e" filled="false" stroked="true" strokeweight="1.167483pt" strokecolor="#0000ff">
              <v:path arrowok="t"/>
              <v:stroke dashstyle="solid"/>
            </v:shape>
            <v:line style="position:absolute" from="10480,-1546" to="10480,-1269" stroked="true" strokeweight="1.362063pt" strokecolor="#0000ff">
              <v:stroke dashstyle="solid"/>
            </v:line>
            <v:line style="position:absolute" from="10529,-1546" to="10529,-1278" stroked="true" strokeweight="1.167483pt" strokecolor="#0000ff">
              <v:stroke dashstyle="solid"/>
            </v:line>
            <v:shape style="position:absolute;left:6524;top:-1678;width:864;height:189" coordorigin="6524,-1678" coordsize="864,189" path="m6547,-1616l6524,-1616,6524,-1546,6547,-1546,6547,-1616m6598,-1595l6575,-1595,6575,-1546,6598,-1546,6598,-1595m6649,-1595l6621,-1595,6621,-1546,6649,-1546,6649,-1595m6695,-1555l6672,-1555,6672,-1546,6695,-1546,6695,-1555m6746,-1573l6723,-1573,6723,-1546,6746,-1546,6746,-1573m6797,-1621l6769,-1621,6769,-1546,6797,-1546,6797,-1621m6843,-1656l6820,-1656,6820,-1546,6843,-1546,6843,-1656m6894,-1568l6870,-1568,6870,-1546,6894,-1546,6894,-1568m6944,-1577l6917,-1577,6917,-1546,6944,-1546,6944,-1577m6991,-1568l6968,-1568,6968,-1546,6991,-1546,6991,-1568m7042,-1493l7018,-1493,7018,-1489,7042,-1489,7042,-1493m7092,-1559l7065,-1559,7065,-1546,7092,-1546,7092,-1559m7139,-1564l7116,-1564,7116,-1546,7139,-1546,7139,-1564m7190,-1577l7166,-1577,7166,-1546,7190,-1546,7190,-1577m7240,-1603l7213,-1603,7213,-1546,7240,-1546,7240,-1603m7287,-1678l7264,-1678,7264,-1546,7287,-1546,7287,-1678m7337,-1656l7314,-1656,7314,-1546,7337,-1546,7337,-1656m7388,-1656l7361,-1656,7361,-1546,7388,-1546,7388,-1656e" filled="true" fillcolor="#66ff33" stroked="false">
              <v:path arrowok="t"/>
              <v:fill type="solid"/>
            </v:shape>
            <v:line style="position:absolute" from="7423,-1687" to="7423,-1546" stroked="true" strokeweight="1.167483pt" strokecolor="#66ff33">
              <v:stroke dashstyle="solid"/>
            </v:line>
            <v:shape style="position:absolute;left:7461;top:-1665;width:370;height:343" coordorigin="7462,-1665" coordsize="370,343" path="m7485,-1647l7462,-1647,7462,-1546,7485,-1546,7485,-1647m7536,-1603l7509,-1603,7509,-1546,7536,-1546,7536,-1603m7583,-1638l7559,-1638,7559,-1546,7583,-1546,7583,-1638m7633,-1612l7610,-1612,7610,-1546,7633,-1546,7633,-1612m7684,-1665l7657,-1665,7657,-1546,7684,-1546,7684,-1665m7731,-1603l7707,-1603,7707,-1546,7731,-1546,7731,-1603m7781,-1432l7758,-1432,7758,-1410,7781,-1410,7781,-1432m7832,-1410l7804,-1410,7804,-1322,7832,-1322,7832,-1410e" filled="true" fillcolor="#66ff33" stroked="false">
              <v:path arrowok="t"/>
              <v:fill type="solid"/>
            </v:shape>
            <v:line style="position:absolute" from="7867,-1397" to="7867,-1217" stroked="true" strokeweight="1.167483pt" strokecolor="#66ff33">
              <v:stroke dashstyle="solid"/>
            </v:line>
            <v:line style="position:absolute" from="7917,-1388" to="7917,-1230" stroked="true" strokeweight="1.167483pt" strokecolor="#66ff33">
              <v:stroke dashstyle="solid"/>
            </v:line>
            <v:line style="position:absolute" from="7966,-1384" to="7966,-1234" stroked="true" strokeweight="1.362063pt" strokecolor="#66ff33">
              <v:stroke dashstyle="solid"/>
            </v:line>
            <v:shape style="position:absolute;left:8002;top:-1345;width:125;height:128" coordorigin="8003,-1344" coordsize="125,128" path="m8026,-1344l8003,-1344,8003,-1243,8026,-1243,8026,-1344m8077,-1327l8054,-1327,8054,-1239,8077,-1239,8077,-1327m8127,-1300l8100,-1300,8100,-1217,8127,-1217,8127,-1300e" filled="true" fillcolor="#66ff33" stroked="false">
              <v:path arrowok="t"/>
              <v:fill type="solid"/>
            </v:shape>
            <v:line style="position:absolute" from="8162,-1353" to="8162,-1204" stroked="true" strokeweight="1.167483pt" strokecolor="#66ff33">
              <v:stroke dashstyle="solid"/>
            </v:line>
            <v:line style="position:absolute" from="8213,-1375" to="8213,-1221" stroked="true" strokeweight="1.167483pt" strokecolor="#66ff33">
              <v:stroke dashstyle="solid"/>
            </v:line>
            <v:line style="position:absolute" from="8262,-1401" to="8262,-1142" stroked="true" strokeweight="1.362063pt" strokecolor="#66ff33">
              <v:stroke dashstyle="solid"/>
            </v:line>
            <v:shape style="position:absolute;left:8310;top:-1450;width:51;height:462" coordorigin="8310,-1450" coordsize="51,462" path="m8310,-1450l8310,-1107m8361,-1436l8361,-988e" filled="false" stroked="true" strokeweight="1.167483pt" strokecolor="#66ff33">
              <v:path arrowok="t"/>
              <v:stroke dashstyle="solid"/>
            </v:shape>
            <v:line style="position:absolute" from="8410,-1476" to="8410,-940" stroked="true" strokeweight="1.362063pt" strokecolor="#66ff33">
              <v:stroke dashstyle="solid"/>
            </v:line>
            <v:shape style="position:absolute;left:8458;top:-1529;width:51;height:695" coordorigin="8458,-1529" coordsize="51,695" path="m8458,-1529l8458,-909m8509,-1458l8509,-834e" filled="false" stroked="true" strokeweight="1.167483pt" strokecolor="#66ff33">
              <v:path arrowok="t"/>
              <v:stroke dashstyle="solid"/>
            </v:shape>
            <v:line style="position:absolute" from="8557,-1423" to="8557,-865" stroked="true" strokeweight="1.362063pt" strokecolor="#66ff33">
              <v:stroke dashstyle="solid"/>
            </v:line>
            <v:shape style="position:absolute;left:8606;top:-1393;width:51;height:787" coordorigin="8606,-1392" coordsize="51,787" path="m8606,-1353l8606,-606m8657,-1392l8657,-808e" filled="false" stroked="true" strokeweight="1.167483pt" strokecolor="#66ff33">
              <v:path arrowok="t"/>
              <v:stroke dashstyle="solid"/>
            </v:shape>
            <v:line style="position:absolute" from="8705,-1379" to="8705,-769" stroked="true" strokeweight="1.362063pt" strokecolor="#66ff33">
              <v:stroke dashstyle="solid"/>
            </v:line>
            <v:shape style="position:absolute;left:8754;top:-1375;width:51;height:466" coordorigin="8754,-1375" coordsize="51,466" path="m8754,-1375l8754,-909m8805,-1375l8805,-1045e" filled="false" stroked="true" strokeweight="1.167483pt" strokecolor="#66ff33">
              <v:path arrowok="t"/>
              <v:stroke dashstyle="solid"/>
            </v:shape>
            <v:line style="position:absolute" from="8853,-1370" to="8853,-1094" stroked="true" strokeweight="1.362063pt" strokecolor="#66ff33">
              <v:stroke dashstyle="solid"/>
            </v:line>
            <v:shape style="position:absolute;left:8901;top:-1375;width:51;height:264" coordorigin="8902,-1375" coordsize="51,264" path="m8902,-1375l8902,-1111m8952,-1362l8952,-1138e" filled="false" stroked="true" strokeweight="1.167483pt" strokecolor="#66ff33">
              <v:path arrowok="t"/>
              <v:stroke dashstyle="solid"/>
            </v:shape>
            <v:line style="position:absolute" from="9001,-1362" to="9001,-1129" stroked="true" strokeweight="1.362063pt" strokecolor="#66ff33">
              <v:stroke dashstyle="solid"/>
            </v:line>
            <v:line style="position:absolute" from="9050,-1348" to="9050,-1076" stroked="true" strokeweight="1.167483pt" strokecolor="#66ff33">
              <v:stroke dashstyle="solid"/>
            </v:line>
            <v:line style="position:absolute" from="9100,-1362" to="9100,-1089" stroked="true" strokeweight="1.167483pt" strokecolor="#66ff33">
              <v:stroke dashstyle="solid"/>
            </v:line>
            <v:line style="position:absolute" from="9149,-1397" to="9149,-1102" stroked="true" strokeweight="1.362063pt" strokecolor="#66ff33">
              <v:stroke dashstyle="solid"/>
            </v:line>
            <v:line style="position:absolute" from="9198,-1379" to="9198,-1146" stroked="true" strokeweight="1.167483pt" strokecolor="#66ff33">
              <v:stroke dashstyle="solid"/>
            </v:line>
            <v:line style="position:absolute" from="9248,-1340" to="9248,-1120" stroked="true" strokeweight="1.167483pt" strokecolor="#66ff33">
              <v:stroke dashstyle="solid"/>
            </v:line>
            <v:line style="position:absolute" from="9297,-1340" to="9297,-1120" stroked="true" strokeweight="1.362063pt" strokecolor="#66ff33">
              <v:stroke dashstyle="solid"/>
            </v:line>
            <v:shape style="position:absolute;left:9345;top:-1353;width:51;height:233" coordorigin="9346,-1353" coordsize="51,233" path="m9346,-1340l9346,-1120m9396,-1353l9396,-1199e" filled="false" stroked="true" strokeweight="1.167483pt" strokecolor="#66ff33">
              <v:path arrowok="t"/>
              <v:stroke dashstyle="solid"/>
            </v:shape>
            <v:line style="position:absolute" from="9445,-1335" to="9445,-1164" stroked="true" strokeweight="1.362063pt" strokecolor="#66ff33">
              <v:stroke dashstyle="solid"/>
            </v:line>
            <v:line style="position:absolute" from="9493,-1344" to="9493,-1164" stroked="true" strokeweight="1.167483pt" strokecolor="#66ff33">
              <v:stroke dashstyle="solid"/>
            </v:line>
            <v:line style="position:absolute" from="9544,-1353" to="9544,-1186" stroked="true" strokeweight="1.167483pt" strokecolor="#66ff33">
              <v:stroke dashstyle="solid"/>
            </v:line>
            <v:line style="position:absolute" from="9593,-1348" to="9593,-1164" stroked="true" strokeweight="1.362063pt" strokecolor="#66ff33">
              <v:stroke dashstyle="solid"/>
            </v:line>
            <v:shape style="position:absolute;left:9641;top:-1340;width:51;height:299" coordorigin="9641,-1340" coordsize="51,299" path="m9641,-1335l9641,-1041m9692,-1340l9692,-1098e" filled="false" stroked="true" strokeweight="1.167483pt" strokecolor="#66ff33">
              <v:path arrowok="t"/>
              <v:stroke dashstyle="solid"/>
            </v:shape>
            <v:line style="position:absolute" from="9741,-1335" to="9741,-1120" stroked="true" strokeweight="1.362063pt" strokecolor="#66ff33">
              <v:stroke dashstyle="solid"/>
            </v:line>
            <v:line style="position:absolute" from="9789,-1331" to="9789,-1094" stroked="true" strokeweight="1.167483pt" strokecolor="#66ff33">
              <v:stroke dashstyle="solid"/>
            </v:line>
            <v:line style="position:absolute" from="9840,-1335" to="9840,-1133" stroked="true" strokeweight="1.167483pt" strokecolor="#66ff33">
              <v:stroke dashstyle="solid"/>
            </v:line>
            <v:line style="position:absolute" from="9888,-1327" to="9888,-1133" stroked="true" strokeweight="1.362063pt" strokecolor="#66ff33">
              <v:stroke dashstyle="solid"/>
            </v:line>
            <v:shape style="position:absolute;left:9937;top:-1327;width:51;height:203" coordorigin="9937,-1327" coordsize="51,203" path="m9937,-1327l9937,-1124m9988,-1305l9988,-1168e" filled="false" stroked="true" strokeweight="1.167483pt" strokecolor="#66ff33">
              <v:path arrowok="t"/>
              <v:stroke dashstyle="solid"/>
            </v:shape>
            <v:line style="position:absolute" from="10036,-1309" to="10036,-1120" stroked="true" strokeweight="1.362063pt" strokecolor="#66ff33">
              <v:stroke dashstyle="solid"/>
            </v:line>
            <v:shape style="position:absolute;left:10084;top:-1305;width:51;height:238" coordorigin="10085,-1305" coordsize="51,238" path="m10085,-1305l10085,-1067m10136,-1291l10136,-1107e" filled="false" stroked="true" strokeweight="1.167483pt" strokecolor="#66ff33">
              <v:path arrowok="t"/>
              <v:stroke dashstyle="solid"/>
            </v:shape>
            <v:line style="position:absolute" from="10184,-1296" to="10184,-1076" stroked="true" strokeweight="1.362063pt" strokecolor="#66ff33">
              <v:stroke dashstyle="solid"/>
            </v:line>
            <v:line style="position:absolute" from="10233,-1287" to="10233,-1023" stroked="true" strokeweight="1.167483pt" strokecolor="#66ff33">
              <v:stroke dashstyle="solid"/>
            </v:line>
            <v:line style="position:absolute" from="10283,-1287" to="10283,-1023" stroked="true" strokeweight="1.167483pt" strokecolor="#66ff33">
              <v:stroke dashstyle="solid"/>
            </v:line>
            <v:line style="position:absolute" from="10332,-1300" to="10332,-1063" stroked="true" strokeweight="1.362063pt" strokecolor="#66ff33">
              <v:stroke dashstyle="solid"/>
            </v:line>
            <v:shape style="position:absolute;left:10380;top:-1279;width:51;height:352" coordorigin="10381,-1278" coordsize="51,352" path="m10381,-1278l10381,-993m10431,-1261l10431,-927e" filled="false" stroked="true" strokeweight="1.167483pt" strokecolor="#66ff33">
              <v:path arrowok="t"/>
              <v:stroke dashstyle="solid"/>
            </v:shape>
            <v:line style="position:absolute" from="10480,-1269" to="10480,-931" stroked="true" strokeweight="1.362063pt" strokecolor="#66ff33">
              <v:stroke dashstyle="solid"/>
            </v:line>
            <v:line style="position:absolute" from="10529,-1278" to="10529,-892" stroked="true" strokeweight="1.167483pt" strokecolor="#66ff33">
              <v:stroke dashstyle="solid"/>
            </v:line>
            <v:line style="position:absolute" from="6536,-1770" to="6536,-1616" stroked="true" strokeweight="1.167483pt" strokecolor="#ff00ff">
              <v:stroke dashstyle="solid"/>
            </v:line>
            <v:rect style="position:absolute;left:6574;top:-1722;width:24;height:128" filled="true" fillcolor="#ff00ff" stroked="false">
              <v:fill type="solid"/>
            </v:rect>
            <v:line style="position:absolute" from="6635,-1814" to="6635,-1595" stroked="true" strokeweight="1.362063pt" strokecolor="#ff00ff">
              <v:stroke dashstyle="solid"/>
            </v:line>
            <v:shape style="position:absolute;left:6683;top:-1718;width:51;height:163" coordorigin="6684,-1718" coordsize="51,163" path="m6684,-1713l6684,-1555m6734,-1718l6734,-1573e" filled="false" stroked="true" strokeweight="1.167483pt" strokecolor="#ff00ff">
              <v:path arrowok="t"/>
              <v:stroke dashstyle="solid"/>
            </v:shape>
            <v:rect style="position:absolute;left:6769;top:-1709;width:28;height:88" filled="true" fillcolor="#ff00ff" stroked="false">
              <v:fill type="solid"/>
            </v:rect>
            <v:line style="position:absolute" from="6832,-1805" to="6832,-1656" stroked="true" strokeweight="1.167483pt" strokecolor="#ff00ff">
              <v:stroke dashstyle="solid"/>
            </v:line>
            <v:line style="position:absolute" from="6882,-1718" to="6882,-1568" stroked="true" strokeweight="1.167483pt" strokecolor="#ff00ff">
              <v:stroke dashstyle="solid"/>
            </v:line>
            <v:shape style="position:absolute;left:6917;top:-1709;width:666;height:225" coordorigin="6917,-1709" coordsize="666,225" path="m6944,-1634l6917,-1634,6917,-1577,6944,-1577,6944,-1634m6991,-1581l6968,-1581,6968,-1568,6991,-1568,6991,-1581m7042,-1564l7018,-1564,7018,-1546,7042,-1546,7042,-1564m7092,-1590l7065,-1590,7065,-1559,7092,-1559,7092,-1590m7139,-1621l7116,-1621,7116,-1564,7139,-1564,7139,-1621m7190,-1595l7166,-1595,7166,-1577,7190,-1577,7190,-1595m7240,-1507l7213,-1507,7213,-1485,7240,-1485,7240,-1507m7287,-1515l7264,-1515,7264,-1511,7287,-1511,7287,-1515m7337,-1665l7314,-1665,7314,-1656,7337,-1656,7337,-1665m7388,-1520l7361,-1520,7361,-1502,7388,-1502,7388,-1520m7435,-1709l7411,-1709,7411,-1687,7435,-1687,7435,-1709m7485,-1502l7462,-1502,7462,-1489,7485,-1489,7485,-1502m7536,-1616l7509,-1616,7509,-1603,7536,-1603,7536,-1616m7583,-1674l7559,-1674,7559,-1638,7583,-1638,7583,-1674e" filled="true" fillcolor="#ff00ff" stroked="false">
              <v:path arrowok="t"/>
              <v:fill type="solid"/>
            </v:shape>
            <v:line style="position:absolute" from="7622,-1823" to="7622,-1612" stroked="true" strokeweight="1.167483pt" strokecolor="#ff00ff">
              <v:stroke dashstyle="solid"/>
            </v:line>
            <v:line style="position:absolute" from="7670,-1955" to="7670,-1665" stroked="true" strokeweight="1.362063pt" strokecolor="#ff00ff">
              <v:stroke dashstyle="solid"/>
            </v:line>
            <v:shape style="position:absolute;left:7718;top:-1973;width:51;height:427" coordorigin="7719,-1972" coordsize="51,427" path="m7719,-1915l7719,-1603m7769,-1972l7769,-1546e" filled="false" stroked="true" strokeweight="1.167483pt" strokecolor="#ff00ff">
              <v:path arrowok="t"/>
              <v:stroke dashstyle="solid"/>
            </v:shape>
            <v:line style="position:absolute" from="7818,-2130" to="7818,-1546" stroked="true" strokeweight="1.362063pt" strokecolor="#ff00ff">
              <v:stroke dashstyle="solid"/>
            </v:line>
            <v:line style="position:absolute" from="7867,-2166" to="7867,-1546" stroked="true" strokeweight="1.167483pt" strokecolor="#ff00ff">
              <v:stroke dashstyle="solid"/>
            </v:line>
            <v:line style="position:absolute" from="7917,-2196" to="7917,-1546" stroked="true" strokeweight="1.167483pt" strokecolor="#ff00ff">
              <v:stroke dashstyle="solid"/>
            </v:line>
            <v:line style="position:absolute" from="7966,-2183" to="7966,-1546" stroked="true" strokeweight="1.362063pt" strokecolor="#ff00ff">
              <v:stroke dashstyle="solid"/>
            </v:line>
            <v:line style="position:absolute" from="8015,-2293" to="8015,-1546" stroked="true" strokeweight="1.167483pt" strokecolor="#ff00ff">
              <v:stroke dashstyle="solid"/>
            </v:line>
            <v:line style="position:absolute" from="8065,-2363" to="8065,-1546" stroked="true" strokeweight="1.167483pt" strokecolor="#ff00ff">
              <v:stroke dashstyle="solid"/>
            </v:line>
            <v:line style="position:absolute" from="8114,-2583" to="8114,-1546" stroked="true" strokeweight="1.362063pt" strokecolor="#ff00ff">
              <v:stroke dashstyle="solid"/>
            </v:line>
            <v:line style="position:absolute" from="8162,-2526" to="8162,-1546" stroked="true" strokeweight="1.167483pt" strokecolor="#ff00ff">
              <v:stroke dashstyle="solid"/>
            </v:line>
            <v:line style="position:absolute" from="8213,-2644" to="8213,-1546" stroked="true" strokeweight="1.167483pt" strokecolor="#ff00ff">
              <v:stroke dashstyle="solid"/>
            </v:line>
            <v:line style="position:absolute" from="8262,-2877" to="8262,-1546" stroked="true" strokeweight="1.362063pt" strokecolor="#ff00ff">
              <v:stroke dashstyle="solid"/>
            </v:line>
            <v:shape style="position:absolute;left:8310;top:-2966;width:51;height:1419" coordorigin="8310,-2965" coordsize="51,1419" path="m8310,-2816l8310,-1546m8361,-2965l8361,-1546e" filled="false" stroked="true" strokeweight="1.167483pt" strokecolor="#ff00ff">
              <v:path arrowok="t"/>
              <v:stroke dashstyle="solid"/>
            </v:shape>
            <v:line style="position:absolute" from="8410,-2917" to="8410,-1546" stroked="true" strokeweight="1.362063pt" strokecolor="#ff00ff">
              <v:stroke dashstyle="solid"/>
            </v:line>
            <v:shape style="position:absolute;left:8458;top:-3097;width:51;height:1551" coordorigin="8458,-3097" coordsize="51,1551" path="m8458,-3018l8458,-1546m8509,-3097l8509,-1546e" filled="false" stroked="true" strokeweight="1.167483pt" strokecolor="#ff00ff">
              <v:path arrowok="t"/>
              <v:stroke dashstyle="solid"/>
            </v:shape>
            <v:line style="position:absolute" from="8557,-3035" to="8557,-1546" stroked="true" strokeweight="1.362063pt" strokecolor="#ff00ff">
              <v:stroke dashstyle="solid"/>
            </v:line>
            <v:shape style="position:absolute;left:8606;top:-3133;width:51;height:1586" coordorigin="8606,-3132" coordsize="51,1586" path="m8606,-3132l8606,-1546m8657,-2956l8657,-1546e" filled="false" stroked="true" strokeweight="1.167483pt" strokecolor="#ff00ff">
              <v:path arrowok="t"/>
              <v:stroke dashstyle="solid"/>
            </v:shape>
            <v:line style="position:absolute" from="8705,-2864" to="8705,-1546" stroked="true" strokeweight="1.362063pt" strokecolor="#ff00ff">
              <v:stroke dashstyle="solid"/>
            </v:line>
            <v:shape style="position:absolute;left:8754;top:-2917;width:51;height:1371" coordorigin="8754,-2917" coordsize="51,1371" path="m8754,-2811l8754,-1546m8805,-2917l8805,-1546e" filled="false" stroked="true" strokeweight="1.167483pt" strokecolor="#ff00ff">
              <v:path arrowok="t"/>
              <v:stroke dashstyle="solid"/>
            </v:shape>
            <v:line style="position:absolute" from="8853,-2908" to="8853,-1546" stroked="true" strokeweight="1.362063pt" strokecolor="#ff00ff">
              <v:stroke dashstyle="solid"/>
            </v:line>
            <v:shape style="position:absolute;left:8901;top:-2939;width:51;height:1393" coordorigin="8902,-2939" coordsize="51,1393" path="m8902,-2860l8902,-1546m8952,-2939l8952,-1546e" filled="false" stroked="true" strokeweight="1.167483pt" strokecolor="#ff00ff">
              <v:path arrowok="t"/>
              <v:stroke dashstyle="solid"/>
            </v:shape>
            <v:line style="position:absolute" from="9001,-2934" to="9001,-1546" stroked="true" strokeweight="1.362063pt" strokecolor="#ff00ff">
              <v:stroke dashstyle="solid"/>
            </v:line>
            <v:line style="position:absolute" from="9050,-2978" to="9050,-1546" stroked="true" strokeweight="1.167483pt" strokecolor="#ff00ff">
              <v:stroke dashstyle="solid"/>
            </v:line>
            <v:line style="position:absolute" from="9100,-2890" to="9100,-1546" stroked="true" strokeweight="1.167483pt" strokecolor="#ff00ff">
              <v:stroke dashstyle="solid"/>
            </v:line>
            <v:line style="position:absolute" from="9149,-2807" to="9149,-1546" stroked="true" strokeweight="1.362063pt" strokecolor="#ff00ff">
              <v:stroke dashstyle="solid"/>
            </v:line>
            <v:line style="position:absolute" from="9198,-2820" to="9198,-1546" stroked="true" strokeweight="1.167483pt" strokecolor="#ff00ff">
              <v:stroke dashstyle="solid"/>
            </v:line>
            <v:line style="position:absolute" from="9248,-2776" to="9248,-1546" stroked="true" strokeweight="1.167483pt" strokecolor="#ff00ff">
              <v:stroke dashstyle="solid"/>
            </v:line>
            <v:line style="position:absolute" from="9297,-2776" to="9297,-1546" stroked="true" strokeweight="1.362063pt" strokecolor="#ff00ff">
              <v:stroke dashstyle="solid"/>
            </v:line>
            <v:shape style="position:absolute;left:9345;top:-2786;width:51;height:1239" coordorigin="9346,-2785" coordsize="51,1239" path="m9346,-2772l9346,-1546m9396,-2785l9396,-1546e" filled="false" stroked="true" strokeweight="1.167483pt" strokecolor="#ff00ff">
              <v:path arrowok="t"/>
              <v:stroke dashstyle="solid"/>
            </v:shape>
            <v:line style="position:absolute" from="9445,-2873" to="9445,-1546" stroked="true" strokeweight="1.362063pt" strokecolor="#ff00ff">
              <v:stroke dashstyle="solid"/>
            </v:line>
            <v:line style="position:absolute" from="9493,-2855" to="9493,-1546" stroked="true" strokeweight="1.167483pt" strokecolor="#ff00ff">
              <v:stroke dashstyle="solid"/>
            </v:line>
            <v:line style="position:absolute" from="9544,-2789" to="9544,-1546" stroked="true" strokeweight="1.167483pt" strokecolor="#ff00ff">
              <v:stroke dashstyle="solid"/>
            </v:line>
            <v:line style="position:absolute" from="9593,-2776" to="9593,-1546" stroked="true" strokeweight="1.362063pt" strokecolor="#ff00ff">
              <v:stroke dashstyle="solid"/>
            </v:line>
            <v:shape style="position:absolute;left:9641;top:-2847;width:51;height:1301" coordorigin="9641,-2847" coordsize="51,1301" path="m9641,-2847l9641,-1546m9692,-2838l9692,-1546e" filled="false" stroked="true" strokeweight="1.167483pt" strokecolor="#ff00ff">
              <v:path arrowok="t"/>
              <v:stroke dashstyle="solid"/>
            </v:shape>
            <v:line style="position:absolute" from="9741,-2825" to="9741,-1546" stroked="true" strokeweight="1.362063pt" strokecolor="#ff00ff">
              <v:stroke dashstyle="solid"/>
            </v:line>
            <v:line style="position:absolute" from="9789,-2855" to="9789,-1546" stroked="true" strokeweight="1.167483pt" strokecolor="#ff00ff">
              <v:stroke dashstyle="solid"/>
            </v:line>
            <v:line style="position:absolute" from="9840,-2820" to="9840,-1546" stroked="true" strokeweight="1.167483pt" strokecolor="#ff00ff">
              <v:stroke dashstyle="solid"/>
            </v:line>
            <v:line style="position:absolute" from="9888,-2789" to="9888,-1546" stroked="true" strokeweight="1.362063pt" strokecolor="#ff00ff">
              <v:stroke dashstyle="solid"/>
            </v:line>
            <v:shape style="position:absolute;left:9937;top:-2856;width:51;height:1310" coordorigin="9937,-2855" coordsize="51,1310" path="m9937,-2772l9937,-1546m9988,-2855l9988,-1546e" filled="false" stroked="true" strokeweight="1.167483pt" strokecolor="#ff00ff">
              <v:path arrowok="t"/>
              <v:stroke dashstyle="solid"/>
            </v:shape>
            <v:line style="position:absolute" from="10036,-2908" to="10036,-1546" stroked="true" strokeweight="1.362063pt" strokecolor="#ff00ff">
              <v:stroke dashstyle="solid"/>
            </v:line>
            <v:shape style="position:absolute;left:10084;top:-2935;width:51;height:1389" coordorigin="10085,-2934" coordsize="51,1389" path="m10085,-2934l10085,-1546m10136,-2934l10136,-1546e" filled="false" stroked="true" strokeweight="1.167483pt" strokecolor="#ff00ff">
              <v:path arrowok="t"/>
              <v:stroke dashstyle="solid"/>
            </v:shape>
            <v:line style="position:absolute" from="10184,-2943" to="10184,-1546" stroked="true" strokeweight="1.362063pt" strokecolor="#ff00ff">
              <v:stroke dashstyle="solid"/>
            </v:line>
            <v:line style="position:absolute" from="10233,-2917" to="10233,-1546" stroked="true" strokeweight="1.167483pt" strokecolor="#ff00ff">
              <v:stroke dashstyle="solid"/>
            </v:line>
            <v:line style="position:absolute" from="10283,-2917" to="10283,-1546" stroked="true" strokeweight="1.167483pt" strokecolor="#ff00ff">
              <v:stroke dashstyle="solid"/>
            </v:line>
            <v:line style="position:absolute" from="10332,-2912" to="10332,-1546" stroked="true" strokeweight="1.362063pt" strokecolor="#ff00ff">
              <v:stroke dashstyle="solid"/>
            </v:line>
            <v:shape style="position:absolute;left:10380;top:-3001;width:51;height:1455" coordorigin="10381,-3000" coordsize="51,1455" path="m10381,-2930l10381,-1546m10431,-3000l10431,-1546e" filled="false" stroked="true" strokeweight="1.167483pt" strokecolor="#ff00ff">
              <v:path arrowok="t"/>
              <v:stroke dashstyle="solid"/>
            </v:shape>
            <v:line style="position:absolute" from="10480,-3044" to="10480,-1546" stroked="true" strokeweight="1.362063pt" strokecolor="#ff00ff">
              <v:stroke dashstyle="solid"/>
            </v:line>
            <v:line style="position:absolute" from="10529,-3009" to="10529,-1546" stroked="true" strokeweight="1.167483pt" strokecolor="#ff00ff">
              <v:stroke dashstyle="solid"/>
            </v:line>
            <v:line style="position:absolute" from="6464,-1544" to="10554,-1544" stroked="true" strokeweight=".219658pt" strokecolor="#000000">
              <v:stroke dashstyle="solid"/>
            </v:line>
            <v:shape style="position:absolute;left:6487;top:-2533;width:4044;height:1024" coordorigin="6487,-2532" coordsize="4044,1024" path="m6487,-1544l6538,-1702,6584,-1645,6635,-1715,6686,-1645,6732,-1636,6783,-1641,6833,-1724,6880,-1632,6931,-1575,6981,-1544,7028,-1509,7079,-1540,7129,-1557,7176,-1535,7227,-1544,7277,-1645,7324,-1632,7374,-1614,7425,-1667,7472,-1592,7522,-1557,7573,-1614,7620,-1729,7670,-1847,7721,-1808,7767,-1834,7818,-1904,7869,-1838,7915,-1878,7966,-1873,8017,-1992,8063,-2058,8114,-2256,8164,-2185,8211,-2322,8262,-2471,8312,-2374,8359,-2405,8410,-2308,8460,-2379,8507,-2383,8557,-2357,8608,-2194,8655,-2221,8705,-2084,8756,-2177,8803,-2418,8853,-2453,8904,-2423,8951,-2532,9001,-2524,9052,-2506,9098,-2436,9149,-2361,9200,-2418,9246,-2348,9297,-2348,9347,-2348,9394,-2440,9445,-2489,9495,-2475,9542,-2427,9593,-2396,9643,-2344,9690,-2392,9741,-2396,9791,-2405,9838,-2405,9888,-2374,9939,-2352,9986,-2480,10036,-2484,10087,-2458,10134,-2493,10184,-2475,10235,-2392,10281,-2392,10332,-2427,10383,-2379,10429,-2379,10480,-2427,10531,-2357e" filled="false" stroked="true" strokeweight="1.090737pt" strokecolor="#000000">
              <v:path arrowok="t"/>
              <v:stroke dashstyle="solid"/>
            </v:shape>
            <v:rect style="position:absolute;left:6582;top:-1266;width:125;height:97" filled="true" fillcolor="#ff00ff" stroked="false">
              <v:fill type="solid"/>
            </v:rect>
            <v:rect style="position:absolute;left:6582;top:-1011;width:125;height:97" filled="true" fillcolor="#66ff33" stroked="false">
              <v:fill type="solid"/>
            </v:rect>
            <v:rect style="position:absolute;left:6582;top:-756;width:125;height:97" filled="true" fillcolor="#0000ff" stroked="false">
              <v:fill type="solid"/>
            </v:rect>
            <v:line style="position:absolute" from="6584,-454" to="6709,-454" stroked="true" strokeweight="1.098289pt" strokecolor="#000000">
              <v:stroke dashstyle="solid"/>
            </v:line>
            <v:shape style="position:absolute;left:6790;top:-2616;width:3332;height:2059" coordorigin="6791,-2616" coordsize="3332,2059" path="m6830,-2543l6828,-2550,6810,-2616,6791,-2543,6808,-2543,6808,-2177,6812,-2177,6812,-2543,6830,-2543m10122,-602l10104,-602,10104,-854,10100,-854,10100,-602,10083,-602,10102,-558,10119,-594,10122,-602e" filled="true" fillcolor="#000000" stroked="false">
              <v:path arrowok="t"/>
              <v:fill type="solid"/>
            </v:shape>
            <w10:wrap type="none"/>
          </v:group>
        </w:pict>
      </w:r>
      <w:r>
        <w:rPr>
          <w:sz w:val="16"/>
        </w:rPr>
        <w:t>Note: The UK Monetary and Financial Conditions Index (MFCI) summarises information from the following series: short-term and long- term interest rates, the sterling ERI, corporate bond spreads, equity prices, and household and corporate bank lending spreads. The series weights are based on the estimated impact of each variable on UK GDP. The chart shows changes in the MFCI from the average level over the 15 working days to 22 January 2020. An increase in the MFCI signals tighter financial conditions and a decrease signals looser conditions. Sources: Eikon from Refinitiv, Bloomberg Finance L.P., ICE/BoAML Global Research and Bank of England.</w:t>
      </w:r>
    </w:p>
    <w:p>
      <w:pPr>
        <w:pStyle w:val="BodyText"/>
        <w:rPr>
          <w:sz w:val="18"/>
        </w:rPr>
      </w:pPr>
    </w:p>
    <w:p>
      <w:pPr>
        <w:pStyle w:val="BodyText"/>
        <w:spacing w:line="360" w:lineRule="auto" w:before="139"/>
        <w:ind w:left="232" w:right="159"/>
      </w:pPr>
      <w:r>
        <w:rPr/>
        <w:t>I wouldn’t advocate the language of aiming to “run the economy hot”; in my view, it is not really sensible to regard an economy that is still operating well below the pre-Covid level and with relatively high unemployment as “running hot”. Nor are risk management considerations a recipe for unlimited stimulus. It is more a question of managing the risks on both sides. At present, if we overdo the stimulus somewhat and then find the economy recovers strongly, we have ample tools and time to tighten policy again before persistent excess demand and inflation become a problem. And such a scenario would have the benign side effect of cutting long-term costs of hysteresis. Conversely, if we provide too little stimulus, the economy could slip into a lowflation trap that is much harder to escape, with greater long-term costs from business failures and high unemployment.</w:t>
      </w:r>
    </w:p>
    <w:p>
      <w:pPr>
        <w:pStyle w:val="BodyText"/>
        <w:spacing w:before="11"/>
        <w:rPr>
          <w:sz w:val="29"/>
        </w:rPr>
      </w:pPr>
    </w:p>
    <w:p>
      <w:pPr>
        <w:pStyle w:val="BodyText"/>
        <w:spacing w:line="360" w:lineRule="auto"/>
        <w:ind w:left="232" w:right="68"/>
      </w:pPr>
      <w:r>
        <w:rPr/>
        <w:t>These risk management considerations played a considerable role in my vote to raise the target stock for asset purchases at the May meeting, both in terms of the judgement that more stimulus was appropriate and that it was useful to announce it at the May meeting. To be sure, given that the existing £200bn asset purchase program (announced in March) will not be completed before the June MPC meeting, there was a reasonable case to wait until the June meeting and see more data before, if necessary, announcing further asset purchases. My view was that it was unlikely that data available at the June meeting would negate the case for further stimulus and that it would be preferable to remove uncertainty about the MPC’s willingness to</w:t>
      </w:r>
    </w:p>
    <w:p>
      <w:pPr>
        <w:spacing w:after="0" w:line="360" w:lineRule="auto"/>
        <w:sectPr>
          <w:footerReference w:type="default" r:id="rId23"/>
          <w:pgSz w:w="11910" w:h="16840"/>
          <w:pgMar w:footer="1338" w:header="0" w:top="1520" w:bottom="1520" w:left="900" w:right="980"/>
          <w:pgNumType w:start="12"/>
        </w:sectPr>
      </w:pPr>
    </w:p>
    <w:p>
      <w:pPr>
        <w:pStyle w:val="BodyText"/>
        <w:spacing w:line="360" w:lineRule="auto" w:before="81"/>
        <w:ind w:left="232" w:right="183"/>
      </w:pPr>
      <w:r>
        <w:rPr/>
        <w:t>expand asset purchases further. Even if the announcement of extra asset purchases would not push gilt yields much lower, it would help to limit the chances of an undesirable tightening in financial conditions and thereby reduce downside risks to the recovery. Again, it was about risk management.</w:t>
      </w:r>
    </w:p>
    <w:p>
      <w:pPr>
        <w:pStyle w:val="BodyText"/>
        <w:rPr>
          <w:sz w:val="30"/>
        </w:rPr>
      </w:pPr>
    </w:p>
    <w:p>
      <w:pPr>
        <w:pStyle w:val="BodyText"/>
        <w:spacing w:line="360" w:lineRule="auto"/>
        <w:ind w:left="232" w:right="193"/>
      </w:pPr>
      <w:r>
        <w:rPr/>
        <w:t>Finally, for the removal of any doubt, let me make it clear that a policy of asset purchases is not monetary financing, and nor are we seeking to keep bond yields low as an aim in itself. Asset purchases are a monetary policy tool, used to help achieve our remit to return inflation to target and in a way that helps to sustain growth and employment.</w:t>
      </w:r>
      <w:r>
        <w:rPr>
          <w:position w:val="6"/>
          <w:sz w:val="13"/>
        </w:rPr>
        <w:t>27 </w:t>
      </w:r>
      <w:r>
        <w:rPr/>
        <w:t>At the May meeting, my view was that some further stimulus was required to achieve our remit. If and when that is no longer the case, or if achieving our remit requires tighter monetary conditions, then I will vote</w:t>
      </w:r>
      <w:r>
        <w:rPr>
          <w:spacing w:val="-5"/>
        </w:rPr>
        <w:t> </w:t>
      </w:r>
      <w:r>
        <w:rPr/>
        <w:t>accordingly.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39999pt;margin-top:11.024668pt;width:144.050pt;height:.1pt;mso-position-horizontal-relative:page;mso-position-vertical-relative:paragraph;z-index:-251602944;mso-wrap-distance-left:0;mso-wrap-distance-right:0" coordorigin="1133,220" coordsize="2881,0" path="m1133,220l4014,220e" filled="false" stroked="true" strokeweight=".48004pt" strokecolor="#000000">
            <v:path arrowok="t"/>
            <v:stroke dashstyle="solid"/>
            <w10:wrap type="topAndBottom"/>
          </v:shape>
        </w:pict>
      </w:r>
    </w:p>
    <w:p>
      <w:pPr>
        <w:spacing w:before="47"/>
        <w:ind w:left="232" w:right="0" w:firstLine="0"/>
        <w:jc w:val="left"/>
        <w:rPr>
          <w:sz w:val="16"/>
        </w:rPr>
      </w:pPr>
      <w:r>
        <w:rPr>
          <w:position w:val="6"/>
          <w:sz w:val="10"/>
        </w:rPr>
        <w:t>27 </w:t>
      </w:r>
      <w:r>
        <w:rPr>
          <w:sz w:val="16"/>
        </w:rPr>
        <w:t>See Vlieghe (2020).</w:t>
      </w:r>
    </w:p>
    <w:p>
      <w:pPr>
        <w:spacing w:after="0"/>
        <w:jc w:val="left"/>
        <w:rPr>
          <w:sz w:val="16"/>
        </w:rPr>
        <w:sectPr>
          <w:footerReference w:type="default" r:id="rId24"/>
          <w:pgSz w:w="11910" w:h="16840"/>
          <w:pgMar w:footer="1338" w:header="0" w:top="1520" w:bottom="1520" w:left="900" w:right="980"/>
          <w:pgNumType w:start="13"/>
        </w:sectPr>
      </w:pPr>
    </w:p>
    <w:p>
      <w:pPr>
        <w:pStyle w:val="Heading1"/>
        <w:spacing w:before="76"/>
      </w:pPr>
      <w:r>
        <w:rPr/>
        <w:t>References</w:t>
      </w:r>
    </w:p>
    <w:p>
      <w:pPr>
        <w:pStyle w:val="BodyText"/>
        <w:spacing w:before="1"/>
        <w:rPr>
          <w:b/>
        </w:rPr>
      </w:pPr>
    </w:p>
    <w:p>
      <w:pPr>
        <w:spacing w:before="0"/>
        <w:ind w:left="232" w:right="741" w:firstLine="0"/>
        <w:jc w:val="left"/>
        <w:rPr>
          <w:sz w:val="20"/>
        </w:rPr>
      </w:pPr>
      <w:r>
        <w:rPr>
          <w:b/>
          <w:sz w:val="20"/>
        </w:rPr>
        <w:t>Acharya, S, Bengui, J, Dogra, K and Lin Wee, S, (2018)</w:t>
      </w:r>
      <w:r>
        <w:rPr>
          <w:sz w:val="20"/>
        </w:rPr>
        <w:t>, ‘Slow recoveries and unemployment traps: monetary policy in a time of hysteresis’, </w:t>
      </w:r>
      <w:r>
        <w:rPr>
          <w:i/>
          <w:sz w:val="20"/>
        </w:rPr>
        <w:t>Staff Reports</w:t>
      </w:r>
      <w:r>
        <w:rPr>
          <w:sz w:val="20"/>
        </w:rPr>
        <w:t>, Federal Reserve Bank of New York.</w:t>
      </w:r>
    </w:p>
    <w:p>
      <w:pPr>
        <w:pStyle w:val="BodyText"/>
        <w:spacing w:before="1"/>
      </w:pPr>
    </w:p>
    <w:p>
      <w:pPr>
        <w:pStyle w:val="BodyText"/>
        <w:spacing w:before="1"/>
        <w:ind w:left="232"/>
      </w:pPr>
      <w:r>
        <w:rPr>
          <w:b/>
        </w:rPr>
        <w:t>Adrian, T (2018)</w:t>
      </w:r>
      <w:r>
        <w:rPr/>
        <w:t>, ‘Remarks on optimal monetary policy’, Federal Reserve Bank of Boston, 7 September.</w:t>
      </w:r>
    </w:p>
    <w:p>
      <w:pPr>
        <w:pStyle w:val="BodyText"/>
        <w:spacing w:before="9"/>
        <w:rPr>
          <w:sz w:val="19"/>
        </w:rPr>
      </w:pPr>
    </w:p>
    <w:p>
      <w:pPr>
        <w:spacing w:line="242" w:lineRule="auto" w:before="1"/>
        <w:ind w:left="232" w:right="174" w:firstLine="0"/>
        <w:jc w:val="left"/>
        <w:rPr>
          <w:sz w:val="20"/>
        </w:rPr>
      </w:pPr>
      <w:r>
        <w:rPr>
          <w:b/>
          <w:sz w:val="20"/>
        </w:rPr>
        <w:t>Aghion, P, Askenazy, P, Berman, N, Cette, G and Eymard, L (2012)</w:t>
      </w:r>
      <w:r>
        <w:rPr>
          <w:sz w:val="20"/>
        </w:rPr>
        <w:t>, ‘Credit constraints and the cyclicality of R&amp;D investment: evidence from France’, </w:t>
      </w:r>
      <w:r>
        <w:rPr>
          <w:i/>
          <w:sz w:val="20"/>
        </w:rPr>
        <w:t>Journal of the European Economic Association</w:t>
      </w:r>
      <w:r>
        <w:rPr>
          <w:sz w:val="20"/>
        </w:rPr>
        <w:t>, European Economic Association, vol. 10(5), pages 1001-1024.</w:t>
      </w:r>
    </w:p>
    <w:p>
      <w:pPr>
        <w:pStyle w:val="BodyText"/>
        <w:spacing w:before="3"/>
        <w:rPr>
          <w:sz w:val="19"/>
        </w:rPr>
      </w:pPr>
    </w:p>
    <w:p>
      <w:pPr>
        <w:spacing w:line="242" w:lineRule="auto" w:before="0"/>
        <w:ind w:left="232" w:right="308" w:firstLine="0"/>
        <w:jc w:val="left"/>
        <w:rPr>
          <w:sz w:val="20"/>
        </w:rPr>
      </w:pPr>
      <w:r>
        <w:rPr>
          <w:b/>
          <w:sz w:val="20"/>
        </w:rPr>
        <w:t>Bahaj, S, Foulis, A, Pinter, G and Surico, P (2019)</w:t>
      </w:r>
      <w:r>
        <w:rPr>
          <w:sz w:val="20"/>
        </w:rPr>
        <w:t>, ‘Employment and the collateral channel of monetary policy’, </w:t>
      </w:r>
      <w:r>
        <w:rPr>
          <w:i/>
          <w:sz w:val="20"/>
        </w:rPr>
        <w:t>Bank of England Staff Working Paper</w:t>
      </w:r>
      <w:r>
        <w:rPr>
          <w:sz w:val="20"/>
        </w:rPr>
        <w:t>, No. 827, available at </w:t>
      </w:r>
      <w:hyperlink r:id="rId25">
        <w:r>
          <w:rPr>
            <w:color w:val="0000FF"/>
            <w:w w:val="95"/>
            <w:sz w:val="20"/>
            <w:u w:val="single" w:color="0000FF"/>
          </w:rPr>
          <w:t>https://www.bankofengland.co.uk/working-paper/2019/employment-and-the-collateral-channel-of-monetary-</w:t>
        </w:r>
      </w:hyperlink>
      <w:r>
        <w:rPr>
          <w:color w:val="0000FF"/>
          <w:w w:val="95"/>
          <w:sz w:val="20"/>
        </w:rPr>
        <w:t> </w:t>
      </w:r>
      <w:hyperlink r:id="rId25">
        <w:r>
          <w:rPr>
            <w:color w:val="0000FF"/>
            <w:sz w:val="20"/>
            <w:u w:val="single" w:color="0000FF"/>
          </w:rPr>
          <w:t>policy</w:t>
        </w:r>
      </w:hyperlink>
    </w:p>
    <w:p>
      <w:pPr>
        <w:pStyle w:val="BodyText"/>
        <w:spacing w:before="4"/>
        <w:rPr>
          <w:sz w:val="11"/>
        </w:rPr>
      </w:pPr>
    </w:p>
    <w:p>
      <w:pPr>
        <w:spacing w:before="93"/>
        <w:ind w:left="232" w:right="407" w:firstLine="0"/>
        <w:jc w:val="left"/>
        <w:rPr>
          <w:sz w:val="20"/>
        </w:rPr>
      </w:pPr>
      <w:r>
        <w:rPr>
          <w:b/>
          <w:sz w:val="20"/>
        </w:rPr>
        <w:t>Ball, L (2014)</w:t>
      </w:r>
      <w:r>
        <w:rPr>
          <w:sz w:val="20"/>
        </w:rPr>
        <w:t>, ‘Long-term damage from the Great Recession in OECD countries’, </w:t>
      </w:r>
      <w:r>
        <w:rPr>
          <w:i/>
          <w:sz w:val="20"/>
        </w:rPr>
        <w:t>NBER Working Papers</w:t>
      </w:r>
      <w:r>
        <w:rPr>
          <w:sz w:val="20"/>
        </w:rPr>
        <w:t>, No. 20185.</w:t>
      </w:r>
    </w:p>
    <w:p>
      <w:pPr>
        <w:pStyle w:val="BodyText"/>
        <w:spacing w:before="11"/>
        <w:rPr>
          <w:sz w:val="19"/>
        </w:rPr>
      </w:pPr>
    </w:p>
    <w:p>
      <w:pPr>
        <w:spacing w:line="242" w:lineRule="auto" w:before="0"/>
        <w:ind w:left="232" w:right="675" w:firstLine="0"/>
        <w:jc w:val="left"/>
        <w:rPr>
          <w:sz w:val="20"/>
        </w:rPr>
      </w:pPr>
      <w:r>
        <w:rPr>
          <w:b/>
          <w:sz w:val="20"/>
        </w:rPr>
        <w:t>Benigno, G and Fornaro, L (2018)</w:t>
      </w:r>
      <w:r>
        <w:rPr>
          <w:sz w:val="20"/>
        </w:rPr>
        <w:t>, ‘Stagnation traps’, </w:t>
      </w:r>
      <w:r>
        <w:rPr>
          <w:i/>
          <w:sz w:val="20"/>
        </w:rPr>
        <w:t>Review of Economic Studies</w:t>
      </w:r>
      <w:r>
        <w:rPr>
          <w:sz w:val="20"/>
        </w:rPr>
        <w:t>, Oxford University Press, vol. 85(3), pages 1425-1470.</w:t>
      </w:r>
    </w:p>
    <w:p>
      <w:pPr>
        <w:pStyle w:val="BodyText"/>
        <w:spacing w:before="8"/>
        <w:rPr>
          <w:sz w:val="19"/>
        </w:rPr>
      </w:pPr>
    </w:p>
    <w:p>
      <w:pPr>
        <w:spacing w:before="0"/>
        <w:ind w:left="232" w:right="0" w:firstLine="0"/>
        <w:jc w:val="left"/>
        <w:rPr>
          <w:sz w:val="20"/>
        </w:rPr>
      </w:pPr>
      <w:r>
        <w:rPr>
          <w:b/>
          <w:sz w:val="20"/>
        </w:rPr>
        <w:t>Bernanke, B, Gertler, M and Gilchrist, S (1999)</w:t>
      </w:r>
      <w:r>
        <w:rPr>
          <w:sz w:val="20"/>
        </w:rPr>
        <w:t>, ‘The financial accelerator in a quantitative business cycle framework’, </w:t>
      </w:r>
      <w:r>
        <w:rPr>
          <w:i/>
          <w:sz w:val="20"/>
        </w:rPr>
        <w:t>Handbook of Macroeconomics</w:t>
      </w:r>
      <w:r>
        <w:rPr>
          <w:sz w:val="20"/>
        </w:rPr>
        <w:t>, edition 1, volume 1, chapter 21, pages 1341-1393, Elsevier.</w:t>
      </w:r>
    </w:p>
    <w:p>
      <w:pPr>
        <w:pStyle w:val="BodyText"/>
        <w:spacing w:before="10"/>
        <w:rPr>
          <w:sz w:val="19"/>
        </w:rPr>
      </w:pPr>
    </w:p>
    <w:p>
      <w:pPr>
        <w:spacing w:before="0"/>
        <w:ind w:left="232" w:right="308" w:firstLine="0"/>
        <w:jc w:val="left"/>
        <w:rPr>
          <w:sz w:val="20"/>
        </w:rPr>
      </w:pPr>
      <w:r>
        <w:rPr>
          <w:b/>
          <w:sz w:val="20"/>
        </w:rPr>
        <w:t>Berry, S, Corder, M, Duffy, C, Hackworth, C and Speigner, B (2015)</w:t>
      </w:r>
      <w:r>
        <w:rPr>
          <w:sz w:val="20"/>
        </w:rPr>
        <w:t>, ‘Trends in UK labour supply’, </w:t>
      </w:r>
      <w:r>
        <w:rPr>
          <w:i/>
          <w:sz w:val="20"/>
        </w:rPr>
        <w:t>Bank </w:t>
      </w:r>
      <w:r>
        <w:rPr>
          <w:i/>
          <w:sz w:val="20"/>
        </w:rPr>
        <w:t>of England Quarterly Bulletin</w:t>
      </w:r>
      <w:r>
        <w:rPr>
          <w:sz w:val="20"/>
        </w:rPr>
        <w:t>, 2015 Q4, available at</w:t>
      </w:r>
    </w:p>
    <w:p>
      <w:pPr>
        <w:pStyle w:val="BodyText"/>
        <w:spacing w:before="4"/>
        <w:ind w:left="232"/>
      </w:pPr>
      <w:hyperlink r:id="rId26">
        <w:r>
          <w:rPr>
            <w:color w:val="0000FF"/>
            <w:u w:val="single" w:color="0000FF"/>
          </w:rPr>
          <w:t>https://www.bankofengland.co.uk/quarterly-bulletin/2015/q4/trends-in-uk-labour-supply</w:t>
        </w:r>
      </w:hyperlink>
    </w:p>
    <w:p>
      <w:pPr>
        <w:pStyle w:val="BodyText"/>
        <w:spacing w:before="6"/>
        <w:rPr>
          <w:sz w:val="11"/>
        </w:rPr>
      </w:pPr>
    </w:p>
    <w:p>
      <w:pPr>
        <w:spacing w:before="93"/>
        <w:ind w:left="232" w:right="586" w:firstLine="0"/>
        <w:jc w:val="left"/>
        <w:rPr>
          <w:sz w:val="20"/>
        </w:rPr>
      </w:pPr>
      <w:r>
        <w:rPr>
          <w:b/>
          <w:sz w:val="20"/>
        </w:rPr>
        <w:t>Bianchi, F, Kung, H and Morales, G (2019)</w:t>
      </w:r>
      <w:r>
        <w:rPr>
          <w:sz w:val="20"/>
        </w:rPr>
        <w:t>, ‘Growth, slowdowns, and recoveries’, </w:t>
      </w:r>
      <w:r>
        <w:rPr>
          <w:i/>
          <w:sz w:val="20"/>
        </w:rPr>
        <w:t>Journal of Monetary </w:t>
      </w:r>
      <w:r>
        <w:rPr>
          <w:i/>
          <w:sz w:val="20"/>
        </w:rPr>
        <w:t>Economics</w:t>
      </w:r>
      <w:r>
        <w:rPr>
          <w:sz w:val="20"/>
        </w:rPr>
        <w:t>, Elsevier, vol. 101(C), pages 47-63.</w:t>
      </w:r>
    </w:p>
    <w:p>
      <w:pPr>
        <w:pStyle w:val="BodyText"/>
        <w:spacing w:before="1"/>
      </w:pPr>
    </w:p>
    <w:p>
      <w:pPr>
        <w:spacing w:before="0"/>
        <w:ind w:left="232" w:right="696" w:firstLine="0"/>
        <w:jc w:val="left"/>
        <w:rPr>
          <w:sz w:val="20"/>
        </w:rPr>
      </w:pPr>
      <w:r>
        <w:rPr>
          <w:b/>
          <w:sz w:val="20"/>
        </w:rPr>
        <w:t>Blanchard, O and Summers, L (1986)</w:t>
      </w:r>
      <w:r>
        <w:rPr>
          <w:sz w:val="20"/>
        </w:rPr>
        <w:t>, ‘Hysteresis and the European unemployment problem’, </w:t>
      </w:r>
      <w:r>
        <w:rPr>
          <w:i/>
          <w:sz w:val="20"/>
        </w:rPr>
        <w:t>NBER </w:t>
      </w:r>
      <w:r>
        <w:rPr>
          <w:i/>
          <w:sz w:val="20"/>
        </w:rPr>
        <w:t>Macroeconomics Annual</w:t>
      </w:r>
      <w:r>
        <w:rPr>
          <w:sz w:val="20"/>
        </w:rPr>
        <w:t>, Volume 1, pages 15-90, National Bureau of Economic Research, Inc.</w:t>
      </w:r>
    </w:p>
    <w:p>
      <w:pPr>
        <w:pStyle w:val="BodyText"/>
        <w:spacing w:before="11"/>
        <w:rPr>
          <w:sz w:val="19"/>
        </w:rPr>
      </w:pPr>
    </w:p>
    <w:p>
      <w:pPr>
        <w:pStyle w:val="BodyText"/>
        <w:spacing w:line="242" w:lineRule="auto"/>
        <w:ind w:left="232" w:right="373"/>
      </w:pPr>
      <w:r>
        <w:rPr>
          <w:b/>
        </w:rPr>
        <w:t>Broadbent, B (2019)</w:t>
      </w:r>
      <w:r>
        <w:rPr/>
        <w:t>, ‘Investment and uncertainty: the value of waiting for news’, speech given at Imperial College Business School, London, available at</w:t>
      </w:r>
    </w:p>
    <w:p>
      <w:pPr>
        <w:pStyle w:val="BodyText"/>
        <w:spacing w:line="229" w:lineRule="exact"/>
        <w:ind w:left="232"/>
      </w:pPr>
      <w:hyperlink r:id="rId27">
        <w:r>
          <w:rPr>
            <w:color w:val="0000FF"/>
            <w:u w:val="single" w:color="0000FF"/>
          </w:rPr>
          <w:t>https://www.bankofengland.co.uk/speech/2019/ben-broadbent-imperial-college-business-school-london</w:t>
        </w:r>
      </w:hyperlink>
    </w:p>
    <w:p>
      <w:pPr>
        <w:pStyle w:val="BodyText"/>
        <w:spacing w:before="9"/>
        <w:rPr>
          <w:sz w:val="11"/>
        </w:rPr>
      </w:pPr>
    </w:p>
    <w:p>
      <w:pPr>
        <w:pStyle w:val="BodyText"/>
        <w:spacing w:before="93"/>
        <w:ind w:left="232" w:right="173"/>
      </w:pPr>
      <w:r>
        <w:rPr>
          <w:b/>
        </w:rPr>
        <w:t>Carney, M (2020)</w:t>
      </w:r>
      <w:r>
        <w:rPr/>
        <w:t>, ‘A framework for all seasons?’, speech given at the Bank of England Research Workshop on The Future of Inflation Targeting, available at</w:t>
      </w:r>
    </w:p>
    <w:p>
      <w:pPr>
        <w:pStyle w:val="BodyText"/>
        <w:spacing w:before="1"/>
        <w:ind w:left="232" w:right="706"/>
      </w:pPr>
      <w:hyperlink r:id="rId28">
        <w:r>
          <w:rPr>
            <w:color w:val="0000FF"/>
            <w:w w:val="95"/>
            <w:u w:val="single" w:color="0000FF"/>
          </w:rPr>
          <w:t>https://www.bankofengland.co.uk/speech/2020/mark-carney-opening-remarks-at-the-future-of-inflation-</w:t>
        </w:r>
      </w:hyperlink>
      <w:r>
        <w:rPr>
          <w:color w:val="0000FF"/>
          <w:w w:val="95"/>
        </w:rPr>
        <w:t> </w:t>
      </w:r>
      <w:hyperlink r:id="rId28">
        <w:r>
          <w:rPr>
            <w:color w:val="0000FF"/>
            <w:u w:val="single" w:color="0000FF"/>
          </w:rPr>
          <w:t>targeting-conference</w:t>
        </w:r>
      </w:hyperlink>
    </w:p>
    <w:p>
      <w:pPr>
        <w:pStyle w:val="BodyText"/>
        <w:spacing w:before="9"/>
        <w:rPr>
          <w:sz w:val="11"/>
        </w:rPr>
      </w:pPr>
    </w:p>
    <w:p>
      <w:pPr>
        <w:spacing w:line="242" w:lineRule="auto" w:before="93"/>
        <w:ind w:left="232" w:right="0" w:firstLine="0"/>
        <w:jc w:val="left"/>
        <w:rPr>
          <w:sz w:val="20"/>
        </w:rPr>
      </w:pPr>
      <w:r>
        <w:rPr>
          <w:b/>
          <w:sz w:val="20"/>
        </w:rPr>
        <w:t>Di</w:t>
      </w:r>
      <w:r>
        <w:rPr>
          <w:b/>
          <w:spacing w:val="-4"/>
          <w:sz w:val="20"/>
        </w:rPr>
        <w:t> </w:t>
      </w:r>
      <w:r>
        <w:rPr>
          <w:b/>
          <w:sz w:val="20"/>
        </w:rPr>
        <w:t>Tella,</w:t>
      </w:r>
      <w:r>
        <w:rPr>
          <w:b/>
          <w:spacing w:val="-4"/>
          <w:sz w:val="20"/>
        </w:rPr>
        <w:t> </w:t>
      </w:r>
      <w:r>
        <w:rPr>
          <w:b/>
          <w:sz w:val="20"/>
        </w:rPr>
        <w:t>S</w:t>
      </w:r>
      <w:r>
        <w:rPr>
          <w:b/>
          <w:spacing w:val="-2"/>
          <w:sz w:val="20"/>
        </w:rPr>
        <w:t> </w:t>
      </w:r>
      <w:r>
        <w:rPr>
          <w:b/>
          <w:sz w:val="20"/>
        </w:rPr>
        <w:t>and</w:t>
      </w:r>
      <w:r>
        <w:rPr>
          <w:b/>
          <w:spacing w:val="-2"/>
          <w:sz w:val="20"/>
        </w:rPr>
        <w:t> </w:t>
      </w:r>
      <w:r>
        <w:rPr>
          <w:b/>
          <w:sz w:val="20"/>
        </w:rPr>
        <w:t>Hall,</w:t>
      </w:r>
      <w:r>
        <w:rPr>
          <w:b/>
          <w:spacing w:val="-4"/>
          <w:sz w:val="20"/>
        </w:rPr>
        <w:t> </w:t>
      </w:r>
      <w:r>
        <w:rPr>
          <w:b/>
          <w:sz w:val="20"/>
        </w:rPr>
        <w:t>R</w:t>
      </w:r>
      <w:r>
        <w:rPr>
          <w:b/>
          <w:spacing w:val="-4"/>
          <w:sz w:val="20"/>
        </w:rPr>
        <w:t> </w:t>
      </w:r>
      <w:r>
        <w:rPr>
          <w:b/>
          <w:sz w:val="20"/>
        </w:rPr>
        <w:t>(2019)</w:t>
      </w:r>
      <w:r>
        <w:rPr>
          <w:sz w:val="20"/>
        </w:rPr>
        <w:t>,</w:t>
      </w:r>
      <w:r>
        <w:rPr>
          <w:spacing w:val="-3"/>
          <w:sz w:val="20"/>
        </w:rPr>
        <w:t> </w:t>
      </w:r>
      <w:r>
        <w:rPr>
          <w:sz w:val="20"/>
        </w:rPr>
        <w:t>‘Financial</w:t>
      </w:r>
      <w:r>
        <w:rPr>
          <w:spacing w:val="-5"/>
          <w:sz w:val="20"/>
        </w:rPr>
        <w:t> </w:t>
      </w:r>
      <w:r>
        <w:rPr>
          <w:sz w:val="20"/>
        </w:rPr>
        <w:t>business</w:t>
      </w:r>
      <w:r>
        <w:rPr>
          <w:spacing w:val="-3"/>
          <w:sz w:val="20"/>
        </w:rPr>
        <w:t> </w:t>
      </w:r>
      <w:r>
        <w:rPr>
          <w:sz w:val="20"/>
        </w:rPr>
        <w:t>cycles’,</w:t>
      </w:r>
      <w:r>
        <w:rPr>
          <w:spacing w:val="-2"/>
          <w:sz w:val="20"/>
        </w:rPr>
        <w:t> </w:t>
      </w:r>
      <w:r>
        <w:rPr>
          <w:sz w:val="20"/>
        </w:rPr>
        <w:t>2019</w:t>
      </w:r>
      <w:r>
        <w:rPr>
          <w:spacing w:val="-3"/>
          <w:sz w:val="20"/>
        </w:rPr>
        <w:t> </w:t>
      </w:r>
      <w:r>
        <w:rPr>
          <w:sz w:val="20"/>
        </w:rPr>
        <w:t>Meeting</w:t>
      </w:r>
      <w:r>
        <w:rPr>
          <w:spacing w:val="-2"/>
          <w:sz w:val="20"/>
        </w:rPr>
        <w:t> </w:t>
      </w:r>
      <w:r>
        <w:rPr>
          <w:sz w:val="20"/>
        </w:rPr>
        <w:t>Papers,</w:t>
      </w:r>
      <w:r>
        <w:rPr>
          <w:spacing w:val="-2"/>
          <w:sz w:val="20"/>
        </w:rPr>
        <w:t> </w:t>
      </w:r>
      <w:r>
        <w:rPr>
          <w:sz w:val="20"/>
        </w:rPr>
        <w:t>No.</w:t>
      </w:r>
      <w:r>
        <w:rPr>
          <w:spacing w:val="-3"/>
          <w:sz w:val="20"/>
        </w:rPr>
        <w:t> </w:t>
      </w:r>
      <w:r>
        <w:rPr>
          <w:sz w:val="20"/>
        </w:rPr>
        <w:t>1101,</w:t>
      </w:r>
      <w:r>
        <w:rPr>
          <w:spacing w:val="-2"/>
          <w:sz w:val="20"/>
        </w:rPr>
        <w:t> </w:t>
      </w:r>
      <w:r>
        <w:rPr>
          <w:sz w:val="20"/>
        </w:rPr>
        <w:t>Society</w:t>
      </w:r>
      <w:r>
        <w:rPr>
          <w:spacing w:val="-7"/>
          <w:sz w:val="20"/>
        </w:rPr>
        <w:t> </w:t>
      </w:r>
      <w:r>
        <w:rPr>
          <w:sz w:val="20"/>
        </w:rPr>
        <w:t>for Economic</w:t>
      </w:r>
      <w:r>
        <w:rPr>
          <w:spacing w:val="-1"/>
          <w:sz w:val="20"/>
        </w:rPr>
        <w:t> </w:t>
      </w:r>
      <w:r>
        <w:rPr>
          <w:sz w:val="20"/>
        </w:rPr>
        <w:t>Dynamics.</w:t>
      </w:r>
    </w:p>
    <w:p>
      <w:pPr>
        <w:pStyle w:val="BodyText"/>
        <w:spacing w:before="6"/>
        <w:rPr>
          <w:sz w:val="19"/>
        </w:rPr>
      </w:pPr>
    </w:p>
    <w:p>
      <w:pPr>
        <w:spacing w:line="242" w:lineRule="auto" w:before="0"/>
        <w:ind w:left="232" w:right="684" w:firstLine="0"/>
        <w:jc w:val="left"/>
        <w:rPr>
          <w:sz w:val="20"/>
        </w:rPr>
      </w:pPr>
      <w:r>
        <w:rPr>
          <w:b/>
          <w:sz w:val="20"/>
        </w:rPr>
        <w:t>Dosi, G, Pereira, M, Roventini, A and Virgillito, M (2018)</w:t>
      </w:r>
      <w:r>
        <w:rPr>
          <w:sz w:val="20"/>
        </w:rPr>
        <w:t>, ‘Causes and consequences of hysteresis: aggregate demand, productivity, and employment’, </w:t>
      </w:r>
      <w:r>
        <w:rPr>
          <w:i/>
          <w:sz w:val="20"/>
        </w:rPr>
        <w:t>Industrial and Corporate Change</w:t>
      </w:r>
      <w:r>
        <w:rPr>
          <w:sz w:val="20"/>
        </w:rPr>
        <w:t>, Oxford University Press, vol. 27(6), pages 1015-1044.</w:t>
      </w:r>
    </w:p>
    <w:p>
      <w:pPr>
        <w:pStyle w:val="BodyText"/>
        <w:spacing w:before="4"/>
        <w:rPr>
          <w:sz w:val="19"/>
        </w:rPr>
      </w:pPr>
    </w:p>
    <w:p>
      <w:pPr>
        <w:spacing w:line="242" w:lineRule="auto" w:before="0"/>
        <w:ind w:left="232" w:right="818" w:firstLine="0"/>
        <w:jc w:val="left"/>
        <w:rPr>
          <w:sz w:val="20"/>
        </w:rPr>
      </w:pPr>
      <w:r>
        <w:rPr>
          <w:b/>
          <w:sz w:val="20"/>
        </w:rPr>
        <w:t>Duval, R, Eris, M and Furceri, D (2010)</w:t>
      </w:r>
      <w:r>
        <w:rPr>
          <w:sz w:val="20"/>
        </w:rPr>
        <w:t>, ‘Labour force participation hysteresis in industrial countries: evidence and causes’, OECD Economics Department.</w:t>
      </w:r>
    </w:p>
    <w:p>
      <w:pPr>
        <w:pStyle w:val="BodyText"/>
        <w:spacing w:before="8"/>
        <w:rPr>
          <w:sz w:val="19"/>
        </w:rPr>
      </w:pPr>
    </w:p>
    <w:p>
      <w:pPr>
        <w:pStyle w:val="BodyText"/>
        <w:spacing w:line="242" w:lineRule="auto" w:before="1"/>
        <w:ind w:left="232" w:right="384"/>
      </w:pPr>
      <w:r>
        <w:rPr>
          <w:b/>
        </w:rPr>
        <w:t>Evans, C (2019)</w:t>
      </w:r>
      <w:r>
        <w:rPr/>
        <w:t>, ‘Revisiting risk management in monetary policy’, speech given at the 2019 Credit Suisse Asian Investment Conference, Hong Kong.</w:t>
      </w:r>
    </w:p>
    <w:p>
      <w:pPr>
        <w:spacing w:after="0" w:line="242" w:lineRule="auto"/>
        <w:sectPr>
          <w:pgSz w:w="11910" w:h="16840"/>
          <w:pgMar w:header="0" w:footer="1338" w:top="1520" w:bottom="1520" w:left="900" w:right="980"/>
        </w:sectPr>
      </w:pPr>
    </w:p>
    <w:p>
      <w:pPr>
        <w:pStyle w:val="BodyText"/>
        <w:spacing w:before="4"/>
        <w:rPr>
          <w:sz w:val="13"/>
        </w:rPr>
      </w:pPr>
    </w:p>
    <w:p>
      <w:pPr>
        <w:spacing w:line="242" w:lineRule="auto" w:before="93"/>
        <w:ind w:left="232" w:right="151" w:firstLine="0"/>
        <w:jc w:val="left"/>
        <w:rPr>
          <w:sz w:val="20"/>
        </w:rPr>
      </w:pPr>
      <w:r>
        <w:rPr>
          <w:b/>
          <w:sz w:val="20"/>
        </w:rPr>
        <w:t>Evans, C, Fisher, J, Gourio, F and Krane, S (2015)</w:t>
      </w:r>
      <w:r>
        <w:rPr>
          <w:sz w:val="20"/>
        </w:rPr>
        <w:t>, ‘Risk management for monetary policy near the zero lower bound’, </w:t>
      </w:r>
      <w:r>
        <w:rPr>
          <w:i/>
          <w:sz w:val="20"/>
        </w:rPr>
        <w:t>Brookings Papers on Economic Activity</w:t>
      </w:r>
      <w:r>
        <w:rPr>
          <w:sz w:val="20"/>
        </w:rPr>
        <w:t>, Economic Studies Program, The Brookings Institution, vol. 46(1) (Spring), pages 141-219.</w:t>
      </w:r>
    </w:p>
    <w:p>
      <w:pPr>
        <w:pStyle w:val="BodyText"/>
        <w:spacing w:before="7"/>
        <w:rPr>
          <w:sz w:val="19"/>
        </w:rPr>
      </w:pPr>
    </w:p>
    <w:p>
      <w:pPr>
        <w:spacing w:before="0"/>
        <w:ind w:left="232" w:right="174" w:firstLine="0"/>
        <w:jc w:val="left"/>
        <w:rPr>
          <w:sz w:val="20"/>
        </w:rPr>
      </w:pPr>
      <w:r>
        <w:rPr>
          <w:b/>
          <w:sz w:val="20"/>
        </w:rPr>
        <w:t>Garga, V and Singh, S (2019)</w:t>
      </w:r>
      <w:r>
        <w:rPr>
          <w:sz w:val="20"/>
        </w:rPr>
        <w:t>, ‘Output hysteresis and optimal monetary policy’, </w:t>
      </w:r>
      <w:r>
        <w:rPr>
          <w:i/>
          <w:sz w:val="20"/>
        </w:rPr>
        <w:t>Working Papers</w:t>
      </w:r>
      <w:r>
        <w:rPr>
          <w:sz w:val="20"/>
        </w:rPr>
        <w:t>, No. 19-19, Federal Reserve Bank of Boston.</w:t>
      </w:r>
    </w:p>
    <w:p>
      <w:pPr>
        <w:pStyle w:val="BodyText"/>
        <w:spacing w:before="10"/>
        <w:rPr>
          <w:sz w:val="19"/>
        </w:rPr>
      </w:pPr>
    </w:p>
    <w:p>
      <w:pPr>
        <w:pStyle w:val="BodyText"/>
        <w:ind w:left="232"/>
      </w:pPr>
      <w:r>
        <w:rPr>
          <w:b/>
        </w:rPr>
        <w:t>Gordon, R (2013)</w:t>
      </w:r>
      <w:r>
        <w:rPr/>
        <w:t>, ‘The Phillips curve is alive and well: inflation and the NAIRU during the slow recovery’,</w:t>
      </w:r>
    </w:p>
    <w:p>
      <w:pPr>
        <w:spacing w:before="0"/>
        <w:ind w:left="232" w:right="0" w:firstLine="0"/>
        <w:jc w:val="left"/>
        <w:rPr>
          <w:sz w:val="20"/>
        </w:rPr>
      </w:pPr>
      <w:r>
        <w:rPr>
          <w:i/>
          <w:sz w:val="20"/>
        </w:rPr>
        <w:t>NBER Working Papers</w:t>
      </w:r>
      <w:r>
        <w:rPr>
          <w:sz w:val="20"/>
        </w:rPr>
        <w:t>, No. 19390.</w:t>
      </w:r>
    </w:p>
    <w:p>
      <w:pPr>
        <w:pStyle w:val="BodyText"/>
        <w:spacing w:before="10"/>
        <w:rPr>
          <w:sz w:val="19"/>
        </w:rPr>
      </w:pPr>
    </w:p>
    <w:p>
      <w:pPr>
        <w:spacing w:before="0"/>
        <w:ind w:left="232" w:right="674" w:firstLine="0"/>
        <w:jc w:val="left"/>
        <w:rPr>
          <w:sz w:val="20"/>
        </w:rPr>
      </w:pPr>
      <w:r>
        <w:rPr>
          <w:b/>
          <w:sz w:val="20"/>
        </w:rPr>
        <w:t>Guttentag, J and Herring, R (1986)</w:t>
      </w:r>
      <w:r>
        <w:rPr>
          <w:sz w:val="20"/>
        </w:rPr>
        <w:t>, ‘Disaster myopia in international banking’, </w:t>
      </w:r>
      <w:r>
        <w:rPr>
          <w:i/>
          <w:sz w:val="20"/>
        </w:rPr>
        <w:t>Essays in International </w:t>
      </w:r>
      <w:r>
        <w:rPr>
          <w:i/>
          <w:sz w:val="20"/>
        </w:rPr>
        <w:t>Finance</w:t>
      </w:r>
      <w:r>
        <w:rPr>
          <w:sz w:val="20"/>
        </w:rPr>
        <w:t>, No. 164, International Finance Section, Princeton University.</w:t>
      </w:r>
    </w:p>
    <w:p>
      <w:pPr>
        <w:pStyle w:val="BodyText"/>
        <w:spacing w:before="1"/>
      </w:pPr>
    </w:p>
    <w:p>
      <w:pPr>
        <w:pStyle w:val="BodyText"/>
        <w:spacing w:line="242" w:lineRule="auto" w:before="1"/>
        <w:ind w:left="232" w:right="2185"/>
      </w:pPr>
      <w:r>
        <w:rPr>
          <w:b/>
        </w:rPr>
        <w:t>Haldane, A (2015)</w:t>
      </w:r>
      <w:r>
        <w:rPr/>
        <w:t>, ‘Stuck’, speech given at the Open University, London, available at </w:t>
      </w:r>
      <w:hyperlink r:id="rId29">
        <w:r>
          <w:rPr>
            <w:color w:val="0000FF"/>
            <w:u w:val="single" w:color="0000FF"/>
          </w:rPr>
          <w:t>https://www.bankofengland.co.uk/speech/2015/stuck</w:t>
        </w:r>
      </w:hyperlink>
    </w:p>
    <w:p>
      <w:pPr>
        <w:pStyle w:val="BodyText"/>
        <w:spacing w:before="5"/>
        <w:rPr>
          <w:sz w:val="11"/>
        </w:rPr>
      </w:pPr>
    </w:p>
    <w:p>
      <w:pPr>
        <w:pStyle w:val="BodyText"/>
        <w:spacing w:line="242" w:lineRule="auto" w:before="93"/>
        <w:ind w:left="232" w:right="139"/>
      </w:pPr>
      <w:r>
        <w:rPr>
          <w:b/>
        </w:rPr>
        <w:t>Haldane, A (2019)</w:t>
      </w:r>
      <w:r>
        <w:rPr/>
        <w:t>, ‘Climbing the jobs ladder’, speech given at Glanford Park Stadium, Scunthorpe, available at</w:t>
      </w:r>
    </w:p>
    <w:p>
      <w:pPr>
        <w:pStyle w:val="BodyText"/>
        <w:spacing w:line="229" w:lineRule="exact"/>
        <w:ind w:left="232"/>
      </w:pPr>
      <w:hyperlink r:id="rId30">
        <w:r>
          <w:rPr>
            <w:color w:val="0000FF"/>
            <w:u w:val="single" w:color="0000FF"/>
          </w:rPr>
          <w:t>https://www.bankofengland.co.uk/speech/2019/andy-haldane-speech-regional-visit-to-yorkshire-and-humber</w:t>
        </w:r>
      </w:hyperlink>
    </w:p>
    <w:p>
      <w:pPr>
        <w:pStyle w:val="BodyText"/>
        <w:spacing w:before="9"/>
        <w:rPr>
          <w:sz w:val="11"/>
        </w:rPr>
      </w:pPr>
    </w:p>
    <w:p>
      <w:pPr>
        <w:spacing w:line="242" w:lineRule="auto" w:before="93"/>
        <w:ind w:left="232" w:right="241" w:firstLine="0"/>
        <w:jc w:val="left"/>
        <w:rPr>
          <w:sz w:val="20"/>
        </w:rPr>
      </w:pPr>
      <w:r>
        <w:rPr>
          <w:b/>
          <w:sz w:val="20"/>
        </w:rPr>
        <w:t>Haltiwanger, J, Hyatt, H and McEntarfer, E (2017)</w:t>
      </w:r>
      <w:r>
        <w:rPr>
          <w:sz w:val="20"/>
        </w:rPr>
        <w:t>, ‘Do workers move up the firm productivity job ladder?’, University of Maryland.</w:t>
      </w:r>
    </w:p>
    <w:p>
      <w:pPr>
        <w:pStyle w:val="BodyText"/>
        <w:spacing w:before="6"/>
        <w:rPr>
          <w:sz w:val="19"/>
        </w:rPr>
      </w:pPr>
    </w:p>
    <w:p>
      <w:pPr>
        <w:spacing w:line="242" w:lineRule="auto" w:before="0"/>
        <w:ind w:left="232" w:right="350" w:firstLine="0"/>
        <w:jc w:val="left"/>
        <w:rPr>
          <w:sz w:val="20"/>
        </w:rPr>
      </w:pPr>
      <w:r>
        <w:rPr>
          <w:b/>
          <w:sz w:val="20"/>
        </w:rPr>
        <w:t>Haltmaier, J (2012)</w:t>
      </w:r>
      <w:r>
        <w:rPr>
          <w:sz w:val="20"/>
        </w:rPr>
        <w:t>, ‘Do recessions affect potential output?’, </w:t>
      </w:r>
      <w:r>
        <w:rPr>
          <w:i/>
          <w:sz w:val="20"/>
        </w:rPr>
        <w:t>International Finance Discussion Papers</w:t>
      </w:r>
      <w:r>
        <w:rPr>
          <w:sz w:val="20"/>
        </w:rPr>
        <w:t>, No. 1066, Board of Governors of the Federal Reserve System.</w:t>
      </w:r>
    </w:p>
    <w:p>
      <w:pPr>
        <w:pStyle w:val="BodyText"/>
        <w:spacing w:before="8"/>
        <w:rPr>
          <w:sz w:val="19"/>
        </w:rPr>
      </w:pPr>
    </w:p>
    <w:p>
      <w:pPr>
        <w:spacing w:before="0"/>
        <w:ind w:left="232" w:right="0" w:firstLine="0"/>
        <w:jc w:val="left"/>
        <w:rPr>
          <w:sz w:val="20"/>
        </w:rPr>
      </w:pPr>
      <w:r>
        <w:rPr>
          <w:b/>
          <w:sz w:val="20"/>
        </w:rPr>
        <w:t>Jorda, O, Singh, S and Taylor, A (2020)</w:t>
      </w:r>
      <w:r>
        <w:rPr>
          <w:sz w:val="20"/>
        </w:rPr>
        <w:t>, ‘Longer-run economic consequences of pandemics’,</w:t>
      </w:r>
    </w:p>
    <w:p>
      <w:pPr>
        <w:spacing w:before="0"/>
        <w:ind w:left="232" w:right="0" w:firstLine="0"/>
        <w:jc w:val="left"/>
        <w:rPr>
          <w:sz w:val="20"/>
        </w:rPr>
      </w:pPr>
      <w:r>
        <w:rPr>
          <w:i/>
          <w:sz w:val="20"/>
        </w:rPr>
        <w:t>Covid Economics</w:t>
      </w:r>
      <w:r>
        <w:rPr>
          <w:sz w:val="20"/>
        </w:rPr>
        <w:t>, Issue 1, 3 April: 1-15.</w:t>
      </w:r>
    </w:p>
    <w:p>
      <w:pPr>
        <w:pStyle w:val="BodyText"/>
        <w:spacing w:before="10"/>
        <w:rPr>
          <w:sz w:val="19"/>
        </w:rPr>
      </w:pPr>
    </w:p>
    <w:p>
      <w:pPr>
        <w:spacing w:before="0"/>
        <w:ind w:left="232" w:right="1041" w:firstLine="0"/>
        <w:jc w:val="left"/>
        <w:rPr>
          <w:sz w:val="20"/>
        </w:rPr>
      </w:pPr>
      <w:r>
        <w:rPr>
          <w:b/>
          <w:sz w:val="20"/>
        </w:rPr>
        <w:t>Kiley, T and Roberts, J (2017)</w:t>
      </w:r>
      <w:r>
        <w:rPr>
          <w:sz w:val="20"/>
        </w:rPr>
        <w:t>, ‘Monetary policy in a low interest rate world’, </w:t>
      </w:r>
      <w:r>
        <w:rPr>
          <w:i/>
          <w:sz w:val="20"/>
        </w:rPr>
        <w:t>Brookings Papers on </w:t>
      </w:r>
      <w:r>
        <w:rPr>
          <w:i/>
          <w:sz w:val="20"/>
        </w:rPr>
        <w:t>Economic Activity</w:t>
      </w:r>
      <w:r>
        <w:rPr>
          <w:sz w:val="20"/>
        </w:rPr>
        <w:t>, Spring 2017.</w:t>
      </w:r>
    </w:p>
    <w:p>
      <w:pPr>
        <w:pStyle w:val="BodyText"/>
        <w:spacing w:before="1"/>
      </w:pPr>
    </w:p>
    <w:p>
      <w:pPr>
        <w:spacing w:before="0"/>
        <w:ind w:left="232" w:right="484" w:firstLine="0"/>
        <w:jc w:val="left"/>
        <w:rPr>
          <w:sz w:val="20"/>
        </w:rPr>
      </w:pPr>
      <w:r>
        <w:rPr>
          <w:b/>
          <w:sz w:val="20"/>
        </w:rPr>
        <w:t>Kozlowski, J, Veldkamp, L and Venkateswaran, V (2015)</w:t>
      </w:r>
      <w:r>
        <w:rPr>
          <w:sz w:val="20"/>
        </w:rPr>
        <w:t>, ‘The tail that wags the economy: beliefs and persistent stagnation’, </w:t>
      </w:r>
      <w:r>
        <w:rPr>
          <w:i/>
          <w:sz w:val="20"/>
        </w:rPr>
        <w:t>NBER Working Papers</w:t>
      </w:r>
      <w:r>
        <w:rPr>
          <w:sz w:val="20"/>
        </w:rPr>
        <w:t>, No. 21719.</w:t>
      </w:r>
    </w:p>
    <w:p>
      <w:pPr>
        <w:pStyle w:val="BodyText"/>
      </w:pPr>
    </w:p>
    <w:p>
      <w:pPr>
        <w:spacing w:before="0"/>
        <w:ind w:left="232" w:right="329" w:firstLine="0"/>
        <w:jc w:val="left"/>
        <w:rPr>
          <w:sz w:val="20"/>
        </w:rPr>
      </w:pPr>
      <w:r>
        <w:rPr>
          <w:b/>
          <w:sz w:val="20"/>
        </w:rPr>
        <w:t>Kozlowski, J, Veldkamp, L and Venkateswaran, V (2020)</w:t>
      </w:r>
      <w:r>
        <w:rPr>
          <w:sz w:val="20"/>
        </w:rPr>
        <w:t>, ‘Scarring body and mind: the long-term belief- scarring effects of Covid-19’, </w:t>
      </w:r>
      <w:r>
        <w:rPr>
          <w:i/>
          <w:sz w:val="20"/>
        </w:rPr>
        <w:t>Covid Economics</w:t>
      </w:r>
      <w:r>
        <w:rPr>
          <w:sz w:val="20"/>
        </w:rPr>
        <w:t>, Issue 8, 22 April: 1-26.</w:t>
      </w:r>
    </w:p>
    <w:p>
      <w:pPr>
        <w:pStyle w:val="BodyText"/>
        <w:spacing w:before="1"/>
      </w:pPr>
    </w:p>
    <w:p>
      <w:pPr>
        <w:spacing w:before="0"/>
        <w:ind w:left="232" w:right="707" w:firstLine="0"/>
        <w:jc w:val="left"/>
        <w:rPr>
          <w:sz w:val="20"/>
        </w:rPr>
      </w:pPr>
      <w:r>
        <w:rPr>
          <w:b/>
          <w:sz w:val="20"/>
        </w:rPr>
        <w:t>Lisack, N, Sajedi, R and Thwaites, G (2017)</w:t>
      </w:r>
      <w:r>
        <w:rPr>
          <w:sz w:val="20"/>
        </w:rPr>
        <w:t>, ‘Demographic trends and the real interest rate’, </w:t>
      </w:r>
      <w:r>
        <w:rPr>
          <w:i/>
          <w:sz w:val="20"/>
        </w:rPr>
        <w:t>Bank of </w:t>
      </w:r>
      <w:r>
        <w:rPr>
          <w:i/>
          <w:sz w:val="20"/>
        </w:rPr>
        <w:t>England Staff Working Paper</w:t>
      </w:r>
      <w:r>
        <w:rPr>
          <w:sz w:val="20"/>
        </w:rPr>
        <w:t>, No. 701, available at</w:t>
      </w:r>
    </w:p>
    <w:p>
      <w:pPr>
        <w:pStyle w:val="BodyText"/>
        <w:spacing w:before="1"/>
        <w:ind w:left="232"/>
      </w:pPr>
      <w:hyperlink r:id="rId31">
        <w:r>
          <w:rPr>
            <w:color w:val="0000FF"/>
            <w:u w:val="single" w:color="0000FF"/>
          </w:rPr>
          <w:t>https://www.bankofengland.co.uk/working-paper/2017/demographic-trends-and-the-real-interest-rate</w:t>
        </w:r>
      </w:hyperlink>
    </w:p>
    <w:p>
      <w:pPr>
        <w:pStyle w:val="BodyText"/>
        <w:spacing w:before="9"/>
        <w:rPr>
          <w:sz w:val="11"/>
        </w:rPr>
      </w:pPr>
    </w:p>
    <w:p>
      <w:pPr>
        <w:spacing w:before="93"/>
        <w:ind w:left="232" w:right="741" w:firstLine="0"/>
        <w:jc w:val="left"/>
        <w:rPr>
          <w:sz w:val="20"/>
        </w:rPr>
      </w:pPr>
      <w:r>
        <w:rPr>
          <w:b/>
          <w:sz w:val="20"/>
        </w:rPr>
        <w:t>Mendes, R, Murchison, S and Wilkins, C (2017)</w:t>
      </w:r>
      <w:r>
        <w:rPr>
          <w:sz w:val="20"/>
        </w:rPr>
        <w:t>, ‘Monetary policy under uncertainty: practice versus theory’, </w:t>
      </w:r>
      <w:r>
        <w:rPr>
          <w:i/>
          <w:sz w:val="20"/>
        </w:rPr>
        <w:t>Bank of Canada Discussion Paper</w:t>
      </w:r>
      <w:r>
        <w:rPr>
          <w:sz w:val="20"/>
        </w:rPr>
        <w:t>, 2017-13.</w:t>
      </w:r>
    </w:p>
    <w:p>
      <w:pPr>
        <w:pStyle w:val="BodyText"/>
        <w:spacing w:before="10"/>
        <w:rPr>
          <w:sz w:val="19"/>
        </w:rPr>
      </w:pPr>
    </w:p>
    <w:p>
      <w:pPr>
        <w:pStyle w:val="BodyText"/>
        <w:spacing w:line="242" w:lineRule="auto"/>
        <w:ind w:left="232" w:right="373"/>
      </w:pPr>
      <w:r>
        <w:rPr>
          <w:b/>
        </w:rPr>
        <w:t>Poloz, S (2020)</w:t>
      </w:r>
      <w:r>
        <w:rPr/>
        <w:t>, ‘Monetary policy in unknowable times’, speech given at Eric J. Hanson Memorial Lecture, University of Alberta, Edmonton, Alberta.</w:t>
      </w:r>
    </w:p>
    <w:p>
      <w:pPr>
        <w:pStyle w:val="BodyText"/>
        <w:spacing w:before="8"/>
        <w:rPr>
          <w:sz w:val="19"/>
        </w:rPr>
      </w:pPr>
    </w:p>
    <w:p>
      <w:pPr>
        <w:spacing w:before="0"/>
        <w:ind w:left="232" w:right="254" w:firstLine="0"/>
        <w:jc w:val="left"/>
        <w:rPr>
          <w:sz w:val="20"/>
        </w:rPr>
      </w:pPr>
      <w:r>
        <w:rPr>
          <w:b/>
          <w:sz w:val="20"/>
        </w:rPr>
        <w:t>Reifschneider, D, Wascher, W and Wilcox, D (2015)</w:t>
      </w:r>
      <w:r>
        <w:rPr>
          <w:sz w:val="20"/>
        </w:rPr>
        <w:t>, ‘Aggregate supply in the United States: recent developments and implications for the conduct of monetary policy’, </w:t>
      </w:r>
      <w:r>
        <w:rPr>
          <w:i/>
          <w:sz w:val="20"/>
        </w:rPr>
        <w:t>IMF Economic Review</w:t>
      </w:r>
      <w:r>
        <w:rPr>
          <w:sz w:val="20"/>
        </w:rPr>
        <w:t>, vol. 63(1), pages 71-109.</w:t>
      </w:r>
    </w:p>
    <w:p>
      <w:pPr>
        <w:pStyle w:val="BodyText"/>
      </w:pPr>
    </w:p>
    <w:p>
      <w:pPr>
        <w:pStyle w:val="BodyText"/>
        <w:spacing w:line="242" w:lineRule="auto"/>
        <w:ind w:left="232" w:right="804"/>
      </w:pPr>
      <w:r>
        <w:rPr>
          <w:b/>
        </w:rPr>
        <w:t>Saunders, M (2019)</w:t>
      </w:r>
      <w:r>
        <w:rPr/>
        <w:t>, ‘Shifting balance of risks’, speech given at Barnsley &amp; Rotherham Chamber of Commerce &amp; Institute of Chartered Accountants, available at </w:t>
      </w:r>
      <w:hyperlink r:id="rId32">
        <w:r>
          <w:rPr>
            <w:color w:val="0000FF"/>
            <w:u w:val="single" w:color="0000FF"/>
          </w:rPr>
          <w:t>https://www.bankofengland.co.uk/speech/2019/michael-saunders-speech-at-barnsley-and-rotherham-</w:t>
        </w:r>
      </w:hyperlink>
      <w:r>
        <w:rPr>
          <w:color w:val="0000FF"/>
        </w:rPr>
        <w:t> </w:t>
      </w:r>
      <w:hyperlink r:id="rId32">
        <w:r>
          <w:rPr>
            <w:color w:val="0000FF"/>
            <w:u w:val="single" w:color="0000FF"/>
          </w:rPr>
          <w:t>chamber-of-commerce</w:t>
        </w:r>
      </w:hyperlink>
    </w:p>
    <w:p>
      <w:pPr>
        <w:spacing w:after="0" w:line="242" w:lineRule="auto"/>
        <w:sectPr>
          <w:pgSz w:w="11910" w:h="16840"/>
          <w:pgMar w:header="0" w:footer="1338" w:top="1580" w:bottom="1520" w:left="900" w:right="980"/>
        </w:sectPr>
      </w:pPr>
    </w:p>
    <w:p>
      <w:pPr>
        <w:pStyle w:val="BodyText"/>
        <w:spacing w:line="242" w:lineRule="auto" w:before="76"/>
        <w:ind w:left="232" w:right="185"/>
      </w:pPr>
      <w:r>
        <w:rPr>
          <w:b/>
        </w:rPr>
        <w:t>Saunders, M (2020)</w:t>
      </w:r>
      <w:r>
        <w:rPr/>
        <w:t>, ‘Risk management in a sluggish economy’, speech given at the South Eastern Regional College, Bangor, Northern Ireland, available at </w:t>
      </w:r>
      <w:hyperlink r:id="rId33">
        <w:r>
          <w:rPr>
            <w:color w:val="0000FF"/>
            <w:w w:val="95"/>
            <w:u w:val="single" w:color="0000FF"/>
          </w:rPr>
          <w:t>https://www.bankofengland.co.uk/speech/2020/michael-saunders-speech-southern-eastern-regional-college-</w:t>
        </w:r>
      </w:hyperlink>
      <w:r>
        <w:rPr>
          <w:color w:val="0000FF"/>
          <w:w w:val="95"/>
        </w:rPr>
        <w:t> </w:t>
      </w:r>
      <w:hyperlink r:id="rId33">
        <w:r>
          <w:rPr>
            <w:color w:val="0000FF"/>
            <w:u w:val="single" w:color="0000FF"/>
          </w:rPr>
          <w:t>bangor-northern-ireland</w:t>
        </w:r>
      </w:hyperlink>
    </w:p>
    <w:p>
      <w:pPr>
        <w:pStyle w:val="BodyText"/>
        <w:spacing w:before="4"/>
        <w:rPr>
          <w:sz w:val="11"/>
        </w:rPr>
      </w:pPr>
    </w:p>
    <w:p>
      <w:pPr>
        <w:pStyle w:val="BodyText"/>
        <w:spacing w:before="93"/>
        <w:ind w:left="232" w:right="261"/>
      </w:pPr>
      <w:r>
        <w:rPr>
          <w:b/>
        </w:rPr>
        <w:t>Tenreyro, S (2020)</w:t>
      </w:r>
      <w:r>
        <w:rPr/>
        <w:t>, ‘Monetary policy during pandemics: inflation before, during and after Covid-19’, speech given during an online webinar, available at</w:t>
      </w:r>
    </w:p>
    <w:p>
      <w:pPr>
        <w:pStyle w:val="BodyText"/>
        <w:spacing w:before="1"/>
        <w:ind w:left="232"/>
      </w:pPr>
      <w:hyperlink r:id="rId34">
        <w:r>
          <w:rPr>
            <w:color w:val="0000FF"/>
            <w:u w:val="single" w:color="0000FF"/>
          </w:rPr>
          <w:t>https://www.bankofengland.co.uk/speech/2020/silvana-tenreyro-speech-monetary-policy-during-pandemics</w:t>
        </w:r>
      </w:hyperlink>
    </w:p>
    <w:p>
      <w:pPr>
        <w:pStyle w:val="BodyText"/>
        <w:spacing w:before="9"/>
        <w:rPr>
          <w:sz w:val="11"/>
        </w:rPr>
      </w:pPr>
    </w:p>
    <w:p>
      <w:pPr>
        <w:pStyle w:val="BodyText"/>
        <w:spacing w:line="242" w:lineRule="auto" w:before="93"/>
        <w:ind w:left="232" w:right="694"/>
      </w:pPr>
      <w:r>
        <w:rPr>
          <w:b/>
        </w:rPr>
        <w:t>Vlieghe, G (2020)</w:t>
      </w:r>
      <w:r>
        <w:rPr/>
        <w:t>, ‘Monetary policy and the Bank of England’s balance sheet’, speech given during an online webinar, available at</w:t>
      </w:r>
    </w:p>
    <w:p>
      <w:pPr>
        <w:pStyle w:val="BodyText"/>
        <w:ind w:left="232" w:right="785"/>
      </w:pPr>
      <w:hyperlink r:id="rId35">
        <w:r>
          <w:rPr>
            <w:color w:val="0000FF"/>
            <w:w w:val="95"/>
            <w:u w:val="single" w:color="0000FF"/>
          </w:rPr>
          <w:t>https://www.bankofengland.co.uk/speech/2020/gertjan-vlieghe-speech-monetary-policy-and-the-boes-</w:t>
        </w:r>
      </w:hyperlink>
      <w:r>
        <w:rPr>
          <w:color w:val="0000FF"/>
          <w:w w:val="95"/>
        </w:rPr>
        <w:t> </w:t>
      </w:r>
      <w:hyperlink r:id="rId35">
        <w:r>
          <w:rPr>
            <w:color w:val="0000FF"/>
            <w:u w:val="single" w:color="0000FF"/>
          </w:rPr>
          <w:t>balance-sheet</w:t>
        </w:r>
      </w:hyperlink>
    </w:p>
    <w:p>
      <w:pPr>
        <w:pStyle w:val="BodyText"/>
        <w:spacing w:before="5"/>
        <w:rPr>
          <w:sz w:val="11"/>
        </w:rPr>
      </w:pPr>
    </w:p>
    <w:p>
      <w:pPr>
        <w:pStyle w:val="BodyText"/>
        <w:spacing w:line="242" w:lineRule="auto" w:before="93"/>
        <w:ind w:left="232" w:right="561"/>
      </w:pPr>
      <w:r>
        <w:rPr>
          <w:b/>
        </w:rPr>
        <w:t>Williams, J (2019)</w:t>
      </w:r>
      <w:r>
        <w:rPr/>
        <w:t>, ‘Living life near the ZLB’, remarks given at 2019 Annual Meeting of the Central Bank Research Association (CEBRA), New York.</w:t>
      </w:r>
    </w:p>
    <w:sectPr>
      <w:pgSz w:w="11910" w:h="16840"/>
      <w:pgMar w:header="0" w:footer="1338" w:top="1520" w:bottom="1520" w:left="9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4508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19983pt;margin-top:760.346924pt;width:2.550pt;height:3.1pt;mso-position-horizontal-relative:page;mso-position-vertical-relative:page;z-index:-25314406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314304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0924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3pt;height:3.1pt;mso-position-horizontal-relative:page;mso-position-vertical-relative:page;z-index:-253108224"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2.119446pt;width:349.85pt;height:13.15pt;mso-position-horizontal-relative:page;mso-position-vertical-relative:page;z-index:-25310720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106176"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05152"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3pt;height:3.1pt;mso-position-horizontal-relative:page;mso-position-vertical-relative:page;z-index:-253104128"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2.119446pt;width:349.85pt;height:13.15pt;mso-position-horizontal-relative:page;mso-position-vertical-relative:page;z-index:-25310310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102080"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01056"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1000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119446pt;width:349.85pt;height:13.15pt;mso-position-horizontal-relative:page;mso-position-vertical-relative:page;z-index:-25309900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097984"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09696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3.419983pt;margin-top:760.346924pt;width:7pt;height:3.1pt;mso-position-horizontal-relative:page;mso-position-vertical-relative:page;z-index:-2530959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119446pt;width:349.85pt;height:13.15pt;mso-position-horizontal-relative:page;mso-position-vertical-relative:page;z-index:-25309491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59985pt;margin-top:773.319458pt;width:13.05pt;height:13.15pt;mso-position-horizontal-relative:page;mso-position-vertical-relative:page;z-index:-253093888" type="#_x0000_t202" filled="false" stroked="false">
          <v:textbox inset="0,0,0,0">
            <w:txbxContent>
              <w:p>
                <w:pPr>
                  <w:pStyle w:val="BodyText"/>
                  <w:spacing w:before="12"/>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42016"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4099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119446pt;width:349.85pt;height:13.15pt;mso-position-horizontal-relative:page;mso-position-vertical-relative:page;z-index:-25313996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3894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3792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3689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119446pt;width:349.85pt;height:13.15pt;mso-position-horizontal-relative:page;mso-position-vertical-relative:page;z-index:-25313587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3484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33824"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3280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119446pt;width:349.85pt;height:13.15pt;mso-position-horizontal-relative:page;mso-position-vertical-relative:page;z-index:-25313177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3075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29728"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2870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119446pt;width:349.85pt;height:13.15pt;mso-position-horizontal-relative:page;mso-position-vertical-relative:page;z-index:-25312768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2665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25632"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2460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119446pt;width:349.85pt;height:13.15pt;mso-position-horizontal-relative:page;mso-position-vertical-relative:page;z-index:-25312358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2256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21536"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2051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119446pt;width:349.85pt;height:13.15pt;mso-position-horizontal-relative:page;mso-position-vertical-relative:page;z-index:-25311948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1846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17440"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1641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119446pt;width:349.85pt;height:13.15pt;mso-position-horizontal-relative:page;mso-position-vertical-relative:page;z-index:-25311539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1436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5500pt;height:.25pt;mso-position-horizontal-relative:page;mso-position-vertical-relative:page;z-index:-253113344" coordorigin="778,15220" coordsize="10351,5">
          <v:line style="position:absolute" from="778,15223" to="10420,15223" stroked="true" strokeweight=".23999pt" strokecolor="#000000">
            <v:stroke dashstyle="solid"/>
          </v:line>
          <v:rect style="position:absolute;left:10420;top:15220;width:5;height:5" filled="true" fillcolor="#000000" stroked="false">
            <v:fill type="solid"/>
          </v:rect>
          <v:line style="position:absolute" from="10425,15223" to="11128,15223" stroked="true" strokeweight=".23999pt" strokecolor="#000000">
            <v:stroke dashstyle="solid"/>
          </v:line>
          <w10:wrap type="none"/>
        </v:group>
      </w:pict>
    </w:r>
    <w:r>
      <w:rPr/>
      <w:pict>
        <v:shape style="position:absolute;margin-left:525.419983pt;margin-top:760.346924pt;width:2.550pt;height:3.1pt;mso-position-horizontal-relative:page;mso-position-vertical-relative:page;z-index:-253112320"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119446pt;width:349.85pt;height:13.15pt;mso-position-horizontal-relative:page;mso-position-vertical-relative:page;z-index:-25311129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pt;margin-top:773.319458pt;width:7.55pt;height:13.15pt;mso-position-horizontal-relative:page;mso-position-vertical-relative:page;z-index:-253110272"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5.png"/><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hyperlink" Target="https://www.bankofengland.co.uk/working-paper/2019/employment-and-the-collateral-channel-of-monetary-policy" TargetMode="External"/><Relationship Id="rId26" Type="http://schemas.openxmlformats.org/officeDocument/2006/relationships/hyperlink" Target="https://www.bankofengland.co.uk/quarterly-bulletin/2015/q4/trends-in-uk-labour-supply" TargetMode="External"/><Relationship Id="rId27" Type="http://schemas.openxmlformats.org/officeDocument/2006/relationships/hyperlink" Target="https://www.bankofengland.co.uk/speech/2019/ben-broadbent-imperial-college-business-school-london" TargetMode="External"/><Relationship Id="rId28" Type="http://schemas.openxmlformats.org/officeDocument/2006/relationships/hyperlink" Target="https://www.bankofengland.co.uk/speech/2020/mark-carney-opening-remarks-at-the-future-of-inflation-targeting-conference" TargetMode="External"/><Relationship Id="rId29" Type="http://schemas.openxmlformats.org/officeDocument/2006/relationships/hyperlink" Target="https://www.bankofengland.co.uk/speech/2015/stuck" TargetMode="External"/><Relationship Id="rId30" Type="http://schemas.openxmlformats.org/officeDocument/2006/relationships/hyperlink" Target="https://www.bankofengland.co.uk/speech/2019/andy-haldane-speech-regional-visit-to-yorkshire-and-humber" TargetMode="External"/><Relationship Id="rId31" Type="http://schemas.openxmlformats.org/officeDocument/2006/relationships/hyperlink" Target="https://www.bankofengland.co.uk/working-paper/2017/demographic-trends-and-the-real-interest-rate" TargetMode="External"/><Relationship Id="rId32" Type="http://schemas.openxmlformats.org/officeDocument/2006/relationships/hyperlink" Target="https://www.bankofengland.co.uk/speech/2019/michael-saunders-speech-at-barnsley-and-rotherham-chamber-of-commerce" TargetMode="External"/><Relationship Id="rId33" Type="http://schemas.openxmlformats.org/officeDocument/2006/relationships/hyperlink" Target="https://www.bankofengland.co.uk/speech/2020/michael-saunders-speech-southern-eastern-regional-college-bangor-northern-ireland" TargetMode="External"/><Relationship Id="rId34" Type="http://schemas.openxmlformats.org/officeDocument/2006/relationships/hyperlink" Target="https://www.bankofengland.co.uk/speech/2020/silvana-tenreyro-speech-monetary-policy-during-pandemics" TargetMode="External"/><Relationship Id="rId35" Type="http://schemas.openxmlformats.org/officeDocument/2006/relationships/hyperlink" Target="https://www.bankofengland.co.uk/speech/2020/gertjan-vlieghe-speech-monetary-policy-and-the-boes-balance-she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Michael Saunders on the 28 May 2020</dc:subject>
  <dc:title>Covid-19 and monetary policy</dc:title>
  <dcterms:created xsi:type="dcterms:W3CDTF">2020-06-02T17:21:53Z</dcterms:created>
  <dcterms:modified xsi:type="dcterms:W3CDTF">2020-06-02T17:21:53Z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LastSaved">
    <vt:filetime>2020-06-02T00:00:00Z</vt:filetime>
  </property>
</Properties>
</file>