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1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75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893" w:right="1840" w:firstLine="0"/>
        <w:jc w:val="left"/>
        <w:rPr>
          <w:b/>
          <w:sz w:val="32"/>
        </w:rPr>
      </w:pPr>
      <w:r>
        <w:rPr>
          <w:b/>
          <w:color w:val="6A709F"/>
          <w:sz w:val="32"/>
        </w:rPr>
        <w:t>Debt, Demographics and the </w:t>
      </w:r>
      <w:r>
        <w:rPr>
          <w:b/>
          <w:color w:val="6A6F9F"/>
          <w:sz w:val="32"/>
        </w:rPr>
        <w:t>Distribution of Income: New challenges for monetary policy</w:t>
      </w:r>
    </w:p>
    <w:p>
      <w:pPr>
        <w:spacing w:before="280"/>
        <w:ind w:left="893" w:right="0" w:firstLine="0"/>
        <w:jc w:val="left"/>
        <w:rPr>
          <w:sz w:val="24"/>
        </w:rPr>
      </w:pPr>
      <w:r>
        <w:rPr>
          <w:sz w:val="24"/>
        </w:rPr>
        <w:t>Speech given by</w:t>
      </w:r>
    </w:p>
    <w:p>
      <w:pPr>
        <w:spacing w:before="135"/>
        <w:ind w:left="893" w:right="0" w:firstLine="0"/>
        <w:jc w:val="left"/>
        <w:rPr>
          <w:sz w:val="23"/>
        </w:rPr>
      </w:pPr>
      <w:r>
        <w:rPr>
          <w:sz w:val="24"/>
        </w:rPr>
        <w:t>Dr Gertjan Vlieghe, </w:t>
      </w:r>
      <w:r>
        <w:rPr>
          <w:sz w:val="23"/>
        </w:rPr>
        <w:t>External MPC member, Bank of England</w:t>
      </w:r>
    </w:p>
    <w:p>
      <w:pPr>
        <w:pStyle w:val="BodyText"/>
        <w:spacing w:before="4"/>
        <w:rPr>
          <w:sz w:val="36"/>
        </w:rPr>
      </w:pPr>
    </w:p>
    <w:p>
      <w:pPr>
        <w:spacing w:line="360" w:lineRule="auto" w:before="0"/>
        <w:ind w:left="893" w:right="7408" w:firstLine="0"/>
        <w:jc w:val="left"/>
        <w:rPr>
          <w:sz w:val="24"/>
        </w:rPr>
      </w:pPr>
      <w:r>
        <w:rPr>
          <w:sz w:val="24"/>
        </w:rPr>
        <w:t>London School of Economics 18 January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8"/>
        </w:rPr>
      </w:pPr>
    </w:p>
    <w:p>
      <w:pPr>
        <w:pStyle w:val="BodyText"/>
        <w:spacing w:before="93"/>
        <w:ind w:left="893" w:right="1478"/>
      </w:pPr>
      <w:r>
        <w:rPr/>
        <w:t>I would like to thank Rodrigo Guimaraes for his insightful contributions to this speech. I would also like to thank James Cloyne, Iain de Weymarn, Kristin Forbes, Giulia Ghiani, Ben Nelson, Thomas Smith, James Talbot, Marilyne Tolle, Greg Thwaites, Matthew Waldron and Martin Weale for helpful comments and Abigail Whiting for research assistance.</w:t>
      </w:r>
    </w:p>
    <w:p>
      <w:pPr>
        <w:spacing w:after="0"/>
        <w:sectPr>
          <w:footerReference w:type="default" r:id="rId5"/>
          <w:type w:val="continuous"/>
          <w:pgSz w:w="11910" w:h="16840"/>
          <w:pgMar w:footer="1338" w:top="1180" w:bottom="1520" w:left="240" w:right="240"/>
        </w:sectPr>
      </w:pPr>
    </w:p>
    <w:p>
      <w:pPr>
        <w:pStyle w:val="ListParagraph"/>
        <w:numPr>
          <w:ilvl w:val="0"/>
          <w:numId w:val="1"/>
        </w:numPr>
        <w:tabs>
          <w:tab w:pos="1973" w:val="left" w:leader="none"/>
          <w:tab w:pos="1974" w:val="left" w:leader="none"/>
        </w:tabs>
        <w:spacing w:line="240" w:lineRule="auto" w:before="79" w:after="0"/>
        <w:ind w:left="1973" w:right="0" w:hanging="721"/>
        <w:jc w:val="left"/>
        <w:rPr>
          <w:sz w:val="20"/>
        </w:rPr>
      </w:pPr>
      <w:r>
        <w:rPr>
          <w:sz w:val="20"/>
        </w:rPr>
        <w:t>Introduction</w:t>
      </w:r>
    </w:p>
    <w:p>
      <w:pPr>
        <w:pStyle w:val="BodyText"/>
        <w:rPr>
          <w:sz w:val="22"/>
        </w:rPr>
      </w:pPr>
    </w:p>
    <w:p>
      <w:pPr>
        <w:pStyle w:val="BodyText"/>
        <w:spacing w:before="10"/>
        <w:rPr>
          <w:sz w:val="17"/>
        </w:rPr>
      </w:pPr>
    </w:p>
    <w:p>
      <w:pPr>
        <w:pStyle w:val="BodyText"/>
        <w:spacing w:line="360" w:lineRule="auto"/>
        <w:ind w:left="893" w:right="1113"/>
      </w:pPr>
      <w:r>
        <w:rPr/>
        <w:t>In the pre-crisis years, most macro-economists and policymakers used to think of the economy as typically being on a stable growth path with output near its potential level, and with temporary shocks creating</w:t>
      </w:r>
    </w:p>
    <w:p>
      <w:pPr>
        <w:pStyle w:val="BodyText"/>
        <w:spacing w:line="360" w:lineRule="auto" w:before="2"/>
        <w:ind w:left="893" w:right="946"/>
      </w:pPr>
      <w:r>
        <w:rPr/>
        <w:t>short-lived deviations from this path. Monetary policy was largely about responding to these temporary shocks to bring the economy back to its stable equilibrium path swiftly. Monetary policy was therefore mainly driven by cyclical factors: factors that were temporary in nature and that only explained deviations from the economy’s potential, which in turn would make the inflation rate deviate from the target rate. I am simplifying here, of course, but I think many central bankers and macroeconomists would recognise this basic description.</w:t>
      </w:r>
    </w:p>
    <w:p>
      <w:pPr>
        <w:pStyle w:val="BodyText"/>
        <w:spacing w:before="10"/>
        <w:rPr>
          <w:sz w:val="29"/>
        </w:rPr>
      </w:pPr>
    </w:p>
    <w:p>
      <w:pPr>
        <w:pStyle w:val="BodyText"/>
        <w:spacing w:line="360" w:lineRule="auto" w:before="1"/>
        <w:ind w:left="893" w:right="1113"/>
      </w:pPr>
      <w:r>
        <w:rPr/>
        <w:t>In contrast, I believe the setting of monetary policy is currently driven at least as much by structural developments in the UK and globally that may have persistently changed the relationship between growth and interest rates.</w:t>
      </w:r>
      <w:r>
        <w:rPr>
          <w:vertAlign w:val="superscript"/>
        </w:rPr>
        <w:t>1</w:t>
      </w:r>
    </w:p>
    <w:p>
      <w:pPr>
        <w:pStyle w:val="BodyText"/>
        <w:rPr>
          <w:sz w:val="30"/>
        </w:rPr>
      </w:pPr>
    </w:p>
    <w:p>
      <w:pPr>
        <w:pStyle w:val="BodyText"/>
        <w:ind w:left="893"/>
      </w:pPr>
      <w:r>
        <w:rPr/>
        <w:t>My particular focus today will be on “3 Ds”: debt, demographics and distribution of income.</w:t>
      </w:r>
    </w:p>
    <w:p>
      <w:pPr>
        <w:pStyle w:val="BodyText"/>
        <w:spacing w:line="360" w:lineRule="auto" w:before="114"/>
        <w:ind w:left="893" w:right="1178"/>
      </w:pPr>
      <w:r>
        <w:rPr/>
        <w:t>Some economists have been paying attention to these issues for a long time. But monetary policy makers have not focused on them much, until quite recently. I want to argue that we should.</w:t>
      </w:r>
    </w:p>
    <w:p>
      <w:pPr>
        <w:pStyle w:val="BodyText"/>
        <w:spacing w:before="1"/>
        <w:rPr>
          <w:sz w:val="30"/>
        </w:rPr>
      </w:pPr>
    </w:p>
    <w:p>
      <w:pPr>
        <w:pStyle w:val="BodyText"/>
        <w:spacing w:line="360" w:lineRule="auto"/>
        <w:ind w:left="893" w:right="946"/>
      </w:pPr>
      <w:r>
        <w:rPr/>
        <w:t>I will argue that changes in the 3 Ds are interacting powerfully to create an environment where a given level of growth might be consistent with substantially lower interest rates than in the past. This environment might persist for years, even decades. Despite substantial uncertainty about the magnitude and duration of these effects, I draw out some policy implications.</w:t>
      </w:r>
    </w:p>
    <w:p>
      <w:pPr>
        <w:pStyle w:val="BodyText"/>
        <w:spacing w:before="11"/>
        <w:rPr>
          <w:sz w:val="29"/>
        </w:rPr>
      </w:pPr>
    </w:p>
    <w:p>
      <w:pPr>
        <w:pStyle w:val="BodyText"/>
        <w:spacing w:line="360" w:lineRule="auto"/>
        <w:ind w:left="893" w:right="1154"/>
      </w:pPr>
      <w:r>
        <w:rPr/>
        <w:t>First, the economy may not revert to its pre-crisis average levels of growth and interest rates. But many of the models we use in policy analysis do revert to pre-crisis averages, because persistent effects from the 3 Ds are ruled out by design, to keep the models simple. Although models are useful simplifications of a complex</w:t>
      </w:r>
      <w:r>
        <w:rPr>
          <w:spacing w:val="-3"/>
        </w:rPr>
        <w:t> </w:t>
      </w:r>
      <w:r>
        <w:rPr/>
        <w:t>world,</w:t>
      </w:r>
      <w:r>
        <w:rPr>
          <w:spacing w:val="-4"/>
        </w:rPr>
        <w:t> </w:t>
      </w:r>
      <w:r>
        <w:rPr/>
        <w:t>we</w:t>
      </w:r>
      <w:r>
        <w:rPr>
          <w:spacing w:val="-3"/>
        </w:rPr>
        <w:t> </w:t>
      </w:r>
      <w:r>
        <w:rPr/>
        <w:t>should</w:t>
      </w:r>
      <w:r>
        <w:rPr>
          <w:spacing w:val="-4"/>
        </w:rPr>
        <w:t> </w:t>
      </w:r>
      <w:r>
        <w:rPr/>
        <w:t>heed</w:t>
      </w:r>
      <w:r>
        <w:rPr>
          <w:spacing w:val="-3"/>
        </w:rPr>
        <w:t> </w:t>
      </w:r>
      <w:r>
        <w:rPr/>
        <w:t>Einstein’s</w:t>
      </w:r>
      <w:r>
        <w:rPr>
          <w:spacing w:val="-4"/>
        </w:rPr>
        <w:t> </w:t>
      </w:r>
      <w:r>
        <w:rPr/>
        <w:t>recommendation</w:t>
      </w:r>
      <w:r>
        <w:rPr>
          <w:spacing w:val="-7"/>
        </w:rPr>
        <w:t> </w:t>
      </w:r>
      <w:r>
        <w:rPr/>
        <w:t>that:</w:t>
      </w:r>
      <w:r>
        <w:rPr>
          <w:spacing w:val="-3"/>
        </w:rPr>
        <w:t> </w:t>
      </w:r>
      <w:r>
        <w:rPr/>
        <w:t>“Everything</w:t>
      </w:r>
      <w:r>
        <w:rPr>
          <w:spacing w:val="-6"/>
        </w:rPr>
        <w:t> </w:t>
      </w:r>
      <w:r>
        <w:rPr/>
        <w:t>should</w:t>
      </w:r>
      <w:r>
        <w:rPr>
          <w:spacing w:val="-4"/>
        </w:rPr>
        <w:t> </w:t>
      </w:r>
      <w:r>
        <w:rPr/>
        <w:t>be</w:t>
      </w:r>
      <w:r>
        <w:rPr>
          <w:spacing w:val="-6"/>
        </w:rPr>
        <w:t> </w:t>
      </w:r>
      <w:r>
        <w:rPr/>
        <w:t>made</w:t>
      </w:r>
      <w:r>
        <w:rPr>
          <w:spacing w:val="-5"/>
        </w:rPr>
        <w:t> </w:t>
      </w:r>
      <w:r>
        <w:rPr/>
        <w:t>as</w:t>
      </w:r>
      <w:r>
        <w:rPr>
          <w:spacing w:val="-5"/>
        </w:rPr>
        <w:t> </w:t>
      </w:r>
      <w:r>
        <w:rPr/>
        <w:t>simple</w:t>
      </w:r>
      <w:r>
        <w:rPr>
          <w:spacing w:val="-5"/>
        </w:rPr>
        <w:t> </w:t>
      </w:r>
      <w:r>
        <w:rPr/>
        <w:t>as possible,</w:t>
      </w:r>
      <w:r>
        <w:rPr>
          <w:spacing w:val="-4"/>
        </w:rPr>
        <w:t> </w:t>
      </w:r>
      <w:r>
        <w:rPr/>
        <w:t>but</w:t>
      </w:r>
      <w:r>
        <w:rPr>
          <w:spacing w:val="-4"/>
        </w:rPr>
        <w:t> </w:t>
      </w:r>
      <w:r>
        <w:rPr/>
        <w:t>not</w:t>
      </w:r>
      <w:r>
        <w:rPr>
          <w:spacing w:val="-4"/>
        </w:rPr>
        <w:t> </w:t>
      </w:r>
      <w:r>
        <w:rPr/>
        <w:t>simpler”. </w:t>
      </w:r>
      <w:r>
        <w:rPr>
          <w:spacing w:val="3"/>
        </w:rPr>
        <w:t>We</w:t>
      </w:r>
      <w:r>
        <w:rPr>
          <w:spacing w:val="-5"/>
        </w:rPr>
        <w:t> </w:t>
      </w:r>
      <w:r>
        <w:rPr/>
        <w:t>should</w:t>
      </w:r>
      <w:r>
        <w:rPr>
          <w:spacing w:val="-3"/>
        </w:rPr>
        <w:t> </w:t>
      </w:r>
      <w:r>
        <w:rPr/>
        <w:t>be</w:t>
      </w:r>
      <w:r>
        <w:rPr>
          <w:spacing w:val="-3"/>
        </w:rPr>
        <w:t> </w:t>
      </w:r>
      <w:r>
        <w:rPr/>
        <w:t>careful</w:t>
      </w:r>
      <w:r>
        <w:rPr>
          <w:spacing w:val="-3"/>
        </w:rPr>
        <w:t> </w:t>
      </w:r>
      <w:r>
        <w:rPr/>
        <w:t>not</w:t>
      </w:r>
      <w:r>
        <w:rPr>
          <w:spacing w:val="-3"/>
        </w:rPr>
        <w:t> </w:t>
      </w:r>
      <w:r>
        <w:rPr/>
        <w:t>to</w:t>
      </w:r>
      <w:r>
        <w:rPr>
          <w:spacing w:val="-1"/>
        </w:rPr>
        <w:t> </w:t>
      </w:r>
      <w:r>
        <w:rPr/>
        <w:t>place</w:t>
      </w:r>
      <w:r>
        <w:rPr>
          <w:spacing w:val="-1"/>
        </w:rPr>
        <w:t> </w:t>
      </w:r>
      <w:r>
        <w:rPr/>
        <w:t>too</w:t>
      </w:r>
      <w:r>
        <w:rPr>
          <w:spacing w:val="-1"/>
        </w:rPr>
        <w:t> </w:t>
      </w:r>
      <w:r>
        <w:rPr/>
        <w:t>much</w:t>
      </w:r>
      <w:r>
        <w:rPr>
          <w:spacing w:val="-2"/>
        </w:rPr>
        <w:t> </w:t>
      </w:r>
      <w:r>
        <w:rPr/>
        <w:t>weight</w:t>
      </w:r>
      <w:r>
        <w:rPr>
          <w:spacing w:val="-1"/>
        </w:rPr>
        <w:t> </w:t>
      </w:r>
      <w:r>
        <w:rPr/>
        <w:t>on</w:t>
      </w:r>
      <w:r>
        <w:rPr>
          <w:spacing w:val="-1"/>
        </w:rPr>
        <w:t> </w:t>
      </w:r>
      <w:r>
        <w:rPr/>
        <w:t>models</w:t>
      </w:r>
      <w:r>
        <w:rPr>
          <w:spacing w:val="-2"/>
        </w:rPr>
        <w:t> </w:t>
      </w:r>
      <w:r>
        <w:rPr/>
        <w:t>that</w:t>
      </w:r>
      <w:r>
        <w:rPr>
          <w:spacing w:val="-3"/>
        </w:rPr>
        <w:t> </w:t>
      </w:r>
      <w:r>
        <w:rPr/>
        <w:t>have</w:t>
      </w:r>
      <w:r>
        <w:rPr>
          <w:spacing w:val="-2"/>
        </w:rPr>
        <w:t> </w:t>
      </w:r>
      <w:r>
        <w:rPr/>
        <w:t>strong</w:t>
      </w:r>
    </w:p>
    <w:p>
      <w:pPr>
        <w:pStyle w:val="BodyText"/>
        <w:spacing w:line="360" w:lineRule="auto"/>
        <w:ind w:left="893" w:right="967"/>
      </w:pPr>
      <w:r>
        <w:rPr/>
        <w:t>mean reversion built in by assumption. The longer our forecasting horizon, the more forcefully this argument applies. Second, for a given level of growth, real interest rates may remain significantly lower than in the past. The possibility of this scenario makes me more patient, other things equal, before raising rates, because we may not have to raise rates very much once we start. Moreover, the fact that, at very low interest rates, policy cannot respond as effectively to bad news as it can to good news also makes me more patient before raising rates.</w:t>
      </w:r>
    </w:p>
    <w:p>
      <w:pPr>
        <w:pStyle w:val="BodyText"/>
      </w:pPr>
    </w:p>
    <w:p>
      <w:pPr>
        <w:pStyle w:val="BodyText"/>
      </w:pPr>
    </w:p>
    <w:p>
      <w:pPr>
        <w:pStyle w:val="BodyText"/>
        <w:spacing w:before="4"/>
        <w:rPr>
          <w:sz w:val="13"/>
        </w:rPr>
      </w:pPr>
      <w:r>
        <w:rPr/>
        <w:pict>
          <v:shape style="position:absolute;margin-left:56.664001pt;margin-top:9.917598pt;width:144.050pt;height:.1pt;mso-position-horizontal-relative:page;mso-position-vertical-relative:paragraph;z-index:-251657216;mso-wrap-distance-left:0;mso-wrap-distance-right:0" coordorigin="1133,198" coordsize="2881,0" path="m1133,198l4014,198e" filled="false" stroked="true" strokeweight=".47998pt" strokecolor="#000000">
            <v:path arrowok="t"/>
            <v:stroke dashstyle="solid"/>
            <w10:wrap type="topAndBottom"/>
          </v:shape>
        </w:pict>
      </w:r>
    </w:p>
    <w:p>
      <w:pPr>
        <w:spacing w:before="27"/>
        <w:ind w:left="893" w:right="1015" w:firstLine="0"/>
        <w:jc w:val="both"/>
        <w:rPr>
          <w:sz w:val="16"/>
        </w:rPr>
      </w:pPr>
      <w:r>
        <w:rPr>
          <w:position w:val="8"/>
          <w:sz w:val="10"/>
        </w:rPr>
        <w:t>1 </w:t>
      </w:r>
      <w:r>
        <w:rPr>
          <w:sz w:val="16"/>
        </w:rPr>
        <w:t>Most of the issues in my speech have featured in the debate about “secular stagnation” raised by Summers (2014) (see discussion in Teulings and Baldwin (2014)), or have been analysed with a particular focus on long term real rates (see Bean et al (2015) and Rachel &amp; Smith (2015) and references therein for comprehensive discussion).</w:t>
      </w:r>
    </w:p>
    <w:p>
      <w:pPr>
        <w:spacing w:after="0"/>
        <w:jc w:val="both"/>
        <w:rPr>
          <w:sz w:val="16"/>
        </w:rPr>
        <w:sectPr>
          <w:footerReference w:type="default" r:id="rId7"/>
          <w:pgSz w:w="11910" w:h="16840"/>
          <w:pgMar w:footer="1338" w:header="0" w:top="1520" w:bottom="1520" w:left="240" w:right="240"/>
        </w:sectPr>
      </w:pPr>
    </w:p>
    <w:p>
      <w:pPr>
        <w:pStyle w:val="BodyText"/>
        <w:spacing w:line="360" w:lineRule="auto" w:before="79"/>
        <w:ind w:left="893" w:right="851"/>
      </w:pPr>
      <w:r>
        <w:rPr/>
        <w:t>Finally, I will discuss recent developments in UK growth and inflation, and argue that, in order to be confident enough of the medium-term inflation outlook to justify raising Bank Rate, I would like to see more evidence that growth is stabilising after its recent slowdown, and that a broad range of indicators related to inflation are generally on an upward trajectory from their current low levels.</w:t>
      </w:r>
    </w:p>
    <w:p>
      <w:pPr>
        <w:pStyle w:val="BodyText"/>
        <w:spacing w:before="10"/>
        <w:rPr>
          <w:sz w:val="29"/>
        </w:rPr>
      </w:pPr>
    </w:p>
    <w:p>
      <w:pPr>
        <w:pStyle w:val="ListParagraph"/>
        <w:numPr>
          <w:ilvl w:val="0"/>
          <w:numId w:val="1"/>
        </w:numPr>
        <w:tabs>
          <w:tab w:pos="1973" w:val="left" w:leader="none"/>
          <w:tab w:pos="1974" w:val="left" w:leader="none"/>
        </w:tabs>
        <w:spacing w:line="240" w:lineRule="auto" w:before="0" w:after="0"/>
        <w:ind w:left="1973" w:right="0" w:hanging="721"/>
        <w:jc w:val="left"/>
        <w:rPr>
          <w:sz w:val="20"/>
        </w:rPr>
      </w:pPr>
      <w:r>
        <w:rPr>
          <w:sz w:val="20"/>
        </w:rPr>
        <w:t>Debt</w:t>
      </w:r>
    </w:p>
    <w:p>
      <w:pPr>
        <w:pStyle w:val="BodyText"/>
        <w:rPr>
          <w:sz w:val="22"/>
        </w:rPr>
      </w:pPr>
    </w:p>
    <w:p>
      <w:pPr>
        <w:pStyle w:val="BodyText"/>
        <w:spacing w:before="1"/>
        <w:rPr>
          <w:sz w:val="18"/>
        </w:rPr>
      </w:pPr>
    </w:p>
    <w:p>
      <w:pPr>
        <w:pStyle w:val="BodyText"/>
        <w:ind w:left="893"/>
      </w:pPr>
      <w:r>
        <w:rPr/>
        <w:t>Debt matters. That was a controversial statement a decade ago. It is far less controversial now.</w:t>
      </w:r>
    </w:p>
    <w:p>
      <w:pPr>
        <w:pStyle w:val="BodyText"/>
        <w:rPr>
          <w:sz w:val="22"/>
        </w:rPr>
      </w:pPr>
    </w:p>
    <w:p>
      <w:pPr>
        <w:pStyle w:val="BodyText"/>
        <w:spacing w:before="10"/>
        <w:rPr>
          <w:sz w:val="17"/>
        </w:rPr>
      </w:pPr>
    </w:p>
    <w:p>
      <w:pPr>
        <w:pStyle w:val="BodyText"/>
        <w:spacing w:line="360" w:lineRule="auto"/>
        <w:ind w:left="893" w:right="900"/>
      </w:pPr>
      <w:r>
        <w:rPr/>
        <w:t>Post-crisis, we now have ample evidence that households and firms with higher debt levels reduce spending more sharply than those with lower debt levels in response in a downturn.</w:t>
      </w:r>
      <w:r>
        <w:rPr>
          <w:vertAlign w:val="superscript"/>
        </w:rPr>
        <w:t>2</w:t>
      </w:r>
      <w:r>
        <w:rPr>
          <w:vertAlign w:val="baseline"/>
        </w:rPr>
        <w:t> After a drop in income, debt relative to income goes up even further, to a level that is higher than where the borrower (or the lender</w:t>
      </w:r>
      <w:r>
        <w:rPr>
          <w:vertAlign w:val="superscript"/>
        </w:rPr>
        <w:t>3</w:t>
      </w:r>
      <w:r>
        <w:rPr>
          <w:vertAlign w:val="baseline"/>
        </w:rPr>
        <w:t>) wants it – a debt overhang. The borrower wants or needs to reduce debt, and in order to achieve that, they cut back spending very sharply.</w:t>
      </w:r>
    </w:p>
    <w:p>
      <w:pPr>
        <w:pStyle w:val="BodyText"/>
        <w:spacing w:before="2"/>
        <w:rPr>
          <w:sz w:val="30"/>
        </w:rPr>
      </w:pPr>
    </w:p>
    <w:p>
      <w:pPr>
        <w:pStyle w:val="BodyText"/>
        <w:spacing w:line="360" w:lineRule="auto"/>
        <w:ind w:left="893" w:right="900"/>
      </w:pPr>
      <w:r>
        <w:rPr/>
        <w:t>These micro effects can have macro consequences. Recessions that follow a substantial build-up in debt are more severe and longer-lasting than recessions without a substantial build-up in debt, as can be seen in Figure 1.</w:t>
      </w:r>
      <w:r>
        <w:rPr>
          <w:vertAlign w:val="superscript"/>
        </w:rPr>
        <w:t>4</w:t>
      </w:r>
    </w:p>
    <w:p>
      <w:pPr>
        <w:pStyle w:val="BodyText"/>
        <w:rPr>
          <w:sz w:val="30"/>
        </w:rPr>
      </w:pPr>
    </w:p>
    <w:p>
      <w:pPr>
        <w:pStyle w:val="BodyText"/>
        <w:spacing w:line="360" w:lineRule="auto"/>
        <w:ind w:left="893" w:right="851"/>
      </w:pPr>
      <w:r>
        <w:rPr/>
        <w:t>The objective of policymakers is to keep inflation close to its target by minimising the shortfall in spending, keeping the economy operating as closely as possible to its full potential. In response to any reduction in spending relative to potential, the central bank cuts interest rates. In response to a sharp and persistent reduction in spending following a debt overhang, the central bank cuts interest rates sharply and keeps them low persistently. I would like to elaborate on the forces at work here.</w:t>
      </w:r>
    </w:p>
    <w:p>
      <w:pPr>
        <w:pStyle w:val="BodyText"/>
        <w:rPr>
          <w:sz w:val="30"/>
        </w:rPr>
      </w:pPr>
    </w:p>
    <w:p>
      <w:pPr>
        <w:pStyle w:val="BodyText"/>
        <w:spacing w:line="360" w:lineRule="auto"/>
        <w:ind w:left="893" w:right="967"/>
      </w:pPr>
      <w:r>
        <w:rPr/>
        <w:t>To reduce an aggregate debt overhang, there are broadly two mechanisms available. The first, fast but painful in the short-term, would be for the borrowers to restructure the debt, imposing a loss on the lenders. That mechanism is typically only available in a small number of cases, and there are no economy-wide tools available for large-scale debt restructuring across many borrower categories.</w:t>
      </w:r>
      <w:r>
        <w:rPr>
          <w:vertAlign w:val="superscript"/>
        </w:rPr>
        <w:t>5</w:t>
      </w:r>
      <w:r>
        <w:rPr>
          <w:vertAlign w:val="baseline"/>
        </w:rPr>
        <w:t> The question is, in any case, entirely outside the remit of the Monetary Policy Committee.</w:t>
      </w:r>
    </w:p>
    <w:p>
      <w:pPr>
        <w:pStyle w:val="BodyText"/>
      </w:pPr>
    </w:p>
    <w:p>
      <w:pPr>
        <w:pStyle w:val="BodyText"/>
      </w:pPr>
    </w:p>
    <w:p>
      <w:pPr>
        <w:pStyle w:val="BodyText"/>
      </w:pPr>
    </w:p>
    <w:p>
      <w:pPr>
        <w:pStyle w:val="BodyText"/>
        <w:spacing w:before="2"/>
        <w:rPr>
          <w:sz w:val="15"/>
        </w:rPr>
      </w:pPr>
      <w:r>
        <w:rPr/>
        <w:pict>
          <v:shape style="position:absolute;margin-left:56.664001pt;margin-top:10.926787pt;width:144.050pt;height:.1pt;mso-position-horizontal-relative:page;mso-position-vertical-relative:paragraph;z-index:-251656192;mso-wrap-distance-left:0;mso-wrap-distance-right:0" coordorigin="1133,219" coordsize="2881,0" path="m1133,219l4014,219e" filled="false" stroked="true" strokeweight=".47998pt" strokecolor="#000000">
            <v:path arrowok="t"/>
            <v:stroke dashstyle="solid"/>
            <w10:wrap type="topAndBottom"/>
          </v:shape>
        </w:pict>
      </w:r>
    </w:p>
    <w:p>
      <w:pPr>
        <w:spacing w:before="30"/>
        <w:ind w:left="893" w:right="1113" w:firstLine="0"/>
        <w:jc w:val="left"/>
        <w:rPr>
          <w:sz w:val="16"/>
        </w:rPr>
      </w:pPr>
      <w:r>
        <w:rPr>
          <w:position w:val="8"/>
          <w:sz w:val="10"/>
        </w:rPr>
        <w:t>2 </w:t>
      </w:r>
      <w:r>
        <w:rPr>
          <w:sz w:val="16"/>
        </w:rPr>
        <w:t>See Mian and Sufi (2009, 2010, 2011), IMF (2012), Bunn and Rostom (2015), Cloyne and Surico (2016), and Cloyne </w:t>
      </w:r>
      <w:r>
        <w:rPr>
          <w:i/>
          <w:sz w:val="16"/>
        </w:rPr>
        <w:t>et al </w:t>
      </w:r>
      <w:r>
        <w:rPr>
          <w:sz w:val="16"/>
        </w:rPr>
        <w:t>(2015), among many others.</w:t>
      </w:r>
    </w:p>
    <w:p>
      <w:pPr>
        <w:spacing w:line="182" w:lineRule="exact" w:before="6"/>
        <w:ind w:left="893" w:right="1240" w:firstLine="0"/>
        <w:jc w:val="left"/>
        <w:rPr>
          <w:sz w:val="16"/>
        </w:rPr>
      </w:pPr>
      <w:r>
        <w:rPr>
          <w:position w:val="8"/>
          <w:sz w:val="10"/>
        </w:rPr>
        <w:t>3 </w:t>
      </w:r>
      <w:r>
        <w:rPr>
          <w:sz w:val="16"/>
        </w:rPr>
        <w:t>My focus on this talk will be on deleveraging effects through borrowers, though there is a large amount of research, evidence and policy discussion (FPC/PRA) focusing on the role of lenders balance sheets in originating, propagating and amplifying the effects of</w:t>
      </w:r>
    </w:p>
    <w:p>
      <w:pPr>
        <w:spacing w:line="170" w:lineRule="exact" w:before="0"/>
        <w:ind w:left="893" w:right="0" w:firstLine="0"/>
        <w:jc w:val="left"/>
        <w:rPr>
          <w:sz w:val="16"/>
        </w:rPr>
      </w:pPr>
      <w:r>
        <w:rPr>
          <w:sz w:val="16"/>
        </w:rPr>
        <w:t>deleveraging.</w:t>
      </w:r>
    </w:p>
    <w:p>
      <w:pPr>
        <w:spacing w:line="184" w:lineRule="exact" w:before="14"/>
        <w:ind w:left="893" w:right="1113" w:firstLine="0"/>
        <w:jc w:val="left"/>
        <w:rPr>
          <w:sz w:val="16"/>
        </w:rPr>
      </w:pPr>
      <w:r>
        <w:rPr>
          <w:position w:val="8"/>
          <w:sz w:val="10"/>
        </w:rPr>
        <w:t>4 </w:t>
      </w:r>
      <w:r>
        <w:rPr>
          <w:sz w:val="16"/>
        </w:rPr>
        <w:t>See Schularick and Taylor (2012), Mian </w:t>
      </w:r>
      <w:r>
        <w:rPr>
          <w:i/>
          <w:sz w:val="16"/>
        </w:rPr>
        <w:t>et al </w:t>
      </w:r>
      <w:r>
        <w:rPr>
          <w:sz w:val="16"/>
        </w:rPr>
        <w:t>(2015), Jorda </w:t>
      </w:r>
      <w:r>
        <w:rPr>
          <w:i/>
          <w:sz w:val="16"/>
        </w:rPr>
        <w:t>et al </w:t>
      </w:r>
      <w:r>
        <w:rPr>
          <w:sz w:val="16"/>
        </w:rPr>
        <w:t>(2013), Reinhart and Rogoff (2009), IMF (2012), and Juselius and Drehmann (2015), among many others.</w:t>
      </w:r>
    </w:p>
    <w:p>
      <w:pPr>
        <w:spacing w:line="182" w:lineRule="exact" w:before="3"/>
        <w:ind w:left="893" w:right="911" w:firstLine="0"/>
        <w:jc w:val="left"/>
        <w:rPr>
          <w:sz w:val="16"/>
        </w:rPr>
      </w:pPr>
      <w:r>
        <w:rPr>
          <w:position w:val="8"/>
          <w:sz w:val="10"/>
        </w:rPr>
        <w:t>5  </w:t>
      </w:r>
      <w:r>
        <w:rPr>
          <w:sz w:val="16"/>
        </w:rPr>
        <w:t>As Mian, Sufi and Trebbi (2010, 2014) discuss, there are significant institutional and political obstacles to large scale debt restructuring,</w:t>
      </w:r>
      <w:r>
        <w:rPr>
          <w:spacing w:val="-1"/>
          <w:sz w:val="16"/>
        </w:rPr>
        <w:t> </w:t>
      </w:r>
      <w:r>
        <w:rPr>
          <w:sz w:val="16"/>
        </w:rPr>
        <w:t>which</w:t>
      </w:r>
      <w:r>
        <w:rPr>
          <w:spacing w:val="-4"/>
          <w:sz w:val="16"/>
        </w:rPr>
        <w:t> </w:t>
      </w:r>
      <w:r>
        <w:rPr>
          <w:sz w:val="16"/>
        </w:rPr>
        <w:t>is</w:t>
      </w:r>
      <w:r>
        <w:rPr>
          <w:spacing w:val="-2"/>
          <w:sz w:val="16"/>
        </w:rPr>
        <w:t> </w:t>
      </w:r>
      <w:r>
        <w:rPr>
          <w:sz w:val="16"/>
        </w:rPr>
        <w:t>one</w:t>
      </w:r>
      <w:r>
        <w:rPr>
          <w:spacing w:val="-2"/>
          <w:sz w:val="16"/>
        </w:rPr>
        <w:t> </w:t>
      </w:r>
      <w:r>
        <w:rPr>
          <w:sz w:val="16"/>
        </w:rPr>
        <w:t>reason</w:t>
      </w:r>
      <w:r>
        <w:rPr>
          <w:spacing w:val="-7"/>
          <w:sz w:val="16"/>
        </w:rPr>
        <w:t> </w:t>
      </w:r>
      <w:r>
        <w:rPr>
          <w:sz w:val="16"/>
        </w:rPr>
        <w:t>why,</w:t>
      </w:r>
      <w:r>
        <w:rPr>
          <w:spacing w:val="-1"/>
          <w:sz w:val="16"/>
        </w:rPr>
        <w:t> </w:t>
      </w:r>
      <w:r>
        <w:rPr>
          <w:sz w:val="16"/>
        </w:rPr>
        <w:t>for</w:t>
      </w:r>
      <w:r>
        <w:rPr>
          <w:spacing w:val="-2"/>
          <w:sz w:val="16"/>
        </w:rPr>
        <w:t> </w:t>
      </w:r>
      <w:r>
        <w:rPr>
          <w:sz w:val="16"/>
        </w:rPr>
        <w:t>example, there</w:t>
      </w:r>
      <w:r>
        <w:rPr>
          <w:spacing w:val="-4"/>
          <w:sz w:val="16"/>
        </w:rPr>
        <w:t> </w:t>
      </w:r>
      <w:r>
        <w:rPr>
          <w:sz w:val="16"/>
        </w:rPr>
        <w:t>was no</w:t>
      </w:r>
      <w:r>
        <w:rPr>
          <w:spacing w:val="-2"/>
          <w:sz w:val="16"/>
        </w:rPr>
        <w:t> </w:t>
      </w:r>
      <w:r>
        <w:rPr>
          <w:sz w:val="16"/>
        </w:rPr>
        <w:t>large-scale</w:t>
      </w:r>
      <w:r>
        <w:rPr>
          <w:spacing w:val="-4"/>
          <w:sz w:val="16"/>
        </w:rPr>
        <w:t> </w:t>
      </w:r>
      <w:r>
        <w:rPr>
          <w:sz w:val="16"/>
        </w:rPr>
        <w:t>mortgage</w:t>
      </w:r>
      <w:r>
        <w:rPr>
          <w:spacing w:val="-2"/>
          <w:sz w:val="16"/>
        </w:rPr>
        <w:t> </w:t>
      </w:r>
      <w:r>
        <w:rPr>
          <w:sz w:val="16"/>
        </w:rPr>
        <w:t>principal</w:t>
      </w:r>
      <w:r>
        <w:rPr>
          <w:spacing w:val="-1"/>
          <w:sz w:val="16"/>
        </w:rPr>
        <w:t> </w:t>
      </w:r>
      <w:r>
        <w:rPr>
          <w:sz w:val="16"/>
        </w:rPr>
        <w:t>reduction</w:t>
      </w:r>
      <w:r>
        <w:rPr>
          <w:spacing w:val="-2"/>
          <w:sz w:val="16"/>
        </w:rPr>
        <w:t> </w:t>
      </w:r>
      <w:r>
        <w:rPr>
          <w:sz w:val="16"/>
        </w:rPr>
        <w:t>in</w:t>
      </w:r>
      <w:r>
        <w:rPr>
          <w:spacing w:val="-4"/>
          <w:sz w:val="16"/>
        </w:rPr>
        <w:t> </w:t>
      </w:r>
      <w:r>
        <w:rPr>
          <w:sz w:val="16"/>
        </w:rPr>
        <w:t>the</w:t>
      </w:r>
      <w:r>
        <w:rPr>
          <w:spacing w:val="-1"/>
          <w:sz w:val="16"/>
        </w:rPr>
        <w:t> </w:t>
      </w:r>
      <w:r>
        <w:rPr>
          <w:sz w:val="16"/>
        </w:rPr>
        <w:t>US</w:t>
      </w:r>
      <w:r>
        <w:rPr>
          <w:spacing w:val="-3"/>
          <w:sz w:val="16"/>
        </w:rPr>
        <w:t> </w:t>
      </w:r>
      <w:r>
        <w:rPr>
          <w:sz w:val="16"/>
        </w:rPr>
        <w:t>following</w:t>
      </w:r>
      <w:r>
        <w:rPr>
          <w:spacing w:val="-2"/>
          <w:sz w:val="16"/>
        </w:rPr>
        <w:t> </w:t>
      </w:r>
      <w:r>
        <w:rPr>
          <w:sz w:val="16"/>
        </w:rPr>
        <w:t>the</w:t>
      </w:r>
      <w:r>
        <w:rPr>
          <w:spacing w:val="-2"/>
          <w:sz w:val="16"/>
        </w:rPr>
        <w:t> </w:t>
      </w:r>
      <w:r>
        <w:rPr>
          <w:sz w:val="16"/>
        </w:rPr>
        <w:t>crisis.</w:t>
      </w:r>
    </w:p>
    <w:p>
      <w:pPr>
        <w:spacing w:before="0"/>
        <w:ind w:left="893" w:right="1081" w:firstLine="0"/>
        <w:jc w:val="left"/>
        <w:rPr>
          <w:sz w:val="16"/>
        </w:rPr>
      </w:pPr>
      <w:r>
        <w:rPr>
          <w:sz w:val="16"/>
        </w:rPr>
        <w:t>The European debt crisis is another clear example of where politics become a major issue determining the feasibility of what might be economically desirable arrangements.</w:t>
      </w:r>
    </w:p>
    <w:p>
      <w:pPr>
        <w:spacing w:after="0"/>
        <w:jc w:val="left"/>
        <w:rPr>
          <w:sz w:val="16"/>
        </w:rPr>
        <w:sectPr>
          <w:footerReference w:type="default" r:id="rId8"/>
          <w:pgSz w:w="11910" w:h="16840"/>
          <w:pgMar w:footer="1338" w:header="0" w:top="1520" w:bottom="1520" w:left="240" w:right="240"/>
        </w:sectPr>
      </w:pPr>
    </w:p>
    <w:p>
      <w:pPr>
        <w:pStyle w:val="BodyText"/>
        <w:spacing w:line="360" w:lineRule="auto" w:before="79"/>
        <w:ind w:left="893" w:right="967"/>
      </w:pPr>
      <w:r>
        <w:rPr/>
        <w:t>The second method for reducing a debt overhang is slow: if the rate of income growth of the borrower exceeds the rate of interest on the loan, then simply keeping the debt stock fixed – i.e. not borrowing more – will reduce the ratio of debt to income over time, without sharp additional reductions in spending. Why is it important for interest rates to be as low as possible? Because with high interest rates the debt burden would keep rising, as interest gets added to the stock of debt, keeping pace with, or outstripping, income growth.</w:t>
      </w:r>
    </w:p>
    <w:p>
      <w:pPr>
        <w:pStyle w:val="BodyText"/>
        <w:spacing w:line="360" w:lineRule="auto"/>
        <w:ind w:left="893" w:right="1011"/>
      </w:pPr>
      <w:r>
        <w:rPr/>
        <w:t>Why is it the process slow? Annual aggregate income growth in most economies tends to be a few per cent per year.</w:t>
      </w:r>
      <w:r>
        <w:rPr>
          <w:vertAlign w:val="superscript"/>
        </w:rPr>
        <w:t>6</w:t>
      </w:r>
      <w:r>
        <w:rPr>
          <w:vertAlign w:val="baseline"/>
        </w:rPr>
        <w:t> And interest rates on loans are typically above zero, even with policy rates that are nearly zero. So the debt burden erodes only by a few percentage points per year at most.</w:t>
      </w:r>
    </w:p>
    <w:p>
      <w:pPr>
        <w:pStyle w:val="BodyText"/>
        <w:spacing w:before="10"/>
        <w:rPr>
          <w:sz w:val="29"/>
        </w:rPr>
      </w:pPr>
    </w:p>
    <w:p>
      <w:pPr>
        <w:pStyle w:val="BodyText"/>
        <w:spacing w:line="360" w:lineRule="auto"/>
        <w:ind w:left="893" w:right="920"/>
      </w:pPr>
      <w:r>
        <w:rPr/>
        <w:t>Monetary policy is set to keep spending in line with the economy’s potential, so that inflation is close to target, as I just said. Monetary policy is therefore indifferent between who does the spending. However, if the behaviour of highly indebted borrowers is such that they cut spending more than interest rate reductions are able to stimulate the spending of other borrowers, and savers, then monetary policy must take into account the deleveraging process. Not because it matters per se, but because the debt deleveraging affects aggregate spending, and in turn inflation.</w:t>
      </w:r>
    </w:p>
    <w:p>
      <w:pPr>
        <w:pStyle w:val="BodyText"/>
        <w:rPr>
          <w:sz w:val="30"/>
        </w:rPr>
      </w:pPr>
    </w:p>
    <w:p>
      <w:pPr>
        <w:pStyle w:val="BodyText"/>
        <w:spacing w:line="360" w:lineRule="auto"/>
        <w:ind w:left="893" w:right="900"/>
      </w:pPr>
      <w:r>
        <w:rPr/>
        <w:t>In 2008-09, the MPC cut interest rates all the way to 0.5% – what it perceived to be the effective lower bound at the time – and judged that this was still not enough. Asset purchases were a tool to try to keep stimulating spending when policy rates could not be cut any further. However, asset purchases are an imperfect substitute for lower interest rates, as they transmit a spending impulse to the economy via different channels (wealth effects, reduced risk premia) and the impact of asset purchases – a relatively new tool – is far more uncertain. The fact that policy rates are constrained near zero</w:t>
      </w:r>
      <w:r>
        <w:rPr>
          <w:vertAlign w:val="superscript"/>
        </w:rPr>
        <w:t>7</w:t>
      </w:r>
      <w:r>
        <w:rPr>
          <w:vertAlign w:val="baseline"/>
        </w:rPr>
        <w:t> may have contributed to the persistent disappointment of growth in the recovery. If we had been able to cut interest rate by several percentage points more, the deleveraging progress might have been faster, and spending might have recovered sooner.</w:t>
      </w:r>
    </w:p>
    <w:p>
      <w:pPr>
        <w:pStyle w:val="BodyText"/>
        <w:spacing w:before="1"/>
        <w:rPr>
          <w:sz w:val="30"/>
        </w:rPr>
      </w:pPr>
    </w:p>
    <w:p>
      <w:pPr>
        <w:pStyle w:val="BodyText"/>
        <w:spacing w:line="360" w:lineRule="auto"/>
        <w:ind w:left="893" w:right="1044"/>
      </w:pPr>
      <w:r>
        <w:rPr/>
        <w:t>So it is the presence of the lower bound on policy rates together with a debt overhang that has the potential to create persistently weak recoveries.</w:t>
      </w:r>
    </w:p>
    <w:p>
      <w:pPr>
        <w:pStyle w:val="BodyText"/>
        <w:rPr>
          <w:sz w:val="30"/>
        </w:rPr>
      </w:pPr>
    </w:p>
    <w:p>
      <w:pPr>
        <w:pStyle w:val="BodyText"/>
        <w:spacing w:line="360" w:lineRule="auto"/>
        <w:ind w:left="893" w:right="851"/>
      </w:pPr>
      <w:r>
        <w:rPr/>
        <w:t>This argument also highlights a separate reason for why it is particularly crucial during a deleveraging period to keep inflation expectations anchored. As I have argued, the speed of deleveraging is influenced by the extent to which nominal income growth exceeds nominal interest rates. If, during the weak recovery, inflation drifts persistently below target when interest rates are at their effective lower bound, this reduces the maximum pace of deleveraging that can be achieved, and delays the moment at which normal spending patterns can resume. In this particular argument, inflation has an asymmetric effect on medium-term growth</w:t>
      </w:r>
    </w:p>
    <w:p>
      <w:pPr>
        <w:pStyle w:val="BodyText"/>
      </w:pPr>
    </w:p>
    <w:p>
      <w:pPr>
        <w:pStyle w:val="BodyText"/>
        <w:spacing w:before="4"/>
        <w:rPr>
          <w:sz w:val="15"/>
        </w:rPr>
      </w:pPr>
      <w:r>
        <w:rPr/>
        <w:pict>
          <v:shape style="position:absolute;margin-left:56.664001pt;margin-top:11.065742pt;width:144.050pt;height:.1pt;mso-position-horizontal-relative:page;mso-position-vertical-relative:paragraph;z-index:-251655168;mso-wrap-distance-left:0;mso-wrap-distance-right:0" coordorigin="1133,221" coordsize="2881,0" path="m1133,221l4014,221e" filled="false" stroked="true" strokeweight=".47998pt" strokecolor="#000000">
            <v:path arrowok="t"/>
            <v:stroke dashstyle="solid"/>
            <w10:wrap type="topAndBottom"/>
          </v:shape>
        </w:pict>
      </w:r>
    </w:p>
    <w:p>
      <w:pPr>
        <w:spacing w:line="196" w:lineRule="exact" w:before="27"/>
        <w:ind w:left="893" w:right="0" w:firstLine="0"/>
        <w:jc w:val="left"/>
        <w:rPr>
          <w:sz w:val="16"/>
        </w:rPr>
      </w:pPr>
      <w:r>
        <w:rPr>
          <w:position w:val="8"/>
          <w:sz w:val="10"/>
        </w:rPr>
        <w:t>6 </w:t>
      </w:r>
      <w:r>
        <w:rPr>
          <w:sz w:val="16"/>
        </w:rPr>
        <w:t>That is true for economies that have a low inflation target and have actual inflation close to target.</w:t>
      </w:r>
    </w:p>
    <w:p>
      <w:pPr>
        <w:spacing w:line="196" w:lineRule="exact" w:before="0"/>
        <w:ind w:left="893" w:right="0" w:firstLine="0"/>
        <w:jc w:val="left"/>
        <w:rPr>
          <w:sz w:val="16"/>
        </w:rPr>
      </w:pPr>
      <w:r>
        <w:rPr>
          <w:position w:val="8"/>
          <w:sz w:val="10"/>
        </w:rPr>
        <w:t>7 </w:t>
      </w:r>
      <w:r>
        <w:rPr>
          <w:sz w:val="16"/>
        </w:rPr>
        <w:t>Where exactly the lower bound on policy rates is, depends on institutional features of a country’s financial system and preferences of</w:t>
      </w:r>
    </w:p>
    <w:p>
      <w:pPr>
        <w:spacing w:before="1"/>
        <w:ind w:left="893" w:right="956" w:firstLine="0"/>
        <w:jc w:val="left"/>
        <w:rPr>
          <w:sz w:val="16"/>
        </w:rPr>
      </w:pPr>
      <w:r>
        <w:rPr>
          <w:sz w:val="16"/>
        </w:rPr>
        <w:t>policymakers. But the fact that policy rates are constrained somewhere near zero is a deep feature of any economy that has paper currency. Were a central bank to try to set policy rates too low, people would have an incentive to hold more and more of their wealth in paper currency, whose nominal yield is zero. So policy rates too far below zero become increasingly ineffective, possibly</w:t>
      </w:r>
    </w:p>
    <w:p>
      <w:pPr>
        <w:spacing w:before="0"/>
        <w:ind w:left="893" w:right="0" w:firstLine="0"/>
        <w:jc w:val="left"/>
        <w:rPr>
          <w:sz w:val="16"/>
        </w:rPr>
      </w:pPr>
      <w:r>
        <w:rPr>
          <w:sz w:val="16"/>
        </w:rPr>
        <w:t>counter-productive.</w:t>
      </w:r>
    </w:p>
    <w:p>
      <w:pPr>
        <w:spacing w:after="0"/>
        <w:jc w:val="left"/>
        <w:rPr>
          <w:sz w:val="16"/>
        </w:rPr>
        <w:sectPr>
          <w:footerReference w:type="default" r:id="rId9"/>
          <w:pgSz w:w="11910" w:h="16840"/>
          <w:pgMar w:footer="1338" w:header="0" w:top="1520" w:bottom="1520" w:left="240" w:right="240"/>
        </w:sectPr>
      </w:pPr>
    </w:p>
    <w:p>
      <w:pPr>
        <w:pStyle w:val="BodyText"/>
        <w:spacing w:line="357" w:lineRule="auto" w:before="79"/>
        <w:ind w:left="893" w:right="1113"/>
      </w:pPr>
      <w:r>
        <w:rPr/>
        <w:t>prospects, which in turn feed back onto inflation prospects. Low inflation has a greater risk of becoming entrenched.</w:t>
      </w:r>
      <w:r>
        <w:rPr>
          <w:vertAlign w:val="superscript"/>
        </w:rPr>
        <w:t>8</w:t>
      </w:r>
    </w:p>
    <w:p>
      <w:pPr>
        <w:pStyle w:val="BodyText"/>
        <w:spacing w:before="4"/>
        <w:rPr>
          <w:sz w:val="30"/>
        </w:rPr>
      </w:pPr>
    </w:p>
    <w:p>
      <w:pPr>
        <w:pStyle w:val="BodyText"/>
        <w:spacing w:line="360" w:lineRule="auto"/>
        <w:ind w:left="893" w:right="890"/>
        <w:jc w:val="both"/>
      </w:pPr>
      <w:r>
        <w:rPr/>
        <w:t>Has the low interest rate environment been effective in facilitating an unwind of the debt overhang? Yes. The UK is a good example. The private (non-financial) sector debt to GDP, which rose from 120% to 190% during the pre-recession decade, has fallen back to less than 160% (see Figure 2).</w:t>
      </w:r>
    </w:p>
    <w:p>
      <w:pPr>
        <w:pStyle w:val="BodyText"/>
        <w:rPr>
          <w:sz w:val="30"/>
        </w:rPr>
      </w:pPr>
    </w:p>
    <w:p>
      <w:pPr>
        <w:pStyle w:val="BodyText"/>
        <w:spacing w:line="360" w:lineRule="auto"/>
        <w:ind w:left="893" w:right="889"/>
      </w:pPr>
      <w:r>
        <w:rPr/>
        <w:t>However, looking at the world more broadly, we see that advanced economies as a whole have not yet managed to reduce their debt burden (Figure 3). So the process of reducing the debt overhang probably has further to run. Moreover, emerging markets experienced a more recent run-up in indebtedness, which started around the time of the crisis, and is still continuing. In other words, their deleveraging has not even begun.</w:t>
      </w:r>
    </w:p>
    <w:p>
      <w:pPr>
        <w:pStyle w:val="BodyText"/>
        <w:spacing w:line="357" w:lineRule="auto"/>
        <w:ind w:left="893" w:right="851"/>
      </w:pPr>
      <w:r>
        <w:rPr/>
        <w:t>This has the potential to create persistent spending disappointments, if monetary policy is unable to stimulate other spending sufficiently.</w:t>
      </w:r>
    </w:p>
    <w:p>
      <w:pPr>
        <w:pStyle w:val="BodyText"/>
        <w:spacing w:before="5"/>
        <w:rPr>
          <w:sz w:val="30"/>
        </w:rPr>
      </w:pPr>
    </w:p>
    <w:p>
      <w:pPr>
        <w:pStyle w:val="ListParagraph"/>
        <w:numPr>
          <w:ilvl w:val="0"/>
          <w:numId w:val="1"/>
        </w:numPr>
        <w:tabs>
          <w:tab w:pos="1973" w:val="left" w:leader="none"/>
          <w:tab w:pos="1974" w:val="left" w:leader="none"/>
        </w:tabs>
        <w:spacing w:line="240" w:lineRule="auto" w:before="0" w:after="0"/>
        <w:ind w:left="1973" w:right="0" w:hanging="721"/>
        <w:jc w:val="left"/>
        <w:rPr>
          <w:sz w:val="20"/>
        </w:rPr>
      </w:pPr>
      <w:r>
        <w:rPr>
          <w:sz w:val="20"/>
        </w:rPr>
        <w:t>Demographics</w:t>
      </w:r>
    </w:p>
    <w:p>
      <w:pPr>
        <w:pStyle w:val="BodyText"/>
        <w:rPr>
          <w:sz w:val="22"/>
        </w:rPr>
      </w:pPr>
    </w:p>
    <w:p>
      <w:pPr>
        <w:pStyle w:val="BodyText"/>
        <w:spacing w:before="10"/>
        <w:rPr>
          <w:sz w:val="17"/>
        </w:rPr>
      </w:pPr>
    </w:p>
    <w:p>
      <w:pPr>
        <w:pStyle w:val="BodyText"/>
        <w:spacing w:line="360" w:lineRule="auto"/>
        <w:ind w:left="893" w:right="1044"/>
      </w:pPr>
      <w:r>
        <w:rPr/>
        <w:t>My second “D” is for demographics. Like debt, it can have long-lasting effects on the relationship between growth and interest rates</w:t>
      </w:r>
      <w:r>
        <w:rPr>
          <w:vertAlign w:val="superscript"/>
        </w:rPr>
        <w:t>9</w:t>
      </w:r>
      <w:r>
        <w:rPr>
          <w:vertAlign w:val="baseline"/>
        </w:rPr>
        <w:t>. The mechanisms are more complex and work along many dimensions. But the impact is potentially large, and even longer-lasting than the effect of debt, because demographic transitions persist for decades.</w:t>
      </w:r>
    </w:p>
    <w:p>
      <w:pPr>
        <w:pStyle w:val="BodyText"/>
        <w:spacing w:before="1"/>
        <w:rPr>
          <w:sz w:val="30"/>
        </w:rPr>
      </w:pPr>
    </w:p>
    <w:p>
      <w:pPr>
        <w:pStyle w:val="BodyText"/>
        <w:spacing w:line="360" w:lineRule="auto"/>
        <w:ind w:left="893" w:right="1145"/>
      </w:pPr>
      <w:r>
        <w:rPr/>
        <w:t>There are two demographic changes at work across a wide range of countries, which interact in complex ways. First, longevity has risen and is expected to continue rising for the foreseeable future (Figure 4). We are living longer. Second, fertility has declined (Figure 5). We are making fewer babies.</w:t>
      </w:r>
    </w:p>
    <w:p>
      <w:pPr>
        <w:pStyle w:val="BodyText"/>
        <w:rPr>
          <w:sz w:val="30"/>
        </w:rPr>
      </w:pPr>
    </w:p>
    <w:p>
      <w:pPr>
        <w:pStyle w:val="BodyText"/>
        <w:spacing w:line="360" w:lineRule="auto" w:before="1"/>
        <w:ind w:left="893" w:right="900"/>
      </w:pPr>
      <w:r>
        <w:rPr/>
        <w:t>This leads to persistent changes in key demographic variables. First, population growth is slowing. Second, and more importantly, because fertility was high many decades ago (the “baby-boom”) and has been low thereafter, the growth in the number of people of working age is slowing more sharply than the population as a whole (Figure 6). If you make fewer babies, eventually that means you are making fewer workers.</w:t>
      </w:r>
    </w:p>
    <w:p>
      <w:pPr>
        <w:pStyle w:val="BodyText"/>
      </w:pPr>
    </w:p>
    <w:p>
      <w:pPr>
        <w:pStyle w:val="BodyText"/>
      </w:pPr>
    </w:p>
    <w:p>
      <w:pPr>
        <w:pStyle w:val="BodyText"/>
      </w:pPr>
    </w:p>
    <w:p>
      <w:pPr>
        <w:pStyle w:val="BodyText"/>
      </w:pPr>
    </w:p>
    <w:p>
      <w:pPr>
        <w:pStyle w:val="BodyText"/>
        <w:spacing w:before="1"/>
        <w:rPr>
          <w:sz w:val="25"/>
        </w:rPr>
      </w:pPr>
      <w:r>
        <w:rPr/>
        <w:pict>
          <v:shape style="position:absolute;margin-left:56.664001pt;margin-top:16.661308pt;width:144.050pt;height:.1pt;mso-position-horizontal-relative:page;mso-position-vertical-relative:paragraph;z-index:-251654144;mso-wrap-distance-left:0;mso-wrap-distance-right:0" coordorigin="1133,333" coordsize="2881,0" path="m1133,333l4014,333e" filled="false" stroked="true" strokeweight=".47998pt" strokecolor="#000000">
            <v:path arrowok="t"/>
            <v:stroke dashstyle="solid"/>
            <w10:wrap type="topAndBottom"/>
          </v:shape>
        </w:pict>
      </w:r>
    </w:p>
    <w:p>
      <w:pPr>
        <w:spacing w:before="30"/>
        <w:ind w:left="893" w:right="900" w:firstLine="0"/>
        <w:jc w:val="left"/>
        <w:rPr>
          <w:sz w:val="16"/>
        </w:rPr>
      </w:pPr>
      <w:r>
        <w:rPr>
          <w:position w:val="8"/>
          <w:sz w:val="10"/>
        </w:rPr>
        <w:t>8 </w:t>
      </w:r>
      <w:r>
        <w:rPr>
          <w:sz w:val="16"/>
        </w:rPr>
        <w:t>The fuller story emphasises the potential for a debt-deflation spiral first proposed by Fisher (1933) to understand the Great Depression, particularly when monetary policy is constrained by the lower bound on nominal interest rates. See Eggertsson and Krugman (2012), Benigno </w:t>
      </w:r>
      <w:r>
        <w:rPr>
          <w:i/>
          <w:sz w:val="16"/>
        </w:rPr>
        <w:t>et al </w:t>
      </w:r>
      <w:r>
        <w:rPr>
          <w:sz w:val="16"/>
        </w:rPr>
        <w:t>(2015), Guerrieri and Lorenzoni (2015), Eggertsson and Mehrotra (2014), Korinek and Simsek (2015), Rognlie </w:t>
      </w:r>
      <w:r>
        <w:rPr>
          <w:i/>
          <w:sz w:val="16"/>
        </w:rPr>
        <w:t>et al </w:t>
      </w:r>
      <w:r>
        <w:rPr>
          <w:sz w:val="16"/>
        </w:rPr>
        <w:t>(2015) for modern treatments of the dynamic effects of deleveraging when monetary policy is constrained. In these models the crucial policy prescription is to ensure low enough real rates, which involves keeping inflation high enough. Downward nominal wage rigidity is another nominal friction that means we care about keeping inflation rates anchored, as falling inflation would put further downward pressure on the real economy by exacerbating labour market frictions (Benigno and Ricci (2011), Daly and Hobijn (2014), Fallick </w:t>
      </w:r>
      <w:r>
        <w:rPr>
          <w:i/>
          <w:sz w:val="16"/>
        </w:rPr>
        <w:t>et al </w:t>
      </w:r>
      <w:r>
        <w:rPr>
          <w:sz w:val="16"/>
        </w:rPr>
        <w:t>(2016)). The evidence of downward nominal wage rigidity is another reason to worry about low</w:t>
      </w:r>
      <w:r>
        <w:rPr>
          <w:spacing w:val="-12"/>
          <w:sz w:val="16"/>
        </w:rPr>
        <w:t> </w:t>
      </w:r>
      <w:r>
        <w:rPr>
          <w:sz w:val="16"/>
        </w:rPr>
        <w:t>inflation.</w:t>
      </w:r>
    </w:p>
    <w:p>
      <w:pPr>
        <w:spacing w:line="184" w:lineRule="exact" w:before="2"/>
        <w:ind w:left="893" w:right="900" w:firstLine="0"/>
        <w:jc w:val="left"/>
        <w:rPr>
          <w:sz w:val="16"/>
        </w:rPr>
      </w:pPr>
      <w:r>
        <w:rPr>
          <w:position w:val="8"/>
          <w:sz w:val="10"/>
        </w:rPr>
        <w:t>9 </w:t>
      </w:r>
      <w:r>
        <w:rPr>
          <w:sz w:val="16"/>
        </w:rPr>
        <w:t>An early reference here is Keynes (1937), who analysed the macroeconomic impact of a stagnating or declining population. He argued that the reduction in desired investment would require lower interest rates. He also argued that a more equal income distribution would be beneficial, in order to reduce desired saving.</w:t>
      </w:r>
    </w:p>
    <w:p>
      <w:pPr>
        <w:spacing w:after="0" w:line="184" w:lineRule="exact"/>
        <w:jc w:val="left"/>
        <w:rPr>
          <w:sz w:val="16"/>
        </w:rPr>
        <w:sectPr>
          <w:footerReference w:type="default" r:id="rId10"/>
          <w:pgSz w:w="11910" w:h="16840"/>
          <w:pgMar w:footer="1338" w:header="0" w:top="1520" w:bottom="1520" w:left="240" w:right="240"/>
        </w:sectPr>
      </w:pPr>
    </w:p>
    <w:p>
      <w:pPr>
        <w:pStyle w:val="BodyText"/>
        <w:spacing w:line="360" w:lineRule="auto" w:before="79"/>
        <w:ind w:left="893" w:right="1113"/>
      </w:pPr>
      <w:r>
        <w:rPr/>
        <w:t>The economic impacts of these effects do not all go in the same direction. A rise in longevity, without a commensurate rise in the retirement age, makes us want to save more, as our savings will have to sustain us for longer. A rise in desired savings pushes the real interest rate down.</w:t>
      </w:r>
    </w:p>
    <w:p>
      <w:pPr>
        <w:pStyle w:val="BodyText"/>
        <w:rPr>
          <w:sz w:val="30"/>
        </w:rPr>
      </w:pPr>
    </w:p>
    <w:p>
      <w:pPr>
        <w:pStyle w:val="BodyText"/>
        <w:spacing w:line="360" w:lineRule="auto"/>
        <w:ind w:left="893" w:right="889"/>
      </w:pPr>
      <w:r>
        <w:rPr/>
        <w:t>Slower growth in the working age population means that we need less capital (or need to grow the capital stock more slowly). Fewer workers require fewer buildings and machines; each unit of capital becomes less productive. There is therefore a reduction in desired investment, again pushing the real interest rate down. The fact that we are facing a rise in the number of retirees relative to the number of workers, the dependency ratio (Figure 7), means that we will have more people with lower savings rates (retirees generally do not save) and fewer people with higher savings rates (workers do save). That compositional effect lowers the total desired savings and pushes the real interest rate up.</w:t>
      </w:r>
    </w:p>
    <w:p>
      <w:pPr>
        <w:pStyle w:val="BodyText"/>
        <w:spacing w:before="10"/>
        <w:rPr>
          <w:sz w:val="29"/>
        </w:rPr>
      </w:pPr>
    </w:p>
    <w:p>
      <w:pPr>
        <w:pStyle w:val="BodyText"/>
        <w:spacing w:line="360" w:lineRule="auto"/>
        <w:ind w:left="893" w:right="1100"/>
      </w:pPr>
      <w:r>
        <w:rPr/>
        <w:t>Which effect dominates? Much further research needs to be done to be confident of the answer, but let me offer two indications that the net effect might be to push real interest rates down significantly.</w:t>
      </w:r>
    </w:p>
    <w:p>
      <w:pPr>
        <w:pStyle w:val="BodyText"/>
        <w:spacing w:before="2"/>
        <w:rPr>
          <w:sz w:val="30"/>
        </w:rPr>
      </w:pPr>
    </w:p>
    <w:p>
      <w:pPr>
        <w:pStyle w:val="BodyText"/>
        <w:spacing w:line="360" w:lineRule="auto"/>
        <w:ind w:left="893" w:right="851"/>
      </w:pPr>
      <w:r>
        <w:rPr/>
        <w:t>First, in a recent paper, Carvalho, Ferrero and Necchio (2015) propose an economic model to analyse the interaction between the three effects. They calibrate the model to match the demographic changes that have taken place in G7 countries since 1990, and find that the net effect is to push real interest rates down by</w:t>
      </w:r>
    </w:p>
    <w:p>
      <w:pPr>
        <w:pStyle w:val="BodyText"/>
        <w:spacing w:line="229" w:lineRule="exact"/>
        <w:ind w:left="893"/>
      </w:pPr>
      <w:r>
        <w:rPr/>
        <w:t>1.5 percentage points so far, with a potential further reduction of 0.5pp still to come.</w:t>
      </w:r>
    </w:p>
    <w:p>
      <w:pPr>
        <w:pStyle w:val="BodyText"/>
        <w:rPr>
          <w:sz w:val="22"/>
        </w:rPr>
      </w:pPr>
    </w:p>
    <w:p>
      <w:pPr>
        <w:pStyle w:val="BodyText"/>
        <w:spacing w:before="10"/>
        <w:rPr>
          <w:sz w:val="17"/>
        </w:rPr>
      </w:pPr>
    </w:p>
    <w:p>
      <w:pPr>
        <w:pStyle w:val="BodyText"/>
        <w:spacing w:line="360" w:lineRule="auto"/>
        <w:ind w:left="893" w:right="900"/>
      </w:pPr>
      <w:r>
        <w:rPr/>
        <w:t>Second, let us look at the example of Japan. Japan has undergone the demographic changes that other advanced economies are going through, but experienced its reduction in the growth of the workforce, and its increase in the dependency ratio, much earlier on. Japan is about two decades ahead, in demographic terms (Figure 8).</w:t>
      </w:r>
      <w:r>
        <w:rPr>
          <w:vertAlign w:val="superscript"/>
        </w:rPr>
        <w:t>10</w:t>
      </w:r>
      <w:r>
        <w:rPr>
          <w:vertAlign w:val="baseline"/>
        </w:rPr>
        <w:t> Long-term interest rates in Japan fell in the 1990s, showing a very similar pattern then to</w:t>
      </w:r>
    </w:p>
    <w:p>
      <w:pPr>
        <w:pStyle w:val="BodyText"/>
        <w:spacing w:before="1"/>
        <w:ind w:left="893"/>
      </w:pPr>
      <w:r>
        <w:rPr/>
        <w:t>long-term interest rates in other advanced economies in recent years.</w:t>
      </w:r>
    </w:p>
    <w:p>
      <w:pPr>
        <w:pStyle w:val="BodyText"/>
        <w:rPr>
          <w:sz w:val="22"/>
        </w:rPr>
      </w:pPr>
    </w:p>
    <w:p>
      <w:pPr>
        <w:pStyle w:val="BodyText"/>
        <w:spacing w:before="1"/>
        <w:rPr>
          <w:sz w:val="18"/>
        </w:rPr>
      </w:pPr>
    </w:p>
    <w:p>
      <w:pPr>
        <w:pStyle w:val="BodyText"/>
        <w:spacing w:line="360" w:lineRule="auto"/>
        <w:ind w:left="893" w:right="1433"/>
      </w:pPr>
      <w:r>
        <w:rPr/>
        <w:t>Indeed, in earlier work Carvalho and Ferrero suggest that failing to identify the negative effect of demographics on real rates, and hence on the appropriate stance of monetary policy, could explain the persistent deflation in Japan since 1990s.</w:t>
      </w:r>
    </w:p>
    <w:p>
      <w:pPr>
        <w:pStyle w:val="BodyText"/>
        <w:rPr>
          <w:sz w:val="30"/>
        </w:rPr>
      </w:pPr>
    </w:p>
    <w:p>
      <w:pPr>
        <w:pStyle w:val="BodyText"/>
        <w:spacing w:line="357" w:lineRule="auto"/>
        <w:ind w:left="893" w:right="1101"/>
      </w:pPr>
      <w:r>
        <w:rPr/>
        <w:t>Where does this leave us? The economic effects of demographics are clearly complex, but there are some persuasive arguments that suggest that the combined effect might be to push down on real interest rates,</w:t>
      </w:r>
    </w:p>
    <w:p>
      <w:pPr>
        <w:pStyle w:val="BodyText"/>
      </w:pPr>
    </w:p>
    <w:p>
      <w:pPr>
        <w:pStyle w:val="BodyText"/>
      </w:pPr>
    </w:p>
    <w:p>
      <w:pPr>
        <w:pStyle w:val="BodyText"/>
      </w:pPr>
    </w:p>
    <w:p>
      <w:pPr>
        <w:pStyle w:val="BodyText"/>
      </w:pPr>
    </w:p>
    <w:p>
      <w:pPr>
        <w:pStyle w:val="BodyText"/>
        <w:spacing w:before="8"/>
        <w:rPr>
          <w:sz w:val="15"/>
        </w:rPr>
      </w:pPr>
      <w:r>
        <w:rPr/>
        <w:pict>
          <v:shape style="position:absolute;margin-left:56.664001pt;margin-top:11.246279pt;width:144.050pt;height:.1pt;mso-position-horizontal-relative:page;mso-position-vertical-relative:paragraph;z-index:-251653120;mso-wrap-distance-left:0;mso-wrap-distance-right:0" coordorigin="1133,225" coordsize="2881,0" path="m1133,225l4014,225e" filled="false" stroked="true" strokeweight=".47998pt" strokecolor="#000000">
            <v:path arrowok="t"/>
            <v:stroke dashstyle="solid"/>
            <w10:wrap type="topAndBottom"/>
          </v:shape>
        </w:pict>
      </w:r>
    </w:p>
    <w:p>
      <w:pPr>
        <w:spacing w:before="27"/>
        <w:ind w:left="893" w:right="932" w:firstLine="0"/>
        <w:jc w:val="left"/>
        <w:rPr>
          <w:sz w:val="16"/>
        </w:rPr>
      </w:pPr>
      <w:r>
        <w:rPr>
          <w:position w:val="8"/>
          <w:sz w:val="10"/>
        </w:rPr>
        <w:t>10 </w:t>
      </w:r>
      <w:r>
        <w:rPr>
          <w:sz w:val="16"/>
        </w:rPr>
        <w:t>There is also a long-standing economic debate about the direct asset pricing effects of demographic shifts. Significant changes in the relative size of prime age earning cohort can have material impact on the prices of risky assets, including equities and housing (Geanakoplos</w:t>
      </w:r>
      <w:r>
        <w:rPr>
          <w:spacing w:val="-1"/>
          <w:sz w:val="16"/>
        </w:rPr>
        <w:t> </w:t>
      </w:r>
      <w:r>
        <w:rPr>
          <w:i/>
          <w:sz w:val="16"/>
        </w:rPr>
        <w:t>et</w:t>
      </w:r>
      <w:r>
        <w:rPr>
          <w:i/>
          <w:spacing w:val="-1"/>
          <w:sz w:val="16"/>
        </w:rPr>
        <w:t> </w:t>
      </w:r>
      <w:r>
        <w:rPr>
          <w:i/>
          <w:sz w:val="16"/>
        </w:rPr>
        <w:t>al</w:t>
      </w:r>
      <w:r>
        <w:rPr>
          <w:i/>
          <w:spacing w:val="-3"/>
          <w:sz w:val="16"/>
        </w:rPr>
        <w:t> </w:t>
      </w:r>
      <w:r>
        <w:rPr>
          <w:sz w:val="16"/>
        </w:rPr>
        <w:t>(2004),</w:t>
      </w:r>
      <w:r>
        <w:rPr>
          <w:spacing w:val="-3"/>
          <w:sz w:val="16"/>
        </w:rPr>
        <w:t> </w:t>
      </w:r>
      <w:r>
        <w:rPr>
          <w:sz w:val="16"/>
        </w:rPr>
        <w:t>Abel</w:t>
      </w:r>
      <w:r>
        <w:rPr>
          <w:spacing w:val="-1"/>
          <w:sz w:val="16"/>
        </w:rPr>
        <w:t> </w:t>
      </w:r>
      <w:r>
        <w:rPr>
          <w:sz w:val="16"/>
        </w:rPr>
        <w:t>(2001,</w:t>
      </w:r>
      <w:r>
        <w:rPr>
          <w:spacing w:val="-1"/>
          <w:sz w:val="16"/>
        </w:rPr>
        <w:t> </w:t>
      </w:r>
      <w:r>
        <w:rPr>
          <w:sz w:val="16"/>
        </w:rPr>
        <w:t>2003),</w:t>
      </w:r>
      <w:r>
        <w:rPr>
          <w:spacing w:val="-1"/>
          <w:sz w:val="16"/>
        </w:rPr>
        <w:t> </w:t>
      </w:r>
      <w:r>
        <w:rPr>
          <w:sz w:val="16"/>
        </w:rPr>
        <w:t>Mankiw</w:t>
      </w:r>
      <w:r>
        <w:rPr>
          <w:spacing w:val="-4"/>
          <w:sz w:val="16"/>
        </w:rPr>
        <w:t> </w:t>
      </w:r>
      <w:r>
        <w:rPr>
          <w:sz w:val="16"/>
        </w:rPr>
        <w:t>and</w:t>
      </w:r>
      <w:r>
        <w:rPr>
          <w:spacing w:val="-7"/>
          <w:sz w:val="16"/>
        </w:rPr>
        <w:t> </w:t>
      </w:r>
      <w:r>
        <w:rPr>
          <w:sz w:val="16"/>
        </w:rPr>
        <w:t>Weill</w:t>
      </w:r>
      <w:r>
        <w:rPr>
          <w:spacing w:val="-4"/>
          <w:sz w:val="16"/>
        </w:rPr>
        <w:t> </w:t>
      </w:r>
      <w:r>
        <w:rPr>
          <w:sz w:val="16"/>
        </w:rPr>
        <w:t>(1989)).</w:t>
      </w:r>
      <w:r>
        <w:rPr>
          <w:spacing w:val="-1"/>
          <w:sz w:val="16"/>
        </w:rPr>
        <w:t> </w:t>
      </w:r>
      <w:r>
        <w:rPr>
          <w:sz w:val="16"/>
        </w:rPr>
        <w:t>The</w:t>
      </w:r>
      <w:r>
        <w:rPr>
          <w:spacing w:val="-3"/>
          <w:sz w:val="16"/>
        </w:rPr>
        <w:t> </w:t>
      </w:r>
      <w:r>
        <w:rPr>
          <w:sz w:val="16"/>
        </w:rPr>
        <w:t>relative</w:t>
      </w:r>
      <w:r>
        <w:rPr>
          <w:spacing w:val="-4"/>
          <w:sz w:val="16"/>
        </w:rPr>
        <w:t> </w:t>
      </w:r>
      <w:r>
        <w:rPr>
          <w:sz w:val="16"/>
        </w:rPr>
        <w:t>timing</w:t>
      </w:r>
      <w:r>
        <w:rPr>
          <w:spacing w:val="-2"/>
          <w:sz w:val="16"/>
        </w:rPr>
        <w:t> </w:t>
      </w:r>
      <w:r>
        <w:rPr>
          <w:sz w:val="16"/>
        </w:rPr>
        <w:t>of</w:t>
      </w:r>
      <w:r>
        <w:rPr>
          <w:spacing w:val="-2"/>
          <w:sz w:val="16"/>
        </w:rPr>
        <w:t> </w:t>
      </w:r>
      <w:r>
        <w:rPr>
          <w:sz w:val="16"/>
        </w:rPr>
        <w:t>housing</w:t>
      </w:r>
      <w:r>
        <w:rPr>
          <w:spacing w:val="-2"/>
          <w:sz w:val="16"/>
        </w:rPr>
        <w:t> </w:t>
      </w:r>
      <w:r>
        <w:rPr>
          <w:sz w:val="16"/>
        </w:rPr>
        <w:t>crises</w:t>
      </w:r>
      <w:r>
        <w:rPr>
          <w:spacing w:val="-3"/>
          <w:sz w:val="16"/>
        </w:rPr>
        <w:t> </w:t>
      </w:r>
      <w:r>
        <w:rPr>
          <w:sz w:val="16"/>
        </w:rPr>
        <w:t>coincides with</w:t>
      </w:r>
      <w:r>
        <w:rPr>
          <w:spacing w:val="-4"/>
          <w:sz w:val="16"/>
        </w:rPr>
        <w:t> </w:t>
      </w:r>
      <w:r>
        <w:rPr>
          <w:sz w:val="16"/>
        </w:rPr>
        <w:t>the</w:t>
      </w:r>
      <w:r>
        <w:rPr>
          <w:spacing w:val="-2"/>
          <w:sz w:val="16"/>
        </w:rPr>
        <w:t> </w:t>
      </w:r>
      <w:r>
        <w:rPr>
          <w:sz w:val="16"/>
        </w:rPr>
        <w:t>relative timing of demographic changes in Japan and Western Economies. This suggests the medium term boom-bust cycle in housing and risky assets could itself be related to demographic cycles if agents fail to see the long but transitory effect of demographics on prices, and wealth (which is plausible given our difficulty in agreeing or even identifying them from available</w:t>
      </w:r>
      <w:r>
        <w:rPr>
          <w:spacing w:val="-13"/>
          <w:sz w:val="16"/>
        </w:rPr>
        <w:t> </w:t>
      </w:r>
      <w:r>
        <w:rPr>
          <w:sz w:val="16"/>
        </w:rPr>
        <w:t>data).</w:t>
      </w:r>
    </w:p>
    <w:p>
      <w:pPr>
        <w:spacing w:after="0"/>
        <w:jc w:val="left"/>
        <w:rPr>
          <w:sz w:val="16"/>
        </w:rPr>
        <w:sectPr>
          <w:footerReference w:type="default" r:id="rId11"/>
          <w:pgSz w:w="11910" w:h="16840"/>
          <w:pgMar w:footer="1338" w:header="0" w:top="1520" w:bottom="1520" w:left="240" w:right="240"/>
        </w:sectPr>
      </w:pPr>
    </w:p>
    <w:p>
      <w:pPr>
        <w:pStyle w:val="BodyText"/>
        <w:spacing w:line="357" w:lineRule="auto" w:before="79"/>
        <w:ind w:left="893" w:right="1113"/>
      </w:pPr>
      <w:r>
        <w:rPr/>
        <w:t>and there is at least the possibility that the effect is quite large. Moreover, demographic effects are even more slow-moving than debt effects, so the impact on real rates might be even longer-lasting</w:t>
      </w:r>
      <w:r>
        <w:rPr>
          <w:vertAlign w:val="superscript"/>
        </w:rPr>
        <w:t>11</w:t>
      </w:r>
      <w:r>
        <w:rPr>
          <w:vertAlign w:val="baseline"/>
        </w:rPr>
        <w:t>.</w:t>
      </w:r>
    </w:p>
    <w:p>
      <w:pPr>
        <w:pStyle w:val="BodyText"/>
        <w:spacing w:before="4"/>
        <w:rPr>
          <w:sz w:val="30"/>
        </w:rPr>
      </w:pPr>
    </w:p>
    <w:p>
      <w:pPr>
        <w:pStyle w:val="ListParagraph"/>
        <w:numPr>
          <w:ilvl w:val="0"/>
          <w:numId w:val="1"/>
        </w:numPr>
        <w:tabs>
          <w:tab w:pos="1973" w:val="left" w:leader="none"/>
          <w:tab w:pos="1974" w:val="left" w:leader="none"/>
        </w:tabs>
        <w:spacing w:line="240" w:lineRule="auto" w:before="0" w:after="0"/>
        <w:ind w:left="1973" w:right="0" w:hanging="721"/>
        <w:jc w:val="left"/>
        <w:rPr>
          <w:sz w:val="20"/>
        </w:rPr>
      </w:pPr>
      <w:r>
        <w:rPr>
          <w:sz w:val="20"/>
        </w:rPr>
        <w:t>Distribution of</w:t>
      </w:r>
      <w:r>
        <w:rPr>
          <w:spacing w:val="-1"/>
          <w:sz w:val="20"/>
        </w:rPr>
        <w:t> </w:t>
      </w:r>
      <w:r>
        <w:rPr>
          <w:sz w:val="20"/>
        </w:rPr>
        <w:t>income</w:t>
      </w:r>
    </w:p>
    <w:p>
      <w:pPr>
        <w:pStyle w:val="BodyText"/>
        <w:rPr>
          <w:sz w:val="22"/>
        </w:rPr>
      </w:pPr>
    </w:p>
    <w:p>
      <w:pPr>
        <w:pStyle w:val="BodyText"/>
        <w:spacing w:before="10"/>
        <w:rPr>
          <w:sz w:val="17"/>
        </w:rPr>
      </w:pPr>
    </w:p>
    <w:p>
      <w:pPr>
        <w:pStyle w:val="BodyText"/>
        <w:spacing w:line="360" w:lineRule="auto"/>
        <w:ind w:left="893" w:right="1113"/>
      </w:pPr>
      <w:r>
        <w:rPr/>
        <w:t>My third D is for “distribution of income”. This is the most speculative one of my three arguments, and the one that needs further research the most.</w:t>
      </w:r>
    </w:p>
    <w:p>
      <w:pPr>
        <w:pStyle w:val="BodyText"/>
        <w:rPr>
          <w:sz w:val="30"/>
        </w:rPr>
      </w:pPr>
    </w:p>
    <w:p>
      <w:pPr>
        <w:pStyle w:val="BodyText"/>
        <w:spacing w:line="360" w:lineRule="auto"/>
        <w:ind w:left="893" w:right="909"/>
      </w:pPr>
      <w:r>
        <w:rPr/>
        <w:t>Our understanding of the full macroeconomic effects of different income and wealth distributions is still in its infancy, but the work so far suggests it matters greatly. For example, although it has long been recognised that monetary policy might have distributional effects, the textbook model has it working exclusively through inter-temporal substitution of a representative agent (the consumption-saving decisions described earlier). Using a far richer framework, Auclert (2015) finds that a redistribution channel could be as important in explaining why aggregate consumer spending reacts to transitory changes in the real interest rate. If distributional considerations are of first-order importance for understanding the monetary policy transmission, then large shifts in the distribution of income and wealth should be expected to have material consequences for monetary policy. To put it simply: if we know that monetary policy works through distributional effects, it is natural to expect that distribution has monetary policy effects.</w:t>
      </w:r>
    </w:p>
    <w:p>
      <w:pPr>
        <w:pStyle w:val="BodyText"/>
        <w:spacing w:before="2"/>
        <w:rPr>
          <w:sz w:val="30"/>
        </w:rPr>
      </w:pPr>
    </w:p>
    <w:p>
      <w:pPr>
        <w:pStyle w:val="BodyText"/>
        <w:spacing w:line="360" w:lineRule="auto" w:before="1"/>
        <w:ind w:left="893" w:right="851"/>
      </w:pPr>
      <w:r>
        <w:rPr/>
        <w:t>As T. Picketty, A. Atkinson and E. Saez and co-authors have pointed out, the distribution of wealth and income within many countries has become less equal over the past several decades. In particular, the wealth and income of the richest segment of the population has risen much faster than that of the rest of the population (Figures 9 and 10).</w:t>
      </w:r>
    </w:p>
    <w:p>
      <w:pPr>
        <w:pStyle w:val="BodyText"/>
        <w:spacing w:before="10"/>
        <w:rPr>
          <w:sz w:val="29"/>
        </w:rPr>
      </w:pPr>
    </w:p>
    <w:p>
      <w:pPr>
        <w:pStyle w:val="BodyText"/>
        <w:spacing w:line="360" w:lineRule="auto"/>
        <w:ind w:left="893" w:right="941"/>
      </w:pPr>
      <w:r>
        <w:rPr/>
        <w:t>There is ample micro-economic evidence that the rich have a low marginal propensity to spend. That is highly intuitive: if you give a rich person ten pounds, he is likely to spend less of it, i.e. save more, than if you give a poor person ten pounds. By shifting economic resources towards those more likely to save them, rising income inequality might also be pushing up on desired savings. Rachel and Smith (2015) perform a simple calculation: if you increase the share of national income that has gone to the richest fifth by 7pp (change in the US since 1980), then the net effect on desired savings is an increase of around 2pp. This change alone could push real interest rates down by 0.5 percentage point (see Rachel and Smith (2015),</w:t>
      </w:r>
    </w:p>
    <w:p>
      <w:pPr>
        <w:pStyle w:val="BodyText"/>
        <w:spacing w:line="230" w:lineRule="exact"/>
        <w:ind w:left="893"/>
      </w:pPr>
      <w:r>
        <w:rPr/>
        <w:t>pg 39).</w:t>
      </w:r>
    </w:p>
    <w:p>
      <w:pPr>
        <w:pStyle w:val="BodyText"/>
        <w:rPr>
          <w:sz w:val="22"/>
        </w:rPr>
      </w:pPr>
    </w:p>
    <w:p>
      <w:pPr>
        <w:pStyle w:val="BodyText"/>
        <w:spacing w:before="1"/>
        <w:rPr>
          <w:sz w:val="18"/>
        </w:rPr>
      </w:pPr>
    </w:p>
    <w:p>
      <w:pPr>
        <w:pStyle w:val="BodyText"/>
        <w:spacing w:line="362" w:lineRule="auto"/>
        <w:ind w:left="893" w:right="946"/>
      </w:pPr>
      <w:r>
        <w:rPr/>
        <w:t>This is only a partial equilibrium calculation, which leaves the demand for investment unchanged. But recent attempts to address the question of rising inequality in a general equilibrium context suggest an overall</w:t>
      </w:r>
    </w:p>
    <w:p>
      <w:pPr>
        <w:pStyle w:val="BodyText"/>
      </w:pPr>
    </w:p>
    <w:p>
      <w:pPr>
        <w:pStyle w:val="BodyText"/>
      </w:pPr>
    </w:p>
    <w:p>
      <w:pPr>
        <w:pStyle w:val="BodyText"/>
        <w:spacing w:before="9"/>
        <w:rPr>
          <w:sz w:val="28"/>
        </w:rPr>
      </w:pPr>
      <w:r>
        <w:rPr/>
        <w:pict>
          <v:shape style="position:absolute;margin-left:56.664001pt;margin-top:18.782866pt;width:144.050pt;height:.1pt;mso-position-horizontal-relative:page;mso-position-vertical-relative:paragraph;z-index:-251652096;mso-wrap-distance-left:0;mso-wrap-distance-right:0" coordorigin="1133,376" coordsize="2881,0" path="m1133,376l4014,376e" filled="false" stroked="true" strokeweight=".47998pt" strokecolor="#000000">
            <v:path arrowok="t"/>
            <v:stroke dashstyle="solid"/>
            <w10:wrap type="topAndBottom"/>
          </v:shape>
        </w:pict>
      </w:r>
    </w:p>
    <w:p>
      <w:pPr>
        <w:spacing w:before="30"/>
        <w:ind w:left="893" w:right="1385" w:firstLine="0"/>
        <w:jc w:val="left"/>
        <w:rPr>
          <w:sz w:val="16"/>
        </w:rPr>
      </w:pPr>
      <w:r>
        <w:rPr>
          <w:position w:val="8"/>
          <w:sz w:val="10"/>
        </w:rPr>
        <w:t>11 </w:t>
      </w:r>
      <w:r>
        <w:rPr>
          <w:sz w:val="16"/>
        </w:rPr>
        <w:t>Long-run forecasts of the key demographic variables we have highlighted depend not only on the future evolution of fertility and longevity, but also policies that affect migration and labour market participation.</w:t>
      </w:r>
    </w:p>
    <w:p>
      <w:pPr>
        <w:spacing w:after="0"/>
        <w:jc w:val="left"/>
        <w:rPr>
          <w:sz w:val="16"/>
        </w:rPr>
        <w:sectPr>
          <w:footerReference w:type="default" r:id="rId12"/>
          <w:pgSz w:w="11910" w:h="16840"/>
          <w:pgMar w:footer="1338" w:header="0" w:top="1520" w:bottom="1520" w:left="240" w:right="240"/>
        </w:sectPr>
      </w:pPr>
    </w:p>
    <w:p>
      <w:pPr>
        <w:pStyle w:val="BodyText"/>
        <w:spacing w:line="357" w:lineRule="auto" w:before="79"/>
        <w:ind w:left="893" w:right="1478"/>
      </w:pPr>
      <w:r>
        <w:rPr/>
        <w:t>negative effect on real interest rates, and even a potential role in explaining persistent slumps when combined with the effective lower bound on interest rates.</w:t>
      </w:r>
      <w:r>
        <w:rPr>
          <w:vertAlign w:val="superscript"/>
        </w:rPr>
        <w:t>12</w:t>
      </w:r>
    </w:p>
    <w:p>
      <w:pPr>
        <w:pStyle w:val="BodyText"/>
        <w:spacing w:before="4"/>
        <w:rPr>
          <w:sz w:val="30"/>
        </w:rPr>
      </w:pPr>
    </w:p>
    <w:p>
      <w:pPr>
        <w:pStyle w:val="BodyText"/>
        <w:spacing w:line="360" w:lineRule="auto"/>
        <w:ind w:left="893" w:right="851"/>
      </w:pPr>
      <w:r>
        <w:rPr/>
        <w:t>The potential impact of changes in the distribution of income goes much further than the direct compositional effect on savings. As Kumhof and Ranciere (2010) point out, a rise in inequality could itself reinforce the rise in debt, as households at the lower end of the income and wealth distribution try to maintain consumption growth despite weaker income growth. Kumhof and Ranciere (2010) show that it has been the lower end of the wealth distribution that has driven the rise in household debt. When there is a realisation that the drop in income growth is more persistent than initially believed, the accumulated debt will be seen as too high, and households will be trying to deleverage, pushing income growth down further for a sustained period, beyond the impact of income inequality alone.</w:t>
      </w:r>
    </w:p>
    <w:p>
      <w:pPr>
        <w:pStyle w:val="BodyText"/>
        <w:spacing w:before="10"/>
        <w:rPr>
          <w:sz w:val="29"/>
        </w:rPr>
      </w:pPr>
    </w:p>
    <w:p>
      <w:pPr>
        <w:pStyle w:val="BodyText"/>
        <w:spacing w:line="360" w:lineRule="auto" w:before="1"/>
        <w:ind w:left="893" w:right="1067"/>
      </w:pPr>
      <w:r>
        <w:rPr/>
        <w:t>More generally, it is not hard to imagine – though very hard to model – a story where all three Ds interact.</w:t>
      </w:r>
      <w:r>
        <w:rPr>
          <w:vertAlign w:val="superscript"/>
        </w:rPr>
        <w:t>13</w:t>
      </w:r>
      <w:r>
        <w:rPr>
          <w:vertAlign w:val="baseline"/>
        </w:rPr>
        <w:t> A high debt economy faces headwinds and needs lower interest rates. A high debt economy with adverse demographic trends needs even lower interest rates. And a high debt economy with adverse demographic trends and higher inequality … well, you get the picture.</w:t>
      </w:r>
      <w:r>
        <w:rPr>
          <w:vertAlign w:val="superscript"/>
        </w:rPr>
        <w:t>14</w:t>
      </w:r>
    </w:p>
    <w:p>
      <w:pPr>
        <w:pStyle w:val="BodyText"/>
        <w:rPr>
          <w:sz w:val="30"/>
        </w:rPr>
      </w:pPr>
    </w:p>
    <w:p>
      <w:pPr>
        <w:pStyle w:val="ListParagraph"/>
        <w:numPr>
          <w:ilvl w:val="0"/>
          <w:numId w:val="1"/>
        </w:numPr>
        <w:tabs>
          <w:tab w:pos="1973" w:val="left" w:leader="none"/>
          <w:tab w:pos="1974" w:val="left" w:leader="none"/>
        </w:tabs>
        <w:spacing w:line="240" w:lineRule="auto" w:before="0" w:after="0"/>
        <w:ind w:left="1973" w:right="0" w:hanging="721"/>
        <w:jc w:val="left"/>
        <w:rPr>
          <w:sz w:val="20"/>
        </w:rPr>
      </w:pPr>
      <w:r>
        <w:rPr>
          <w:sz w:val="20"/>
        </w:rPr>
        <w:t>Policy</w:t>
      </w:r>
      <w:r>
        <w:rPr>
          <w:spacing w:val="-3"/>
          <w:sz w:val="20"/>
        </w:rPr>
        <w:t> </w:t>
      </w:r>
      <w:r>
        <w:rPr>
          <w:sz w:val="20"/>
        </w:rPr>
        <w:t>implications</w:t>
      </w:r>
    </w:p>
    <w:p>
      <w:pPr>
        <w:pStyle w:val="BodyText"/>
        <w:rPr>
          <w:sz w:val="22"/>
        </w:rPr>
      </w:pPr>
    </w:p>
    <w:p>
      <w:pPr>
        <w:pStyle w:val="BodyText"/>
        <w:spacing w:before="1"/>
        <w:rPr>
          <w:sz w:val="18"/>
        </w:rPr>
      </w:pPr>
    </w:p>
    <w:p>
      <w:pPr>
        <w:pStyle w:val="BodyText"/>
        <w:spacing w:before="1"/>
        <w:ind w:left="893"/>
      </w:pPr>
      <w:r>
        <w:rPr/>
        <w:t>As policy-makers, how are we to incorporate these potentially large but uncertain effects in our thinking?</w:t>
      </w:r>
    </w:p>
    <w:p>
      <w:pPr>
        <w:pStyle w:val="BodyText"/>
        <w:rPr>
          <w:sz w:val="22"/>
        </w:rPr>
      </w:pPr>
    </w:p>
    <w:p>
      <w:pPr>
        <w:pStyle w:val="BodyText"/>
        <w:spacing w:before="10"/>
        <w:rPr>
          <w:sz w:val="17"/>
        </w:rPr>
      </w:pPr>
    </w:p>
    <w:p>
      <w:pPr>
        <w:pStyle w:val="BodyText"/>
        <w:spacing w:line="360" w:lineRule="auto"/>
        <w:ind w:left="893" w:right="1345"/>
      </w:pPr>
      <w:r>
        <w:rPr/>
        <w:t>Standard models for analysing monetary policy are not suited to analysing these effects. The workhorse models for monetary policy are still mostly models with an infinitely-lived representative agent and a deterministic steady state, as well as further simplifying assumptions.</w:t>
      </w:r>
      <w:r>
        <w:rPr>
          <w:vertAlign w:val="superscript"/>
        </w:rPr>
        <w:t>15</w:t>
      </w:r>
    </w:p>
    <w:p>
      <w:pPr>
        <w:pStyle w:val="BodyText"/>
        <w:rPr>
          <w:sz w:val="30"/>
        </w:rPr>
      </w:pPr>
    </w:p>
    <w:p>
      <w:pPr>
        <w:pStyle w:val="BodyText"/>
        <w:spacing w:line="360" w:lineRule="auto"/>
        <w:ind w:left="893" w:right="911"/>
      </w:pPr>
      <w:r>
        <w:rPr/>
        <w:t>Do we use these modelling assumptions because we believe in them? No. We use them because they make the models easier to work with. Recently, there has been much progress in models that abandon these simplifying assumptions. But these mechanisms are still a long way from being usable in a quarterly central bank forecasting model.</w:t>
      </w:r>
    </w:p>
    <w:p>
      <w:pPr>
        <w:pStyle w:val="BodyText"/>
        <w:spacing w:before="1"/>
        <w:rPr>
          <w:sz w:val="30"/>
        </w:rPr>
      </w:pPr>
    </w:p>
    <w:p>
      <w:pPr>
        <w:pStyle w:val="BodyText"/>
        <w:spacing w:line="357" w:lineRule="auto"/>
        <w:ind w:left="893" w:right="851"/>
      </w:pPr>
      <w:r>
        <w:rPr/>
        <w:t>In the meantime, we should focus on what we may be missing in our simplified models, and what insights the more complex models provide even if they are not part of our regular toolkit.</w:t>
      </w:r>
    </w:p>
    <w:p>
      <w:pPr>
        <w:pStyle w:val="BodyText"/>
      </w:pPr>
    </w:p>
    <w:p>
      <w:pPr>
        <w:pStyle w:val="BodyText"/>
        <w:spacing w:before="8"/>
        <w:rPr>
          <w:sz w:val="27"/>
        </w:rPr>
      </w:pPr>
      <w:r>
        <w:rPr/>
        <w:pict>
          <v:shape style="position:absolute;margin-left:56.664001pt;margin-top:18.147696pt;width:144.050pt;height:.1pt;mso-position-horizontal-relative:page;mso-position-vertical-relative:paragraph;z-index:-251651072;mso-wrap-distance-left:0;mso-wrap-distance-right:0" coordorigin="1133,363" coordsize="2881,0" path="m1133,363l4014,363e" filled="false" stroked="true" strokeweight=".48004pt" strokecolor="#000000">
            <v:path arrowok="t"/>
            <v:stroke dashstyle="solid"/>
            <w10:wrap type="topAndBottom"/>
          </v:shape>
        </w:pict>
      </w:r>
    </w:p>
    <w:p>
      <w:pPr>
        <w:spacing w:line="195" w:lineRule="exact" w:before="30"/>
        <w:ind w:left="893" w:right="0" w:firstLine="0"/>
        <w:jc w:val="left"/>
        <w:rPr>
          <w:sz w:val="16"/>
        </w:rPr>
      </w:pPr>
      <w:r>
        <w:rPr>
          <w:position w:val="8"/>
          <w:sz w:val="10"/>
        </w:rPr>
        <w:t>12 </w:t>
      </w:r>
      <w:r>
        <w:rPr>
          <w:sz w:val="16"/>
        </w:rPr>
        <w:t>See for example Eggertson and Mehrotra (2014) and Auclert and Rognlie (2015).</w:t>
      </w:r>
    </w:p>
    <w:p>
      <w:pPr>
        <w:spacing w:line="184" w:lineRule="exact" w:before="13"/>
        <w:ind w:left="893" w:right="1057" w:firstLine="0"/>
        <w:jc w:val="left"/>
        <w:rPr>
          <w:sz w:val="16"/>
        </w:rPr>
      </w:pPr>
      <w:r>
        <w:rPr>
          <w:position w:val="8"/>
          <w:sz w:val="10"/>
        </w:rPr>
        <w:t>13 </w:t>
      </w:r>
      <w:r>
        <w:rPr>
          <w:sz w:val="16"/>
        </w:rPr>
        <w:t>Eggertsson and Mehrotra (2014) is a rare example of a framework considering all three as potential factors for generating persistent slumps that need not revert back to old normal.</w:t>
      </w:r>
    </w:p>
    <w:p>
      <w:pPr>
        <w:spacing w:line="180" w:lineRule="exact" w:before="0"/>
        <w:ind w:left="893" w:right="0" w:firstLine="0"/>
        <w:jc w:val="left"/>
        <w:rPr>
          <w:sz w:val="16"/>
        </w:rPr>
      </w:pPr>
      <w:r>
        <w:rPr>
          <w:position w:val="8"/>
          <w:sz w:val="10"/>
        </w:rPr>
        <w:t>14 </w:t>
      </w:r>
      <w:r>
        <w:rPr>
          <w:sz w:val="16"/>
        </w:rPr>
        <w:t>The last time we had similar demographic prospects, debt deleveraging and income inequality as high as today was in the late 1930s,</w:t>
      </w:r>
    </w:p>
    <w:p>
      <w:pPr>
        <w:spacing w:before="1"/>
        <w:ind w:left="893" w:right="1293" w:firstLine="0"/>
        <w:jc w:val="left"/>
        <w:rPr>
          <w:sz w:val="16"/>
        </w:rPr>
      </w:pPr>
      <w:r>
        <w:rPr>
          <w:sz w:val="16"/>
        </w:rPr>
        <w:t>when Alvin Hansen raised the prospect of “secular stagnation”. In Hansen’s defence, the baby boom and massive fiscal expansion during and after WWII are exactly what would counteract or reverse the drivers of his secular stagnation hypothesis.</w:t>
      </w:r>
    </w:p>
    <w:p>
      <w:pPr>
        <w:spacing w:line="184" w:lineRule="exact" w:before="2"/>
        <w:ind w:left="893" w:right="940" w:firstLine="0"/>
        <w:jc w:val="both"/>
        <w:rPr>
          <w:sz w:val="16"/>
        </w:rPr>
      </w:pPr>
      <w:r>
        <w:rPr>
          <w:position w:val="8"/>
          <w:sz w:val="10"/>
        </w:rPr>
        <w:t>15 </w:t>
      </w:r>
      <w:r>
        <w:rPr>
          <w:sz w:val="16"/>
        </w:rPr>
        <w:t>These include local approximations (predominantly linear approximations), perfect foresight, which combined result in the absence of any reasonable role for risk and uncertainty as well as no occasionally binding constraints such as the lower bound n interest rates. See critical reviews by Caballero (2010) and Korinek (2015).</w:t>
      </w:r>
    </w:p>
    <w:p>
      <w:pPr>
        <w:spacing w:after="0" w:line="184" w:lineRule="exact"/>
        <w:jc w:val="both"/>
        <w:rPr>
          <w:sz w:val="16"/>
        </w:rPr>
        <w:sectPr>
          <w:footerReference w:type="default" r:id="rId13"/>
          <w:pgSz w:w="11910" w:h="16840"/>
          <w:pgMar w:footer="1338" w:header="0" w:top="1520" w:bottom="1520" w:left="240" w:right="240"/>
        </w:sectPr>
      </w:pPr>
    </w:p>
    <w:p>
      <w:pPr>
        <w:pStyle w:val="BodyText"/>
        <w:spacing w:before="79"/>
        <w:ind w:left="893"/>
      </w:pPr>
      <w:r>
        <w:rPr/>
        <w:t>Representative agent models imply that, </w:t>
      </w:r>
      <w:r>
        <w:rPr>
          <w:u w:val="single"/>
        </w:rPr>
        <w:t>by design</w:t>
      </w:r>
      <w:r>
        <w:rPr/>
        <w:t>, debt does not matter, there are no demographics and</w:t>
      </w:r>
    </w:p>
    <w:p>
      <w:pPr>
        <w:pStyle w:val="BodyText"/>
        <w:spacing w:line="360" w:lineRule="auto" w:before="113"/>
        <w:ind w:left="893" w:right="945"/>
      </w:pPr>
      <w:r>
        <w:rPr/>
        <w:t>there is no distribution of income. That’s an important insight. The 3Ds do not matter in standard models, not because rigorous analysis concludes that this is so, but because it has been assumed to be the case. It is not surprising that many economists struggle to make sense of low real interest rates by using a representative agent model.</w:t>
      </w:r>
      <w:r>
        <w:rPr>
          <w:vertAlign w:val="superscript"/>
        </w:rPr>
        <w:t>16</w:t>
      </w:r>
    </w:p>
    <w:p>
      <w:pPr>
        <w:pStyle w:val="BodyText"/>
        <w:spacing w:before="1"/>
        <w:rPr>
          <w:sz w:val="30"/>
        </w:rPr>
      </w:pPr>
    </w:p>
    <w:p>
      <w:pPr>
        <w:pStyle w:val="BodyText"/>
        <w:spacing w:line="360" w:lineRule="auto"/>
        <w:ind w:left="893" w:right="920"/>
      </w:pPr>
      <w:r>
        <w:rPr/>
        <w:t>A deterministic steady state means that the model dynamics are driven by temporary shocks, after which the model variables all return to where they were before.</w:t>
      </w:r>
      <w:r>
        <w:rPr>
          <w:vertAlign w:val="superscript"/>
        </w:rPr>
        <w:t>17</w:t>
      </w:r>
      <w:r>
        <w:rPr>
          <w:vertAlign w:val="baseline"/>
        </w:rPr>
        <w:t> Where they return to is typically not really explained by the model. Moreover, it is easy to learn how the economy works, because everything is stable. So assuming that we know the parameters of the model pretty well seems like reasonable assumption. With the 3Ds, these assumptions are obviously wrong. Variables can progress along multi-decade trends without any shocks at all, and the past might be a terrible guide to the future.</w:t>
      </w:r>
    </w:p>
    <w:p>
      <w:pPr>
        <w:pStyle w:val="BodyText"/>
        <w:rPr>
          <w:sz w:val="30"/>
        </w:rPr>
      </w:pPr>
    </w:p>
    <w:p>
      <w:pPr>
        <w:pStyle w:val="BodyText"/>
        <w:spacing w:line="360" w:lineRule="auto"/>
        <w:ind w:left="893" w:right="1113"/>
      </w:pPr>
      <w:r>
        <w:rPr/>
        <w:t>Having established that the workhorse models are not suitable for analysing the 3Ds, should we bin the models altogether? Certainly not.</w:t>
      </w:r>
    </w:p>
    <w:p>
      <w:pPr>
        <w:pStyle w:val="BodyText"/>
        <w:spacing w:before="11"/>
        <w:rPr>
          <w:sz w:val="29"/>
        </w:rPr>
      </w:pPr>
    </w:p>
    <w:p>
      <w:pPr>
        <w:pStyle w:val="BodyText"/>
        <w:spacing w:line="360" w:lineRule="auto"/>
        <w:ind w:left="893" w:right="891"/>
      </w:pPr>
      <w:r>
        <w:rPr/>
        <w:t>Many features of the workhorse model are still valid. Policy rates still influence short-term growth. Growth still influences slack. Slack still influences inflation. The key steps of the monetary transmission channel are not lost.</w:t>
      </w:r>
    </w:p>
    <w:p>
      <w:pPr>
        <w:pStyle w:val="BodyText"/>
        <w:rPr>
          <w:sz w:val="30"/>
        </w:rPr>
      </w:pPr>
    </w:p>
    <w:p>
      <w:pPr>
        <w:pStyle w:val="BodyText"/>
        <w:spacing w:line="360" w:lineRule="auto"/>
        <w:ind w:left="893" w:right="901"/>
      </w:pPr>
      <w:r>
        <w:rPr/>
        <w:t>But what growth rate will the economy converge to after short-term effect of monetary policy wears off? What level should the policy rate reach when inflation is sustainably back to target? And might where we end up in the medium term also be influenced by policy? These are the questions where the 3Ds play a potentially large role.</w:t>
      </w:r>
    </w:p>
    <w:p>
      <w:pPr>
        <w:pStyle w:val="BodyText"/>
        <w:spacing w:before="1"/>
        <w:rPr>
          <w:sz w:val="30"/>
        </w:rPr>
      </w:pPr>
    </w:p>
    <w:p>
      <w:pPr>
        <w:pStyle w:val="BodyText"/>
        <w:spacing w:line="360" w:lineRule="auto"/>
        <w:ind w:left="893" w:right="851"/>
      </w:pPr>
      <w:r>
        <w:rPr/>
        <w:t>Given our still limited understanding of these issues, let me nevertheless offer some policy implications even based on what little we know.</w:t>
      </w:r>
    </w:p>
    <w:p>
      <w:pPr>
        <w:pStyle w:val="BodyText"/>
        <w:rPr>
          <w:sz w:val="30"/>
        </w:rPr>
      </w:pPr>
    </w:p>
    <w:p>
      <w:pPr>
        <w:pStyle w:val="BodyText"/>
        <w:spacing w:line="360" w:lineRule="auto"/>
        <w:ind w:left="893" w:right="1030"/>
      </w:pPr>
      <w:r>
        <w:rPr/>
        <w:t>My first policy implication is: do not be confident that the future will look like the past. Representative agent models with a deterministic steady state will always forecast that the future is like the past. They are not useful for answering questions about very long-lasting changes to real interest rates and growth. Relying on these models for analysis of what the economy will look like in a few years is very risky indeed. It results in mean-reverting forecasts like those made by state-of-the-art DSGE models, as shown by the real time</w:t>
      </w:r>
    </w:p>
    <w:p>
      <w:pPr>
        <w:pStyle w:val="BodyText"/>
        <w:spacing w:before="4"/>
        <w:rPr>
          <w:sz w:val="17"/>
        </w:rPr>
      </w:pPr>
      <w:r>
        <w:rPr/>
        <w:pict>
          <v:shape style="position:absolute;margin-left:56.664001pt;margin-top:12.212783pt;width:144.050pt;height:.1pt;mso-position-horizontal-relative:page;mso-position-vertical-relative:paragraph;z-index:-251650048;mso-wrap-distance-left:0;mso-wrap-distance-right:0" coordorigin="1133,244" coordsize="2881,0" path="m1133,244l4014,244e" filled="false" stroked="true" strokeweight=".48004pt" strokecolor="#000000">
            <v:path arrowok="t"/>
            <v:stroke dashstyle="solid"/>
            <w10:wrap type="topAndBottom"/>
          </v:shape>
        </w:pict>
      </w:r>
    </w:p>
    <w:p>
      <w:pPr>
        <w:spacing w:before="30"/>
        <w:ind w:left="893" w:right="1231" w:firstLine="0"/>
        <w:jc w:val="left"/>
        <w:rPr>
          <w:sz w:val="16"/>
        </w:rPr>
      </w:pPr>
      <w:r>
        <w:rPr>
          <w:position w:val="8"/>
          <w:sz w:val="10"/>
        </w:rPr>
        <w:t>16 </w:t>
      </w:r>
      <w:r>
        <w:rPr>
          <w:sz w:val="16"/>
        </w:rPr>
        <w:t>The papers cited in footnotes 8 and 12 feature deviations from representative agents as a crucial element. See also Kaplan et al (2016), Cloyne </w:t>
      </w:r>
      <w:r>
        <w:rPr>
          <w:i/>
          <w:sz w:val="16"/>
        </w:rPr>
        <w:t>et al </w:t>
      </w:r>
      <w:r>
        <w:rPr>
          <w:sz w:val="16"/>
        </w:rPr>
        <w:t>(2015) and Best </w:t>
      </w:r>
      <w:r>
        <w:rPr>
          <w:i/>
          <w:sz w:val="16"/>
        </w:rPr>
        <w:t>et al </w:t>
      </w:r>
      <w:r>
        <w:rPr>
          <w:sz w:val="16"/>
        </w:rPr>
        <w:t>(2015) for further theory and empirical evidence for how relaxing the representative agent model assumption is crucial for understanding the transmission of monetary policy.</w:t>
      </w:r>
    </w:p>
    <w:p>
      <w:pPr>
        <w:spacing w:line="184" w:lineRule="exact" w:before="0"/>
        <w:ind w:left="893" w:right="946" w:firstLine="0"/>
        <w:jc w:val="left"/>
        <w:rPr>
          <w:sz w:val="16"/>
        </w:rPr>
      </w:pPr>
      <w:r>
        <w:rPr>
          <w:position w:val="8"/>
          <w:sz w:val="10"/>
        </w:rPr>
        <w:t>17 </w:t>
      </w:r>
      <w:r>
        <w:rPr>
          <w:sz w:val="16"/>
        </w:rPr>
        <w:t>Brunnermeier and Sannikov (2014) is a good example of the importance of moving away the deterministic steady state modelling. They model endogenous risk in a dynamic general equilibrium model in the spirit of much of the canonical macro literature with credit</w:t>
      </w:r>
    </w:p>
    <w:p>
      <w:pPr>
        <w:spacing w:before="0"/>
        <w:ind w:left="893" w:right="938" w:firstLine="0"/>
        <w:jc w:val="left"/>
        <w:rPr>
          <w:sz w:val="16"/>
        </w:rPr>
      </w:pPr>
      <w:r>
        <w:rPr>
          <w:sz w:val="16"/>
        </w:rPr>
        <w:t>frictions pioneered by Ben Bernanke, Nobu Kiyotaki and others, but without linear approximations around a steady state. Solving for the full nonlinear equilibrium they find much richer dynamics for leverage and risk premia, and show that amplification mechanisms are much larger because we do not know for sure we will recover to the steady state (which is the case with deterministic steady state). In fact, the economy can stay away from the ergodic steady state for long periods of time.</w:t>
      </w:r>
    </w:p>
    <w:p>
      <w:pPr>
        <w:spacing w:after="0"/>
        <w:jc w:val="left"/>
        <w:rPr>
          <w:sz w:val="16"/>
        </w:rPr>
        <w:sectPr>
          <w:footerReference w:type="default" r:id="rId14"/>
          <w:pgSz w:w="11910" w:h="16840"/>
          <w:pgMar w:footer="1338" w:header="0" w:top="1520" w:bottom="1520" w:left="240" w:right="240"/>
          <w:pgNumType w:start="9"/>
        </w:sectPr>
      </w:pPr>
    </w:p>
    <w:p>
      <w:pPr>
        <w:pStyle w:val="BodyText"/>
        <w:spacing w:line="357" w:lineRule="auto" w:before="119"/>
        <w:ind w:left="893" w:right="1001"/>
      </w:pPr>
      <w:r>
        <w:rPr/>
        <w:t>estimates of the implied natural interest rate by Curdia (2015)</w:t>
      </w:r>
      <w:r>
        <w:rPr>
          <w:vertAlign w:val="superscript"/>
        </w:rPr>
        <w:t>18</w:t>
      </w:r>
      <w:r>
        <w:rPr>
          <w:vertAlign w:val="baseline"/>
        </w:rPr>
        <w:t> shown in Figure 12. Private sector forecasts of policy rates have also been continuously predicting a reversion to the mean (Figures 13 and 14).</w:t>
      </w:r>
    </w:p>
    <w:p>
      <w:pPr>
        <w:pStyle w:val="BodyText"/>
        <w:spacing w:line="360" w:lineRule="auto" w:before="3"/>
        <w:ind w:left="893" w:right="946"/>
      </w:pPr>
      <w:r>
        <w:rPr/>
        <w:t>Predicting inexorable reversions to the mean can lead to not only big and persistent forecast errors, but can culminate in serious policy mistakes.</w:t>
      </w:r>
      <w:r>
        <w:rPr>
          <w:vertAlign w:val="superscript"/>
        </w:rPr>
        <w:t>19</w:t>
      </w:r>
    </w:p>
    <w:p>
      <w:pPr>
        <w:pStyle w:val="BodyText"/>
        <w:rPr>
          <w:sz w:val="30"/>
        </w:rPr>
      </w:pPr>
    </w:p>
    <w:p>
      <w:pPr>
        <w:pStyle w:val="BodyText"/>
        <w:spacing w:line="360" w:lineRule="auto"/>
        <w:ind w:left="893" w:right="946"/>
      </w:pPr>
      <w:r>
        <w:rPr/>
        <w:t>My second policy implication is: be prepared for the possibility that real interest rates will remain well below their historical average for a very long time, even with economic growth that is close to or only somewhat below its historical average.</w:t>
      </w:r>
    </w:p>
    <w:p>
      <w:pPr>
        <w:pStyle w:val="BodyText"/>
        <w:rPr>
          <w:sz w:val="30"/>
        </w:rPr>
      </w:pPr>
    </w:p>
    <w:p>
      <w:pPr>
        <w:pStyle w:val="BodyText"/>
        <w:spacing w:line="360" w:lineRule="auto"/>
        <w:ind w:left="893" w:right="851"/>
      </w:pPr>
      <w:r>
        <w:rPr/>
        <w:t>This has a direct impact on my own policy views. If I were confident that, over the next few years, policy rates would have to rise significantly to match historical averages of real interest rates, I would be looking for the first possible opportunity to raise rates, to avoid having to raise them very sharply in the next few years.</w:t>
      </w:r>
    </w:p>
    <w:p>
      <w:pPr>
        <w:pStyle w:val="BodyText"/>
        <w:rPr>
          <w:sz w:val="30"/>
        </w:rPr>
      </w:pPr>
    </w:p>
    <w:p>
      <w:pPr>
        <w:pStyle w:val="BodyText"/>
        <w:spacing w:line="360" w:lineRule="auto" w:before="1"/>
        <w:ind w:left="893" w:right="934"/>
      </w:pPr>
      <w:r>
        <w:rPr/>
        <w:t>But I am not confident of that at all. Rather, I think it is plausible that the appropriate real interest rate for the economy might be very low for years to come. So policy rates, when they rise, may not need to rise by much over the coming years. These medium-term considerations make me relatively more patient before raising rates.</w:t>
      </w:r>
    </w:p>
    <w:p>
      <w:pPr>
        <w:pStyle w:val="BodyText"/>
        <w:rPr>
          <w:sz w:val="30"/>
        </w:rPr>
      </w:pPr>
    </w:p>
    <w:p>
      <w:pPr>
        <w:pStyle w:val="BodyText"/>
        <w:spacing w:line="360" w:lineRule="auto"/>
        <w:ind w:left="893" w:right="1011"/>
      </w:pPr>
      <w:r>
        <w:rPr/>
        <w:t>The need for patience is further reinforced by the asymmetry that I believe we currently face in monetary policy. While there is some scope for further stimulus should it be required, both via small further reductions in interest rates and via further asset purchases, I believe our ability as a central bank to stimulate spending is nevertheless smaller than our ability to restrain spending, due to the effective lower bound on interest rates, and the fact that asset purchases are an imperfect substitute for rate cuts. Even with symmetric preferences around the inflation target, I must take account of the fact that we cannot respond to bad news as effectively as we can respond to good news. That potentially makes the effects of bad news more persistent even when monetary policy does all it can.</w:t>
      </w:r>
      <w:r>
        <w:rPr>
          <w:vertAlign w:val="superscript"/>
        </w:rPr>
        <w:t>20</w:t>
      </w:r>
    </w:p>
    <w:p>
      <w:pPr>
        <w:pStyle w:val="BodyText"/>
        <w:spacing w:before="11"/>
        <w:rPr>
          <w:sz w:val="29"/>
        </w:rPr>
      </w:pPr>
    </w:p>
    <w:p>
      <w:pPr>
        <w:pStyle w:val="ListParagraph"/>
        <w:numPr>
          <w:ilvl w:val="0"/>
          <w:numId w:val="1"/>
        </w:numPr>
        <w:tabs>
          <w:tab w:pos="1973" w:val="left" w:leader="none"/>
          <w:tab w:pos="1974" w:val="left" w:leader="none"/>
        </w:tabs>
        <w:spacing w:line="240" w:lineRule="auto" w:before="0" w:after="0"/>
        <w:ind w:left="1973" w:right="0" w:hanging="721"/>
        <w:jc w:val="left"/>
        <w:rPr>
          <w:sz w:val="20"/>
        </w:rPr>
      </w:pPr>
      <w:r>
        <w:rPr>
          <w:sz w:val="20"/>
        </w:rPr>
        <w:t>Current</w:t>
      </w:r>
      <w:r>
        <w:rPr>
          <w:spacing w:val="-2"/>
          <w:sz w:val="20"/>
        </w:rPr>
        <w:t> </w:t>
      </w:r>
      <w:r>
        <w:rPr>
          <w:sz w:val="20"/>
        </w:rPr>
        <w:t>outlook</w:t>
      </w:r>
    </w:p>
    <w:p>
      <w:pPr>
        <w:pStyle w:val="BodyText"/>
        <w:rPr>
          <w:sz w:val="22"/>
        </w:rPr>
      </w:pPr>
    </w:p>
    <w:p>
      <w:pPr>
        <w:pStyle w:val="BodyText"/>
        <w:spacing w:before="1"/>
        <w:rPr>
          <w:sz w:val="18"/>
        </w:rPr>
      </w:pPr>
    </w:p>
    <w:p>
      <w:pPr>
        <w:pStyle w:val="BodyText"/>
        <w:spacing w:line="360" w:lineRule="auto"/>
        <w:ind w:left="893" w:right="946"/>
      </w:pPr>
      <w:r>
        <w:rPr/>
        <w:t>Having discussed highly persistent factors that might influence the outlook for years or decades, let me now shorten my horizon a little and discuss recent developments in the UK economy.</w:t>
      </w:r>
    </w:p>
    <w:p>
      <w:pPr>
        <w:pStyle w:val="BodyText"/>
        <w:spacing w:before="3"/>
        <w:rPr>
          <w:sz w:val="29"/>
        </w:rPr>
      </w:pPr>
      <w:r>
        <w:rPr/>
        <w:pict>
          <v:shape style="position:absolute;margin-left:56.664001pt;margin-top:19.060352pt;width:144.050pt;height:.1pt;mso-position-horizontal-relative:page;mso-position-vertical-relative:paragraph;z-index:-251649024;mso-wrap-distance-left:0;mso-wrap-distance-right:0" coordorigin="1133,381" coordsize="2881,0" path="m1133,381l4014,381e" filled="false" stroked="true" strokeweight=".47998pt" strokecolor="#000000">
            <v:path arrowok="t"/>
            <v:stroke dashstyle="solid"/>
            <w10:wrap type="topAndBottom"/>
          </v:shape>
        </w:pict>
      </w:r>
    </w:p>
    <w:p>
      <w:pPr>
        <w:spacing w:before="30"/>
        <w:ind w:left="893" w:right="1113" w:firstLine="0"/>
        <w:jc w:val="left"/>
        <w:rPr>
          <w:sz w:val="16"/>
        </w:rPr>
      </w:pPr>
      <w:r>
        <w:rPr>
          <w:position w:val="8"/>
          <w:sz w:val="10"/>
        </w:rPr>
        <w:t>18 </w:t>
      </w:r>
      <w:r>
        <w:rPr>
          <w:sz w:val="16"/>
        </w:rPr>
        <w:t>The natural rate of interest is the real interest rate that is consistent with an economy at full employment and with stable inflation. Curdia </w:t>
      </w:r>
      <w:r>
        <w:rPr>
          <w:i/>
          <w:sz w:val="16"/>
        </w:rPr>
        <w:t>et al </w:t>
      </w:r>
      <w:r>
        <w:rPr>
          <w:sz w:val="16"/>
        </w:rPr>
        <w:t>(2015) suggest this is a useful measure to assess the appropriate stance of monetary policy.</w:t>
      </w:r>
    </w:p>
    <w:p>
      <w:pPr>
        <w:spacing w:line="184" w:lineRule="exact" w:before="0"/>
        <w:ind w:left="893" w:right="0" w:firstLine="0"/>
        <w:jc w:val="left"/>
        <w:rPr>
          <w:sz w:val="16"/>
        </w:rPr>
      </w:pPr>
      <w:r>
        <w:rPr>
          <w:position w:val="8"/>
          <w:sz w:val="10"/>
        </w:rPr>
        <w:t>19 </w:t>
      </w:r>
      <w:r>
        <w:rPr>
          <w:sz w:val="16"/>
        </w:rPr>
        <w:t>A number of prominent economists (among them Ben Bernanke, Mike Woodford, Paul Krugman and Lars Svensson) argued forcibly</w:t>
      </w:r>
    </w:p>
    <w:p>
      <w:pPr>
        <w:spacing w:before="0"/>
        <w:ind w:left="893" w:right="955" w:firstLine="0"/>
        <w:jc w:val="left"/>
        <w:rPr>
          <w:sz w:val="16"/>
        </w:rPr>
      </w:pPr>
      <w:r>
        <w:rPr>
          <w:sz w:val="16"/>
        </w:rPr>
        <w:t>in the late 1990s early 2000s that Japan could have done more to avoid the persistent deflation since their experience at near zero interest rates started, including not responding to signs of increasing inflation prematurely. And it is the prevalent view in the economics profession that the magnitude of the real economy contraction during the Great Depression was partly due to monetary policy not being sufficiently accommodative (Ben Bernanke being a leading academic on the subject). The rapid and aggressive monetary policy easing in the recent crisis, including the use of unconventional monetary policy and forward guidance, reflects this view of monetary policy when constrained by the lower bound on nominal interest rates.</w:t>
      </w:r>
    </w:p>
    <w:p>
      <w:pPr>
        <w:spacing w:line="184" w:lineRule="exact" w:before="1"/>
        <w:ind w:left="893" w:right="907" w:firstLine="0"/>
        <w:jc w:val="left"/>
        <w:rPr>
          <w:sz w:val="16"/>
        </w:rPr>
      </w:pPr>
      <w:r>
        <w:rPr>
          <w:position w:val="8"/>
          <w:sz w:val="10"/>
        </w:rPr>
        <w:t>20</w:t>
      </w:r>
      <w:r>
        <w:rPr>
          <w:sz w:val="16"/>
        </w:rPr>
        <w:t>Orphanides and Wieland (2000), Evans </w:t>
      </w:r>
      <w:r>
        <w:rPr>
          <w:i/>
          <w:sz w:val="16"/>
        </w:rPr>
        <w:t>et al </w:t>
      </w:r>
      <w:r>
        <w:rPr>
          <w:sz w:val="16"/>
        </w:rPr>
        <w:t>(2015) and Gust </w:t>
      </w:r>
      <w:r>
        <w:rPr>
          <w:i/>
          <w:sz w:val="16"/>
        </w:rPr>
        <w:t>et al </w:t>
      </w:r>
      <w:r>
        <w:rPr>
          <w:sz w:val="16"/>
        </w:rPr>
        <w:t>(2015) have made the case for asymmetric optimal policy response induced by the presence of a lower bound on interest rates, leading to a delayed rate rise relative to an unconstrained counterfactual.</w:t>
      </w:r>
    </w:p>
    <w:p>
      <w:pPr>
        <w:spacing w:line="183" w:lineRule="exact" w:before="0"/>
        <w:ind w:left="893" w:right="0" w:firstLine="0"/>
        <w:jc w:val="left"/>
        <w:rPr>
          <w:sz w:val="16"/>
        </w:rPr>
      </w:pPr>
      <w:r>
        <w:rPr>
          <w:sz w:val="16"/>
        </w:rPr>
        <w:t>This effect has been highlighted in recent speeches by Janet Yellen (2015) and Lael Brainard (2015).</w:t>
      </w:r>
    </w:p>
    <w:p>
      <w:pPr>
        <w:spacing w:after="0" w:line="183" w:lineRule="exact"/>
        <w:jc w:val="left"/>
        <w:rPr>
          <w:sz w:val="16"/>
        </w:rPr>
        <w:sectPr>
          <w:footerReference w:type="default" r:id="rId15"/>
          <w:pgSz w:w="11910" w:h="16840"/>
          <w:pgMar w:footer="1334" w:header="0" w:top="1480" w:bottom="1520" w:left="240" w:right="240"/>
          <w:pgNumType w:start="10"/>
        </w:sectPr>
      </w:pPr>
    </w:p>
    <w:p>
      <w:pPr>
        <w:pStyle w:val="BodyText"/>
        <w:spacing w:line="360" w:lineRule="auto" w:before="79"/>
        <w:ind w:left="893" w:right="1068"/>
      </w:pPr>
      <w:r>
        <w:rPr/>
        <w:t>The UK recovery gained momentum in 2013, with year over year GDP growth rising from less than 1% to a local peak of around 3% in early 2014. Since then, growth has been slowing modestly to reach a pace of close to 2%.</w:t>
      </w:r>
    </w:p>
    <w:p>
      <w:pPr>
        <w:pStyle w:val="BodyText"/>
        <w:rPr>
          <w:sz w:val="30"/>
        </w:rPr>
      </w:pPr>
    </w:p>
    <w:p>
      <w:pPr>
        <w:pStyle w:val="BodyText"/>
        <w:spacing w:line="360" w:lineRule="auto"/>
        <w:ind w:left="893" w:right="1113"/>
      </w:pPr>
      <w:r>
        <w:rPr/>
        <w:t>Over the same period, the composition of global growth has changed, with advanced economy growth relatively stable but growth in emerging economies falling quite sharply, contributing to volatility in global financial markets. Oil prices have fallen sharply due to a combination of rising supply and easing global demand. The risk of a further slowing in emerging economy growth, and risk of spill-overs to advanced economy growth, is one of the key downside risks the MPC highlighted in its November Inflation Report.</w:t>
      </w:r>
    </w:p>
    <w:p>
      <w:pPr>
        <w:pStyle w:val="BodyText"/>
        <w:spacing w:before="10"/>
        <w:rPr>
          <w:sz w:val="29"/>
        </w:rPr>
      </w:pPr>
    </w:p>
    <w:p>
      <w:pPr>
        <w:pStyle w:val="BodyText"/>
        <w:spacing w:line="360" w:lineRule="auto"/>
        <w:ind w:left="893" w:right="887"/>
      </w:pPr>
      <w:r>
        <w:rPr/>
        <w:t>Domestically, growth has been supported by resilient private domestic demand in the face of headwinds from abroad as well as from on-going domestic fiscal consolidation. Since 2013, the unemployment rate in the UK has gone from falling rapidly initially, to falling more slowly, to just above 5% in the most recent data available.</w:t>
      </w:r>
    </w:p>
    <w:p>
      <w:pPr>
        <w:pStyle w:val="BodyText"/>
        <w:spacing w:before="2"/>
        <w:rPr>
          <w:sz w:val="30"/>
        </w:rPr>
      </w:pPr>
    </w:p>
    <w:p>
      <w:pPr>
        <w:pStyle w:val="BodyText"/>
        <w:spacing w:line="360" w:lineRule="auto"/>
        <w:ind w:left="893" w:right="946"/>
      </w:pPr>
      <w:r>
        <w:rPr/>
        <w:t>Headline CPI inflation has fallen from nearly 3% in 2013 to around zero for most of last year, well below the 2% target. Most of the deviation of inflation from target can be attributed to falls in the prices of food, energy and other imported goods, which in turn was due to the combined effect of sharply lower oil prices and a stronger exchange rate.</w:t>
      </w:r>
    </w:p>
    <w:p>
      <w:pPr>
        <w:pStyle w:val="BodyText"/>
        <w:spacing w:before="9"/>
        <w:rPr>
          <w:sz w:val="29"/>
        </w:rPr>
      </w:pPr>
    </w:p>
    <w:p>
      <w:pPr>
        <w:pStyle w:val="BodyText"/>
        <w:spacing w:before="1"/>
        <w:ind w:left="893"/>
      </w:pPr>
      <w:r>
        <w:rPr/>
        <w:t>Aside from headline CPI, other measures of inflation pressure have also been weak.</w:t>
      </w:r>
    </w:p>
    <w:p>
      <w:pPr>
        <w:pStyle w:val="BodyText"/>
        <w:rPr>
          <w:sz w:val="22"/>
        </w:rPr>
      </w:pPr>
    </w:p>
    <w:p>
      <w:pPr>
        <w:pStyle w:val="BodyText"/>
        <w:spacing w:before="1"/>
        <w:rPr>
          <w:sz w:val="18"/>
        </w:rPr>
      </w:pPr>
    </w:p>
    <w:p>
      <w:pPr>
        <w:pStyle w:val="BodyText"/>
        <w:spacing w:line="360" w:lineRule="auto"/>
        <w:ind w:left="893" w:right="946"/>
      </w:pPr>
      <w:r>
        <w:rPr/>
        <w:t>Core CPI inflation eased from above 2% in 2013 below 1% last summer, but has recovered somewhat since then.</w:t>
      </w:r>
    </w:p>
    <w:p>
      <w:pPr>
        <w:pStyle w:val="BodyText"/>
        <w:rPr>
          <w:sz w:val="30"/>
        </w:rPr>
      </w:pPr>
    </w:p>
    <w:p>
      <w:pPr>
        <w:pStyle w:val="BodyText"/>
        <w:spacing w:line="360" w:lineRule="auto"/>
        <w:ind w:left="893" w:right="946"/>
      </w:pPr>
      <w:r>
        <w:rPr/>
        <w:t>Household inflation expectations surveys have been slightly below their 15-year averages. And some surveys of companies’ inflation expectations, for which we do not have long data histories, have eased recently. As I mentioned earlier, an easing of inflation pressures carries an asymmetric risk, as it can generates its own persistence when monetary policy is close to its lower bound. Market measures of future inflation remain consistent with the target, and it is crucial that this is maintained.</w:t>
      </w:r>
    </w:p>
    <w:p>
      <w:pPr>
        <w:pStyle w:val="BodyText"/>
        <w:spacing w:before="10"/>
        <w:rPr>
          <w:sz w:val="29"/>
        </w:rPr>
      </w:pPr>
    </w:p>
    <w:p>
      <w:pPr>
        <w:pStyle w:val="BodyText"/>
        <w:spacing w:line="360" w:lineRule="auto"/>
        <w:ind w:left="893" w:right="878"/>
      </w:pPr>
      <w:r>
        <w:rPr/>
        <w:t>With the unemployment rate approaching the MPC’s estimate of long-run equilibrium of around 5%, we might have expected to see some signs of upward wage pressure, but my interpretation of a wide range of indicators related to pay is that upward wage pressures have been surprisingly absent so far.</w:t>
      </w:r>
    </w:p>
    <w:p>
      <w:pPr>
        <w:pStyle w:val="BodyText"/>
        <w:spacing w:before="1"/>
        <w:rPr>
          <w:sz w:val="30"/>
        </w:rPr>
      </w:pPr>
    </w:p>
    <w:p>
      <w:pPr>
        <w:pStyle w:val="BodyText"/>
        <w:spacing w:line="360" w:lineRule="auto"/>
        <w:ind w:left="893" w:right="1113"/>
      </w:pPr>
      <w:r>
        <w:rPr/>
        <w:t>The official data on average weekly earnings (AWE) showed some signs of acceleration in late 2014 and early 2015, but since then the upward momentum has stalled and even reversed partially. Regular private</w:t>
      </w:r>
    </w:p>
    <w:p>
      <w:pPr>
        <w:spacing w:after="0" w:line="360" w:lineRule="auto"/>
        <w:sectPr>
          <w:pgSz w:w="11910" w:h="16840"/>
          <w:pgMar w:header="0" w:footer="1334" w:top="1520" w:bottom="1520" w:left="240" w:right="240"/>
        </w:sectPr>
      </w:pPr>
    </w:p>
    <w:p>
      <w:pPr>
        <w:pStyle w:val="BodyText"/>
        <w:spacing w:line="360" w:lineRule="auto" w:before="79"/>
        <w:ind w:left="893" w:right="1034"/>
      </w:pPr>
      <w:r>
        <w:rPr/>
        <w:t>sector pay growth briefly rose to nearly 4%, but has since eased back to around 2%. Looking at a range of other pay-related indicators,</w:t>
      </w:r>
      <w:r>
        <w:rPr>
          <w:vertAlign w:val="superscript"/>
        </w:rPr>
        <w:t>21</w:t>
      </w:r>
      <w:r>
        <w:rPr>
          <w:vertAlign w:val="baseline"/>
        </w:rPr>
        <w:t> I do not see convincing evidence yet of upward momentum in pay pressures. With growth still slowing, and inflation pressures either easing outright or disappointing relative to forecasts, I do not believe the conditions are in place to warrant a rise in Bank Rate.</w:t>
      </w:r>
    </w:p>
    <w:p>
      <w:pPr>
        <w:pStyle w:val="BodyText"/>
        <w:spacing w:before="10"/>
        <w:rPr>
          <w:sz w:val="29"/>
        </w:rPr>
      </w:pPr>
    </w:p>
    <w:p>
      <w:pPr>
        <w:pStyle w:val="BodyText"/>
        <w:spacing w:line="360" w:lineRule="auto"/>
        <w:ind w:left="893" w:right="851"/>
      </w:pPr>
      <w:r>
        <w:rPr/>
        <w:t>Although I share the MPC’s November forecast of stabilising growth and gently rising inflation pressures to bring inflation back to its 2% target in around two years, we have been disappointed on both the growth and inflation front since November. I need to see further evidence that growth is indeed stabilising, and that a broad range of indicators relating to inflation, inflation expectations and pay growth are generally on an upward trajectory from their current low levels before being confident enough in the outlook to justify a rise in Bank Rate.</w:t>
      </w:r>
    </w:p>
    <w:p>
      <w:pPr>
        <w:pStyle w:val="BodyText"/>
        <w:rPr>
          <w:sz w:val="30"/>
        </w:rPr>
      </w:pPr>
    </w:p>
    <w:p>
      <w:pPr>
        <w:pStyle w:val="ListParagraph"/>
        <w:numPr>
          <w:ilvl w:val="0"/>
          <w:numId w:val="1"/>
        </w:numPr>
        <w:tabs>
          <w:tab w:pos="1973" w:val="left" w:leader="none"/>
          <w:tab w:pos="1974" w:val="left" w:leader="none"/>
        </w:tabs>
        <w:spacing w:line="240" w:lineRule="auto" w:before="0" w:after="0"/>
        <w:ind w:left="1973" w:right="0" w:hanging="721"/>
        <w:jc w:val="left"/>
        <w:rPr>
          <w:sz w:val="20"/>
        </w:rPr>
      </w:pPr>
      <w:r>
        <w:rPr>
          <w:sz w:val="20"/>
        </w:rPr>
        <w:t>Conclusion</w:t>
      </w:r>
    </w:p>
    <w:p>
      <w:pPr>
        <w:pStyle w:val="BodyText"/>
        <w:rPr>
          <w:sz w:val="22"/>
        </w:rPr>
      </w:pPr>
    </w:p>
    <w:p>
      <w:pPr>
        <w:pStyle w:val="BodyText"/>
        <w:spacing w:before="1"/>
        <w:rPr>
          <w:sz w:val="18"/>
        </w:rPr>
      </w:pPr>
    </w:p>
    <w:p>
      <w:pPr>
        <w:pStyle w:val="BodyText"/>
        <w:spacing w:line="360" w:lineRule="auto"/>
        <w:ind w:left="893" w:right="1113"/>
      </w:pPr>
      <w:r>
        <w:rPr/>
        <w:t>I have argued that changes in debt, demographics and the distribution of income (the 3 Ds) may have persistently altered the relationship between real interest rates and growth, over horizons of years or even decades.</w:t>
      </w:r>
    </w:p>
    <w:p>
      <w:pPr>
        <w:pStyle w:val="BodyText"/>
        <w:rPr>
          <w:sz w:val="30"/>
        </w:rPr>
      </w:pPr>
    </w:p>
    <w:p>
      <w:pPr>
        <w:pStyle w:val="BodyText"/>
        <w:spacing w:line="360" w:lineRule="auto"/>
        <w:ind w:left="893" w:right="946"/>
      </w:pPr>
      <w:r>
        <w:rPr/>
        <w:t>The economy may not revert to its pre-crisis average levels of growth and interest rates. But many of the models we use in policy analysis do revert to pre-crisis averages, because persistent effects from the 3D s are ruled out by design.</w:t>
      </w:r>
    </w:p>
    <w:p>
      <w:pPr>
        <w:pStyle w:val="BodyText"/>
        <w:rPr>
          <w:sz w:val="30"/>
        </w:rPr>
      </w:pPr>
    </w:p>
    <w:p>
      <w:pPr>
        <w:pStyle w:val="BodyText"/>
        <w:spacing w:line="360" w:lineRule="auto"/>
        <w:ind w:left="893" w:right="900"/>
      </w:pPr>
      <w:r>
        <w:rPr/>
        <w:t>For a given level of growth, real interest rates may remain significantly lower than in the past. The possibility of this scenario makes me more patient, other things equal, before raising rates. Moreover, at very low interest rates, policy cannot respond as effectively to bad news as it can to good news. That asymmetry also makes me more patient before raising rates.</w:t>
      </w:r>
    </w:p>
    <w:p>
      <w:pPr>
        <w:pStyle w:val="BodyText"/>
        <w:spacing w:before="11"/>
        <w:rPr>
          <w:sz w:val="29"/>
        </w:rPr>
      </w:pPr>
    </w:p>
    <w:p>
      <w:pPr>
        <w:pStyle w:val="BodyText"/>
        <w:spacing w:line="360" w:lineRule="auto"/>
        <w:ind w:left="893" w:right="966"/>
      </w:pPr>
      <w:r>
        <w:rPr/>
        <w:t>The recent evolution of the UK data has been one of growth that is still solid, but has been slowing. Inflation pressures remain muted across a wide range of indicators, despite low levels of unemployment. In order to be confident enough of the medium-term inflation outlook to raise Bank Rate, I would like to see evidence that growth is not slowing further, and that a broad range of indicators related to inflation are generally on an upward trajectory from their current low levels.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5"/>
        </w:rPr>
      </w:pPr>
      <w:r>
        <w:rPr/>
        <w:pict>
          <v:shape style="position:absolute;margin-left:56.664001pt;margin-top:11.05457pt;width:144.050pt;height:.1pt;mso-position-horizontal-relative:page;mso-position-vertical-relative:paragraph;z-index:-251648000;mso-wrap-distance-left:0;mso-wrap-distance-right:0" coordorigin="1133,221" coordsize="2881,0" path="m1133,221l4014,221e" filled="false" stroked="true" strokeweight=".48004pt" strokecolor="#000000">
            <v:path arrowok="t"/>
            <v:stroke dashstyle="solid"/>
            <w10:wrap type="topAndBottom"/>
          </v:shape>
        </w:pict>
      </w:r>
    </w:p>
    <w:p>
      <w:pPr>
        <w:spacing w:before="29"/>
        <w:ind w:left="893" w:right="0" w:firstLine="0"/>
        <w:jc w:val="left"/>
        <w:rPr>
          <w:sz w:val="16"/>
        </w:rPr>
      </w:pPr>
      <w:r>
        <w:rPr>
          <w:position w:val="8"/>
          <w:sz w:val="10"/>
        </w:rPr>
        <w:t>21 </w:t>
      </w:r>
      <w:r>
        <w:rPr>
          <w:sz w:val="16"/>
        </w:rPr>
        <w:t>BCC, CBI, REC, VOCA, Private Sector Settlements, CIPD, and the BoE Agents’ Survey.</w:t>
      </w:r>
    </w:p>
    <w:p>
      <w:pPr>
        <w:spacing w:after="0"/>
        <w:jc w:val="left"/>
        <w:rPr>
          <w:sz w:val="16"/>
        </w:rPr>
        <w:sectPr>
          <w:pgSz w:w="11910" w:h="16840"/>
          <w:pgMar w:header="0" w:footer="1334" w:top="1520" w:bottom="1520" w:left="240" w:right="240"/>
        </w:sectPr>
      </w:pPr>
    </w:p>
    <w:p>
      <w:pPr>
        <w:spacing w:before="79"/>
        <w:ind w:left="893" w:right="0" w:firstLine="0"/>
        <w:jc w:val="left"/>
        <w:rPr>
          <w:b/>
          <w:sz w:val="24"/>
        </w:rPr>
      </w:pPr>
      <w:r>
        <w:rPr>
          <w:b/>
          <w:sz w:val="24"/>
        </w:rPr>
        <w:t>References</w:t>
      </w:r>
    </w:p>
    <w:p>
      <w:pPr>
        <w:pStyle w:val="BodyText"/>
        <w:spacing w:before="10"/>
        <w:rPr>
          <w:b/>
          <w:sz w:val="35"/>
        </w:rPr>
      </w:pPr>
    </w:p>
    <w:p>
      <w:pPr>
        <w:pStyle w:val="BodyText"/>
        <w:ind w:left="893" w:right="946"/>
      </w:pPr>
      <w:r>
        <w:rPr/>
        <w:t>Abel, A. (2003)."The Effects of a Baby Boom on Stock Prices and Capital Accumulation in the Presence of Social Security", </w:t>
      </w:r>
      <w:r>
        <w:rPr>
          <w:i/>
        </w:rPr>
        <w:t>Econometrica</w:t>
      </w:r>
      <w:r>
        <w:rPr/>
        <w:t>, 551-578.</w:t>
      </w:r>
    </w:p>
    <w:p>
      <w:pPr>
        <w:pStyle w:val="BodyText"/>
        <w:spacing w:before="5"/>
      </w:pPr>
    </w:p>
    <w:p>
      <w:pPr>
        <w:spacing w:line="235" w:lineRule="auto" w:before="0"/>
        <w:ind w:left="893" w:right="1113" w:firstLine="0"/>
        <w:jc w:val="left"/>
        <w:rPr>
          <w:sz w:val="20"/>
        </w:rPr>
      </w:pPr>
      <w:r>
        <w:rPr>
          <w:sz w:val="20"/>
        </w:rPr>
        <w:t>Abel, A. (2001). "Will Bequests Attenuate the Predicted Meltdown in Stock Prices When Baby Boomers Retire?", </w:t>
      </w:r>
      <w:r>
        <w:rPr>
          <w:i/>
          <w:sz w:val="20"/>
        </w:rPr>
        <w:t>Review of Economics and Statistics</w:t>
      </w:r>
      <w:r>
        <w:rPr>
          <w:sz w:val="20"/>
        </w:rPr>
        <w:t>, 589-595.</w:t>
      </w:r>
    </w:p>
    <w:p>
      <w:pPr>
        <w:pStyle w:val="BodyText"/>
        <w:spacing w:before="4"/>
      </w:pPr>
    </w:p>
    <w:p>
      <w:pPr>
        <w:pStyle w:val="BodyText"/>
        <w:spacing w:before="1"/>
        <w:ind w:left="893"/>
      </w:pPr>
      <w:r>
        <w:rPr/>
        <w:t>Auclert, A. (2015). “Monetary Policy and the Redistribution Channel”, working paper Princeton University.</w:t>
      </w:r>
    </w:p>
    <w:p>
      <w:pPr>
        <w:pStyle w:val="BodyText"/>
      </w:pPr>
    </w:p>
    <w:p>
      <w:pPr>
        <w:pStyle w:val="BodyText"/>
        <w:ind w:left="893"/>
      </w:pPr>
      <w:r>
        <w:rPr/>
        <w:t>Auclert, A. and M. Rognlie (2015). “Inequality and Aggregate Demand”, working paper Princeton University.</w:t>
      </w:r>
    </w:p>
    <w:p>
      <w:pPr>
        <w:pStyle w:val="BodyText"/>
        <w:spacing w:before="10"/>
        <w:rPr>
          <w:sz w:val="19"/>
        </w:rPr>
      </w:pPr>
    </w:p>
    <w:p>
      <w:pPr>
        <w:pStyle w:val="BodyText"/>
        <w:ind w:left="893" w:right="967"/>
      </w:pPr>
      <w:r>
        <w:rPr/>
        <w:t>Bean, C., C. Broda, T. Ito and R. Krozner (2015). “Low for Long? Causes and Consequences of Persistently Low Interest Rates”, Geneva Reports on the World Economy 17, Centre for Economic Policy Research.</w:t>
      </w:r>
    </w:p>
    <w:p>
      <w:pPr>
        <w:pStyle w:val="BodyText"/>
        <w:spacing w:before="1"/>
      </w:pPr>
    </w:p>
    <w:p>
      <w:pPr>
        <w:pStyle w:val="BodyText"/>
        <w:spacing w:before="1"/>
        <w:ind w:left="893" w:right="1512"/>
      </w:pPr>
      <w:r>
        <w:rPr/>
        <w:t>Benigno, P., G. Eggertsson and F. Romei (2014). “Dynamic Debt Deleveraging and Optimal Monetary Policy”, NBER working paper 20556.</w:t>
      </w:r>
    </w:p>
    <w:p>
      <w:pPr>
        <w:pStyle w:val="BodyText"/>
        <w:spacing w:before="8"/>
        <w:rPr>
          <w:sz w:val="19"/>
        </w:rPr>
      </w:pPr>
    </w:p>
    <w:p>
      <w:pPr>
        <w:pStyle w:val="BodyText"/>
        <w:ind w:left="893" w:right="1012"/>
      </w:pPr>
      <w:r>
        <w:rPr/>
        <w:t>Benigno, P. and L. Ricci (2011). “The Inflation-Output Trade-Off with Downward Wage Rigidities”, </w:t>
      </w:r>
      <w:r>
        <w:rPr>
          <w:i/>
        </w:rPr>
        <w:t>American </w:t>
      </w:r>
      <w:r>
        <w:rPr>
          <w:i/>
        </w:rPr>
        <w:t>Economic Review</w:t>
      </w:r>
      <w:r>
        <w:rPr/>
        <w:t>, 1436-66.</w:t>
      </w:r>
    </w:p>
    <w:p>
      <w:pPr>
        <w:pStyle w:val="BodyText"/>
        <w:spacing w:before="4"/>
      </w:pPr>
    </w:p>
    <w:p>
      <w:pPr>
        <w:pStyle w:val="BodyText"/>
        <w:ind w:left="893" w:right="1478"/>
      </w:pPr>
      <w:r>
        <w:rPr/>
        <w:t>Best, M., J. Cloyne, E. Ilzetzki and H. Kleven (2015), “Interest rates, debt and intertemporal allocation: evidence from notched mortgage contracts in the United Kingdom”, BoE Staff Working Paper no 543. Brainard, L. (2015). “Normalizing Monetary Policy When the Neutral Interest Rate Is Low”, speech at Stanford Institute for Economic Policy Research, 1 December.</w:t>
      </w:r>
    </w:p>
    <w:p>
      <w:pPr>
        <w:pStyle w:val="BodyText"/>
        <w:spacing w:before="8"/>
        <w:rPr>
          <w:sz w:val="19"/>
        </w:rPr>
      </w:pPr>
    </w:p>
    <w:p>
      <w:pPr>
        <w:pStyle w:val="BodyText"/>
        <w:spacing w:before="1"/>
        <w:ind w:left="893" w:right="1357"/>
      </w:pPr>
      <w:r>
        <w:rPr/>
        <w:t>Brunnermeier, M. and Y. Sannikov (2014). “A Macroeconomic Model with a Financial Sector”, </w:t>
      </w:r>
      <w:r>
        <w:rPr>
          <w:i/>
        </w:rPr>
        <w:t>American </w:t>
      </w:r>
      <w:r>
        <w:rPr>
          <w:i/>
        </w:rPr>
        <w:t>Economic Review</w:t>
      </w:r>
      <w:r>
        <w:rPr/>
        <w:t>, 379-42.</w:t>
      </w:r>
    </w:p>
    <w:p>
      <w:pPr>
        <w:pStyle w:val="BodyText"/>
        <w:spacing w:before="1"/>
      </w:pPr>
    </w:p>
    <w:p>
      <w:pPr>
        <w:pStyle w:val="BodyText"/>
        <w:ind w:left="893" w:right="1113"/>
      </w:pPr>
      <w:r>
        <w:rPr/>
        <w:t>Bunn, P. and M. Rostom (2015). “Household debt and spending in the United Kingdom”, Bank of England Staff Working Paper No. 554.</w:t>
      </w:r>
    </w:p>
    <w:p>
      <w:pPr>
        <w:pStyle w:val="BodyText"/>
        <w:spacing w:before="1"/>
      </w:pPr>
    </w:p>
    <w:p>
      <w:pPr>
        <w:spacing w:before="0"/>
        <w:ind w:left="893" w:right="1546" w:firstLine="0"/>
        <w:jc w:val="left"/>
        <w:rPr>
          <w:sz w:val="20"/>
        </w:rPr>
      </w:pPr>
      <w:r>
        <w:rPr>
          <w:sz w:val="20"/>
        </w:rPr>
        <w:t>Caballero, R. (2010). “Macroeconomics after the Crisis: Time to Deal with the Pretense-of-Knowledge Syndrome”, </w:t>
      </w:r>
      <w:r>
        <w:rPr>
          <w:i/>
          <w:sz w:val="20"/>
        </w:rPr>
        <w:t>Journal of Economic Perspectives</w:t>
      </w:r>
      <w:r>
        <w:rPr>
          <w:sz w:val="20"/>
        </w:rPr>
        <w:t>, 85-102.</w:t>
      </w:r>
    </w:p>
    <w:p>
      <w:pPr>
        <w:pStyle w:val="BodyText"/>
        <w:ind w:left="893" w:right="1235"/>
      </w:pPr>
      <w:r>
        <w:rPr/>
        <w:t>Carvalho, C. and A. Ferrero (2014). “What Explains Japan’s Persistent Deflation?”, working paper Oxford University.</w:t>
      </w:r>
    </w:p>
    <w:p>
      <w:pPr>
        <w:pStyle w:val="BodyText"/>
      </w:pPr>
    </w:p>
    <w:p>
      <w:pPr>
        <w:pStyle w:val="BodyText"/>
        <w:ind w:left="893" w:right="901"/>
      </w:pPr>
      <w:r>
        <w:rPr/>
        <w:t>Carvalho, C., A. Ferrero and F. Necchio (2015). “Demographics and Real Rates: Inspecting the Mechanism”, working paper, Oxford University.</w:t>
      </w:r>
    </w:p>
    <w:p>
      <w:pPr>
        <w:pStyle w:val="BodyText"/>
        <w:spacing w:before="8"/>
        <w:rPr>
          <w:sz w:val="19"/>
        </w:rPr>
      </w:pPr>
    </w:p>
    <w:p>
      <w:pPr>
        <w:pStyle w:val="BodyText"/>
        <w:ind w:left="893" w:right="1379"/>
      </w:pPr>
      <w:r>
        <w:rPr/>
        <w:t>Cloyne, J. and P. Surico (2016). “Household Debt and the Dynamic Effects of Tax Changes”, </w:t>
      </w:r>
      <w:r>
        <w:rPr>
          <w:i/>
        </w:rPr>
        <w:t>Review of </w:t>
      </w:r>
      <w:r>
        <w:rPr>
          <w:i/>
        </w:rPr>
        <w:t>Economic Studies</w:t>
      </w:r>
      <w:r>
        <w:rPr/>
        <w:t>, forthcoming.</w:t>
      </w:r>
    </w:p>
    <w:p>
      <w:pPr>
        <w:pStyle w:val="BodyText"/>
        <w:spacing w:before="4"/>
      </w:pPr>
    </w:p>
    <w:p>
      <w:pPr>
        <w:pStyle w:val="BodyText"/>
        <w:ind w:left="893" w:right="934"/>
      </w:pPr>
      <w:r>
        <w:rPr/>
        <w:t>Cloyne, J., C. Ferreira and P. Surico (2015). “Monetary policy when households have debt: new evidence on the transmission mechanism”, CEPR Discussion Paper.</w:t>
      </w:r>
    </w:p>
    <w:p>
      <w:pPr>
        <w:pStyle w:val="BodyText"/>
        <w:spacing w:before="10"/>
        <w:rPr>
          <w:sz w:val="19"/>
        </w:rPr>
      </w:pPr>
    </w:p>
    <w:p>
      <w:pPr>
        <w:pStyle w:val="BodyText"/>
        <w:ind w:left="893" w:right="1478"/>
      </w:pPr>
      <w:r>
        <w:rPr/>
        <w:t>Curdia, V. (2015). “Why So Slow? A Gradual Return for Interest Rates”, FRBSF Economic Letter, 13 October.</w:t>
      </w:r>
    </w:p>
    <w:p>
      <w:pPr>
        <w:pStyle w:val="BodyText"/>
        <w:spacing w:before="2"/>
      </w:pPr>
    </w:p>
    <w:p>
      <w:pPr>
        <w:pStyle w:val="BodyText"/>
        <w:ind w:left="893" w:right="1502"/>
      </w:pPr>
      <w:r>
        <w:rPr/>
        <w:t>Curdia, V., A. Ferrero, G. Ng and A. Tambalotti (2015). “Has US Monetary Policy Tracked the Efficient Interest Rate?”, </w:t>
      </w:r>
      <w:r>
        <w:rPr>
          <w:i/>
        </w:rPr>
        <w:t>Journal of Monetary Economics</w:t>
      </w:r>
      <w:r>
        <w:rPr/>
        <w:t>, 72-83.</w:t>
      </w:r>
    </w:p>
    <w:p>
      <w:pPr>
        <w:pStyle w:val="BodyText"/>
        <w:spacing w:before="10"/>
        <w:rPr>
          <w:sz w:val="19"/>
        </w:rPr>
      </w:pPr>
    </w:p>
    <w:p>
      <w:pPr>
        <w:pStyle w:val="BodyText"/>
        <w:ind w:left="893" w:right="1113"/>
      </w:pPr>
      <w:r>
        <w:rPr/>
        <w:t>Eggertsson, G. and P. Krugman (2012). “Debt, Deleveraging, and the Liquidity Trap”, Quarterly Journal of Economics, 1469-1513.</w:t>
      </w:r>
    </w:p>
    <w:p>
      <w:pPr>
        <w:pStyle w:val="BodyText"/>
        <w:spacing w:before="1"/>
      </w:pPr>
    </w:p>
    <w:p>
      <w:pPr>
        <w:pStyle w:val="BodyText"/>
        <w:spacing w:before="1"/>
        <w:ind w:left="893"/>
      </w:pPr>
      <w:r>
        <w:rPr/>
        <w:t>Eggertsson, G. and N. Mehrotra (2014). “A Model of Secular Stagnation”, NBER working paper 20574.</w:t>
      </w:r>
    </w:p>
    <w:p>
      <w:pPr>
        <w:spacing w:after="0"/>
        <w:sectPr>
          <w:pgSz w:w="11910" w:h="16840"/>
          <w:pgMar w:header="0" w:footer="1334" w:top="1520" w:bottom="1520" w:left="240" w:right="240"/>
        </w:sectPr>
      </w:pPr>
    </w:p>
    <w:p>
      <w:pPr>
        <w:pStyle w:val="BodyText"/>
        <w:spacing w:before="79"/>
        <w:ind w:left="893" w:right="1113"/>
      </w:pPr>
      <w:r>
        <w:rPr/>
        <w:t>Evans, C., J. Fisher, F. Guorio and S. Kane (2015). “Risk Management for Monetary Policy Near the Zero Lower Bound”, BPEA Conference Draft, March 19–20.</w:t>
      </w:r>
    </w:p>
    <w:p>
      <w:pPr>
        <w:pStyle w:val="BodyText"/>
        <w:spacing w:before="8"/>
        <w:rPr>
          <w:sz w:val="19"/>
        </w:rPr>
      </w:pPr>
    </w:p>
    <w:p>
      <w:pPr>
        <w:spacing w:before="0"/>
        <w:ind w:left="893" w:right="1346" w:firstLine="0"/>
        <w:jc w:val="left"/>
        <w:rPr>
          <w:sz w:val="20"/>
        </w:rPr>
      </w:pPr>
      <w:r>
        <w:rPr>
          <w:sz w:val="20"/>
        </w:rPr>
        <w:t>Daly, M. and B. Hobijn (2014). “Downward Nominal Wage Rigidities Bend the Phillips Curve,” </w:t>
      </w:r>
      <w:r>
        <w:rPr>
          <w:i/>
          <w:sz w:val="20"/>
        </w:rPr>
        <w:t>Journal of </w:t>
      </w:r>
      <w:r>
        <w:rPr>
          <w:i/>
          <w:sz w:val="20"/>
        </w:rPr>
        <w:t>Money, Credit and Banking</w:t>
      </w:r>
      <w:r>
        <w:rPr>
          <w:sz w:val="20"/>
        </w:rPr>
        <w:t>, 51-93.</w:t>
      </w:r>
    </w:p>
    <w:p>
      <w:pPr>
        <w:pStyle w:val="BodyText"/>
        <w:spacing w:before="1"/>
      </w:pPr>
    </w:p>
    <w:p>
      <w:pPr>
        <w:spacing w:before="0"/>
        <w:ind w:left="893" w:right="0" w:firstLine="0"/>
        <w:jc w:val="left"/>
        <w:rPr>
          <w:sz w:val="20"/>
        </w:rPr>
      </w:pPr>
      <w:r>
        <w:rPr>
          <w:sz w:val="20"/>
        </w:rPr>
        <w:t>Dynan, K., J. Skinner and S. Zeldes (2004). “Do the Rich save more?”, </w:t>
      </w:r>
      <w:r>
        <w:rPr>
          <w:i/>
          <w:sz w:val="20"/>
        </w:rPr>
        <w:t>Journal of Political Economy</w:t>
      </w:r>
      <w:r>
        <w:rPr>
          <w:sz w:val="20"/>
        </w:rPr>
        <w:t>.</w:t>
      </w:r>
    </w:p>
    <w:p>
      <w:pPr>
        <w:pStyle w:val="BodyText"/>
        <w:spacing w:before="1"/>
      </w:pPr>
    </w:p>
    <w:p>
      <w:pPr>
        <w:pStyle w:val="BodyText"/>
        <w:ind w:left="893" w:right="851"/>
      </w:pPr>
      <w:r>
        <w:rPr/>
        <w:t>Fallick, B., M. Lettau and W. Wascher (2016). “Downward Nominal Wage Rigidity in the United States during and after the Great Recession”, Federal Reserve Bank of Cleveland Working Paper, no.16-02.</w:t>
      </w:r>
    </w:p>
    <w:p>
      <w:pPr>
        <w:pStyle w:val="BodyText"/>
        <w:spacing w:before="10"/>
        <w:rPr>
          <w:sz w:val="19"/>
        </w:rPr>
      </w:pPr>
    </w:p>
    <w:p>
      <w:pPr>
        <w:pStyle w:val="BodyText"/>
        <w:ind w:left="893"/>
      </w:pPr>
      <w:r>
        <w:rPr/>
        <w:t>Fisher, I. (1933). “The Debt-Deflation Theory of Great Depressions”, </w:t>
      </w:r>
      <w:r>
        <w:rPr>
          <w:i/>
        </w:rPr>
        <w:t>Econometrica</w:t>
      </w:r>
      <w:r>
        <w:rPr/>
        <w:t>, 337-357.</w:t>
      </w:r>
    </w:p>
    <w:p>
      <w:pPr>
        <w:pStyle w:val="BodyText"/>
        <w:spacing w:before="1"/>
      </w:pPr>
    </w:p>
    <w:p>
      <w:pPr>
        <w:spacing w:before="0"/>
        <w:ind w:left="893" w:right="1113" w:firstLine="0"/>
        <w:jc w:val="left"/>
        <w:rPr>
          <w:sz w:val="20"/>
        </w:rPr>
      </w:pPr>
      <w:r>
        <w:rPr>
          <w:sz w:val="20"/>
        </w:rPr>
        <w:t>Geanakoplos, J., M. Magill and M. Quinzii (2004). "Demography and the Long Run Behavior of the Stock Market", </w:t>
      </w:r>
      <w:r>
        <w:rPr>
          <w:i/>
          <w:sz w:val="20"/>
        </w:rPr>
        <w:t>Brookings Papers on Economic Activities</w:t>
      </w:r>
      <w:r>
        <w:rPr>
          <w:sz w:val="20"/>
        </w:rPr>
        <w:t>, 241-325.</w:t>
      </w:r>
    </w:p>
    <w:p>
      <w:pPr>
        <w:pStyle w:val="BodyText"/>
        <w:spacing w:before="1"/>
      </w:pPr>
    </w:p>
    <w:p>
      <w:pPr>
        <w:pStyle w:val="BodyText"/>
        <w:ind w:left="893" w:right="1946"/>
      </w:pPr>
      <w:r>
        <w:rPr/>
        <w:t>Guerrieri, V. and G. Lorenzoni (2015). “Credit Crises, Precautionary Savings, and Liquidity Trap”, unpublished working paper, Northwestern University.</w:t>
      </w:r>
    </w:p>
    <w:p>
      <w:pPr>
        <w:pStyle w:val="BodyText"/>
      </w:pPr>
    </w:p>
    <w:p>
      <w:pPr>
        <w:pStyle w:val="BodyText"/>
        <w:ind w:left="893" w:right="900"/>
      </w:pPr>
      <w:r>
        <w:rPr/>
        <w:t>Gust, C., B. Johannsen, and D. Lopez-Salido (2015). “Monetary Policy, Incomplete Information, and the Zero Lower Bound,” Finance and Economics Discussion Series 2015-099, Board of Governors of the Federal Reserve System.</w:t>
      </w:r>
    </w:p>
    <w:p>
      <w:pPr>
        <w:pStyle w:val="BodyText"/>
        <w:spacing w:before="10"/>
        <w:rPr>
          <w:sz w:val="19"/>
        </w:rPr>
      </w:pPr>
    </w:p>
    <w:p>
      <w:pPr>
        <w:spacing w:before="1"/>
        <w:ind w:left="893" w:right="1057" w:firstLine="0"/>
        <w:jc w:val="left"/>
        <w:rPr>
          <w:sz w:val="20"/>
        </w:rPr>
      </w:pPr>
      <w:r>
        <w:rPr>
          <w:sz w:val="20"/>
        </w:rPr>
        <w:t>Hansen, A. (1939). “Economic Progress and Declining Population Growth”, </w:t>
      </w:r>
      <w:r>
        <w:rPr>
          <w:i/>
          <w:sz w:val="20"/>
        </w:rPr>
        <w:t>American Economic Review</w:t>
      </w:r>
      <w:r>
        <w:rPr>
          <w:sz w:val="20"/>
        </w:rPr>
        <w:t>, 1- 15.</w:t>
      </w:r>
    </w:p>
    <w:p>
      <w:pPr>
        <w:pStyle w:val="BodyText"/>
        <w:spacing w:before="1"/>
      </w:pPr>
    </w:p>
    <w:p>
      <w:pPr>
        <w:pStyle w:val="BodyText"/>
        <w:ind w:left="893" w:right="1113"/>
      </w:pPr>
      <w:r>
        <w:rPr/>
        <w:t>International Monetary Fund (2012), ‘Dealing with household debt’, World Economic Outlook, Chapter 3. Jorda, O., M. Schularick and A.Taylor (2013). "When credit bites back", </w:t>
      </w:r>
      <w:r>
        <w:rPr>
          <w:i/>
        </w:rPr>
        <w:t>Journal of Money, Credit, and </w:t>
      </w:r>
      <w:r>
        <w:rPr>
          <w:i/>
        </w:rPr>
        <w:t>Banking</w:t>
      </w:r>
      <w:r>
        <w:rPr/>
        <w:t>, 3-28.</w:t>
      </w:r>
    </w:p>
    <w:p>
      <w:pPr>
        <w:pStyle w:val="BodyText"/>
        <w:spacing w:before="10"/>
        <w:rPr>
          <w:sz w:val="19"/>
        </w:rPr>
      </w:pPr>
    </w:p>
    <w:p>
      <w:pPr>
        <w:pStyle w:val="BodyText"/>
        <w:spacing w:before="1"/>
        <w:ind w:left="893" w:right="1512"/>
      </w:pPr>
      <w:r>
        <w:rPr/>
        <w:t>Juselius, M. and M. Drehmann (2015). “Leverage dynamics and the real burden of debt”, BIS Working Papers No 501.</w:t>
      </w:r>
    </w:p>
    <w:p>
      <w:pPr>
        <w:pStyle w:val="BodyText"/>
        <w:spacing w:before="1"/>
      </w:pPr>
    </w:p>
    <w:p>
      <w:pPr>
        <w:pStyle w:val="BodyText"/>
        <w:ind w:left="893" w:right="1401"/>
      </w:pPr>
      <w:r>
        <w:rPr/>
        <w:t>Kaplan, G., B. Moll and G. Violante (2016). “Monetary Policy According to HANK”, unpublished working paper Princeton University</w:t>
      </w:r>
    </w:p>
    <w:p>
      <w:pPr>
        <w:pStyle w:val="BodyText"/>
        <w:spacing w:before="8"/>
        <w:rPr>
          <w:sz w:val="19"/>
        </w:rPr>
      </w:pPr>
    </w:p>
    <w:p>
      <w:pPr>
        <w:pStyle w:val="BodyText"/>
        <w:ind w:left="893" w:right="1168"/>
        <w:rPr>
          <w:i/>
        </w:rPr>
      </w:pPr>
      <w:r>
        <w:rPr/>
        <w:t>Keynes, J. (1937). “Some economic consequences of a declining population”, </w:t>
      </w:r>
      <w:r>
        <w:rPr>
          <w:i/>
        </w:rPr>
        <w:t>Eugenics Review</w:t>
      </w:r>
      <w:r>
        <w:rPr/>
        <w:t>, 13–17. Korinek, A. (2015). “Thoughts on DSGE Macroeconomics: Matching the Moment, But Missing the Point?”, paper prepared for the 2015 Conference “A Just Society” honoring Joseph Stiglitz’s 50 years of teaching. Korinek, A. and A. Simsek (2015), "Liquidity Trap and Excessive Leverage," </w:t>
      </w:r>
      <w:r>
        <w:rPr>
          <w:i/>
        </w:rPr>
        <w:t>American Economic Review, </w:t>
      </w:r>
      <w:r>
        <w:rPr>
          <w:i/>
        </w:rPr>
        <w:t>forthcoming.</w:t>
      </w:r>
    </w:p>
    <w:p>
      <w:pPr>
        <w:pStyle w:val="BodyText"/>
        <w:spacing w:before="3"/>
        <w:rPr>
          <w:i/>
        </w:rPr>
      </w:pPr>
    </w:p>
    <w:p>
      <w:pPr>
        <w:pStyle w:val="BodyText"/>
        <w:ind w:left="893" w:right="1634"/>
      </w:pPr>
      <w:r>
        <w:rPr/>
        <w:t>Kumhof, M., and R. Rancière (2010). “Inequality, Leverage and Crises”, International Monetary Fund Working Paper 10/268.</w:t>
      </w:r>
    </w:p>
    <w:p>
      <w:pPr>
        <w:pStyle w:val="BodyText"/>
        <w:spacing w:before="10"/>
        <w:rPr>
          <w:sz w:val="19"/>
        </w:rPr>
      </w:pPr>
    </w:p>
    <w:p>
      <w:pPr>
        <w:spacing w:before="0"/>
        <w:ind w:left="893" w:right="1034" w:firstLine="0"/>
        <w:jc w:val="left"/>
        <w:rPr>
          <w:sz w:val="20"/>
        </w:rPr>
      </w:pPr>
      <w:r>
        <w:rPr>
          <w:sz w:val="20"/>
        </w:rPr>
        <w:t>Mankiw, G. and D. Weil (1989). “The baby boom, the baby bust and the housing market”, </w:t>
      </w:r>
      <w:r>
        <w:rPr>
          <w:i/>
          <w:sz w:val="20"/>
        </w:rPr>
        <w:t>Regional Science </w:t>
      </w:r>
      <w:r>
        <w:rPr>
          <w:i/>
          <w:sz w:val="20"/>
        </w:rPr>
        <w:t>and Urban Economics</w:t>
      </w:r>
      <w:r>
        <w:rPr>
          <w:sz w:val="20"/>
        </w:rPr>
        <w:t>, 235-258.</w:t>
      </w:r>
    </w:p>
    <w:p>
      <w:pPr>
        <w:pStyle w:val="BodyText"/>
        <w:spacing w:before="1"/>
      </w:pPr>
    </w:p>
    <w:p>
      <w:pPr>
        <w:pStyle w:val="BodyText"/>
        <w:ind w:left="893" w:right="1113"/>
      </w:pPr>
      <w:r>
        <w:rPr/>
        <w:t>Mian, A. and A. Sufi (2009). “The Consequences of Mortgage Credit Expansion: Evidence from the US Mortgage Default Crisis”, Quarterly Journal of Economics, 124:1449-1496.</w:t>
      </w:r>
    </w:p>
    <w:p>
      <w:pPr>
        <w:pStyle w:val="BodyText"/>
      </w:pPr>
    </w:p>
    <w:p>
      <w:pPr>
        <w:pStyle w:val="BodyText"/>
        <w:ind w:left="893" w:right="1478"/>
      </w:pPr>
      <w:r>
        <w:rPr/>
        <w:t>Mian, A. and A. Sufi (2010). “Household Leverage and the Recession of 2007 to 2009”, </w:t>
      </w:r>
      <w:r>
        <w:rPr>
          <w:i/>
        </w:rPr>
        <w:t>IMF Economic </w:t>
      </w:r>
      <w:r>
        <w:rPr>
          <w:i/>
        </w:rPr>
        <w:t>Review</w:t>
      </w:r>
      <w:r>
        <w:rPr/>
        <w:t>, June.</w:t>
      </w:r>
    </w:p>
    <w:p>
      <w:pPr>
        <w:pStyle w:val="BodyText"/>
        <w:spacing w:before="1"/>
      </w:pPr>
    </w:p>
    <w:p>
      <w:pPr>
        <w:pStyle w:val="BodyText"/>
        <w:ind w:left="893" w:right="889"/>
      </w:pPr>
      <w:r>
        <w:rPr/>
        <w:t>Mian, A. and A. Sufi (2011). “House Prices, Home Equity-Based Borrowing, and the US Household Leverage Crisis”, </w:t>
      </w:r>
      <w:r>
        <w:rPr>
          <w:i/>
        </w:rPr>
        <w:t>American Economic Review</w:t>
      </w:r>
      <w:r>
        <w:rPr/>
        <w:t>, 2132-2156.</w:t>
      </w:r>
    </w:p>
    <w:p>
      <w:pPr>
        <w:spacing w:after="0"/>
        <w:sectPr>
          <w:pgSz w:w="11910" w:h="16840"/>
          <w:pgMar w:header="0" w:footer="1334" w:top="1520" w:bottom="1520" w:left="240" w:right="240"/>
        </w:sectPr>
      </w:pPr>
    </w:p>
    <w:p>
      <w:pPr>
        <w:pStyle w:val="BodyText"/>
        <w:spacing w:before="76"/>
        <w:ind w:left="893" w:right="991"/>
      </w:pPr>
      <w:r>
        <w:rPr/>
        <w:t>Mian, A., A. Sufi and F. Trebbi (2010). “The Political Economy of the US Mortgage Default Crisis”, </w:t>
      </w:r>
      <w:r>
        <w:rPr>
          <w:i/>
        </w:rPr>
        <w:t>American </w:t>
      </w:r>
      <w:r>
        <w:rPr>
          <w:i/>
        </w:rPr>
        <w:t>Economic Review</w:t>
      </w:r>
      <w:r>
        <w:rPr/>
        <w:t>, 1967–98</w:t>
      </w:r>
    </w:p>
    <w:p>
      <w:pPr>
        <w:pStyle w:val="BodyText"/>
        <w:spacing w:before="2"/>
      </w:pPr>
    </w:p>
    <w:p>
      <w:pPr>
        <w:spacing w:before="0"/>
        <w:ind w:left="893" w:right="946" w:firstLine="0"/>
        <w:jc w:val="left"/>
        <w:rPr>
          <w:sz w:val="20"/>
        </w:rPr>
      </w:pPr>
      <w:r>
        <w:rPr>
          <w:sz w:val="20"/>
        </w:rPr>
        <w:t>Mian, A., A. Sufi and F. Trebbi (2014 ). “Resolving Debt Overhang: Political Constraints in the Aftermath of Financial Crises”, </w:t>
      </w:r>
      <w:r>
        <w:rPr>
          <w:i/>
          <w:sz w:val="20"/>
        </w:rPr>
        <w:t>American Economic Journal: Macroeconomics</w:t>
      </w:r>
      <w:r>
        <w:rPr>
          <w:sz w:val="20"/>
        </w:rPr>
        <w:t>, 1–28</w:t>
      </w:r>
    </w:p>
    <w:p>
      <w:pPr>
        <w:pStyle w:val="BodyText"/>
        <w:spacing w:before="1"/>
      </w:pPr>
    </w:p>
    <w:p>
      <w:pPr>
        <w:pStyle w:val="BodyText"/>
        <w:ind w:left="893" w:right="1113"/>
      </w:pPr>
      <w:r>
        <w:rPr/>
        <w:t>Mian, A., A. Sufi and E. Verner (2015). “Household debt and business cycles worldwide”, NBER working paper 21581</w:t>
      </w:r>
    </w:p>
    <w:p>
      <w:pPr>
        <w:pStyle w:val="BodyText"/>
        <w:spacing w:before="8"/>
        <w:rPr>
          <w:sz w:val="19"/>
        </w:rPr>
      </w:pPr>
    </w:p>
    <w:p>
      <w:pPr>
        <w:spacing w:before="0"/>
        <w:ind w:left="893" w:right="979" w:firstLine="0"/>
        <w:jc w:val="left"/>
        <w:rPr>
          <w:sz w:val="20"/>
        </w:rPr>
      </w:pPr>
      <w:r>
        <w:rPr>
          <w:sz w:val="20"/>
        </w:rPr>
        <w:t>Orphanides, A. and V. Wieland (2000). “Efficient Monetary Policy Design near Price Stability”, </w:t>
      </w:r>
      <w:r>
        <w:rPr>
          <w:i/>
          <w:sz w:val="20"/>
        </w:rPr>
        <w:t>Journal of the </w:t>
      </w:r>
      <w:r>
        <w:rPr>
          <w:i/>
          <w:sz w:val="20"/>
        </w:rPr>
        <w:t>Japanese and International Economies</w:t>
      </w:r>
      <w:r>
        <w:rPr>
          <w:sz w:val="20"/>
        </w:rPr>
        <w:t>, 327-365.</w:t>
      </w:r>
    </w:p>
    <w:p>
      <w:pPr>
        <w:pStyle w:val="BodyText"/>
        <w:spacing w:before="10"/>
        <w:rPr>
          <w:sz w:val="19"/>
        </w:rPr>
      </w:pPr>
    </w:p>
    <w:p>
      <w:pPr>
        <w:spacing w:before="0"/>
        <w:ind w:left="893" w:right="0" w:firstLine="0"/>
        <w:jc w:val="left"/>
        <w:rPr>
          <w:sz w:val="20"/>
        </w:rPr>
      </w:pPr>
      <w:r>
        <w:rPr>
          <w:sz w:val="20"/>
        </w:rPr>
        <w:t>Piketty, T. (2014). </w:t>
      </w:r>
      <w:r>
        <w:rPr>
          <w:i/>
          <w:sz w:val="20"/>
        </w:rPr>
        <w:t>Capital in the 21st Century</w:t>
      </w:r>
      <w:r>
        <w:rPr>
          <w:sz w:val="20"/>
        </w:rPr>
        <w:t>, Harvard University Press.</w:t>
      </w:r>
    </w:p>
    <w:p>
      <w:pPr>
        <w:pStyle w:val="BodyText"/>
        <w:spacing w:before="3"/>
      </w:pPr>
    </w:p>
    <w:p>
      <w:pPr>
        <w:pStyle w:val="BodyText"/>
        <w:spacing w:before="1"/>
        <w:ind w:left="893" w:right="1523"/>
      </w:pPr>
      <w:r>
        <w:rPr/>
        <w:t>Rachel, L. and T. Smith (2015). “Secular drivers of the global real interest rate”, Bank of England Staff Working Paper No. 571.</w:t>
      </w:r>
    </w:p>
    <w:p>
      <w:pPr>
        <w:pStyle w:val="BodyText"/>
        <w:spacing w:before="10"/>
        <w:rPr>
          <w:sz w:val="19"/>
        </w:rPr>
      </w:pPr>
    </w:p>
    <w:p>
      <w:pPr>
        <w:spacing w:before="1"/>
        <w:ind w:left="893" w:right="1768" w:firstLine="0"/>
        <w:jc w:val="left"/>
        <w:rPr>
          <w:sz w:val="20"/>
        </w:rPr>
      </w:pPr>
      <w:r>
        <w:rPr>
          <w:sz w:val="20"/>
        </w:rPr>
        <w:t>Reinhart, C. and K. Rogoff. (2009). </w:t>
      </w:r>
      <w:r>
        <w:rPr>
          <w:i/>
          <w:sz w:val="20"/>
        </w:rPr>
        <w:t>This time is different: Eight centuries of financial folly</w:t>
      </w:r>
      <w:r>
        <w:rPr>
          <w:sz w:val="20"/>
        </w:rPr>
        <w:t>, Princeton University Press</w:t>
      </w:r>
    </w:p>
    <w:p>
      <w:pPr>
        <w:pStyle w:val="BodyText"/>
        <w:spacing w:before="1"/>
      </w:pPr>
    </w:p>
    <w:p>
      <w:pPr>
        <w:pStyle w:val="BodyText"/>
        <w:ind w:left="893" w:right="1203"/>
      </w:pPr>
      <w:r>
        <w:rPr/>
        <w:t>Rognlie, M., A. Shleifer, and A. Simsek (2015). "Investment Overhang and the Great Recession", working paper MIT.</w:t>
      </w:r>
    </w:p>
    <w:p>
      <w:pPr>
        <w:pStyle w:val="BodyText"/>
        <w:spacing w:before="5"/>
      </w:pPr>
    </w:p>
    <w:p>
      <w:pPr>
        <w:pStyle w:val="BodyText"/>
        <w:spacing w:line="235" w:lineRule="auto"/>
        <w:ind w:left="893" w:right="1413"/>
      </w:pPr>
      <w:r>
        <w:rPr/>
        <w:t>Schularick, M. and A. Taylor (2012). “Credit Booms Gone Bust: Monetary Policy, Leverage Cycles, and Financial Crises, 1870–2008”, </w:t>
      </w:r>
      <w:r>
        <w:rPr>
          <w:i/>
        </w:rPr>
        <w:t>American Economic Review</w:t>
      </w:r>
      <w:r>
        <w:rPr/>
        <w:t>, 1029-61.</w:t>
      </w:r>
    </w:p>
    <w:p>
      <w:pPr>
        <w:pStyle w:val="BodyText"/>
        <w:spacing w:line="229" w:lineRule="exact" w:before="4"/>
        <w:ind w:left="893"/>
      </w:pPr>
      <w:r>
        <w:rPr/>
        <w:t>Summers, L (2014), “U.S. Economic Prospects: Secular Stagnation, Hysteresis, and the Zero Lower Bound”,</w:t>
      </w:r>
    </w:p>
    <w:p>
      <w:pPr>
        <w:spacing w:line="229" w:lineRule="exact" w:before="0"/>
        <w:ind w:left="893" w:right="0" w:firstLine="0"/>
        <w:jc w:val="left"/>
        <w:rPr>
          <w:sz w:val="20"/>
        </w:rPr>
      </w:pPr>
      <w:r>
        <w:rPr>
          <w:i/>
          <w:sz w:val="20"/>
        </w:rPr>
        <w:t>Business Economics </w:t>
      </w:r>
      <w:r>
        <w:rPr>
          <w:sz w:val="20"/>
        </w:rPr>
        <w:t>49(2).</w:t>
      </w:r>
    </w:p>
    <w:p>
      <w:pPr>
        <w:pStyle w:val="BodyText"/>
      </w:pPr>
    </w:p>
    <w:p>
      <w:pPr>
        <w:spacing w:line="242" w:lineRule="auto" w:before="1"/>
        <w:ind w:left="893" w:right="1434" w:firstLine="0"/>
        <w:jc w:val="left"/>
        <w:rPr>
          <w:sz w:val="20"/>
        </w:rPr>
      </w:pPr>
      <w:r>
        <w:rPr>
          <w:sz w:val="20"/>
        </w:rPr>
        <w:t>Teulings, C and R. Baldwin (2014)</w:t>
      </w:r>
      <w:r>
        <w:rPr>
          <w:i/>
          <w:sz w:val="20"/>
        </w:rPr>
        <w:t>. Secular Stagnation: Facts, Causes, and Cures</w:t>
      </w:r>
      <w:r>
        <w:rPr>
          <w:sz w:val="20"/>
        </w:rPr>
        <w:t>, VoxEU.org eBook , CEPR Press.</w:t>
      </w:r>
    </w:p>
    <w:p>
      <w:pPr>
        <w:pStyle w:val="BodyText"/>
        <w:spacing w:before="7"/>
        <w:rPr>
          <w:sz w:val="19"/>
        </w:rPr>
      </w:pPr>
    </w:p>
    <w:p>
      <w:pPr>
        <w:pStyle w:val="BodyText"/>
        <w:spacing w:before="1"/>
        <w:ind w:left="893" w:right="1924"/>
      </w:pPr>
      <w:r>
        <w:rPr/>
        <w:t>Yellen, J. (2015). “The Economic Outlook and Monetary Policy”, speech at The Economic Club of Washington, 2 December.</w:t>
      </w:r>
    </w:p>
    <w:p>
      <w:pPr>
        <w:spacing w:after="0"/>
        <w:sectPr>
          <w:pgSz w:w="11910" w:h="16840"/>
          <w:pgMar w:header="0" w:footer="1334" w:top="1520" w:bottom="1520" w:left="240" w:right="240"/>
        </w:sectPr>
      </w:pPr>
    </w:p>
    <w:tbl>
      <w:tblPr>
        <w:tblW w:w="0" w:type="auto"/>
        <w:jc w:val="left"/>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3"/>
        <w:gridCol w:w="2152"/>
        <w:gridCol w:w="746"/>
        <w:gridCol w:w="520"/>
        <w:gridCol w:w="2201"/>
      </w:tblGrid>
      <w:tr>
        <w:trPr>
          <w:trHeight w:val="614" w:hRule="atLeast"/>
        </w:trPr>
        <w:tc>
          <w:tcPr>
            <w:tcW w:w="5543" w:type="dxa"/>
          </w:tcPr>
          <w:p>
            <w:pPr>
              <w:pStyle w:val="TableParagraph"/>
              <w:spacing w:line="242" w:lineRule="auto" w:before="115"/>
              <w:ind w:left="107" w:right="314"/>
              <w:rPr>
                <w:sz w:val="20"/>
              </w:rPr>
            </w:pPr>
            <w:r>
              <w:rPr>
                <w:b/>
                <w:sz w:val="20"/>
              </w:rPr>
              <w:t>Figure 1: </w:t>
            </w:r>
            <w:r>
              <w:rPr>
                <w:sz w:val="20"/>
              </w:rPr>
              <w:t>Household Consumption During Recessions by Indebtedness (years from start of recession)</w:t>
            </w:r>
          </w:p>
        </w:tc>
        <w:tc>
          <w:tcPr>
            <w:tcW w:w="5619" w:type="dxa"/>
            <w:gridSpan w:val="4"/>
          </w:tcPr>
          <w:p>
            <w:pPr>
              <w:pStyle w:val="TableParagraph"/>
              <w:spacing w:before="115"/>
              <w:ind w:left="107"/>
              <w:rPr>
                <w:sz w:val="20"/>
              </w:rPr>
            </w:pPr>
            <w:r>
              <w:rPr>
                <w:b/>
                <w:sz w:val="20"/>
              </w:rPr>
              <w:t>Figure 2: </w:t>
            </w:r>
            <w:r>
              <w:rPr>
                <w:sz w:val="20"/>
              </w:rPr>
              <w:t>Total Private Non-Financial Sector Debt to GDP</w:t>
            </w:r>
          </w:p>
        </w:tc>
      </w:tr>
      <w:tr>
        <w:trPr>
          <w:trHeight w:val="362" w:hRule="atLeast"/>
        </w:trPr>
        <w:tc>
          <w:tcPr>
            <w:tcW w:w="5543" w:type="dxa"/>
            <w:vMerge w:val="restart"/>
          </w:tcPr>
          <w:p>
            <w:pPr>
              <w:pStyle w:val="TableParagraph"/>
              <w:tabs>
                <w:tab w:pos="5107" w:val="left" w:leader="none"/>
              </w:tabs>
              <w:spacing w:line="156" w:lineRule="auto" w:before="120"/>
              <w:ind w:left="4055"/>
              <w:rPr>
                <w:sz w:val="16"/>
              </w:rPr>
            </w:pPr>
            <w:r>
              <w:rPr>
                <w:b/>
                <w:sz w:val="16"/>
              </w:rPr>
              <w:t>cumulative</w:t>
              <w:tab/>
            </w:r>
            <w:r>
              <w:rPr>
                <w:position w:val="-6"/>
                <w:sz w:val="16"/>
              </w:rPr>
              <w:t>2</w:t>
            </w:r>
          </w:p>
          <w:p>
            <w:pPr>
              <w:pStyle w:val="TableParagraph"/>
              <w:spacing w:line="148" w:lineRule="exact"/>
              <w:ind w:left="4101"/>
              <w:rPr>
                <w:b/>
                <w:sz w:val="16"/>
              </w:rPr>
            </w:pPr>
            <w:r>
              <w:rPr>
                <w:b/>
                <w:sz w:val="16"/>
              </w:rPr>
              <w:t>% change</w:t>
            </w:r>
          </w:p>
          <w:p>
            <w:pPr>
              <w:pStyle w:val="TableParagraph"/>
              <w:spacing w:before="10"/>
              <w:rPr>
                <w:sz w:val="14"/>
              </w:rPr>
            </w:pPr>
          </w:p>
          <w:p>
            <w:pPr>
              <w:pStyle w:val="TableParagraph"/>
              <w:ind w:left="5108"/>
              <w:rPr>
                <w:sz w:val="16"/>
              </w:rPr>
            </w:pPr>
            <w:r>
              <w:rPr>
                <w:w w:val="100"/>
                <w:sz w:val="16"/>
              </w:rPr>
              <w:t>0</w:t>
            </w:r>
          </w:p>
          <w:p>
            <w:pPr>
              <w:pStyle w:val="TableParagraph"/>
              <w:rPr>
                <w:sz w:val="25"/>
              </w:rPr>
            </w:pPr>
          </w:p>
          <w:p>
            <w:pPr>
              <w:pStyle w:val="TableParagraph"/>
              <w:ind w:left="5108"/>
              <w:rPr>
                <w:sz w:val="16"/>
              </w:rPr>
            </w:pPr>
            <w:r>
              <w:rPr>
                <w:sz w:val="16"/>
              </w:rPr>
              <w:t>-2</w:t>
            </w:r>
          </w:p>
          <w:p>
            <w:pPr>
              <w:pStyle w:val="TableParagraph"/>
              <w:spacing w:before="1"/>
              <w:rPr>
                <w:sz w:val="25"/>
              </w:rPr>
            </w:pPr>
          </w:p>
          <w:p>
            <w:pPr>
              <w:pStyle w:val="TableParagraph"/>
              <w:ind w:left="5108"/>
              <w:rPr>
                <w:sz w:val="16"/>
              </w:rPr>
            </w:pPr>
            <w:r>
              <w:rPr>
                <w:sz w:val="16"/>
              </w:rPr>
              <w:t>-4</w:t>
            </w:r>
          </w:p>
          <w:p>
            <w:pPr>
              <w:pStyle w:val="TableParagraph"/>
              <w:rPr>
                <w:sz w:val="25"/>
              </w:rPr>
            </w:pPr>
          </w:p>
          <w:p>
            <w:pPr>
              <w:pStyle w:val="TableParagraph"/>
              <w:ind w:left="5108"/>
              <w:rPr>
                <w:sz w:val="16"/>
              </w:rPr>
            </w:pPr>
            <w:r>
              <w:rPr>
                <w:sz w:val="16"/>
              </w:rPr>
              <w:t>-6</w:t>
            </w:r>
          </w:p>
          <w:p>
            <w:pPr>
              <w:pStyle w:val="TableParagraph"/>
              <w:spacing w:before="5"/>
              <w:rPr>
                <w:sz w:val="15"/>
              </w:rPr>
            </w:pPr>
          </w:p>
          <w:p>
            <w:pPr>
              <w:pStyle w:val="TableParagraph"/>
              <w:tabs>
                <w:tab w:pos="5107" w:val="left" w:leader="none"/>
              </w:tabs>
              <w:spacing w:line="184" w:lineRule="auto"/>
              <w:ind w:left="972"/>
              <w:rPr>
                <w:sz w:val="16"/>
              </w:rPr>
            </w:pPr>
            <w:r>
              <w:rPr>
                <w:sz w:val="16"/>
              </w:rPr>
              <w:t>High-debt</w:t>
            </w:r>
            <w:r>
              <w:rPr>
                <w:spacing w:val="-3"/>
                <w:sz w:val="16"/>
              </w:rPr>
              <w:t> </w:t>
            </w:r>
            <w:r>
              <w:rPr>
                <w:sz w:val="16"/>
              </w:rPr>
              <w:t>recessions</w:t>
              <w:tab/>
            </w:r>
            <w:r>
              <w:rPr>
                <w:position w:val="-11"/>
                <w:sz w:val="16"/>
              </w:rPr>
              <w:t>-8</w:t>
            </w:r>
          </w:p>
          <w:p>
            <w:pPr>
              <w:pStyle w:val="TableParagraph"/>
              <w:spacing w:line="150" w:lineRule="exact"/>
              <w:ind w:left="972"/>
              <w:rPr>
                <w:sz w:val="16"/>
              </w:rPr>
            </w:pPr>
            <w:r>
              <w:rPr>
                <w:sz w:val="16"/>
              </w:rPr>
              <w:t>Low-debt recessions</w:t>
            </w:r>
          </w:p>
          <w:p>
            <w:pPr>
              <w:pStyle w:val="TableParagraph"/>
              <w:spacing w:before="8"/>
              <w:rPr>
                <w:sz w:val="14"/>
              </w:rPr>
            </w:pPr>
          </w:p>
          <w:p>
            <w:pPr>
              <w:pStyle w:val="TableParagraph"/>
              <w:ind w:left="5108"/>
              <w:rPr>
                <w:sz w:val="16"/>
              </w:rPr>
            </w:pPr>
            <w:r>
              <w:rPr>
                <w:sz w:val="16"/>
              </w:rPr>
              <w:t>-10</w:t>
            </w:r>
          </w:p>
          <w:p>
            <w:pPr>
              <w:pStyle w:val="TableParagraph"/>
              <w:tabs>
                <w:tab w:pos="1168" w:val="left" w:leader="none"/>
                <w:tab w:pos="2107" w:val="left" w:leader="none"/>
                <w:tab w:pos="3046" w:val="left" w:leader="none"/>
                <w:tab w:pos="3986" w:val="left" w:leader="none"/>
                <w:tab w:pos="4925" w:val="left" w:leader="none"/>
              </w:tabs>
              <w:spacing w:before="7"/>
              <w:ind w:left="228"/>
              <w:rPr>
                <w:sz w:val="16"/>
              </w:rPr>
            </w:pPr>
            <w:r>
              <w:rPr>
                <w:sz w:val="16"/>
              </w:rPr>
              <w:t>0</w:t>
              <w:tab/>
              <w:t>1</w:t>
              <w:tab/>
              <w:t>2</w:t>
              <w:tab/>
              <w:t>3</w:t>
              <w:tab/>
              <w:t>4</w:t>
              <w:tab/>
              <w:t>5</w:t>
            </w:r>
          </w:p>
        </w:tc>
        <w:tc>
          <w:tcPr>
            <w:tcW w:w="2152" w:type="dxa"/>
            <w:tcBorders>
              <w:bottom w:val="nil"/>
              <w:right w:val="nil"/>
            </w:tcBorders>
          </w:tcPr>
          <w:p>
            <w:pPr>
              <w:pStyle w:val="TableParagraph"/>
              <w:spacing w:before="124"/>
              <w:ind w:left="801"/>
              <w:rPr>
                <w:sz w:val="16"/>
              </w:rPr>
            </w:pPr>
            <w:r>
              <w:rPr>
                <w:sz w:val="16"/>
              </w:rPr>
              <w:t>United Kingdom</w:t>
            </w:r>
          </w:p>
        </w:tc>
        <w:tc>
          <w:tcPr>
            <w:tcW w:w="746" w:type="dxa"/>
            <w:tcBorders>
              <w:left w:val="nil"/>
              <w:bottom w:val="nil"/>
              <w:right w:val="nil"/>
            </w:tcBorders>
          </w:tcPr>
          <w:p>
            <w:pPr>
              <w:pStyle w:val="TableParagraph"/>
              <w:rPr>
                <w:rFonts w:ascii="Times New Roman"/>
                <w:sz w:val="16"/>
              </w:rPr>
            </w:pPr>
          </w:p>
        </w:tc>
        <w:tc>
          <w:tcPr>
            <w:tcW w:w="520" w:type="dxa"/>
            <w:tcBorders>
              <w:left w:val="nil"/>
              <w:bottom w:val="nil"/>
              <w:right w:val="nil"/>
            </w:tcBorders>
          </w:tcPr>
          <w:p>
            <w:pPr>
              <w:pStyle w:val="TableParagraph"/>
              <w:rPr>
                <w:rFonts w:ascii="Times New Roman"/>
                <w:sz w:val="16"/>
              </w:rPr>
            </w:pPr>
          </w:p>
        </w:tc>
        <w:tc>
          <w:tcPr>
            <w:tcW w:w="2201" w:type="dxa"/>
            <w:tcBorders>
              <w:left w:val="nil"/>
              <w:bottom w:val="nil"/>
            </w:tcBorders>
          </w:tcPr>
          <w:p>
            <w:pPr>
              <w:pStyle w:val="TableParagraph"/>
              <w:spacing w:before="7"/>
              <w:rPr>
                <w:sz w:val="14"/>
              </w:rPr>
            </w:pPr>
          </w:p>
          <w:p>
            <w:pPr>
              <w:pStyle w:val="TableParagraph"/>
              <w:tabs>
                <w:tab w:pos="850" w:val="left" w:leader="none"/>
              </w:tabs>
              <w:spacing w:line="174" w:lineRule="exact"/>
              <w:ind w:right="144"/>
              <w:jc w:val="right"/>
              <w:rPr>
                <w:sz w:val="16"/>
              </w:rPr>
            </w:pPr>
            <w:r>
              <w:rPr>
                <w:b/>
                <w:sz w:val="16"/>
              </w:rPr>
              <w:t>%</w:t>
            </w:r>
            <w:r>
              <w:rPr>
                <w:b/>
                <w:spacing w:val="-1"/>
                <w:sz w:val="16"/>
              </w:rPr>
              <w:t> </w:t>
            </w:r>
            <w:r>
              <w:rPr>
                <w:b/>
                <w:sz w:val="16"/>
              </w:rPr>
              <w:t>GDP</w:t>
              <w:tab/>
            </w:r>
            <w:r>
              <w:rPr>
                <w:spacing w:val="-1"/>
                <w:sz w:val="16"/>
              </w:rPr>
              <w:t>215</w:t>
            </w:r>
          </w:p>
        </w:tc>
      </w:tr>
      <w:tr>
        <w:trPr>
          <w:trHeight w:val="228" w:hRule="atLeast"/>
        </w:trPr>
        <w:tc>
          <w:tcPr>
            <w:tcW w:w="5543" w:type="dxa"/>
            <w:vMerge/>
            <w:tcBorders>
              <w:top w:val="nil"/>
            </w:tcBorders>
          </w:tcPr>
          <w:p>
            <w:pPr>
              <w:rPr>
                <w:sz w:val="2"/>
                <w:szCs w:val="2"/>
              </w:rPr>
            </w:pPr>
          </w:p>
        </w:tc>
        <w:tc>
          <w:tcPr>
            <w:tcW w:w="2152" w:type="dxa"/>
            <w:tcBorders>
              <w:top w:val="nil"/>
              <w:bottom w:val="nil"/>
              <w:right w:val="nil"/>
            </w:tcBorders>
          </w:tcPr>
          <w:p>
            <w:pPr>
              <w:pStyle w:val="TableParagraph"/>
              <w:tabs>
                <w:tab w:pos="798" w:val="left" w:leader="none"/>
              </w:tabs>
              <w:spacing w:before="20"/>
              <w:ind w:left="375"/>
              <w:rPr>
                <w:sz w:val="16"/>
              </w:rPr>
            </w:pPr>
            <w:r>
              <w:rPr>
                <w:b/>
                <w:w w:val="100"/>
                <w:position w:val="12"/>
                <w:sz w:val="16"/>
                <w:u w:val="thick" w:color="1F487C"/>
              </w:rPr>
              <w:t> </w:t>
            </w:r>
            <w:r>
              <w:rPr>
                <w:b/>
                <w:position w:val="12"/>
                <w:sz w:val="16"/>
                <w:u w:val="thick" w:color="1F487C"/>
              </w:rPr>
              <w:tab/>
            </w:r>
            <w:r>
              <w:rPr>
                <w:sz w:val="16"/>
              </w:rPr>
              <w:t>United</w:t>
            </w:r>
            <w:r>
              <w:rPr>
                <w:spacing w:val="-3"/>
                <w:sz w:val="16"/>
              </w:rPr>
              <w:t> </w:t>
            </w:r>
            <w:r>
              <w:rPr>
                <w:sz w:val="16"/>
              </w:rPr>
              <w:t>States</w:t>
            </w:r>
          </w:p>
        </w:tc>
        <w:tc>
          <w:tcPr>
            <w:tcW w:w="746" w:type="dxa"/>
            <w:tcBorders>
              <w:top w:val="nil"/>
              <w:left w:val="nil"/>
              <w:bottom w:val="nil"/>
              <w:right w:val="nil"/>
            </w:tcBorders>
          </w:tcPr>
          <w:p>
            <w:pPr>
              <w:pStyle w:val="TableParagraph"/>
              <w:rPr>
                <w:rFonts w:ascii="Times New Roman"/>
                <w:sz w:val="16"/>
              </w:rPr>
            </w:pPr>
          </w:p>
        </w:tc>
        <w:tc>
          <w:tcPr>
            <w:tcW w:w="520" w:type="dxa"/>
            <w:tcBorders>
              <w:top w:val="nil"/>
              <w:left w:val="nil"/>
              <w:bottom w:val="nil"/>
              <w:right w:val="nil"/>
            </w:tcBorders>
          </w:tcPr>
          <w:p>
            <w:pPr>
              <w:pStyle w:val="TableParagraph"/>
              <w:rPr>
                <w:rFonts w:ascii="Times New Roman"/>
                <w:sz w:val="16"/>
              </w:rPr>
            </w:pPr>
          </w:p>
        </w:tc>
        <w:tc>
          <w:tcPr>
            <w:tcW w:w="2201" w:type="dxa"/>
            <w:tcBorders>
              <w:top w:val="nil"/>
              <w:left w:val="nil"/>
              <w:bottom w:val="nil"/>
            </w:tcBorders>
          </w:tcPr>
          <w:p>
            <w:pPr>
              <w:pStyle w:val="TableParagraph"/>
              <w:rPr>
                <w:rFonts w:ascii="Times New Roman"/>
                <w:sz w:val="16"/>
              </w:rPr>
            </w:pPr>
          </w:p>
        </w:tc>
      </w:tr>
      <w:tr>
        <w:trPr>
          <w:trHeight w:val="273" w:hRule="atLeast"/>
        </w:trPr>
        <w:tc>
          <w:tcPr>
            <w:tcW w:w="5543" w:type="dxa"/>
            <w:vMerge/>
            <w:tcBorders>
              <w:top w:val="nil"/>
            </w:tcBorders>
          </w:tcPr>
          <w:p>
            <w:pPr>
              <w:rPr>
                <w:sz w:val="2"/>
                <w:szCs w:val="2"/>
              </w:rPr>
            </w:pPr>
          </w:p>
        </w:tc>
        <w:tc>
          <w:tcPr>
            <w:tcW w:w="2152" w:type="dxa"/>
            <w:tcBorders>
              <w:top w:val="nil"/>
              <w:bottom w:val="nil"/>
              <w:right w:val="nil"/>
            </w:tcBorders>
          </w:tcPr>
          <w:p>
            <w:pPr>
              <w:pStyle w:val="TableParagraph"/>
              <w:tabs>
                <w:tab w:pos="798" w:val="left" w:leader="none"/>
              </w:tabs>
              <w:spacing w:before="50"/>
              <w:ind w:left="375"/>
              <w:rPr>
                <w:sz w:val="16"/>
              </w:rPr>
            </w:pPr>
            <w:r>
              <w:rPr>
                <w:w w:val="100"/>
                <w:position w:val="3"/>
                <w:sz w:val="16"/>
                <w:u w:val="thick" w:color="9DC3E6"/>
              </w:rPr>
              <w:t> </w:t>
            </w:r>
            <w:r>
              <w:rPr>
                <w:position w:val="3"/>
                <w:sz w:val="16"/>
                <w:u w:val="thick" w:color="9DC3E6"/>
              </w:rPr>
              <w:tab/>
            </w:r>
            <w:r>
              <w:rPr>
                <w:sz w:val="16"/>
              </w:rPr>
              <w:t>Euro</w:t>
            </w:r>
            <w:r>
              <w:rPr>
                <w:spacing w:val="-2"/>
                <w:sz w:val="16"/>
              </w:rPr>
              <w:t> </w:t>
            </w:r>
            <w:r>
              <w:rPr>
                <w:sz w:val="16"/>
              </w:rPr>
              <w:t>area</w:t>
            </w:r>
          </w:p>
        </w:tc>
        <w:tc>
          <w:tcPr>
            <w:tcW w:w="746" w:type="dxa"/>
            <w:tcBorders>
              <w:top w:val="nil"/>
              <w:left w:val="nil"/>
              <w:bottom w:val="nil"/>
              <w:right w:val="nil"/>
            </w:tcBorders>
          </w:tcPr>
          <w:p>
            <w:pPr>
              <w:pStyle w:val="TableParagraph"/>
              <w:rPr>
                <w:rFonts w:ascii="Times New Roman"/>
                <w:sz w:val="16"/>
              </w:rPr>
            </w:pPr>
          </w:p>
        </w:tc>
        <w:tc>
          <w:tcPr>
            <w:tcW w:w="520" w:type="dxa"/>
            <w:tcBorders>
              <w:top w:val="nil"/>
              <w:left w:val="nil"/>
              <w:bottom w:val="nil"/>
              <w:right w:val="nil"/>
            </w:tcBorders>
          </w:tcPr>
          <w:p>
            <w:pPr>
              <w:pStyle w:val="TableParagraph"/>
              <w:rPr>
                <w:rFonts w:ascii="Times New Roman"/>
                <w:sz w:val="16"/>
              </w:rPr>
            </w:pPr>
          </w:p>
        </w:tc>
        <w:tc>
          <w:tcPr>
            <w:tcW w:w="2201" w:type="dxa"/>
            <w:tcBorders>
              <w:top w:val="nil"/>
              <w:left w:val="nil"/>
              <w:bottom w:val="nil"/>
            </w:tcBorders>
          </w:tcPr>
          <w:p>
            <w:pPr>
              <w:pStyle w:val="TableParagraph"/>
              <w:spacing w:line="146" w:lineRule="exact"/>
              <w:ind w:right="144"/>
              <w:jc w:val="right"/>
              <w:rPr>
                <w:sz w:val="16"/>
              </w:rPr>
            </w:pPr>
            <w:r>
              <w:rPr>
                <w:sz w:val="16"/>
              </w:rPr>
              <w:t>195</w:t>
            </w:r>
          </w:p>
        </w:tc>
      </w:tr>
      <w:tr>
        <w:trPr>
          <w:trHeight w:val="374" w:hRule="atLeast"/>
        </w:trPr>
        <w:tc>
          <w:tcPr>
            <w:tcW w:w="5543" w:type="dxa"/>
            <w:vMerge/>
            <w:tcBorders>
              <w:top w:val="nil"/>
            </w:tcBorders>
          </w:tcPr>
          <w:p>
            <w:pPr>
              <w:rPr>
                <w:sz w:val="2"/>
                <w:szCs w:val="2"/>
              </w:rPr>
            </w:pPr>
          </w:p>
        </w:tc>
        <w:tc>
          <w:tcPr>
            <w:tcW w:w="2152" w:type="dxa"/>
            <w:tcBorders>
              <w:top w:val="nil"/>
              <w:bottom w:val="nil"/>
              <w:right w:val="nil"/>
            </w:tcBorders>
          </w:tcPr>
          <w:p>
            <w:pPr>
              <w:pStyle w:val="TableParagraph"/>
              <w:spacing w:before="34"/>
              <w:ind w:left="782" w:right="905"/>
              <w:jc w:val="center"/>
              <w:rPr>
                <w:sz w:val="16"/>
              </w:rPr>
            </w:pPr>
            <w:r>
              <w:rPr>
                <w:sz w:val="16"/>
              </w:rPr>
              <w:t>China</w:t>
            </w:r>
          </w:p>
        </w:tc>
        <w:tc>
          <w:tcPr>
            <w:tcW w:w="746" w:type="dxa"/>
            <w:tcBorders>
              <w:top w:val="nil"/>
              <w:left w:val="nil"/>
              <w:bottom w:val="nil"/>
              <w:right w:val="nil"/>
            </w:tcBorders>
          </w:tcPr>
          <w:p>
            <w:pPr>
              <w:pStyle w:val="TableParagraph"/>
              <w:rPr>
                <w:rFonts w:ascii="Times New Roman"/>
                <w:sz w:val="16"/>
              </w:rPr>
            </w:pPr>
          </w:p>
        </w:tc>
        <w:tc>
          <w:tcPr>
            <w:tcW w:w="520" w:type="dxa"/>
            <w:tcBorders>
              <w:top w:val="nil"/>
              <w:left w:val="nil"/>
              <w:bottom w:val="nil"/>
              <w:right w:val="nil"/>
            </w:tcBorders>
          </w:tcPr>
          <w:p>
            <w:pPr>
              <w:pStyle w:val="TableParagraph"/>
              <w:rPr>
                <w:rFonts w:ascii="Times New Roman"/>
                <w:sz w:val="16"/>
              </w:rPr>
            </w:pPr>
          </w:p>
        </w:tc>
        <w:tc>
          <w:tcPr>
            <w:tcW w:w="2201" w:type="dxa"/>
            <w:tcBorders>
              <w:top w:val="nil"/>
              <w:left w:val="nil"/>
              <w:bottom w:val="nil"/>
            </w:tcBorders>
          </w:tcPr>
          <w:p>
            <w:pPr>
              <w:pStyle w:val="TableParagraph"/>
              <w:spacing w:before="83"/>
              <w:ind w:right="144"/>
              <w:jc w:val="right"/>
              <w:rPr>
                <w:sz w:val="16"/>
              </w:rPr>
            </w:pPr>
            <w:r>
              <w:rPr>
                <w:sz w:val="16"/>
              </w:rPr>
              <w:t>175</w:t>
            </w:r>
          </w:p>
        </w:tc>
      </w:tr>
      <w:tr>
        <w:trPr>
          <w:trHeight w:val="394" w:hRule="atLeast"/>
        </w:trPr>
        <w:tc>
          <w:tcPr>
            <w:tcW w:w="5543" w:type="dxa"/>
            <w:vMerge/>
            <w:tcBorders>
              <w:top w:val="nil"/>
            </w:tcBorders>
          </w:tcPr>
          <w:p>
            <w:pPr>
              <w:rPr>
                <w:sz w:val="2"/>
                <w:szCs w:val="2"/>
              </w:rPr>
            </w:pPr>
          </w:p>
        </w:tc>
        <w:tc>
          <w:tcPr>
            <w:tcW w:w="2152" w:type="dxa"/>
            <w:tcBorders>
              <w:top w:val="nil"/>
              <w:bottom w:val="nil"/>
              <w:right w:val="nil"/>
            </w:tcBorders>
          </w:tcPr>
          <w:p>
            <w:pPr>
              <w:pStyle w:val="TableParagraph"/>
              <w:rPr>
                <w:rFonts w:ascii="Times New Roman"/>
                <w:sz w:val="16"/>
              </w:rPr>
            </w:pPr>
          </w:p>
        </w:tc>
        <w:tc>
          <w:tcPr>
            <w:tcW w:w="746" w:type="dxa"/>
            <w:tcBorders>
              <w:top w:val="nil"/>
              <w:left w:val="nil"/>
              <w:bottom w:val="nil"/>
              <w:right w:val="nil"/>
            </w:tcBorders>
          </w:tcPr>
          <w:p>
            <w:pPr>
              <w:pStyle w:val="TableParagraph"/>
              <w:rPr>
                <w:rFonts w:ascii="Times New Roman"/>
                <w:sz w:val="16"/>
              </w:rPr>
            </w:pPr>
          </w:p>
        </w:tc>
        <w:tc>
          <w:tcPr>
            <w:tcW w:w="520" w:type="dxa"/>
            <w:tcBorders>
              <w:top w:val="nil"/>
              <w:left w:val="nil"/>
              <w:bottom w:val="nil"/>
              <w:right w:val="nil"/>
            </w:tcBorders>
          </w:tcPr>
          <w:p>
            <w:pPr>
              <w:pStyle w:val="TableParagraph"/>
              <w:rPr>
                <w:rFonts w:ascii="Times New Roman"/>
                <w:sz w:val="16"/>
              </w:rPr>
            </w:pPr>
          </w:p>
        </w:tc>
        <w:tc>
          <w:tcPr>
            <w:tcW w:w="2201" w:type="dxa"/>
            <w:tcBorders>
              <w:top w:val="nil"/>
              <w:left w:val="nil"/>
              <w:bottom w:val="nil"/>
            </w:tcBorders>
          </w:tcPr>
          <w:p>
            <w:pPr>
              <w:pStyle w:val="TableParagraph"/>
              <w:spacing w:before="102"/>
              <w:ind w:right="144"/>
              <w:jc w:val="right"/>
              <w:rPr>
                <w:sz w:val="16"/>
              </w:rPr>
            </w:pPr>
            <w:r>
              <w:rPr>
                <w:sz w:val="16"/>
              </w:rPr>
              <w:t>155</w:t>
            </w:r>
          </w:p>
        </w:tc>
      </w:tr>
      <w:tr>
        <w:trPr>
          <w:trHeight w:val="394" w:hRule="atLeast"/>
        </w:trPr>
        <w:tc>
          <w:tcPr>
            <w:tcW w:w="5543" w:type="dxa"/>
            <w:vMerge/>
            <w:tcBorders>
              <w:top w:val="nil"/>
            </w:tcBorders>
          </w:tcPr>
          <w:p>
            <w:pPr>
              <w:rPr>
                <w:sz w:val="2"/>
                <w:szCs w:val="2"/>
              </w:rPr>
            </w:pPr>
          </w:p>
        </w:tc>
        <w:tc>
          <w:tcPr>
            <w:tcW w:w="2152" w:type="dxa"/>
            <w:tcBorders>
              <w:top w:val="nil"/>
              <w:bottom w:val="nil"/>
              <w:right w:val="nil"/>
            </w:tcBorders>
          </w:tcPr>
          <w:p>
            <w:pPr>
              <w:pStyle w:val="TableParagraph"/>
              <w:rPr>
                <w:rFonts w:ascii="Times New Roman"/>
                <w:sz w:val="16"/>
              </w:rPr>
            </w:pPr>
          </w:p>
        </w:tc>
        <w:tc>
          <w:tcPr>
            <w:tcW w:w="746" w:type="dxa"/>
            <w:tcBorders>
              <w:top w:val="nil"/>
              <w:left w:val="nil"/>
              <w:bottom w:val="nil"/>
              <w:right w:val="nil"/>
            </w:tcBorders>
          </w:tcPr>
          <w:p>
            <w:pPr>
              <w:pStyle w:val="TableParagraph"/>
              <w:rPr>
                <w:rFonts w:ascii="Times New Roman"/>
                <w:sz w:val="16"/>
              </w:rPr>
            </w:pPr>
          </w:p>
        </w:tc>
        <w:tc>
          <w:tcPr>
            <w:tcW w:w="520" w:type="dxa"/>
            <w:tcBorders>
              <w:top w:val="nil"/>
              <w:left w:val="nil"/>
              <w:bottom w:val="nil"/>
              <w:right w:val="nil"/>
            </w:tcBorders>
          </w:tcPr>
          <w:p>
            <w:pPr>
              <w:pStyle w:val="TableParagraph"/>
              <w:rPr>
                <w:rFonts w:ascii="Times New Roman"/>
                <w:sz w:val="16"/>
              </w:rPr>
            </w:pPr>
          </w:p>
        </w:tc>
        <w:tc>
          <w:tcPr>
            <w:tcW w:w="2201" w:type="dxa"/>
            <w:tcBorders>
              <w:top w:val="nil"/>
              <w:left w:val="nil"/>
              <w:bottom w:val="nil"/>
            </w:tcBorders>
          </w:tcPr>
          <w:p>
            <w:pPr>
              <w:pStyle w:val="TableParagraph"/>
              <w:spacing w:before="103"/>
              <w:ind w:right="144"/>
              <w:jc w:val="right"/>
              <w:rPr>
                <w:sz w:val="16"/>
              </w:rPr>
            </w:pPr>
            <w:r>
              <w:rPr>
                <w:sz w:val="16"/>
              </w:rPr>
              <w:t>135</w:t>
            </w:r>
          </w:p>
        </w:tc>
      </w:tr>
      <w:tr>
        <w:trPr>
          <w:trHeight w:val="394" w:hRule="atLeast"/>
        </w:trPr>
        <w:tc>
          <w:tcPr>
            <w:tcW w:w="5543" w:type="dxa"/>
            <w:vMerge/>
            <w:tcBorders>
              <w:top w:val="nil"/>
            </w:tcBorders>
          </w:tcPr>
          <w:p>
            <w:pPr>
              <w:rPr>
                <w:sz w:val="2"/>
                <w:szCs w:val="2"/>
              </w:rPr>
            </w:pPr>
          </w:p>
        </w:tc>
        <w:tc>
          <w:tcPr>
            <w:tcW w:w="2152" w:type="dxa"/>
            <w:tcBorders>
              <w:top w:val="nil"/>
              <w:bottom w:val="nil"/>
              <w:right w:val="nil"/>
            </w:tcBorders>
          </w:tcPr>
          <w:p>
            <w:pPr>
              <w:pStyle w:val="TableParagraph"/>
              <w:rPr>
                <w:rFonts w:ascii="Times New Roman"/>
                <w:sz w:val="16"/>
              </w:rPr>
            </w:pPr>
          </w:p>
        </w:tc>
        <w:tc>
          <w:tcPr>
            <w:tcW w:w="746" w:type="dxa"/>
            <w:tcBorders>
              <w:top w:val="nil"/>
              <w:left w:val="nil"/>
              <w:bottom w:val="nil"/>
              <w:right w:val="nil"/>
            </w:tcBorders>
          </w:tcPr>
          <w:p>
            <w:pPr>
              <w:pStyle w:val="TableParagraph"/>
              <w:rPr>
                <w:rFonts w:ascii="Times New Roman"/>
                <w:sz w:val="16"/>
              </w:rPr>
            </w:pPr>
          </w:p>
        </w:tc>
        <w:tc>
          <w:tcPr>
            <w:tcW w:w="520" w:type="dxa"/>
            <w:tcBorders>
              <w:top w:val="nil"/>
              <w:left w:val="nil"/>
              <w:bottom w:val="nil"/>
              <w:right w:val="nil"/>
            </w:tcBorders>
          </w:tcPr>
          <w:p>
            <w:pPr>
              <w:pStyle w:val="TableParagraph"/>
              <w:rPr>
                <w:rFonts w:ascii="Times New Roman"/>
                <w:sz w:val="16"/>
              </w:rPr>
            </w:pPr>
          </w:p>
        </w:tc>
        <w:tc>
          <w:tcPr>
            <w:tcW w:w="2201" w:type="dxa"/>
            <w:tcBorders>
              <w:top w:val="nil"/>
              <w:left w:val="nil"/>
              <w:bottom w:val="nil"/>
            </w:tcBorders>
          </w:tcPr>
          <w:p>
            <w:pPr>
              <w:pStyle w:val="TableParagraph"/>
              <w:spacing w:before="102"/>
              <w:ind w:right="144"/>
              <w:jc w:val="right"/>
              <w:rPr>
                <w:sz w:val="16"/>
              </w:rPr>
            </w:pPr>
            <w:r>
              <w:rPr>
                <w:sz w:val="16"/>
              </w:rPr>
              <w:t>115</w:t>
            </w:r>
          </w:p>
        </w:tc>
      </w:tr>
      <w:tr>
        <w:trPr>
          <w:trHeight w:val="394" w:hRule="atLeast"/>
        </w:trPr>
        <w:tc>
          <w:tcPr>
            <w:tcW w:w="5543" w:type="dxa"/>
            <w:vMerge/>
            <w:tcBorders>
              <w:top w:val="nil"/>
            </w:tcBorders>
          </w:tcPr>
          <w:p>
            <w:pPr>
              <w:rPr>
                <w:sz w:val="2"/>
                <w:szCs w:val="2"/>
              </w:rPr>
            </w:pPr>
          </w:p>
        </w:tc>
        <w:tc>
          <w:tcPr>
            <w:tcW w:w="2152" w:type="dxa"/>
            <w:tcBorders>
              <w:top w:val="nil"/>
              <w:bottom w:val="nil"/>
              <w:right w:val="nil"/>
            </w:tcBorders>
          </w:tcPr>
          <w:p>
            <w:pPr>
              <w:pStyle w:val="TableParagraph"/>
              <w:rPr>
                <w:rFonts w:ascii="Times New Roman"/>
                <w:sz w:val="16"/>
              </w:rPr>
            </w:pPr>
          </w:p>
        </w:tc>
        <w:tc>
          <w:tcPr>
            <w:tcW w:w="746" w:type="dxa"/>
            <w:tcBorders>
              <w:top w:val="nil"/>
              <w:left w:val="nil"/>
              <w:bottom w:val="nil"/>
              <w:right w:val="nil"/>
            </w:tcBorders>
          </w:tcPr>
          <w:p>
            <w:pPr>
              <w:pStyle w:val="TableParagraph"/>
              <w:rPr>
                <w:rFonts w:ascii="Times New Roman"/>
                <w:sz w:val="16"/>
              </w:rPr>
            </w:pPr>
          </w:p>
        </w:tc>
        <w:tc>
          <w:tcPr>
            <w:tcW w:w="520" w:type="dxa"/>
            <w:tcBorders>
              <w:top w:val="nil"/>
              <w:left w:val="nil"/>
              <w:bottom w:val="nil"/>
              <w:right w:val="nil"/>
            </w:tcBorders>
          </w:tcPr>
          <w:p>
            <w:pPr>
              <w:pStyle w:val="TableParagraph"/>
              <w:rPr>
                <w:rFonts w:ascii="Times New Roman"/>
                <w:sz w:val="16"/>
              </w:rPr>
            </w:pPr>
          </w:p>
        </w:tc>
        <w:tc>
          <w:tcPr>
            <w:tcW w:w="2201" w:type="dxa"/>
            <w:tcBorders>
              <w:top w:val="nil"/>
              <w:left w:val="nil"/>
              <w:bottom w:val="nil"/>
            </w:tcBorders>
          </w:tcPr>
          <w:p>
            <w:pPr>
              <w:pStyle w:val="TableParagraph"/>
              <w:spacing w:before="103"/>
              <w:ind w:right="233"/>
              <w:jc w:val="right"/>
              <w:rPr>
                <w:sz w:val="16"/>
              </w:rPr>
            </w:pPr>
            <w:r>
              <w:rPr>
                <w:sz w:val="16"/>
              </w:rPr>
              <w:t>95</w:t>
            </w:r>
          </w:p>
        </w:tc>
      </w:tr>
      <w:tr>
        <w:trPr>
          <w:trHeight w:val="287" w:hRule="atLeast"/>
        </w:trPr>
        <w:tc>
          <w:tcPr>
            <w:tcW w:w="5543" w:type="dxa"/>
            <w:vMerge/>
            <w:tcBorders>
              <w:top w:val="nil"/>
            </w:tcBorders>
          </w:tcPr>
          <w:p>
            <w:pPr>
              <w:rPr>
                <w:sz w:val="2"/>
                <w:szCs w:val="2"/>
              </w:rPr>
            </w:pPr>
          </w:p>
        </w:tc>
        <w:tc>
          <w:tcPr>
            <w:tcW w:w="2152" w:type="dxa"/>
            <w:tcBorders>
              <w:top w:val="nil"/>
              <w:bottom w:val="nil"/>
              <w:right w:val="nil"/>
            </w:tcBorders>
          </w:tcPr>
          <w:p>
            <w:pPr>
              <w:pStyle w:val="TableParagraph"/>
              <w:rPr>
                <w:rFonts w:ascii="Times New Roman"/>
                <w:sz w:val="16"/>
              </w:rPr>
            </w:pPr>
          </w:p>
        </w:tc>
        <w:tc>
          <w:tcPr>
            <w:tcW w:w="746" w:type="dxa"/>
            <w:tcBorders>
              <w:top w:val="nil"/>
              <w:left w:val="nil"/>
              <w:bottom w:val="nil"/>
              <w:right w:val="nil"/>
            </w:tcBorders>
          </w:tcPr>
          <w:p>
            <w:pPr>
              <w:pStyle w:val="TableParagraph"/>
              <w:rPr>
                <w:rFonts w:ascii="Times New Roman"/>
                <w:sz w:val="16"/>
              </w:rPr>
            </w:pPr>
          </w:p>
        </w:tc>
        <w:tc>
          <w:tcPr>
            <w:tcW w:w="520" w:type="dxa"/>
            <w:tcBorders>
              <w:top w:val="nil"/>
              <w:left w:val="nil"/>
              <w:bottom w:val="nil"/>
              <w:right w:val="nil"/>
            </w:tcBorders>
          </w:tcPr>
          <w:p>
            <w:pPr>
              <w:pStyle w:val="TableParagraph"/>
              <w:rPr>
                <w:rFonts w:ascii="Times New Roman"/>
                <w:sz w:val="16"/>
              </w:rPr>
            </w:pPr>
          </w:p>
        </w:tc>
        <w:tc>
          <w:tcPr>
            <w:tcW w:w="2201" w:type="dxa"/>
            <w:tcBorders>
              <w:top w:val="nil"/>
              <w:left w:val="nil"/>
              <w:bottom w:val="nil"/>
            </w:tcBorders>
          </w:tcPr>
          <w:p>
            <w:pPr>
              <w:pStyle w:val="TableParagraph"/>
              <w:spacing w:line="165" w:lineRule="exact" w:before="102"/>
              <w:ind w:right="233"/>
              <w:jc w:val="right"/>
              <w:rPr>
                <w:sz w:val="16"/>
              </w:rPr>
            </w:pPr>
            <w:r>
              <w:rPr>
                <w:sz w:val="16"/>
              </w:rPr>
              <w:t>75</w:t>
            </w:r>
          </w:p>
        </w:tc>
      </w:tr>
      <w:tr>
        <w:trPr>
          <w:trHeight w:val="310" w:hRule="atLeast"/>
        </w:trPr>
        <w:tc>
          <w:tcPr>
            <w:tcW w:w="5543" w:type="dxa"/>
            <w:vMerge/>
            <w:tcBorders>
              <w:top w:val="nil"/>
            </w:tcBorders>
          </w:tcPr>
          <w:p>
            <w:pPr>
              <w:rPr>
                <w:sz w:val="2"/>
                <w:szCs w:val="2"/>
              </w:rPr>
            </w:pPr>
          </w:p>
        </w:tc>
        <w:tc>
          <w:tcPr>
            <w:tcW w:w="2152" w:type="dxa"/>
            <w:tcBorders>
              <w:top w:val="nil"/>
              <w:right w:val="nil"/>
            </w:tcBorders>
          </w:tcPr>
          <w:p>
            <w:pPr>
              <w:pStyle w:val="TableParagraph"/>
              <w:tabs>
                <w:tab w:pos="1382" w:val="left" w:leader="none"/>
              </w:tabs>
              <w:spacing w:line="180" w:lineRule="exact"/>
              <w:ind w:left="235"/>
              <w:rPr>
                <w:sz w:val="16"/>
              </w:rPr>
            </w:pPr>
            <w:r>
              <w:rPr>
                <w:sz w:val="16"/>
              </w:rPr>
              <w:t>1995</w:t>
              <w:tab/>
              <w:t>2000</w:t>
            </w:r>
          </w:p>
        </w:tc>
        <w:tc>
          <w:tcPr>
            <w:tcW w:w="746" w:type="dxa"/>
            <w:tcBorders>
              <w:top w:val="nil"/>
              <w:left w:val="nil"/>
              <w:right w:val="nil"/>
            </w:tcBorders>
          </w:tcPr>
          <w:p>
            <w:pPr>
              <w:pStyle w:val="TableParagraph"/>
              <w:spacing w:line="180" w:lineRule="exact"/>
              <w:ind w:left="381"/>
              <w:rPr>
                <w:sz w:val="16"/>
              </w:rPr>
            </w:pPr>
            <w:r>
              <w:rPr>
                <w:sz w:val="16"/>
              </w:rPr>
              <w:t>2005</w:t>
            </w:r>
          </w:p>
        </w:tc>
        <w:tc>
          <w:tcPr>
            <w:tcW w:w="520" w:type="dxa"/>
            <w:tcBorders>
              <w:top w:val="nil"/>
              <w:left w:val="nil"/>
              <w:right w:val="nil"/>
            </w:tcBorders>
          </w:tcPr>
          <w:p>
            <w:pPr>
              <w:pStyle w:val="TableParagraph"/>
              <w:rPr>
                <w:rFonts w:ascii="Times New Roman"/>
                <w:sz w:val="16"/>
              </w:rPr>
            </w:pPr>
          </w:p>
        </w:tc>
        <w:tc>
          <w:tcPr>
            <w:tcW w:w="2201" w:type="dxa"/>
            <w:tcBorders>
              <w:top w:val="nil"/>
              <w:left w:val="nil"/>
            </w:tcBorders>
          </w:tcPr>
          <w:p>
            <w:pPr>
              <w:pStyle w:val="TableParagraph"/>
              <w:tabs>
                <w:tab w:pos="1409" w:val="left" w:leader="none"/>
              </w:tabs>
              <w:spacing w:line="180" w:lineRule="exact"/>
              <w:ind w:left="262"/>
              <w:rPr>
                <w:sz w:val="16"/>
              </w:rPr>
            </w:pPr>
            <w:r>
              <w:rPr>
                <w:sz w:val="16"/>
              </w:rPr>
              <w:t>2010</w:t>
              <w:tab/>
              <w:t>2015</w:t>
            </w:r>
          </w:p>
        </w:tc>
      </w:tr>
      <w:tr>
        <w:trPr>
          <w:trHeight w:val="244" w:hRule="atLeast"/>
        </w:trPr>
        <w:tc>
          <w:tcPr>
            <w:tcW w:w="5543" w:type="dxa"/>
          </w:tcPr>
          <w:p>
            <w:pPr>
              <w:pStyle w:val="TableParagraph"/>
              <w:spacing w:before="27"/>
              <w:ind w:left="107"/>
              <w:rPr>
                <w:sz w:val="16"/>
              </w:rPr>
            </w:pPr>
            <w:r>
              <w:rPr>
                <w:sz w:val="16"/>
              </w:rPr>
              <w:t>Source: IMF WEO, April 2012 Chapter 3 (figure 3.6)</w:t>
            </w:r>
          </w:p>
        </w:tc>
        <w:tc>
          <w:tcPr>
            <w:tcW w:w="5619" w:type="dxa"/>
            <w:gridSpan w:val="4"/>
          </w:tcPr>
          <w:p>
            <w:pPr>
              <w:pStyle w:val="TableParagraph"/>
              <w:spacing w:before="27"/>
              <w:ind w:left="107"/>
              <w:rPr>
                <w:sz w:val="16"/>
              </w:rPr>
            </w:pPr>
            <w:r>
              <w:rPr>
                <w:sz w:val="16"/>
              </w:rPr>
              <w:t>Source: BIS</w:t>
            </w:r>
          </w:p>
        </w:tc>
      </w:tr>
      <w:tr>
        <w:trPr>
          <w:trHeight w:val="558" w:hRule="atLeast"/>
        </w:trPr>
        <w:tc>
          <w:tcPr>
            <w:tcW w:w="5543" w:type="dxa"/>
          </w:tcPr>
          <w:p>
            <w:pPr>
              <w:pStyle w:val="TableParagraph"/>
              <w:spacing w:before="117"/>
              <w:ind w:left="107"/>
              <w:rPr>
                <w:sz w:val="20"/>
              </w:rPr>
            </w:pPr>
            <w:r>
              <w:rPr>
                <w:b/>
                <w:sz w:val="20"/>
              </w:rPr>
              <w:t>Figure 3: </w:t>
            </w:r>
            <w:r>
              <w:rPr>
                <w:sz w:val="20"/>
              </w:rPr>
              <w:t>Private Sector Debt to GDP in Advanced and EM</w:t>
            </w:r>
          </w:p>
        </w:tc>
        <w:tc>
          <w:tcPr>
            <w:tcW w:w="5619" w:type="dxa"/>
            <w:gridSpan w:val="4"/>
          </w:tcPr>
          <w:p>
            <w:pPr>
              <w:pStyle w:val="TableParagraph"/>
              <w:spacing w:before="117"/>
              <w:ind w:left="107"/>
              <w:rPr>
                <w:sz w:val="20"/>
              </w:rPr>
            </w:pPr>
            <w:r>
              <w:rPr>
                <w:b/>
                <w:sz w:val="20"/>
              </w:rPr>
              <w:t>Figure 4: </w:t>
            </w:r>
            <w:r>
              <w:rPr>
                <w:sz w:val="20"/>
              </w:rPr>
              <w:t>Longevity (life expectancy at age 20)</w:t>
            </w:r>
          </w:p>
        </w:tc>
      </w:tr>
      <w:tr>
        <w:trPr>
          <w:trHeight w:val="409" w:hRule="atLeast"/>
        </w:trPr>
        <w:tc>
          <w:tcPr>
            <w:tcW w:w="5543" w:type="dxa"/>
            <w:tcBorders>
              <w:bottom w:val="nil"/>
            </w:tcBorders>
          </w:tcPr>
          <w:p>
            <w:pPr>
              <w:pStyle w:val="TableParagraph"/>
              <w:tabs>
                <w:tab w:pos="607" w:val="left" w:leader="none"/>
                <w:tab w:pos="4322" w:val="left" w:leader="none"/>
              </w:tabs>
              <w:spacing w:before="114"/>
              <w:ind w:left="138"/>
              <w:rPr>
                <w:sz w:val="16"/>
              </w:rPr>
            </w:pPr>
            <w:r>
              <w:rPr>
                <w:position w:val="-4"/>
                <w:sz w:val="16"/>
              </w:rPr>
              <w:t>130</w:t>
              <w:tab/>
            </w:r>
            <w:r>
              <w:rPr>
                <w:b/>
                <w:sz w:val="16"/>
              </w:rPr>
              <w:t>%</w:t>
            </w:r>
            <w:r>
              <w:rPr>
                <w:b/>
                <w:spacing w:val="-1"/>
                <w:sz w:val="16"/>
              </w:rPr>
              <w:t> </w:t>
            </w:r>
            <w:r>
              <w:rPr>
                <w:b/>
                <w:sz w:val="16"/>
              </w:rPr>
              <w:t>GDP</w:t>
              <w:tab/>
              <w:t>% GDP</w:t>
            </w:r>
            <w:r>
              <w:rPr>
                <w:b/>
                <w:spacing w:val="41"/>
                <w:sz w:val="16"/>
              </w:rPr>
              <w:t> </w:t>
            </w:r>
            <w:r>
              <w:rPr>
                <w:position w:val="-4"/>
                <w:sz w:val="16"/>
              </w:rPr>
              <w:t>180</w:t>
            </w:r>
          </w:p>
        </w:tc>
        <w:tc>
          <w:tcPr>
            <w:tcW w:w="2152" w:type="dxa"/>
            <w:vMerge w:val="restart"/>
            <w:tcBorders>
              <w:right w:val="nil"/>
            </w:tcBorders>
          </w:tcPr>
          <w:p>
            <w:pPr>
              <w:pStyle w:val="TableParagraph"/>
              <w:spacing w:before="160"/>
              <w:ind w:left="177"/>
              <w:rPr>
                <w:sz w:val="16"/>
              </w:rPr>
            </w:pPr>
            <w:r>
              <w:rPr>
                <w:sz w:val="16"/>
              </w:rPr>
              <w:t>75</w:t>
            </w:r>
          </w:p>
          <w:p>
            <w:pPr>
              <w:pStyle w:val="TableParagraph"/>
              <w:spacing w:before="130"/>
              <w:ind w:left="177"/>
              <w:rPr>
                <w:sz w:val="16"/>
              </w:rPr>
            </w:pPr>
            <w:r>
              <w:rPr>
                <w:sz w:val="16"/>
              </w:rPr>
              <w:t>70</w:t>
            </w:r>
          </w:p>
          <w:p>
            <w:pPr>
              <w:pStyle w:val="TableParagraph"/>
              <w:spacing w:before="129"/>
              <w:ind w:left="177"/>
              <w:rPr>
                <w:sz w:val="16"/>
              </w:rPr>
            </w:pPr>
            <w:r>
              <w:rPr>
                <w:sz w:val="16"/>
              </w:rPr>
              <w:t>65</w:t>
            </w:r>
          </w:p>
          <w:p>
            <w:pPr>
              <w:pStyle w:val="TableParagraph"/>
              <w:spacing w:before="130"/>
              <w:ind w:left="177"/>
              <w:rPr>
                <w:sz w:val="16"/>
              </w:rPr>
            </w:pPr>
            <w:r>
              <w:rPr>
                <w:sz w:val="16"/>
              </w:rPr>
              <w:t>60</w:t>
            </w:r>
          </w:p>
          <w:p>
            <w:pPr>
              <w:pStyle w:val="TableParagraph"/>
              <w:spacing w:before="129"/>
              <w:ind w:left="177"/>
              <w:rPr>
                <w:sz w:val="16"/>
              </w:rPr>
            </w:pPr>
            <w:r>
              <w:rPr>
                <w:sz w:val="16"/>
              </w:rPr>
              <w:t>55</w:t>
            </w:r>
          </w:p>
          <w:p>
            <w:pPr>
              <w:pStyle w:val="TableParagraph"/>
              <w:spacing w:before="130"/>
              <w:ind w:left="177"/>
              <w:rPr>
                <w:sz w:val="16"/>
              </w:rPr>
            </w:pPr>
            <w:r>
              <w:rPr>
                <w:sz w:val="16"/>
              </w:rPr>
              <w:t>50</w:t>
            </w:r>
          </w:p>
          <w:p>
            <w:pPr>
              <w:pStyle w:val="TableParagraph"/>
              <w:spacing w:before="130"/>
              <w:ind w:left="177"/>
              <w:rPr>
                <w:sz w:val="16"/>
              </w:rPr>
            </w:pPr>
            <w:r>
              <w:rPr>
                <w:sz w:val="16"/>
              </w:rPr>
              <w:t>45</w:t>
            </w:r>
          </w:p>
          <w:p>
            <w:pPr>
              <w:pStyle w:val="TableParagraph"/>
              <w:spacing w:before="129"/>
              <w:ind w:left="177"/>
              <w:rPr>
                <w:sz w:val="16"/>
              </w:rPr>
            </w:pPr>
            <w:r>
              <w:rPr>
                <w:sz w:val="16"/>
              </w:rPr>
              <w:t>40</w:t>
            </w:r>
          </w:p>
          <w:p>
            <w:pPr>
              <w:pStyle w:val="TableParagraph"/>
              <w:spacing w:before="130"/>
              <w:ind w:left="177"/>
              <w:rPr>
                <w:sz w:val="16"/>
              </w:rPr>
            </w:pPr>
            <w:r>
              <w:rPr>
                <w:sz w:val="16"/>
              </w:rPr>
              <w:t>35</w:t>
            </w:r>
          </w:p>
          <w:p>
            <w:pPr>
              <w:pStyle w:val="TableParagraph"/>
              <w:spacing w:before="129"/>
              <w:ind w:left="177"/>
              <w:rPr>
                <w:sz w:val="16"/>
              </w:rPr>
            </w:pPr>
            <w:r>
              <w:rPr>
                <w:sz w:val="16"/>
              </w:rPr>
              <w:t>30</w:t>
            </w:r>
          </w:p>
          <w:p>
            <w:pPr>
              <w:pStyle w:val="TableParagraph"/>
              <w:tabs>
                <w:tab w:pos="963" w:val="left" w:leader="none"/>
                <w:tab w:pos="1612" w:val="left" w:leader="none"/>
              </w:tabs>
              <w:spacing w:before="7"/>
              <w:ind w:left="315"/>
              <w:rPr>
                <w:sz w:val="16"/>
              </w:rPr>
            </w:pPr>
            <w:r>
              <w:rPr>
                <w:sz w:val="16"/>
              </w:rPr>
              <w:t>1955</w:t>
              <w:tab/>
              <w:t>1975</w:t>
              <w:tab/>
              <w:t>1995</w:t>
            </w:r>
          </w:p>
        </w:tc>
        <w:tc>
          <w:tcPr>
            <w:tcW w:w="746" w:type="dxa"/>
            <w:vMerge w:val="restart"/>
            <w:tcBorders>
              <w:left w:val="nil"/>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0"/>
              <w:rPr>
                <w:sz w:val="23"/>
              </w:rPr>
            </w:pPr>
          </w:p>
          <w:p>
            <w:pPr>
              <w:pStyle w:val="TableParagraph"/>
              <w:ind w:left="113"/>
              <w:rPr>
                <w:sz w:val="16"/>
              </w:rPr>
            </w:pPr>
            <w:r>
              <w:rPr>
                <w:sz w:val="16"/>
              </w:rPr>
              <w:t>2015</w:t>
            </w:r>
          </w:p>
        </w:tc>
        <w:tc>
          <w:tcPr>
            <w:tcW w:w="520" w:type="dxa"/>
            <w:vMerge w:val="restart"/>
            <w:tcBorders>
              <w:left w:val="nil"/>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0"/>
              <w:rPr>
                <w:sz w:val="23"/>
              </w:rPr>
            </w:pPr>
          </w:p>
          <w:p>
            <w:pPr>
              <w:pStyle w:val="TableParagraph"/>
              <w:ind w:left="16"/>
              <w:rPr>
                <w:sz w:val="16"/>
              </w:rPr>
            </w:pPr>
            <w:r>
              <w:rPr>
                <w:sz w:val="16"/>
              </w:rPr>
              <w:t>2035</w:t>
            </w:r>
          </w:p>
        </w:tc>
        <w:tc>
          <w:tcPr>
            <w:tcW w:w="2201" w:type="dxa"/>
            <w:vMerge w:val="restart"/>
            <w:tcBorders>
              <w:lef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6"/>
              <w:rPr>
                <w:sz w:val="15"/>
              </w:rPr>
            </w:pPr>
          </w:p>
          <w:p>
            <w:pPr>
              <w:pStyle w:val="TableParagraph"/>
              <w:ind w:left="108"/>
              <w:rPr>
                <w:sz w:val="16"/>
              </w:rPr>
            </w:pPr>
            <w:r>
              <w:rPr>
                <w:sz w:val="16"/>
              </w:rPr>
              <w:t>World</w:t>
            </w:r>
          </w:p>
          <w:p>
            <w:pPr>
              <w:pStyle w:val="TableParagraph"/>
              <w:spacing w:line="434" w:lineRule="auto" w:before="150"/>
              <w:ind w:left="108" w:right="74"/>
              <w:rPr>
                <w:sz w:val="16"/>
              </w:rPr>
            </w:pPr>
            <w:r>
              <w:rPr>
                <w:sz w:val="16"/>
              </w:rPr>
              <w:t>More developed </w:t>
            </w:r>
            <w:r>
              <w:rPr>
                <w:spacing w:val="-3"/>
                <w:sz w:val="16"/>
              </w:rPr>
              <w:t>regions </w:t>
            </w:r>
            <w:r>
              <w:rPr>
                <w:sz w:val="16"/>
              </w:rPr>
              <w:t>Less developed</w:t>
            </w:r>
            <w:r>
              <w:rPr>
                <w:spacing w:val="-7"/>
                <w:sz w:val="16"/>
              </w:rPr>
              <w:t> </w:t>
            </w:r>
            <w:r>
              <w:rPr>
                <w:sz w:val="16"/>
              </w:rPr>
              <w:t>regions</w:t>
            </w:r>
          </w:p>
          <w:p>
            <w:pPr>
              <w:pStyle w:val="TableParagraph"/>
              <w:tabs>
                <w:tab w:pos="792" w:val="left" w:leader="none"/>
                <w:tab w:pos="1441" w:val="left" w:leader="none"/>
              </w:tabs>
              <w:spacing w:before="131"/>
              <w:ind w:left="144"/>
              <w:rPr>
                <w:sz w:val="16"/>
              </w:rPr>
            </w:pPr>
            <w:r>
              <w:rPr>
                <w:sz w:val="16"/>
              </w:rPr>
              <w:t>2055</w:t>
              <w:tab/>
              <w:t>2075</w:t>
              <w:tab/>
              <w:t>2095</w:t>
            </w:r>
          </w:p>
        </w:tc>
      </w:tr>
      <w:tr>
        <w:trPr>
          <w:trHeight w:val="322" w:hRule="atLeast"/>
        </w:trPr>
        <w:tc>
          <w:tcPr>
            <w:tcW w:w="5543" w:type="dxa"/>
            <w:tcBorders>
              <w:top w:val="nil"/>
              <w:bottom w:val="nil"/>
            </w:tcBorders>
          </w:tcPr>
          <w:p>
            <w:pPr>
              <w:pStyle w:val="TableParagraph"/>
              <w:tabs>
                <w:tab w:pos="1192" w:val="left" w:leader="none"/>
                <w:tab w:pos="5299" w:val="right" w:leader="none"/>
              </w:tabs>
              <w:spacing w:before="56"/>
              <w:ind w:left="138"/>
              <w:rPr>
                <w:sz w:val="16"/>
              </w:rPr>
            </w:pPr>
            <w:r>
              <w:rPr>
                <w:position w:val="4"/>
                <w:sz w:val="16"/>
              </w:rPr>
              <w:t>120</w:t>
              <w:tab/>
            </w:r>
            <w:r>
              <w:rPr>
                <w:position w:val="2"/>
                <w:sz w:val="16"/>
              </w:rPr>
              <w:t>Emerging</w:t>
            </w:r>
            <w:r>
              <w:rPr>
                <w:spacing w:val="-1"/>
                <w:position w:val="2"/>
                <w:sz w:val="16"/>
              </w:rPr>
              <w:t> </w:t>
            </w:r>
            <w:r>
              <w:rPr>
                <w:position w:val="2"/>
                <w:sz w:val="16"/>
              </w:rPr>
              <w:t>markets</w:t>
              <w:tab/>
            </w:r>
            <w:r>
              <w:rPr>
                <w:sz w:val="16"/>
              </w:rPr>
              <w:t>175</w:t>
            </w:r>
          </w:p>
        </w:tc>
        <w:tc>
          <w:tcPr>
            <w:tcW w:w="2152" w:type="dxa"/>
            <w:vMerge/>
            <w:tcBorders>
              <w:top w:val="nil"/>
              <w:right w:val="nil"/>
            </w:tcBorders>
          </w:tcPr>
          <w:p>
            <w:pPr>
              <w:rPr>
                <w:sz w:val="2"/>
                <w:szCs w:val="2"/>
              </w:rPr>
            </w:pPr>
          </w:p>
        </w:tc>
        <w:tc>
          <w:tcPr>
            <w:tcW w:w="746" w:type="dxa"/>
            <w:vMerge/>
            <w:tcBorders>
              <w:top w:val="nil"/>
              <w:left w:val="nil"/>
              <w:right w:val="nil"/>
            </w:tcBorders>
          </w:tcPr>
          <w:p>
            <w:pPr>
              <w:rPr>
                <w:sz w:val="2"/>
                <w:szCs w:val="2"/>
              </w:rPr>
            </w:pPr>
          </w:p>
        </w:tc>
        <w:tc>
          <w:tcPr>
            <w:tcW w:w="520" w:type="dxa"/>
            <w:vMerge/>
            <w:tcBorders>
              <w:top w:val="nil"/>
              <w:left w:val="nil"/>
              <w:right w:val="nil"/>
            </w:tcBorders>
          </w:tcPr>
          <w:p>
            <w:pPr>
              <w:rPr>
                <w:sz w:val="2"/>
                <w:szCs w:val="2"/>
              </w:rPr>
            </w:pPr>
          </w:p>
        </w:tc>
        <w:tc>
          <w:tcPr>
            <w:tcW w:w="2201" w:type="dxa"/>
            <w:vMerge/>
            <w:tcBorders>
              <w:top w:val="nil"/>
              <w:left w:val="nil"/>
            </w:tcBorders>
          </w:tcPr>
          <w:p>
            <w:pPr>
              <w:rPr>
                <w:sz w:val="2"/>
                <w:szCs w:val="2"/>
              </w:rPr>
            </w:pPr>
          </w:p>
        </w:tc>
      </w:tr>
      <w:tr>
        <w:trPr>
          <w:trHeight w:val="321" w:hRule="atLeast"/>
        </w:trPr>
        <w:tc>
          <w:tcPr>
            <w:tcW w:w="5543" w:type="dxa"/>
            <w:tcBorders>
              <w:top w:val="nil"/>
              <w:bottom w:val="nil"/>
            </w:tcBorders>
          </w:tcPr>
          <w:p>
            <w:pPr>
              <w:pStyle w:val="TableParagraph"/>
              <w:tabs>
                <w:tab w:pos="1192" w:val="left" w:leader="none"/>
                <w:tab w:pos="5299" w:val="right" w:leader="none"/>
              </w:tabs>
              <w:spacing w:before="37"/>
              <w:ind w:left="138"/>
              <w:rPr>
                <w:sz w:val="16"/>
              </w:rPr>
            </w:pPr>
            <w:r>
              <w:rPr>
                <w:position w:val="3"/>
                <w:sz w:val="16"/>
              </w:rPr>
              <w:t>110</w:t>
              <w:tab/>
            </w:r>
            <w:r>
              <w:rPr>
                <w:sz w:val="16"/>
              </w:rPr>
              <w:t>Advanced</w:t>
            </w:r>
            <w:r>
              <w:rPr>
                <w:spacing w:val="-1"/>
                <w:sz w:val="16"/>
              </w:rPr>
              <w:t> </w:t>
            </w:r>
            <w:r>
              <w:rPr>
                <w:sz w:val="16"/>
              </w:rPr>
              <w:t>economies</w:t>
            </w:r>
            <w:r>
              <w:rPr>
                <w:spacing w:val="-1"/>
                <w:sz w:val="16"/>
              </w:rPr>
              <w:t> </w:t>
            </w:r>
            <w:r>
              <w:rPr>
                <w:sz w:val="16"/>
              </w:rPr>
              <w:t>(rhs)</w:t>
              <w:tab/>
            </w:r>
            <w:r>
              <w:rPr>
                <w:position w:val="-4"/>
                <w:sz w:val="16"/>
              </w:rPr>
              <w:t>170</w:t>
            </w:r>
          </w:p>
        </w:tc>
        <w:tc>
          <w:tcPr>
            <w:tcW w:w="2152" w:type="dxa"/>
            <w:vMerge/>
            <w:tcBorders>
              <w:top w:val="nil"/>
              <w:right w:val="nil"/>
            </w:tcBorders>
          </w:tcPr>
          <w:p>
            <w:pPr>
              <w:rPr>
                <w:sz w:val="2"/>
                <w:szCs w:val="2"/>
              </w:rPr>
            </w:pPr>
          </w:p>
        </w:tc>
        <w:tc>
          <w:tcPr>
            <w:tcW w:w="746" w:type="dxa"/>
            <w:vMerge/>
            <w:tcBorders>
              <w:top w:val="nil"/>
              <w:left w:val="nil"/>
              <w:right w:val="nil"/>
            </w:tcBorders>
          </w:tcPr>
          <w:p>
            <w:pPr>
              <w:rPr>
                <w:sz w:val="2"/>
                <w:szCs w:val="2"/>
              </w:rPr>
            </w:pPr>
          </w:p>
        </w:tc>
        <w:tc>
          <w:tcPr>
            <w:tcW w:w="520" w:type="dxa"/>
            <w:vMerge/>
            <w:tcBorders>
              <w:top w:val="nil"/>
              <w:left w:val="nil"/>
              <w:right w:val="nil"/>
            </w:tcBorders>
          </w:tcPr>
          <w:p>
            <w:pPr>
              <w:rPr>
                <w:sz w:val="2"/>
                <w:szCs w:val="2"/>
              </w:rPr>
            </w:pPr>
          </w:p>
        </w:tc>
        <w:tc>
          <w:tcPr>
            <w:tcW w:w="2201" w:type="dxa"/>
            <w:vMerge/>
            <w:tcBorders>
              <w:top w:val="nil"/>
              <w:left w:val="nil"/>
            </w:tcBorders>
          </w:tcPr>
          <w:p>
            <w:pPr>
              <w:rPr>
                <w:sz w:val="2"/>
                <w:szCs w:val="2"/>
              </w:rPr>
            </w:pPr>
          </w:p>
        </w:tc>
      </w:tr>
      <w:tr>
        <w:trPr>
          <w:trHeight w:val="263" w:hRule="atLeast"/>
        </w:trPr>
        <w:tc>
          <w:tcPr>
            <w:tcW w:w="5543" w:type="dxa"/>
            <w:tcBorders>
              <w:top w:val="nil"/>
              <w:bottom w:val="nil"/>
            </w:tcBorders>
          </w:tcPr>
          <w:p>
            <w:pPr>
              <w:pStyle w:val="TableParagraph"/>
              <w:tabs>
                <w:tab w:pos="5033" w:val="left" w:leader="none"/>
              </w:tabs>
              <w:spacing w:line="117" w:lineRule="auto" w:before="33"/>
              <w:ind w:left="138"/>
              <w:rPr>
                <w:sz w:val="16"/>
              </w:rPr>
            </w:pPr>
            <w:r>
              <w:rPr>
                <w:sz w:val="16"/>
              </w:rPr>
              <w:t>100</w:t>
              <w:tab/>
            </w:r>
            <w:r>
              <w:rPr>
                <w:position w:val="-11"/>
                <w:sz w:val="16"/>
              </w:rPr>
              <w:t>165</w:t>
            </w:r>
          </w:p>
        </w:tc>
        <w:tc>
          <w:tcPr>
            <w:tcW w:w="2152" w:type="dxa"/>
            <w:vMerge/>
            <w:tcBorders>
              <w:top w:val="nil"/>
              <w:right w:val="nil"/>
            </w:tcBorders>
          </w:tcPr>
          <w:p>
            <w:pPr>
              <w:rPr>
                <w:sz w:val="2"/>
                <w:szCs w:val="2"/>
              </w:rPr>
            </w:pPr>
          </w:p>
        </w:tc>
        <w:tc>
          <w:tcPr>
            <w:tcW w:w="746" w:type="dxa"/>
            <w:vMerge/>
            <w:tcBorders>
              <w:top w:val="nil"/>
              <w:left w:val="nil"/>
              <w:right w:val="nil"/>
            </w:tcBorders>
          </w:tcPr>
          <w:p>
            <w:pPr>
              <w:rPr>
                <w:sz w:val="2"/>
                <w:szCs w:val="2"/>
              </w:rPr>
            </w:pPr>
          </w:p>
        </w:tc>
        <w:tc>
          <w:tcPr>
            <w:tcW w:w="520" w:type="dxa"/>
            <w:vMerge/>
            <w:tcBorders>
              <w:top w:val="nil"/>
              <w:left w:val="nil"/>
              <w:right w:val="nil"/>
            </w:tcBorders>
          </w:tcPr>
          <w:p>
            <w:pPr>
              <w:rPr>
                <w:sz w:val="2"/>
                <w:szCs w:val="2"/>
              </w:rPr>
            </w:pPr>
          </w:p>
        </w:tc>
        <w:tc>
          <w:tcPr>
            <w:tcW w:w="2201" w:type="dxa"/>
            <w:vMerge/>
            <w:tcBorders>
              <w:top w:val="nil"/>
              <w:left w:val="nil"/>
            </w:tcBorders>
          </w:tcPr>
          <w:p>
            <w:pPr>
              <w:rPr>
                <w:sz w:val="2"/>
                <w:szCs w:val="2"/>
              </w:rPr>
            </w:pPr>
          </w:p>
        </w:tc>
      </w:tr>
      <w:tr>
        <w:trPr>
          <w:trHeight w:val="224" w:hRule="atLeast"/>
        </w:trPr>
        <w:tc>
          <w:tcPr>
            <w:tcW w:w="5543" w:type="dxa"/>
            <w:tcBorders>
              <w:top w:val="nil"/>
              <w:bottom w:val="nil"/>
            </w:tcBorders>
          </w:tcPr>
          <w:p>
            <w:pPr>
              <w:pStyle w:val="TableParagraph"/>
              <w:spacing w:line="147" w:lineRule="exact" w:before="57"/>
              <w:ind w:left="227"/>
              <w:rPr>
                <w:sz w:val="16"/>
              </w:rPr>
            </w:pPr>
            <w:r>
              <w:rPr>
                <w:sz w:val="16"/>
              </w:rPr>
              <w:t>90</w:t>
            </w:r>
          </w:p>
        </w:tc>
        <w:tc>
          <w:tcPr>
            <w:tcW w:w="2152" w:type="dxa"/>
            <w:vMerge/>
            <w:tcBorders>
              <w:top w:val="nil"/>
              <w:right w:val="nil"/>
            </w:tcBorders>
          </w:tcPr>
          <w:p>
            <w:pPr>
              <w:rPr>
                <w:sz w:val="2"/>
                <w:szCs w:val="2"/>
              </w:rPr>
            </w:pPr>
          </w:p>
        </w:tc>
        <w:tc>
          <w:tcPr>
            <w:tcW w:w="746" w:type="dxa"/>
            <w:vMerge/>
            <w:tcBorders>
              <w:top w:val="nil"/>
              <w:left w:val="nil"/>
              <w:right w:val="nil"/>
            </w:tcBorders>
          </w:tcPr>
          <w:p>
            <w:pPr>
              <w:rPr>
                <w:sz w:val="2"/>
                <w:szCs w:val="2"/>
              </w:rPr>
            </w:pPr>
          </w:p>
        </w:tc>
        <w:tc>
          <w:tcPr>
            <w:tcW w:w="520" w:type="dxa"/>
            <w:vMerge/>
            <w:tcBorders>
              <w:top w:val="nil"/>
              <w:left w:val="nil"/>
              <w:right w:val="nil"/>
            </w:tcBorders>
          </w:tcPr>
          <w:p>
            <w:pPr>
              <w:rPr>
                <w:sz w:val="2"/>
                <w:szCs w:val="2"/>
              </w:rPr>
            </w:pPr>
          </w:p>
        </w:tc>
        <w:tc>
          <w:tcPr>
            <w:tcW w:w="2201" w:type="dxa"/>
            <w:vMerge/>
            <w:tcBorders>
              <w:top w:val="nil"/>
              <w:left w:val="nil"/>
            </w:tcBorders>
          </w:tcPr>
          <w:p>
            <w:pPr>
              <w:rPr>
                <w:sz w:val="2"/>
                <w:szCs w:val="2"/>
              </w:rPr>
            </w:pPr>
          </w:p>
        </w:tc>
      </w:tr>
      <w:tr>
        <w:trPr>
          <w:trHeight w:val="145" w:hRule="atLeast"/>
        </w:trPr>
        <w:tc>
          <w:tcPr>
            <w:tcW w:w="5543" w:type="dxa"/>
            <w:tcBorders>
              <w:top w:val="nil"/>
              <w:bottom w:val="nil"/>
            </w:tcBorders>
          </w:tcPr>
          <w:p>
            <w:pPr>
              <w:pStyle w:val="TableParagraph"/>
              <w:spacing w:line="126" w:lineRule="exact"/>
              <w:ind w:right="232"/>
              <w:jc w:val="right"/>
              <w:rPr>
                <w:sz w:val="16"/>
              </w:rPr>
            </w:pPr>
            <w:r>
              <w:rPr>
                <w:sz w:val="16"/>
              </w:rPr>
              <w:t>160</w:t>
            </w:r>
          </w:p>
        </w:tc>
        <w:tc>
          <w:tcPr>
            <w:tcW w:w="2152" w:type="dxa"/>
            <w:vMerge/>
            <w:tcBorders>
              <w:top w:val="nil"/>
              <w:right w:val="nil"/>
            </w:tcBorders>
          </w:tcPr>
          <w:p>
            <w:pPr>
              <w:rPr>
                <w:sz w:val="2"/>
                <w:szCs w:val="2"/>
              </w:rPr>
            </w:pPr>
          </w:p>
        </w:tc>
        <w:tc>
          <w:tcPr>
            <w:tcW w:w="746" w:type="dxa"/>
            <w:vMerge/>
            <w:tcBorders>
              <w:top w:val="nil"/>
              <w:left w:val="nil"/>
              <w:right w:val="nil"/>
            </w:tcBorders>
          </w:tcPr>
          <w:p>
            <w:pPr>
              <w:rPr>
                <w:sz w:val="2"/>
                <w:szCs w:val="2"/>
              </w:rPr>
            </w:pPr>
          </w:p>
        </w:tc>
        <w:tc>
          <w:tcPr>
            <w:tcW w:w="520" w:type="dxa"/>
            <w:vMerge/>
            <w:tcBorders>
              <w:top w:val="nil"/>
              <w:left w:val="nil"/>
              <w:right w:val="nil"/>
            </w:tcBorders>
          </w:tcPr>
          <w:p>
            <w:pPr>
              <w:rPr>
                <w:sz w:val="2"/>
                <w:szCs w:val="2"/>
              </w:rPr>
            </w:pPr>
          </w:p>
        </w:tc>
        <w:tc>
          <w:tcPr>
            <w:tcW w:w="2201" w:type="dxa"/>
            <w:vMerge/>
            <w:tcBorders>
              <w:top w:val="nil"/>
              <w:left w:val="nil"/>
            </w:tcBorders>
          </w:tcPr>
          <w:p>
            <w:pPr>
              <w:rPr>
                <w:sz w:val="2"/>
                <w:szCs w:val="2"/>
              </w:rPr>
            </w:pPr>
          </w:p>
        </w:tc>
      </w:tr>
      <w:tr>
        <w:trPr>
          <w:trHeight w:val="158" w:hRule="atLeast"/>
        </w:trPr>
        <w:tc>
          <w:tcPr>
            <w:tcW w:w="5543" w:type="dxa"/>
            <w:tcBorders>
              <w:top w:val="nil"/>
              <w:bottom w:val="nil"/>
            </w:tcBorders>
          </w:tcPr>
          <w:p>
            <w:pPr>
              <w:pStyle w:val="TableParagraph"/>
              <w:spacing w:line="138" w:lineRule="exact"/>
              <w:ind w:left="227"/>
              <w:rPr>
                <w:sz w:val="16"/>
              </w:rPr>
            </w:pPr>
            <w:r>
              <w:rPr>
                <w:sz w:val="16"/>
              </w:rPr>
              <w:t>80</w:t>
            </w:r>
          </w:p>
        </w:tc>
        <w:tc>
          <w:tcPr>
            <w:tcW w:w="2152" w:type="dxa"/>
            <w:vMerge/>
            <w:tcBorders>
              <w:top w:val="nil"/>
              <w:right w:val="nil"/>
            </w:tcBorders>
          </w:tcPr>
          <w:p>
            <w:pPr>
              <w:rPr>
                <w:sz w:val="2"/>
                <w:szCs w:val="2"/>
              </w:rPr>
            </w:pPr>
          </w:p>
        </w:tc>
        <w:tc>
          <w:tcPr>
            <w:tcW w:w="746" w:type="dxa"/>
            <w:vMerge/>
            <w:tcBorders>
              <w:top w:val="nil"/>
              <w:left w:val="nil"/>
              <w:right w:val="nil"/>
            </w:tcBorders>
          </w:tcPr>
          <w:p>
            <w:pPr>
              <w:rPr>
                <w:sz w:val="2"/>
                <w:szCs w:val="2"/>
              </w:rPr>
            </w:pPr>
          </w:p>
        </w:tc>
        <w:tc>
          <w:tcPr>
            <w:tcW w:w="520" w:type="dxa"/>
            <w:vMerge/>
            <w:tcBorders>
              <w:top w:val="nil"/>
              <w:left w:val="nil"/>
              <w:right w:val="nil"/>
            </w:tcBorders>
          </w:tcPr>
          <w:p>
            <w:pPr>
              <w:rPr>
                <w:sz w:val="2"/>
                <w:szCs w:val="2"/>
              </w:rPr>
            </w:pPr>
          </w:p>
        </w:tc>
        <w:tc>
          <w:tcPr>
            <w:tcW w:w="2201" w:type="dxa"/>
            <w:vMerge/>
            <w:tcBorders>
              <w:top w:val="nil"/>
              <w:left w:val="nil"/>
            </w:tcBorders>
          </w:tcPr>
          <w:p>
            <w:pPr>
              <w:rPr>
                <w:sz w:val="2"/>
                <w:szCs w:val="2"/>
              </w:rPr>
            </w:pPr>
          </w:p>
        </w:tc>
      </w:tr>
      <w:tr>
        <w:trPr>
          <w:trHeight w:val="263" w:hRule="atLeast"/>
        </w:trPr>
        <w:tc>
          <w:tcPr>
            <w:tcW w:w="5543" w:type="dxa"/>
            <w:tcBorders>
              <w:top w:val="nil"/>
              <w:bottom w:val="nil"/>
            </w:tcBorders>
          </w:tcPr>
          <w:p>
            <w:pPr>
              <w:pStyle w:val="TableParagraph"/>
              <w:tabs>
                <w:tab w:pos="5033" w:val="left" w:leader="none"/>
              </w:tabs>
              <w:spacing w:line="134" w:lineRule="auto" w:before="19"/>
              <w:ind w:left="227"/>
              <w:rPr>
                <w:sz w:val="16"/>
              </w:rPr>
            </w:pPr>
            <w:r>
              <w:rPr>
                <w:position w:val="-11"/>
                <w:sz w:val="16"/>
              </w:rPr>
              <w:t>70</w:t>
              <w:tab/>
            </w:r>
            <w:r>
              <w:rPr>
                <w:sz w:val="16"/>
              </w:rPr>
              <w:t>155</w:t>
            </w:r>
          </w:p>
        </w:tc>
        <w:tc>
          <w:tcPr>
            <w:tcW w:w="2152" w:type="dxa"/>
            <w:vMerge/>
            <w:tcBorders>
              <w:top w:val="nil"/>
              <w:right w:val="nil"/>
            </w:tcBorders>
          </w:tcPr>
          <w:p>
            <w:pPr>
              <w:rPr>
                <w:sz w:val="2"/>
                <w:szCs w:val="2"/>
              </w:rPr>
            </w:pPr>
          </w:p>
        </w:tc>
        <w:tc>
          <w:tcPr>
            <w:tcW w:w="746" w:type="dxa"/>
            <w:vMerge/>
            <w:tcBorders>
              <w:top w:val="nil"/>
              <w:left w:val="nil"/>
              <w:right w:val="nil"/>
            </w:tcBorders>
          </w:tcPr>
          <w:p>
            <w:pPr>
              <w:rPr>
                <w:sz w:val="2"/>
                <w:szCs w:val="2"/>
              </w:rPr>
            </w:pPr>
          </w:p>
        </w:tc>
        <w:tc>
          <w:tcPr>
            <w:tcW w:w="520" w:type="dxa"/>
            <w:vMerge/>
            <w:tcBorders>
              <w:top w:val="nil"/>
              <w:left w:val="nil"/>
              <w:right w:val="nil"/>
            </w:tcBorders>
          </w:tcPr>
          <w:p>
            <w:pPr>
              <w:rPr>
                <w:sz w:val="2"/>
                <w:szCs w:val="2"/>
              </w:rPr>
            </w:pPr>
          </w:p>
        </w:tc>
        <w:tc>
          <w:tcPr>
            <w:tcW w:w="2201" w:type="dxa"/>
            <w:vMerge/>
            <w:tcBorders>
              <w:top w:val="nil"/>
              <w:left w:val="nil"/>
            </w:tcBorders>
          </w:tcPr>
          <w:p>
            <w:pPr>
              <w:rPr>
                <w:sz w:val="2"/>
                <w:szCs w:val="2"/>
              </w:rPr>
            </w:pPr>
          </w:p>
        </w:tc>
      </w:tr>
      <w:tr>
        <w:trPr>
          <w:trHeight w:val="349" w:hRule="atLeast"/>
        </w:trPr>
        <w:tc>
          <w:tcPr>
            <w:tcW w:w="5543" w:type="dxa"/>
            <w:tcBorders>
              <w:top w:val="nil"/>
              <w:bottom w:val="nil"/>
            </w:tcBorders>
          </w:tcPr>
          <w:p>
            <w:pPr>
              <w:pStyle w:val="TableParagraph"/>
              <w:tabs>
                <w:tab w:pos="5033" w:val="left" w:leader="none"/>
              </w:tabs>
              <w:spacing w:line="199" w:lineRule="auto" w:before="96"/>
              <w:ind w:left="227"/>
              <w:rPr>
                <w:sz w:val="16"/>
              </w:rPr>
            </w:pPr>
            <w:r>
              <w:rPr>
                <w:position w:val="-7"/>
                <w:sz w:val="16"/>
              </w:rPr>
              <w:t>60</w:t>
              <w:tab/>
            </w:r>
            <w:r>
              <w:rPr>
                <w:sz w:val="16"/>
              </w:rPr>
              <w:t>150</w:t>
            </w:r>
          </w:p>
        </w:tc>
        <w:tc>
          <w:tcPr>
            <w:tcW w:w="2152" w:type="dxa"/>
            <w:vMerge/>
            <w:tcBorders>
              <w:top w:val="nil"/>
              <w:right w:val="nil"/>
            </w:tcBorders>
          </w:tcPr>
          <w:p>
            <w:pPr>
              <w:rPr>
                <w:sz w:val="2"/>
                <w:szCs w:val="2"/>
              </w:rPr>
            </w:pPr>
          </w:p>
        </w:tc>
        <w:tc>
          <w:tcPr>
            <w:tcW w:w="746" w:type="dxa"/>
            <w:vMerge/>
            <w:tcBorders>
              <w:top w:val="nil"/>
              <w:left w:val="nil"/>
              <w:right w:val="nil"/>
            </w:tcBorders>
          </w:tcPr>
          <w:p>
            <w:pPr>
              <w:rPr>
                <w:sz w:val="2"/>
                <w:szCs w:val="2"/>
              </w:rPr>
            </w:pPr>
          </w:p>
        </w:tc>
        <w:tc>
          <w:tcPr>
            <w:tcW w:w="520" w:type="dxa"/>
            <w:vMerge/>
            <w:tcBorders>
              <w:top w:val="nil"/>
              <w:left w:val="nil"/>
              <w:right w:val="nil"/>
            </w:tcBorders>
          </w:tcPr>
          <w:p>
            <w:pPr>
              <w:rPr>
                <w:sz w:val="2"/>
                <w:szCs w:val="2"/>
              </w:rPr>
            </w:pPr>
          </w:p>
        </w:tc>
        <w:tc>
          <w:tcPr>
            <w:tcW w:w="2201" w:type="dxa"/>
            <w:vMerge/>
            <w:tcBorders>
              <w:top w:val="nil"/>
              <w:left w:val="nil"/>
            </w:tcBorders>
          </w:tcPr>
          <w:p>
            <w:pPr>
              <w:rPr>
                <w:sz w:val="2"/>
                <w:szCs w:val="2"/>
              </w:rPr>
            </w:pPr>
          </w:p>
        </w:tc>
      </w:tr>
      <w:tr>
        <w:trPr>
          <w:trHeight w:val="361" w:hRule="atLeast"/>
        </w:trPr>
        <w:tc>
          <w:tcPr>
            <w:tcW w:w="5543" w:type="dxa"/>
            <w:tcBorders>
              <w:top w:val="nil"/>
              <w:bottom w:val="nil"/>
            </w:tcBorders>
          </w:tcPr>
          <w:p>
            <w:pPr>
              <w:pStyle w:val="TableParagraph"/>
              <w:tabs>
                <w:tab w:pos="5033" w:val="left" w:leader="none"/>
              </w:tabs>
              <w:spacing w:before="76"/>
              <w:ind w:left="227"/>
              <w:rPr>
                <w:sz w:val="16"/>
              </w:rPr>
            </w:pPr>
            <w:r>
              <w:rPr>
                <w:position w:val="-3"/>
                <w:sz w:val="16"/>
              </w:rPr>
              <w:t>50</w:t>
              <w:tab/>
            </w:r>
            <w:r>
              <w:rPr>
                <w:sz w:val="16"/>
              </w:rPr>
              <w:t>145</w:t>
            </w:r>
          </w:p>
        </w:tc>
        <w:tc>
          <w:tcPr>
            <w:tcW w:w="2152" w:type="dxa"/>
            <w:vMerge/>
            <w:tcBorders>
              <w:top w:val="nil"/>
              <w:right w:val="nil"/>
            </w:tcBorders>
          </w:tcPr>
          <w:p>
            <w:pPr>
              <w:rPr>
                <w:sz w:val="2"/>
                <w:szCs w:val="2"/>
              </w:rPr>
            </w:pPr>
          </w:p>
        </w:tc>
        <w:tc>
          <w:tcPr>
            <w:tcW w:w="746" w:type="dxa"/>
            <w:vMerge/>
            <w:tcBorders>
              <w:top w:val="nil"/>
              <w:left w:val="nil"/>
              <w:right w:val="nil"/>
            </w:tcBorders>
          </w:tcPr>
          <w:p>
            <w:pPr>
              <w:rPr>
                <w:sz w:val="2"/>
                <w:szCs w:val="2"/>
              </w:rPr>
            </w:pPr>
          </w:p>
        </w:tc>
        <w:tc>
          <w:tcPr>
            <w:tcW w:w="520" w:type="dxa"/>
            <w:vMerge/>
            <w:tcBorders>
              <w:top w:val="nil"/>
              <w:left w:val="nil"/>
              <w:right w:val="nil"/>
            </w:tcBorders>
          </w:tcPr>
          <w:p>
            <w:pPr>
              <w:rPr>
                <w:sz w:val="2"/>
                <w:szCs w:val="2"/>
              </w:rPr>
            </w:pPr>
          </w:p>
        </w:tc>
        <w:tc>
          <w:tcPr>
            <w:tcW w:w="2201" w:type="dxa"/>
            <w:vMerge/>
            <w:tcBorders>
              <w:top w:val="nil"/>
              <w:left w:val="nil"/>
            </w:tcBorders>
          </w:tcPr>
          <w:p>
            <w:pPr>
              <w:rPr>
                <w:sz w:val="2"/>
                <w:szCs w:val="2"/>
              </w:rPr>
            </w:pPr>
          </w:p>
        </w:tc>
      </w:tr>
      <w:tr>
        <w:trPr>
          <w:trHeight w:val="241" w:hRule="atLeast"/>
        </w:trPr>
        <w:tc>
          <w:tcPr>
            <w:tcW w:w="5543" w:type="dxa"/>
            <w:tcBorders>
              <w:top w:val="nil"/>
              <w:bottom w:val="nil"/>
            </w:tcBorders>
          </w:tcPr>
          <w:p>
            <w:pPr>
              <w:pStyle w:val="TableParagraph"/>
              <w:tabs>
                <w:tab w:pos="5033" w:val="left" w:leader="none"/>
              </w:tabs>
              <w:spacing w:line="165" w:lineRule="exact" w:before="56"/>
              <w:ind w:left="227"/>
              <w:rPr>
                <w:sz w:val="16"/>
              </w:rPr>
            </w:pPr>
            <w:r>
              <w:rPr>
                <w:sz w:val="16"/>
              </w:rPr>
              <w:t>40</w:t>
              <w:tab/>
              <w:t>140</w:t>
            </w:r>
          </w:p>
        </w:tc>
        <w:tc>
          <w:tcPr>
            <w:tcW w:w="2152" w:type="dxa"/>
            <w:vMerge/>
            <w:tcBorders>
              <w:top w:val="nil"/>
              <w:right w:val="nil"/>
            </w:tcBorders>
          </w:tcPr>
          <w:p>
            <w:pPr>
              <w:rPr>
                <w:sz w:val="2"/>
                <w:szCs w:val="2"/>
              </w:rPr>
            </w:pPr>
          </w:p>
        </w:tc>
        <w:tc>
          <w:tcPr>
            <w:tcW w:w="746" w:type="dxa"/>
            <w:vMerge/>
            <w:tcBorders>
              <w:top w:val="nil"/>
              <w:left w:val="nil"/>
              <w:right w:val="nil"/>
            </w:tcBorders>
          </w:tcPr>
          <w:p>
            <w:pPr>
              <w:rPr>
                <w:sz w:val="2"/>
                <w:szCs w:val="2"/>
              </w:rPr>
            </w:pPr>
          </w:p>
        </w:tc>
        <w:tc>
          <w:tcPr>
            <w:tcW w:w="520" w:type="dxa"/>
            <w:vMerge/>
            <w:tcBorders>
              <w:top w:val="nil"/>
              <w:left w:val="nil"/>
              <w:right w:val="nil"/>
            </w:tcBorders>
          </w:tcPr>
          <w:p>
            <w:pPr>
              <w:rPr>
                <w:sz w:val="2"/>
                <w:szCs w:val="2"/>
              </w:rPr>
            </w:pPr>
          </w:p>
        </w:tc>
        <w:tc>
          <w:tcPr>
            <w:tcW w:w="2201" w:type="dxa"/>
            <w:vMerge/>
            <w:tcBorders>
              <w:top w:val="nil"/>
              <w:left w:val="nil"/>
            </w:tcBorders>
          </w:tcPr>
          <w:p>
            <w:pPr>
              <w:rPr>
                <w:sz w:val="2"/>
                <w:szCs w:val="2"/>
              </w:rPr>
            </w:pPr>
          </w:p>
        </w:tc>
      </w:tr>
      <w:tr>
        <w:trPr>
          <w:trHeight w:val="333" w:hRule="atLeast"/>
        </w:trPr>
        <w:tc>
          <w:tcPr>
            <w:tcW w:w="5543" w:type="dxa"/>
            <w:tcBorders>
              <w:top w:val="nil"/>
            </w:tcBorders>
          </w:tcPr>
          <w:p>
            <w:pPr>
              <w:pStyle w:val="TableParagraph"/>
              <w:tabs>
                <w:tab w:pos="1071" w:val="left" w:leader="none"/>
                <w:tab w:pos="1776" w:val="left" w:leader="none"/>
                <w:tab w:pos="2482" w:val="left" w:leader="none"/>
                <w:tab w:pos="3188" w:val="left" w:leader="none"/>
                <w:tab w:pos="3894" w:val="left" w:leader="none"/>
                <w:tab w:pos="4600" w:val="left" w:leader="none"/>
              </w:tabs>
              <w:spacing w:line="180" w:lineRule="exact"/>
              <w:ind w:left="365"/>
              <w:rPr>
                <w:sz w:val="16"/>
              </w:rPr>
            </w:pPr>
            <w:r>
              <w:rPr>
                <w:sz w:val="16"/>
              </w:rPr>
              <w:t>1996</w:t>
              <w:tab/>
              <w:t>1999</w:t>
              <w:tab/>
              <w:t>2002</w:t>
              <w:tab/>
              <w:t>2005</w:t>
              <w:tab/>
              <w:t>2008</w:t>
              <w:tab/>
              <w:t>2011</w:t>
              <w:tab/>
              <w:t>2014</w:t>
            </w:r>
          </w:p>
        </w:tc>
        <w:tc>
          <w:tcPr>
            <w:tcW w:w="2152" w:type="dxa"/>
            <w:vMerge/>
            <w:tcBorders>
              <w:top w:val="nil"/>
              <w:right w:val="nil"/>
            </w:tcBorders>
          </w:tcPr>
          <w:p>
            <w:pPr>
              <w:rPr>
                <w:sz w:val="2"/>
                <w:szCs w:val="2"/>
              </w:rPr>
            </w:pPr>
          </w:p>
        </w:tc>
        <w:tc>
          <w:tcPr>
            <w:tcW w:w="746" w:type="dxa"/>
            <w:vMerge/>
            <w:tcBorders>
              <w:top w:val="nil"/>
              <w:left w:val="nil"/>
              <w:right w:val="nil"/>
            </w:tcBorders>
          </w:tcPr>
          <w:p>
            <w:pPr>
              <w:rPr>
                <w:sz w:val="2"/>
                <w:szCs w:val="2"/>
              </w:rPr>
            </w:pPr>
          </w:p>
        </w:tc>
        <w:tc>
          <w:tcPr>
            <w:tcW w:w="520" w:type="dxa"/>
            <w:vMerge/>
            <w:tcBorders>
              <w:top w:val="nil"/>
              <w:left w:val="nil"/>
              <w:right w:val="nil"/>
            </w:tcBorders>
          </w:tcPr>
          <w:p>
            <w:pPr>
              <w:rPr>
                <w:sz w:val="2"/>
                <w:szCs w:val="2"/>
              </w:rPr>
            </w:pPr>
          </w:p>
        </w:tc>
        <w:tc>
          <w:tcPr>
            <w:tcW w:w="2201" w:type="dxa"/>
            <w:vMerge/>
            <w:tcBorders>
              <w:top w:val="nil"/>
              <w:left w:val="nil"/>
            </w:tcBorders>
          </w:tcPr>
          <w:p>
            <w:pPr>
              <w:rPr>
                <w:sz w:val="2"/>
                <w:szCs w:val="2"/>
              </w:rPr>
            </w:pPr>
          </w:p>
        </w:tc>
      </w:tr>
      <w:tr>
        <w:trPr>
          <w:trHeight w:val="244" w:hRule="atLeast"/>
        </w:trPr>
        <w:tc>
          <w:tcPr>
            <w:tcW w:w="5543" w:type="dxa"/>
          </w:tcPr>
          <w:p>
            <w:pPr>
              <w:pStyle w:val="TableParagraph"/>
              <w:spacing w:before="27"/>
              <w:ind w:left="107"/>
              <w:rPr>
                <w:sz w:val="16"/>
              </w:rPr>
            </w:pPr>
            <w:r>
              <w:rPr>
                <w:sz w:val="16"/>
              </w:rPr>
              <w:t>Source: IMF GFSR October 2015</w:t>
            </w:r>
          </w:p>
        </w:tc>
        <w:tc>
          <w:tcPr>
            <w:tcW w:w="5619" w:type="dxa"/>
            <w:gridSpan w:val="4"/>
          </w:tcPr>
          <w:p>
            <w:pPr>
              <w:pStyle w:val="TableParagraph"/>
              <w:spacing w:before="27"/>
              <w:ind w:left="107"/>
              <w:rPr>
                <w:sz w:val="16"/>
              </w:rPr>
            </w:pPr>
            <w:r>
              <w:rPr>
                <w:sz w:val="16"/>
              </w:rPr>
              <w:t>Source: UN World Population Prospects: The 2015 Revision</w:t>
            </w:r>
          </w:p>
        </w:tc>
      </w:tr>
      <w:tr>
        <w:trPr>
          <w:trHeight w:val="558" w:hRule="atLeast"/>
        </w:trPr>
        <w:tc>
          <w:tcPr>
            <w:tcW w:w="5543" w:type="dxa"/>
          </w:tcPr>
          <w:p>
            <w:pPr>
              <w:pStyle w:val="TableParagraph"/>
              <w:spacing w:before="117"/>
              <w:ind w:left="107"/>
              <w:rPr>
                <w:sz w:val="20"/>
              </w:rPr>
            </w:pPr>
            <w:r>
              <w:rPr>
                <w:b/>
                <w:sz w:val="20"/>
              </w:rPr>
              <w:t>Figure 5: </w:t>
            </w:r>
            <w:r>
              <w:rPr>
                <w:sz w:val="20"/>
              </w:rPr>
              <w:t>Fertility by regions (children per woman)</w:t>
            </w:r>
          </w:p>
        </w:tc>
        <w:tc>
          <w:tcPr>
            <w:tcW w:w="5619" w:type="dxa"/>
            <w:gridSpan w:val="4"/>
          </w:tcPr>
          <w:p>
            <w:pPr>
              <w:pStyle w:val="TableParagraph"/>
              <w:spacing w:before="117"/>
              <w:ind w:left="107"/>
              <w:rPr>
                <w:sz w:val="20"/>
              </w:rPr>
            </w:pPr>
            <w:r>
              <w:rPr>
                <w:b/>
                <w:sz w:val="20"/>
              </w:rPr>
              <w:t>Figure 6: </w:t>
            </w:r>
            <w:r>
              <w:rPr>
                <w:sz w:val="20"/>
              </w:rPr>
              <w:t>Working age (15-64) population growth by regions</w:t>
            </w:r>
          </w:p>
        </w:tc>
      </w:tr>
      <w:tr>
        <w:trPr>
          <w:trHeight w:val="441" w:hRule="atLeast"/>
        </w:trPr>
        <w:tc>
          <w:tcPr>
            <w:tcW w:w="5543" w:type="dxa"/>
            <w:tcBorders>
              <w:bottom w:val="nil"/>
            </w:tcBorders>
          </w:tcPr>
          <w:p>
            <w:pPr>
              <w:pStyle w:val="TableParagraph"/>
              <w:tabs>
                <w:tab w:pos="3340" w:val="left" w:leader="none"/>
              </w:tabs>
              <w:spacing w:before="96"/>
              <w:ind w:left="284"/>
              <w:rPr>
                <w:sz w:val="16"/>
              </w:rPr>
            </w:pPr>
            <w:r>
              <w:rPr>
                <w:position w:val="10"/>
                <w:sz w:val="16"/>
              </w:rPr>
              <w:t>7</w:t>
              <w:tab/>
            </w:r>
            <w:r>
              <w:rPr>
                <w:sz w:val="16"/>
              </w:rPr>
              <w:t>World</w:t>
            </w:r>
          </w:p>
        </w:tc>
        <w:tc>
          <w:tcPr>
            <w:tcW w:w="2152" w:type="dxa"/>
            <w:vMerge w:val="restart"/>
            <w:tcBorders>
              <w:right w:val="nil"/>
            </w:tcBorders>
          </w:tcPr>
          <w:p>
            <w:pPr>
              <w:pStyle w:val="TableParagraph"/>
              <w:spacing w:before="81"/>
              <w:ind w:left="137"/>
              <w:rPr>
                <w:sz w:val="16"/>
              </w:rPr>
            </w:pPr>
            <w:r>
              <w:rPr>
                <w:sz w:val="16"/>
              </w:rPr>
              <w:t>16%</w:t>
            </w:r>
          </w:p>
          <w:p>
            <w:pPr>
              <w:pStyle w:val="TableParagraph"/>
              <w:rPr>
                <w:sz w:val="18"/>
              </w:rPr>
            </w:pPr>
          </w:p>
          <w:p>
            <w:pPr>
              <w:pStyle w:val="TableParagraph"/>
              <w:spacing w:before="6"/>
              <w:rPr>
                <w:sz w:val="16"/>
              </w:rPr>
            </w:pPr>
          </w:p>
          <w:p>
            <w:pPr>
              <w:pStyle w:val="TableParagraph"/>
              <w:spacing w:before="1"/>
              <w:ind w:left="137"/>
              <w:rPr>
                <w:sz w:val="16"/>
              </w:rPr>
            </w:pPr>
            <w:r>
              <w:rPr>
                <w:sz w:val="16"/>
              </w:rPr>
              <w:t>12%</w:t>
            </w:r>
          </w:p>
          <w:p>
            <w:pPr>
              <w:pStyle w:val="TableParagraph"/>
              <w:rPr>
                <w:sz w:val="18"/>
              </w:rPr>
            </w:pPr>
          </w:p>
          <w:p>
            <w:pPr>
              <w:pStyle w:val="TableParagraph"/>
              <w:spacing w:before="5"/>
              <w:rPr>
                <w:sz w:val="16"/>
              </w:rPr>
            </w:pPr>
          </w:p>
          <w:p>
            <w:pPr>
              <w:pStyle w:val="TableParagraph"/>
              <w:spacing w:before="1"/>
              <w:ind w:left="226"/>
              <w:rPr>
                <w:sz w:val="16"/>
              </w:rPr>
            </w:pPr>
            <w:r>
              <w:rPr>
                <w:sz w:val="16"/>
              </w:rPr>
              <w:t>8%</w:t>
            </w:r>
          </w:p>
          <w:p>
            <w:pPr>
              <w:pStyle w:val="TableParagraph"/>
              <w:rPr>
                <w:sz w:val="18"/>
              </w:rPr>
            </w:pPr>
          </w:p>
          <w:p>
            <w:pPr>
              <w:pStyle w:val="TableParagraph"/>
              <w:spacing w:before="6"/>
              <w:rPr>
                <w:sz w:val="16"/>
              </w:rPr>
            </w:pPr>
          </w:p>
          <w:p>
            <w:pPr>
              <w:pStyle w:val="TableParagraph"/>
              <w:ind w:left="226"/>
              <w:rPr>
                <w:sz w:val="16"/>
              </w:rPr>
            </w:pPr>
            <w:r>
              <w:rPr>
                <w:sz w:val="16"/>
              </w:rPr>
              <w:t>4%</w:t>
            </w:r>
          </w:p>
          <w:p>
            <w:pPr>
              <w:pStyle w:val="TableParagraph"/>
              <w:rPr>
                <w:sz w:val="18"/>
              </w:rPr>
            </w:pPr>
          </w:p>
          <w:p>
            <w:pPr>
              <w:pStyle w:val="TableParagraph"/>
              <w:spacing w:before="6"/>
              <w:rPr>
                <w:sz w:val="16"/>
              </w:rPr>
            </w:pPr>
          </w:p>
          <w:p>
            <w:pPr>
              <w:pStyle w:val="TableParagraph"/>
              <w:ind w:left="226"/>
              <w:rPr>
                <w:sz w:val="16"/>
              </w:rPr>
            </w:pPr>
            <w:r>
              <w:rPr>
                <w:sz w:val="16"/>
              </w:rPr>
              <w:t>0%</w:t>
            </w:r>
          </w:p>
          <w:p>
            <w:pPr>
              <w:pStyle w:val="TableParagraph"/>
              <w:rPr>
                <w:sz w:val="18"/>
              </w:rPr>
            </w:pPr>
          </w:p>
          <w:p>
            <w:pPr>
              <w:pStyle w:val="TableParagraph"/>
              <w:spacing w:before="6"/>
              <w:rPr>
                <w:sz w:val="16"/>
              </w:rPr>
            </w:pPr>
          </w:p>
          <w:p>
            <w:pPr>
              <w:pStyle w:val="TableParagraph"/>
              <w:ind w:left="173"/>
              <w:rPr>
                <w:sz w:val="16"/>
              </w:rPr>
            </w:pPr>
            <w:r>
              <w:rPr>
                <w:sz w:val="16"/>
              </w:rPr>
              <w:t>-4%</w:t>
            </w:r>
          </w:p>
          <w:p>
            <w:pPr>
              <w:pStyle w:val="TableParagraph"/>
              <w:tabs>
                <w:tab w:pos="1051" w:val="left" w:leader="none"/>
                <w:tab w:pos="1686" w:val="left" w:leader="none"/>
              </w:tabs>
              <w:spacing w:before="7"/>
              <w:ind w:left="417"/>
              <w:rPr>
                <w:sz w:val="16"/>
              </w:rPr>
            </w:pPr>
            <w:r>
              <w:rPr>
                <w:sz w:val="16"/>
              </w:rPr>
              <w:t>1955</w:t>
              <w:tab/>
              <w:t>1975</w:t>
              <w:tab/>
              <w:t>1995</w:t>
            </w:r>
          </w:p>
        </w:tc>
        <w:tc>
          <w:tcPr>
            <w:tcW w:w="746" w:type="dxa"/>
            <w:vMerge w:val="restart"/>
            <w:tcBorders>
              <w:left w:val="nil"/>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4"/>
              <w:rPr>
                <w:sz w:val="24"/>
              </w:rPr>
            </w:pPr>
          </w:p>
          <w:p>
            <w:pPr>
              <w:pStyle w:val="TableParagraph"/>
              <w:ind w:left="173"/>
              <w:rPr>
                <w:sz w:val="16"/>
              </w:rPr>
            </w:pPr>
            <w:r>
              <w:rPr>
                <w:sz w:val="16"/>
              </w:rPr>
              <w:t>2015</w:t>
            </w:r>
          </w:p>
        </w:tc>
        <w:tc>
          <w:tcPr>
            <w:tcW w:w="520" w:type="dxa"/>
            <w:vMerge w:val="restart"/>
            <w:tcBorders>
              <w:left w:val="nil"/>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4"/>
              <w:rPr>
                <w:sz w:val="24"/>
              </w:rPr>
            </w:pPr>
          </w:p>
          <w:p>
            <w:pPr>
              <w:pStyle w:val="TableParagraph"/>
              <w:ind w:left="62"/>
              <w:rPr>
                <w:sz w:val="16"/>
              </w:rPr>
            </w:pPr>
            <w:r>
              <w:rPr>
                <w:sz w:val="16"/>
              </w:rPr>
              <w:t>2035</w:t>
            </w:r>
          </w:p>
        </w:tc>
        <w:tc>
          <w:tcPr>
            <w:tcW w:w="2201" w:type="dxa"/>
            <w:vMerge w:val="restart"/>
            <w:tcBorders>
              <w:left w:val="nil"/>
            </w:tcBorders>
          </w:tcPr>
          <w:p>
            <w:pPr>
              <w:pStyle w:val="TableParagraph"/>
              <w:spacing w:before="3"/>
              <w:rPr>
                <w:sz w:val="17"/>
              </w:rPr>
            </w:pPr>
          </w:p>
          <w:p>
            <w:pPr>
              <w:pStyle w:val="TableParagraph"/>
              <w:ind w:left="136"/>
              <w:rPr>
                <w:sz w:val="16"/>
              </w:rPr>
            </w:pPr>
            <w:r>
              <w:rPr>
                <w:sz w:val="16"/>
              </w:rPr>
              <w:t>World</w:t>
            </w:r>
          </w:p>
          <w:p>
            <w:pPr>
              <w:pStyle w:val="TableParagraph"/>
              <w:spacing w:line="415" w:lineRule="auto" w:before="135"/>
              <w:ind w:left="136" w:right="74"/>
              <w:rPr>
                <w:sz w:val="16"/>
              </w:rPr>
            </w:pPr>
            <w:r>
              <w:rPr>
                <w:sz w:val="16"/>
              </w:rPr>
              <w:t>More developed </w:t>
            </w:r>
            <w:r>
              <w:rPr>
                <w:spacing w:val="-3"/>
                <w:sz w:val="16"/>
              </w:rPr>
              <w:t>regions </w:t>
            </w:r>
            <w:r>
              <w:rPr>
                <w:sz w:val="16"/>
              </w:rPr>
              <w:t>Less developed</w:t>
            </w:r>
            <w:r>
              <w:rPr>
                <w:spacing w:val="-7"/>
                <w:sz w:val="16"/>
              </w:rPr>
              <w:t> </w:t>
            </w:r>
            <w:r>
              <w:rPr>
                <w:sz w:val="16"/>
              </w:rPr>
              <w:t>regions</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tabs>
                <w:tab w:pos="810" w:val="left" w:leader="none"/>
                <w:tab w:pos="1444" w:val="left" w:leader="none"/>
              </w:tabs>
              <w:spacing w:before="161"/>
              <w:ind w:left="176"/>
              <w:rPr>
                <w:sz w:val="16"/>
              </w:rPr>
            </w:pPr>
            <w:r>
              <w:rPr>
                <w:sz w:val="16"/>
              </w:rPr>
              <w:t>2055</w:t>
              <w:tab/>
              <w:t>2075</w:t>
              <w:tab/>
              <w:t>2095</w:t>
            </w:r>
          </w:p>
        </w:tc>
      </w:tr>
      <w:tr>
        <w:trPr>
          <w:trHeight w:val="295" w:hRule="atLeast"/>
        </w:trPr>
        <w:tc>
          <w:tcPr>
            <w:tcW w:w="5543" w:type="dxa"/>
            <w:tcBorders>
              <w:top w:val="nil"/>
              <w:bottom w:val="nil"/>
            </w:tcBorders>
          </w:tcPr>
          <w:p>
            <w:pPr>
              <w:pStyle w:val="TableParagraph"/>
              <w:tabs>
                <w:tab w:pos="3340" w:val="left" w:leader="none"/>
              </w:tabs>
              <w:spacing w:before="57"/>
              <w:ind w:left="284"/>
              <w:rPr>
                <w:sz w:val="16"/>
              </w:rPr>
            </w:pPr>
            <w:r>
              <w:rPr>
                <w:sz w:val="16"/>
              </w:rPr>
              <w:t>6</w:t>
              <w:tab/>
              <w:t>More developed</w:t>
            </w:r>
            <w:r>
              <w:rPr>
                <w:spacing w:val="-3"/>
                <w:sz w:val="16"/>
              </w:rPr>
              <w:t> </w:t>
            </w:r>
            <w:r>
              <w:rPr>
                <w:sz w:val="16"/>
              </w:rPr>
              <w:t>regions</w:t>
            </w:r>
          </w:p>
        </w:tc>
        <w:tc>
          <w:tcPr>
            <w:tcW w:w="2152" w:type="dxa"/>
            <w:vMerge/>
            <w:tcBorders>
              <w:top w:val="nil"/>
              <w:right w:val="nil"/>
            </w:tcBorders>
          </w:tcPr>
          <w:p>
            <w:pPr>
              <w:rPr>
                <w:sz w:val="2"/>
                <w:szCs w:val="2"/>
              </w:rPr>
            </w:pPr>
          </w:p>
        </w:tc>
        <w:tc>
          <w:tcPr>
            <w:tcW w:w="746" w:type="dxa"/>
            <w:vMerge/>
            <w:tcBorders>
              <w:top w:val="nil"/>
              <w:left w:val="nil"/>
              <w:right w:val="nil"/>
            </w:tcBorders>
          </w:tcPr>
          <w:p>
            <w:pPr>
              <w:rPr>
                <w:sz w:val="2"/>
                <w:szCs w:val="2"/>
              </w:rPr>
            </w:pPr>
          </w:p>
        </w:tc>
        <w:tc>
          <w:tcPr>
            <w:tcW w:w="520" w:type="dxa"/>
            <w:vMerge/>
            <w:tcBorders>
              <w:top w:val="nil"/>
              <w:left w:val="nil"/>
              <w:right w:val="nil"/>
            </w:tcBorders>
          </w:tcPr>
          <w:p>
            <w:pPr>
              <w:rPr>
                <w:sz w:val="2"/>
                <w:szCs w:val="2"/>
              </w:rPr>
            </w:pPr>
          </w:p>
        </w:tc>
        <w:tc>
          <w:tcPr>
            <w:tcW w:w="2201" w:type="dxa"/>
            <w:vMerge/>
            <w:tcBorders>
              <w:top w:val="nil"/>
              <w:left w:val="nil"/>
            </w:tcBorders>
          </w:tcPr>
          <w:p>
            <w:pPr>
              <w:rPr>
                <w:sz w:val="2"/>
                <w:szCs w:val="2"/>
              </w:rPr>
            </w:pPr>
          </w:p>
        </w:tc>
      </w:tr>
      <w:tr>
        <w:trPr>
          <w:trHeight w:val="412" w:hRule="atLeast"/>
        </w:trPr>
        <w:tc>
          <w:tcPr>
            <w:tcW w:w="5543" w:type="dxa"/>
            <w:tcBorders>
              <w:top w:val="nil"/>
              <w:bottom w:val="nil"/>
            </w:tcBorders>
          </w:tcPr>
          <w:p>
            <w:pPr>
              <w:pStyle w:val="TableParagraph"/>
              <w:tabs>
                <w:tab w:pos="3340" w:val="left" w:leader="none"/>
              </w:tabs>
              <w:spacing w:before="64"/>
              <w:ind w:left="284"/>
              <w:rPr>
                <w:sz w:val="16"/>
              </w:rPr>
            </w:pPr>
            <w:r>
              <w:rPr>
                <w:position w:val="-9"/>
                <w:sz w:val="16"/>
              </w:rPr>
              <w:t>5</w:t>
              <w:tab/>
            </w:r>
            <w:r>
              <w:rPr>
                <w:sz w:val="16"/>
              </w:rPr>
              <w:t>Less developed</w:t>
            </w:r>
            <w:r>
              <w:rPr>
                <w:spacing w:val="-4"/>
                <w:sz w:val="16"/>
              </w:rPr>
              <w:t> </w:t>
            </w:r>
            <w:r>
              <w:rPr>
                <w:sz w:val="16"/>
              </w:rPr>
              <w:t>regions</w:t>
            </w:r>
          </w:p>
        </w:tc>
        <w:tc>
          <w:tcPr>
            <w:tcW w:w="2152" w:type="dxa"/>
            <w:vMerge/>
            <w:tcBorders>
              <w:top w:val="nil"/>
              <w:right w:val="nil"/>
            </w:tcBorders>
          </w:tcPr>
          <w:p>
            <w:pPr>
              <w:rPr>
                <w:sz w:val="2"/>
                <w:szCs w:val="2"/>
              </w:rPr>
            </w:pPr>
          </w:p>
        </w:tc>
        <w:tc>
          <w:tcPr>
            <w:tcW w:w="746" w:type="dxa"/>
            <w:vMerge/>
            <w:tcBorders>
              <w:top w:val="nil"/>
              <w:left w:val="nil"/>
              <w:right w:val="nil"/>
            </w:tcBorders>
          </w:tcPr>
          <w:p>
            <w:pPr>
              <w:rPr>
                <w:sz w:val="2"/>
                <w:szCs w:val="2"/>
              </w:rPr>
            </w:pPr>
          </w:p>
        </w:tc>
        <w:tc>
          <w:tcPr>
            <w:tcW w:w="520" w:type="dxa"/>
            <w:vMerge/>
            <w:tcBorders>
              <w:top w:val="nil"/>
              <w:left w:val="nil"/>
              <w:right w:val="nil"/>
            </w:tcBorders>
          </w:tcPr>
          <w:p>
            <w:pPr>
              <w:rPr>
                <w:sz w:val="2"/>
                <w:szCs w:val="2"/>
              </w:rPr>
            </w:pPr>
          </w:p>
        </w:tc>
        <w:tc>
          <w:tcPr>
            <w:tcW w:w="2201" w:type="dxa"/>
            <w:vMerge/>
            <w:tcBorders>
              <w:top w:val="nil"/>
              <w:left w:val="nil"/>
            </w:tcBorders>
          </w:tcPr>
          <w:p>
            <w:pPr>
              <w:rPr>
                <w:sz w:val="2"/>
                <w:szCs w:val="2"/>
              </w:rPr>
            </w:pPr>
          </w:p>
        </w:tc>
      </w:tr>
      <w:tr>
        <w:trPr>
          <w:trHeight w:val="456" w:hRule="atLeast"/>
        </w:trPr>
        <w:tc>
          <w:tcPr>
            <w:tcW w:w="5543" w:type="dxa"/>
            <w:tcBorders>
              <w:top w:val="nil"/>
              <w:bottom w:val="nil"/>
            </w:tcBorders>
          </w:tcPr>
          <w:p>
            <w:pPr>
              <w:pStyle w:val="TableParagraph"/>
              <w:spacing w:before="159"/>
              <w:ind w:left="284"/>
              <w:rPr>
                <w:sz w:val="16"/>
              </w:rPr>
            </w:pPr>
            <w:r>
              <w:rPr>
                <w:w w:val="100"/>
                <w:sz w:val="16"/>
              </w:rPr>
              <w:t>4</w:t>
            </w:r>
          </w:p>
        </w:tc>
        <w:tc>
          <w:tcPr>
            <w:tcW w:w="2152" w:type="dxa"/>
            <w:vMerge/>
            <w:tcBorders>
              <w:top w:val="nil"/>
              <w:right w:val="nil"/>
            </w:tcBorders>
          </w:tcPr>
          <w:p>
            <w:pPr>
              <w:rPr>
                <w:sz w:val="2"/>
                <w:szCs w:val="2"/>
              </w:rPr>
            </w:pPr>
          </w:p>
        </w:tc>
        <w:tc>
          <w:tcPr>
            <w:tcW w:w="746" w:type="dxa"/>
            <w:vMerge/>
            <w:tcBorders>
              <w:top w:val="nil"/>
              <w:left w:val="nil"/>
              <w:right w:val="nil"/>
            </w:tcBorders>
          </w:tcPr>
          <w:p>
            <w:pPr>
              <w:rPr>
                <w:sz w:val="2"/>
                <w:szCs w:val="2"/>
              </w:rPr>
            </w:pPr>
          </w:p>
        </w:tc>
        <w:tc>
          <w:tcPr>
            <w:tcW w:w="520" w:type="dxa"/>
            <w:vMerge/>
            <w:tcBorders>
              <w:top w:val="nil"/>
              <w:left w:val="nil"/>
              <w:right w:val="nil"/>
            </w:tcBorders>
          </w:tcPr>
          <w:p>
            <w:pPr>
              <w:rPr>
                <w:sz w:val="2"/>
                <w:szCs w:val="2"/>
              </w:rPr>
            </w:pPr>
          </w:p>
        </w:tc>
        <w:tc>
          <w:tcPr>
            <w:tcW w:w="2201" w:type="dxa"/>
            <w:vMerge/>
            <w:tcBorders>
              <w:top w:val="nil"/>
              <w:left w:val="nil"/>
            </w:tcBorders>
          </w:tcPr>
          <w:p>
            <w:pPr>
              <w:rPr>
                <w:sz w:val="2"/>
                <w:szCs w:val="2"/>
              </w:rPr>
            </w:pPr>
          </w:p>
        </w:tc>
      </w:tr>
      <w:tr>
        <w:trPr>
          <w:trHeight w:val="404" w:hRule="atLeast"/>
        </w:trPr>
        <w:tc>
          <w:tcPr>
            <w:tcW w:w="5543" w:type="dxa"/>
            <w:tcBorders>
              <w:top w:val="nil"/>
              <w:bottom w:val="nil"/>
            </w:tcBorders>
          </w:tcPr>
          <w:p>
            <w:pPr>
              <w:pStyle w:val="TableParagraph"/>
              <w:spacing w:before="108"/>
              <w:ind w:left="284"/>
              <w:rPr>
                <w:sz w:val="16"/>
              </w:rPr>
            </w:pPr>
            <w:r>
              <w:rPr>
                <w:w w:val="100"/>
                <w:sz w:val="16"/>
              </w:rPr>
              <w:t>3</w:t>
            </w:r>
          </w:p>
        </w:tc>
        <w:tc>
          <w:tcPr>
            <w:tcW w:w="2152" w:type="dxa"/>
            <w:vMerge/>
            <w:tcBorders>
              <w:top w:val="nil"/>
              <w:right w:val="nil"/>
            </w:tcBorders>
          </w:tcPr>
          <w:p>
            <w:pPr>
              <w:rPr>
                <w:sz w:val="2"/>
                <w:szCs w:val="2"/>
              </w:rPr>
            </w:pPr>
          </w:p>
        </w:tc>
        <w:tc>
          <w:tcPr>
            <w:tcW w:w="746" w:type="dxa"/>
            <w:vMerge/>
            <w:tcBorders>
              <w:top w:val="nil"/>
              <w:left w:val="nil"/>
              <w:right w:val="nil"/>
            </w:tcBorders>
          </w:tcPr>
          <w:p>
            <w:pPr>
              <w:rPr>
                <w:sz w:val="2"/>
                <w:szCs w:val="2"/>
              </w:rPr>
            </w:pPr>
          </w:p>
        </w:tc>
        <w:tc>
          <w:tcPr>
            <w:tcW w:w="520" w:type="dxa"/>
            <w:vMerge/>
            <w:tcBorders>
              <w:top w:val="nil"/>
              <w:left w:val="nil"/>
              <w:right w:val="nil"/>
            </w:tcBorders>
          </w:tcPr>
          <w:p>
            <w:pPr>
              <w:rPr>
                <w:sz w:val="2"/>
                <w:szCs w:val="2"/>
              </w:rPr>
            </w:pPr>
          </w:p>
        </w:tc>
        <w:tc>
          <w:tcPr>
            <w:tcW w:w="2201" w:type="dxa"/>
            <w:vMerge/>
            <w:tcBorders>
              <w:top w:val="nil"/>
              <w:left w:val="nil"/>
            </w:tcBorders>
          </w:tcPr>
          <w:p>
            <w:pPr>
              <w:rPr>
                <w:sz w:val="2"/>
                <w:szCs w:val="2"/>
              </w:rPr>
            </w:pPr>
          </w:p>
        </w:tc>
      </w:tr>
      <w:tr>
        <w:trPr>
          <w:trHeight w:val="405" w:hRule="atLeast"/>
        </w:trPr>
        <w:tc>
          <w:tcPr>
            <w:tcW w:w="5543" w:type="dxa"/>
            <w:tcBorders>
              <w:top w:val="nil"/>
              <w:bottom w:val="nil"/>
            </w:tcBorders>
          </w:tcPr>
          <w:p>
            <w:pPr>
              <w:pStyle w:val="TableParagraph"/>
              <w:spacing w:before="108"/>
              <w:ind w:left="284"/>
              <w:rPr>
                <w:sz w:val="16"/>
              </w:rPr>
            </w:pPr>
            <w:r>
              <w:rPr>
                <w:w w:val="100"/>
                <w:sz w:val="16"/>
              </w:rPr>
              <w:t>2</w:t>
            </w:r>
          </w:p>
        </w:tc>
        <w:tc>
          <w:tcPr>
            <w:tcW w:w="2152" w:type="dxa"/>
            <w:vMerge/>
            <w:tcBorders>
              <w:top w:val="nil"/>
              <w:right w:val="nil"/>
            </w:tcBorders>
          </w:tcPr>
          <w:p>
            <w:pPr>
              <w:rPr>
                <w:sz w:val="2"/>
                <w:szCs w:val="2"/>
              </w:rPr>
            </w:pPr>
          </w:p>
        </w:tc>
        <w:tc>
          <w:tcPr>
            <w:tcW w:w="746" w:type="dxa"/>
            <w:vMerge/>
            <w:tcBorders>
              <w:top w:val="nil"/>
              <w:left w:val="nil"/>
              <w:right w:val="nil"/>
            </w:tcBorders>
          </w:tcPr>
          <w:p>
            <w:pPr>
              <w:rPr>
                <w:sz w:val="2"/>
                <w:szCs w:val="2"/>
              </w:rPr>
            </w:pPr>
          </w:p>
        </w:tc>
        <w:tc>
          <w:tcPr>
            <w:tcW w:w="520" w:type="dxa"/>
            <w:vMerge/>
            <w:tcBorders>
              <w:top w:val="nil"/>
              <w:left w:val="nil"/>
              <w:right w:val="nil"/>
            </w:tcBorders>
          </w:tcPr>
          <w:p>
            <w:pPr>
              <w:rPr>
                <w:sz w:val="2"/>
                <w:szCs w:val="2"/>
              </w:rPr>
            </w:pPr>
          </w:p>
        </w:tc>
        <w:tc>
          <w:tcPr>
            <w:tcW w:w="2201" w:type="dxa"/>
            <w:vMerge/>
            <w:tcBorders>
              <w:top w:val="nil"/>
              <w:left w:val="nil"/>
            </w:tcBorders>
          </w:tcPr>
          <w:p>
            <w:pPr>
              <w:rPr>
                <w:sz w:val="2"/>
                <w:szCs w:val="2"/>
              </w:rPr>
            </w:pPr>
          </w:p>
        </w:tc>
      </w:tr>
      <w:tr>
        <w:trPr>
          <w:trHeight w:val="405" w:hRule="atLeast"/>
        </w:trPr>
        <w:tc>
          <w:tcPr>
            <w:tcW w:w="5543" w:type="dxa"/>
            <w:tcBorders>
              <w:top w:val="nil"/>
              <w:bottom w:val="nil"/>
            </w:tcBorders>
          </w:tcPr>
          <w:p>
            <w:pPr>
              <w:pStyle w:val="TableParagraph"/>
              <w:spacing w:before="108"/>
              <w:ind w:left="284"/>
              <w:rPr>
                <w:sz w:val="16"/>
              </w:rPr>
            </w:pPr>
            <w:r>
              <w:rPr>
                <w:w w:val="100"/>
                <w:sz w:val="16"/>
              </w:rPr>
              <w:t>1</w:t>
            </w:r>
          </w:p>
        </w:tc>
        <w:tc>
          <w:tcPr>
            <w:tcW w:w="2152" w:type="dxa"/>
            <w:vMerge/>
            <w:tcBorders>
              <w:top w:val="nil"/>
              <w:right w:val="nil"/>
            </w:tcBorders>
          </w:tcPr>
          <w:p>
            <w:pPr>
              <w:rPr>
                <w:sz w:val="2"/>
                <w:szCs w:val="2"/>
              </w:rPr>
            </w:pPr>
          </w:p>
        </w:tc>
        <w:tc>
          <w:tcPr>
            <w:tcW w:w="746" w:type="dxa"/>
            <w:vMerge/>
            <w:tcBorders>
              <w:top w:val="nil"/>
              <w:left w:val="nil"/>
              <w:right w:val="nil"/>
            </w:tcBorders>
          </w:tcPr>
          <w:p>
            <w:pPr>
              <w:rPr>
                <w:sz w:val="2"/>
                <w:szCs w:val="2"/>
              </w:rPr>
            </w:pPr>
          </w:p>
        </w:tc>
        <w:tc>
          <w:tcPr>
            <w:tcW w:w="520" w:type="dxa"/>
            <w:vMerge/>
            <w:tcBorders>
              <w:top w:val="nil"/>
              <w:left w:val="nil"/>
              <w:right w:val="nil"/>
            </w:tcBorders>
          </w:tcPr>
          <w:p>
            <w:pPr>
              <w:rPr>
                <w:sz w:val="2"/>
                <w:szCs w:val="2"/>
              </w:rPr>
            </w:pPr>
          </w:p>
        </w:tc>
        <w:tc>
          <w:tcPr>
            <w:tcW w:w="2201" w:type="dxa"/>
            <w:vMerge/>
            <w:tcBorders>
              <w:top w:val="nil"/>
              <w:left w:val="nil"/>
            </w:tcBorders>
          </w:tcPr>
          <w:p>
            <w:pPr>
              <w:rPr>
                <w:sz w:val="2"/>
                <w:szCs w:val="2"/>
              </w:rPr>
            </w:pPr>
          </w:p>
        </w:tc>
      </w:tr>
      <w:tr>
        <w:trPr>
          <w:trHeight w:val="292" w:hRule="atLeast"/>
        </w:trPr>
        <w:tc>
          <w:tcPr>
            <w:tcW w:w="5543" w:type="dxa"/>
            <w:tcBorders>
              <w:top w:val="nil"/>
              <w:bottom w:val="nil"/>
            </w:tcBorders>
          </w:tcPr>
          <w:p>
            <w:pPr>
              <w:pStyle w:val="TableParagraph"/>
              <w:spacing w:line="165" w:lineRule="exact" w:before="108"/>
              <w:ind w:left="284"/>
              <w:rPr>
                <w:sz w:val="16"/>
              </w:rPr>
            </w:pPr>
            <w:r>
              <w:rPr>
                <w:w w:val="100"/>
                <w:sz w:val="16"/>
              </w:rPr>
              <w:t>0</w:t>
            </w:r>
          </w:p>
        </w:tc>
        <w:tc>
          <w:tcPr>
            <w:tcW w:w="2152" w:type="dxa"/>
            <w:vMerge/>
            <w:tcBorders>
              <w:top w:val="nil"/>
              <w:right w:val="nil"/>
            </w:tcBorders>
          </w:tcPr>
          <w:p>
            <w:pPr>
              <w:rPr>
                <w:sz w:val="2"/>
                <w:szCs w:val="2"/>
              </w:rPr>
            </w:pPr>
          </w:p>
        </w:tc>
        <w:tc>
          <w:tcPr>
            <w:tcW w:w="746" w:type="dxa"/>
            <w:vMerge/>
            <w:tcBorders>
              <w:top w:val="nil"/>
              <w:left w:val="nil"/>
              <w:right w:val="nil"/>
            </w:tcBorders>
          </w:tcPr>
          <w:p>
            <w:pPr>
              <w:rPr>
                <w:sz w:val="2"/>
                <w:szCs w:val="2"/>
              </w:rPr>
            </w:pPr>
          </w:p>
        </w:tc>
        <w:tc>
          <w:tcPr>
            <w:tcW w:w="520" w:type="dxa"/>
            <w:vMerge/>
            <w:tcBorders>
              <w:top w:val="nil"/>
              <w:left w:val="nil"/>
              <w:right w:val="nil"/>
            </w:tcBorders>
          </w:tcPr>
          <w:p>
            <w:pPr>
              <w:rPr>
                <w:sz w:val="2"/>
                <w:szCs w:val="2"/>
              </w:rPr>
            </w:pPr>
          </w:p>
        </w:tc>
        <w:tc>
          <w:tcPr>
            <w:tcW w:w="2201" w:type="dxa"/>
            <w:vMerge/>
            <w:tcBorders>
              <w:top w:val="nil"/>
              <w:left w:val="nil"/>
            </w:tcBorders>
          </w:tcPr>
          <w:p>
            <w:pPr>
              <w:rPr>
                <w:sz w:val="2"/>
                <w:szCs w:val="2"/>
              </w:rPr>
            </w:pPr>
          </w:p>
        </w:tc>
      </w:tr>
      <w:tr>
        <w:trPr>
          <w:trHeight w:val="310" w:hRule="atLeast"/>
        </w:trPr>
        <w:tc>
          <w:tcPr>
            <w:tcW w:w="5543" w:type="dxa"/>
            <w:tcBorders>
              <w:top w:val="nil"/>
            </w:tcBorders>
          </w:tcPr>
          <w:p>
            <w:pPr>
              <w:pStyle w:val="TableParagraph"/>
              <w:tabs>
                <w:tab w:pos="967" w:val="left" w:leader="none"/>
                <w:tab w:pos="1600" w:val="left" w:leader="none"/>
                <w:tab w:pos="2235" w:val="left" w:leader="none"/>
                <w:tab w:pos="2869" w:val="left" w:leader="none"/>
                <w:tab w:pos="3503" w:val="left" w:leader="none"/>
                <w:tab w:pos="4137" w:val="left" w:leader="none"/>
                <w:tab w:pos="4770" w:val="left" w:leader="none"/>
              </w:tabs>
              <w:spacing w:line="180" w:lineRule="exact"/>
              <w:ind w:left="333"/>
              <w:rPr>
                <w:sz w:val="16"/>
              </w:rPr>
            </w:pPr>
            <w:r>
              <w:rPr>
                <w:sz w:val="16"/>
              </w:rPr>
              <w:t>1955</w:t>
              <w:tab/>
              <w:t>1975</w:t>
              <w:tab/>
              <w:t>1995</w:t>
              <w:tab/>
              <w:t>2015</w:t>
              <w:tab/>
              <w:t>2035</w:t>
              <w:tab/>
              <w:t>2055</w:t>
              <w:tab/>
              <w:t>2075</w:t>
              <w:tab/>
              <w:t>2095</w:t>
            </w:r>
          </w:p>
        </w:tc>
        <w:tc>
          <w:tcPr>
            <w:tcW w:w="2152" w:type="dxa"/>
            <w:vMerge/>
            <w:tcBorders>
              <w:top w:val="nil"/>
              <w:right w:val="nil"/>
            </w:tcBorders>
          </w:tcPr>
          <w:p>
            <w:pPr>
              <w:rPr>
                <w:sz w:val="2"/>
                <w:szCs w:val="2"/>
              </w:rPr>
            </w:pPr>
          </w:p>
        </w:tc>
        <w:tc>
          <w:tcPr>
            <w:tcW w:w="746" w:type="dxa"/>
            <w:vMerge/>
            <w:tcBorders>
              <w:top w:val="nil"/>
              <w:left w:val="nil"/>
              <w:right w:val="nil"/>
            </w:tcBorders>
          </w:tcPr>
          <w:p>
            <w:pPr>
              <w:rPr>
                <w:sz w:val="2"/>
                <w:szCs w:val="2"/>
              </w:rPr>
            </w:pPr>
          </w:p>
        </w:tc>
        <w:tc>
          <w:tcPr>
            <w:tcW w:w="520" w:type="dxa"/>
            <w:vMerge/>
            <w:tcBorders>
              <w:top w:val="nil"/>
              <w:left w:val="nil"/>
              <w:right w:val="nil"/>
            </w:tcBorders>
          </w:tcPr>
          <w:p>
            <w:pPr>
              <w:rPr>
                <w:sz w:val="2"/>
                <w:szCs w:val="2"/>
              </w:rPr>
            </w:pPr>
          </w:p>
        </w:tc>
        <w:tc>
          <w:tcPr>
            <w:tcW w:w="2201" w:type="dxa"/>
            <w:vMerge/>
            <w:tcBorders>
              <w:top w:val="nil"/>
              <w:left w:val="nil"/>
            </w:tcBorders>
          </w:tcPr>
          <w:p>
            <w:pPr>
              <w:rPr>
                <w:sz w:val="2"/>
                <w:szCs w:val="2"/>
              </w:rPr>
            </w:pPr>
          </w:p>
        </w:tc>
      </w:tr>
      <w:tr>
        <w:trPr>
          <w:trHeight w:val="246" w:hRule="atLeast"/>
        </w:trPr>
        <w:tc>
          <w:tcPr>
            <w:tcW w:w="5543" w:type="dxa"/>
          </w:tcPr>
          <w:p>
            <w:pPr>
              <w:pStyle w:val="TableParagraph"/>
              <w:spacing w:before="37"/>
              <w:ind w:left="107"/>
              <w:rPr>
                <w:sz w:val="16"/>
              </w:rPr>
            </w:pPr>
            <w:r>
              <w:rPr>
                <w:sz w:val="16"/>
              </w:rPr>
              <w:t>Source: UN World Population Prospects: The 2015 Revision</w:t>
            </w:r>
          </w:p>
        </w:tc>
        <w:tc>
          <w:tcPr>
            <w:tcW w:w="5619" w:type="dxa"/>
            <w:gridSpan w:val="4"/>
          </w:tcPr>
          <w:p>
            <w:pPr>
              <w:pStyle w:val="TableParagraph"/>
              <w:spacing w:before="37"/>
              <w:ind w:left="107"/>
              <w:rPr>
                <w:sz w:val="16"/>
              </w:rPr>
            </w:pPr>
            <w:r>
              <w:rPr>
                <w:sz w:val="16"/>
              </w:rPr>
              <w:t>Source: UN World Population Prospects: The 2015 Revision</w:t>
            </w:r>
          </w:p>
        </w:tc>
      </w:tr>
    </w:tbl>
    <w:p>
      <w:pPr>
        <w:rPr>
          <w:sz w:val="2"/>
          <w:szCs w:val="2"/>
        </w:rPr>
      </w:pPr>
      <w:r>
        <w:rPr/>
        <w:pict>
          <v:group style="position:absolute;margin-left:31.32pt;margin-top:125.519981pt;width:238.2pt;height:144.15pt;mso-position-horizontal-relative:page;mso-position-vertical-relative:page;z-index:-254345216" coordorigin="626,2510" coordsize="4764,2883">
            <v:shape style="position:absolute;left:648;top:2512;width:4743;height:2880" coordorigin="648,2513" coordsize="4743,2880" path="m5342,5345l5342,2513m5342,5345l5390,5345m5342,4872l5390,4872m5342,4402l5390,4402m5342,3929l5390,3929m5342,3456l5390,3456m5342,2986l5390,2986m5342,2513l5390,2513m648,5345l5342,5345m648,5345l648,5393m1586,5345l1586,5393m2525,5345l2525,5393m3466,5345l3466,5393m4404,5345l4404,5393m5342,5345l5342,5393e" filled="false" stroked="true" strokeweight=".24pt" strokecolor="#000000">
              <v:path arrowok="t"/>
              <v:stroke dashstyle="solid"/>
            </v:shape>
            <v:shape style="position:absolute;left:648;top:2985;width:4695;height:1580" coordorigin="648,2986" coordsize="4695,1580" path="m648,2986l1586,3084,2525,3725,3466,4382,4404,4565,5342,4505e" filled="false" stroked="true" strokeweight="2.16pt" strokecolor="#943735">
              <v:path arrowok="t"/>
              <v:stroke dashstyle="solid"/>
            </v:shape>
            <v:shape style="position:absolute;left:648;top:2985;width:4695;height:2026" coordorigin="648,2986" coordsize="4695,2026" path="m648,2986l1586,3005,2525,3506,3466,4015,4404,4118,5342,4082m648,2986l1586,3161,2525,3946,3466,4747,4404,5011,5342,4927e" filled="false" stroked="true" strokeweight="1.68pt" strokecolor="#943735">
              <v:path arrowok="t"/>
              <v:stroke dashstyle="dash"/>
            </v:shape>
            <v:shape style="position:absolute;left:648;top:2971;width:4695;height:389" coordorigin="648,2971" coordsize="4695,389" path="m648,2986l1586,2971,2525,3192,3466,3338,4404,3360,5342,3338e" filled="false" stroked="true" strokeweight="1.92pt" strokecolor="#4f81bc">
              <v:path arrowok="t"/>
              <v:stroke dashstyle="solid"/>
            </v:shape>
            <v:shape style="position:absolute;left:648;top:2863;width:4695;height:228" coordorigin="648,2863" coordsize="4695,228" path="m648,2986l1586,2863,2525,2976,3466,3079,4404,3091,5342,3070e" filled="false" stroked="true" strokeweight="1.68pt" strokecolor="#4f81bc">
              <v:path arrowok="t"/>
              <v:stroke dashstyle="dash"/>
            </v:shape>
            <v:shape style="position:absolute;left:648;top:2985;width:4695;height:644" coordorigin="648,2986" coordsize="4695,644" path="m648,2986l1586,3082,2525,3410,3466,3598,4404,3629,5342,3607e" filled="false" stroked="true" strokeweight="1.68pt" strokecolor="#416ea6">
              <v:path arrowok="t"/>
              <v:stroke dashstyle="dash"/>
            </v:shape>
            <v:line style="position:absolute" from="646,2986" to="5345,2986" stroked="true" strokeweight=".24pt" strokecolor="#000000">
              <v:stroke dashstyle="solid"/>
            </v:line>
            <v:line style="position:absolute" from="922,4754" to="1306,4754" stroked="true" strokeweight="2.16pt" strokecolor="#943735">
              <v:stroke dashstyle="solid"/>
            </v:line>
            <v:line style="position:absolute" from="922,4992" to="1306,4992" stroked="true" strokeweight="1.92pt" strokecolor="#4f81bc">
              <v:stroke dashstyle="solid"/>
            </v:line>
            <w10:wrap type="none"/>
          </v:group>
        </w:pict>
      </w:r>
      <w:r>
        <w:rPr/>
        <w:pict>
          <v:group style="position:absolute;margin-left:300.950012pt;margin-top:112.399986pt;width:269.7pt;height:170.75pt;mso-position-horizontal-relative:page;mso-position-vertical-relative:page;z-index:-254344192" coordorigin="6019,2248" coordsize="5394,3415">
            <v:shape style="position:absolute;left:6328;top:2522;width:4692;height:2880" coordorigin="6329,2522" coordsize="4692,2880" path="m10973,5354l10973,2522m10973,5354l11021,5354m10973,4949l11021,4949m10973,4546l11021,4546m10973,4140l11021,4140m10973,3737l11021,3737m10973,3331l11021,3331m10973,2928l11021,2928m10973,2522l11021,2522m6329,5354l10973,5354m6329,5354l6329,5402m7476,5354l7476,5402m8623,5354l8623,5402m9770,5354l9770,5402m10915,5354l10915,5402e" filled="false" stroked="true" strokeweight=".24pt" strokecolor="#000000">
              <v:path arrowok="t"/>
              <v:stroke dashstyle="solid"/>
            </v:shape>
            <v:shape style="position:absolute;left:6328;top:2892;width:4644;height:1620" coordorigin="6329,2892" coordsize="4644,1620" path="m6329,4457l6386,4457,6444,4466,6502,4418,6559,4469,6617,4459,6674,4493,6732,4505,6787,4512,6845,4481,6902,4435,6960,4447,7018,4428,7075,4392,7133,4315,7190,4294,7248,4250,7303,4188,7361,4171,7418,4123,7476,4092,7534,4034,7591,4008,7649,3996,7706,3924,7764,3893,7819,3864,7877,3802,7934,3768,7992,3713,8050,3612,8107,3622,8165,3679,8222,3634,8280,3622,8335,3624,8393,3626,8450,3626,8508,3576,8566,3554,8623,3545,8681,3463,8738,3418,8796,3396,8851,3389,8909,3338,8966,3269,9024,3266,9082,3302,9139,3286,9197,3211,9254,3190,9310,3127,9367,3139,9425,3110,9482,2950,9540,2923,9598,2964,9655,2892,9713,2964,9770,2921,9826,3043,9883,3060,9941,3175,9998,3226m9998,3226l10056,3238,10114,3235,10171,3293,10229,3254,10286,3230,10342,3238,10399,3266,10457,3252,10514,3269,10572,3394,10630,3485,10687,3595,10745,3636,10802,3626,10858,3636,10915,3674,10973,3710e" filled="false" stroked="true" strokeweight="2.16pt" strokecolor="#ff0000">
              <v:path arrowok="t"/>
              <v:stroke dashstyle="solid"/>
            </v:shape>
            <v:shape style="position:absolute;left:6328;top:3444;width:3670;height:1047" coordorigin="6329,3444" coordsize="3670,1047" path="m6329,4490l6386,4469,6444,4459,6502,4445,6559,4440,6617,4430,6674,4430,6732,4430,6787,4438,6845,4428,6902,4416,6960,4406,7018,4392,7075,4354,7133,4339,7190,4315,7248,4298,7303,4279,7361,4243,7418,4226,7476,4202,7534,4186,7591,4174,7649,4162,7706,4164,7764,4126,7819,4085,7877,4068,7934,4056,7992,4032,8050,4020,8107,3989,8165,3977,8222,3931,8280,3919,8335,3917,8393,3914,8450,3898,8508,3883,8566,3845,8623,3842,8681,3816,8738,3790,8796,3763,8851,3730,8909,3694,8966,3665,9024,3626,9082,3602,9139,3550,9197,3511,9254,3482,9310,3461,9367,3466,9425,3444,9482,3478,9540,3494,9598,3485,9655,3482,9713,3521,9770,3559,9826,3610,9883,3648,9941,3698,9998,3730e" filled="false" stroked="true" strokeweight="1.44pt" strokecolor="#1f487c">
              <v:path arrowok="t"/>
              <v:stroke dashstyle="solid"/>
            </v:shape>
            <v:shape style="position:absolute;left:9998;top:3729;width:975;height:137" coordorigin="9998,3730" coordsize="975,137" path="m9998,3730l10056,3763,10114,3787,10171,3802,10229,3828,10286,3845,10342,3859,10399,3850,10457,3866,10514,3864,10572,3850,10630,3859,10687,3866,10745,3862,10802,3862,10858,3854,10915,3859,10973,3840e" filled="false" stroked="true" strokeweight="1.44pt" strokecolor="#1f487c">
              <v:path arrowok="t"/>
              <v:stroke dashstyle="solid"/>
            </v:shape>
            <v:shape style="position:absolute;left:7248;top:3463;width:3725;height:915" coordorigin="7248,3463" coordsize="3725,915" path="m7248,4378l7303,4334,7361,4320,7418,4277,7476,4265,7534,4243,7591,4212,7649,4140,7706,4123,7764,4106,7819,4097,7877,4061,7934,4049,7992,4042,8050,4046,8107,4039,8165,4032,8222,4013,8280,4018,8335,3998,8393,4008,8450,3991,8508,3984,8566,3970,8623,3965,8681,3922,8738,3910,8796,3890,8851,3862,8909,3828,8966,3816,9024,3802,9082,3790,9139,3749,9197,3742,9254,3713,9310,3686,9367,3658,9425,3624,9482,3602,9540,3550,9598,3502,9655,3482,9770,3463,9826,3468,9883,3482,9941,3470,9998,3506,10056,3504,10114,3514,10171,3506,10229,3506,10286,3487,10342,3487,10399,3487,10457,3480,10514,3490,10572,3504,10630,3535,10687,3545,10745,3535,10802,3552,10858,3533,10915,3504,10973,3526e" filled="false" stroked="true" strokeweight="1.44pt" strokecolor="#9dc3e6">
              <v:path arrowok="t"/>
              <v:stroke dashstyle="solid"/>
            </v:shape>
            <v:shape style="position:absolute;left:6328;top:2805;width:4644;height:2364" coordorigin="6329,2806" coordsize="4644,2364" path="m6329,5124l6386,5162,6444,5170,6502,5102,6559,5126,6617,5078,6674,5093,6732,5040,6787,4970,6845,4963,6902,4937,6960,4872,7018,4886,7075,4850,7133,4774,7190,4723,7248,4721,7303,4687,7361,4651,7418,4610,7476,4610,7534,4682,7591,4658,7649,4598,7706,4802,7764,4766,7819,4776,7877,4762,7934,4579,7992,4526,8050,4486,8107,4457,8165,4392,8222,4279,8280,4238,8335,4267,8393,4200,8450,4274,8508,4320,8566,4346,8623,4373,8681,4438,8738,4454,8796,4488,8851,4416,8909,4392,8966,4418,9024,4459,9082,4426,9139,4414,9197,4430,9254,4490,9310,4481,9367,4495,9425,4505,9482,4510,9540,4241,9598,4037,9655,3941,9713,3900,9770,3833,9826,3787,9883,3790,9941,3799,9998,3790,10056,3792,10114,3821,10171,3797,10229,3725,10286,3662,10342,3583,10399,3518,10457,3379,10514,3312,10572,3242,10630,3221,10687,3120,10745,3038,10802,3019,10858,2969,10915,2875,10973,2806e" filled="false" stroked="true" strokeweight="1.44pt" strokecolor="#538235">
              <v:path arrowok="t"/>
              <v:stroke dashstyle="solid"/>
            </v:shape>
            <v:line style="position:absolute" from="6293,2479" to="6677,2479" stroked="true" strokeweight="2.16pt" strokecolor="#ff0000">
              <v:stroke dashstyle="solid"/>
            </v:line>
            <v:line style="position:absolute" from="6293,3283" to="6677,3283" stroked="true" strokeweight="1.44pt" strokecolor="#538235">
              <v:stroke dashstyle="solid"/>
            </v:line>
            <v:rect style="position:absolute;left:6024;top:2253;width:5384;height:3405" filled="false" stroked="true" strokeweight=".5pt" strokecolor="#ffffff">
              <v:stroke dashstyle="solid"/>
            </v:rect>
            <w10:wrap type="none"/>
          </v:group>
        </w:pict>
      </w:r>
      <w:r>
        <w:rPr/>
        <w:pict>
          <v:group style="position:absolute;margin-left:43.439999pt;margin-top:342.719971pt;width:222.4pt;height:143.050pt;mso-position-horizontal-relative:page;mso-position-vertical-relative:page;z-index:-254343168" coordorigin="869,6854" coordsize="4448,2861">
            <v:shape style="position:absolute;left:868;top:6856;width:4448;height:2859" coordorigin="869,6857" coordsize="4448,2859" path="m5268,9667l5268,6857m5268,9667l5316,9667m5268,9314l5316,9314m5268,8964l5316,8964m5268,8614l5316,8614m5268,8261l5316,8261m5268,7910l5316,7910m5268,7558l5316,7558m5268,7207l5316,7207m5268,6857l5316,6857m917,9667l917,6857m869,9667l917,9667m869,9355l917,9355m869,9041l917,9041m869,8729l917,8729m869,8417l917,8417m869,8105l917,8105m869,7793l917,7793m869,7481l917,7481m869,7169l917,7169m869,6857l917,6857m917,9667l5268,9667m917,9667l917,9715m1622,9667l1622,9715m2328,9667l2328,9715m3034,9667l3034,9715m3739,9667l3739,9715m4445,9667l4445,9715m5150,9667l5150,9715e" filled="false" stroked="true" strokeweight=".24pt" strokecolor="#000000">
              <v:path arrowok="t"/>
              <v:stroke dashstyle="solid"/>
            </v:shape>
            <v:shape style="position:absolute;left:916;top:7044;width:4234;height:2276" coordorigin="917,7044" coordsize="4234,2276" path="m917,9319l1152,9247,1387,9031,1622,9048,1858,9077,2093,9070,2328,8789,2563,8830,2798,8870,3034,8998,3269,8911,3504,8906,3739,8544,3974,8345,4210,8270,4445,8069,4680,7824,4915,7454,5150,7044e" filled="false" stroked="true" strokeweight="2.16pt" strokecolor="#497dba">
              <v:path arrowok="t"/>
              <v:stroke dashstyle="solid"/>
            </v:shape>
            <v:shape style="position:absolute;left:916;top:7173;width:4234;height:2477" coordorigin="917,7174" coordsize="4234,2477" path="m917,9396l1152,9329,1387,9283,1622,9002,1858,8875,2093,9650,2328,9468,2563,9338,2798,9058,3034,8878,3269,8621,3504,8359,3739,7550,3974,7217,4210,7344,4445,7296,4680,7174,4915,7342,5150,7291e" filled="false" stroked="true" strokeweight="2.16pt" strokecolor="#bd4a47">
              <v:path arrowok="t"/>
              <v:stroke dashstyle="solid"/>
            </v:shape>
            <v:line style="position:absolute" from="1140,7190" to="1524,7190" stroked="true" strokeweight="2.16pt" strokecolor="#497dba">
              <v:stroke dashstyle="solid"/>
            </v:line>
            <v:line style="position:absolute" from="1140,7510" to="1524,7510" stroked="true" strokeweight="2.16pt" strokecolor="#bd4a47">
              <v:stroke dashstyle="solid"/>
            </v:line>
            <w10:wrap type="none"/>
          </v:group>
        </w:pict>
      </w:r>
      <w:r>
        <w:rPr/>
        <w:pict>
          <v:group style="position:absolute;margin-left:300.825012pt;margin-top:329.124969pt;width:269.95pt;height:174.15pt;mso-position-horizontal-relative:page;mso-position-vertical-relative:page;z-index:-254342144" coordorigin="6017,6582" coordsize="5399,3483">
            <v:shape style="position:absolute;left:6362;top:6852;width:4748;height:2871" coordorigin="6362,6852" coordsize="4748,2871" path="m6410,9674l6410,6852m6362,9674l6410,9674m6362,9360l6410,9360m6362,9046l6410,9046m6362,8734l6410,8734m6362,8419l6410,8419m6362,8105l6410,8105m6362,7793l6410,7793m6362,7478l6410,7478m6362,7164l6410,7164m6362,6852l6410,6852m6410,9674l11110,9674m6410,9674l6410,9722m7058,9674l7058,9722m7706,9674l7706,9722m8354,9674l8354,9722m9002,9674l9002,9722m9650,9674l9650,9722m10298,9674l10298,9722m10949,9674l10949,9722e" filled="false" stroked="true" strokeweight=".24pt" strokecolor="#000000">
              <v:path arrowok="t"/>
              <v:stroke dashstyle="solid"/>
            </v:shape>
            <v:shape style="position:absolute;left:6410;top:7526;width:4700;height:1332" coordorigin="6410,7526" coordsize="4700,1332" path="m6410,8858l6571,8786,6734,8714,6895,8563,7058,8470,7219,8398,7382,8352,7543,8306,7706,8280,7867,8254,8030,8215,8194,8153,8354,8095,8518,8050,8678,8009,8842,7968,9002,7932,9166,7894,9326,7858,9490,7824,9650,7788,9814,7757,9974,7728,10138,7699,10298,7670,10462,7642,10625,7615,10786,7584,10949,7555,11110,7526e" filled="false" stroked="true" strokeweight="2.16pt" strokecolor="#497dba">
              <v:path arrowok="t"/>
              <v:stroke dashstyle="solid"/>
            </v:shape>
            <v:shape style="position:absolute;left:6410;top:7185;width:4700;height:1172" coordorigin="6410,7186" coordsize="4700,1172" path="m6410,8357l6571,8282,6734,8242,6895,8227,7058,8203,7219,8167,7382,8131,7543,8076,7706,8076,7867,8050,8030,8009,8194,7934,8354,7855,8518,7810,8678,7762,8842,7716,9002,7673,9166,7632,9326,7591,9490,7550,9650,7512,9814,7471,9974,7435,10138,7397,10298,7361,10462,7325,10625,7289,10786,7253,10949,7219,11110,7186e" filled="false" stroked="true" strokeweight="2.16pt" strokecolor="#bd4a47">
              <v:path arrowok="t"/>
              <v:stroke dashstyle="solid"/>
            </v:shape>
            <v:shape style="position:absolute;left:6410;top:7572;width:4700;height:1524" coordorigin="6410,7572" coordsize="4700,1524" path="m6410,9096l6571,9024,6734,8942,6895,8734,7058,8609,7219,8520,7382,8465,7543,8412,7706,8374,7867,8340,8030,8294,8194,8237,8354,8179,8518,8131,8678,8088,8842,8042,9002,7999,9166,7958,9326,7918,9490,7879,9650,7841,9814,7807,9974,7776,10138,7745,10298,7716,10462,7687,10625,7661,10786,7630,10949,7601,11110,7572e" filled="false" stroked="true" strokeweight="2.16pt" strokecolor="#97b853">
              <v:path arrowok="t"/>
              <v:stroke dashstyle="solid"/>
            </v:shape>
            <v:line style="position:absolute" from="9012,8731" to="9396,8731" stroked="true" strokeweight="2.16pt" strokecolor="#497dba">
              <v:stroke dashstyle="solid"/>
            </v:line>
            <v:line style="position:absolute" from="9012,9067" to="9396,9067" stroked="true" strokeweight="2.16pt" strokecolor="#bd4a47">
              <v:stroke dashstyle="solid"/>
            </v:line>
            <v:line style="position:absolute" from="9012,9401" to="9396,9401" stroked="true" strokeweight="2.16pt" strokecolor="#97b853">
              <v:stroke dashstyle="solid"/>
            </v:line>
            <v:rect style="position:absolute;left:6024;top:6590;width:5384;height:3468" filled="false" stroked="true" strokeweight=".75pt" strokecolor="#ffffff">
              <v:stroke dashstyle="solid"/>
            </v:rect>
            <w10:wrap type="none"/>
          </v:group>
        </w:pict>
      </w:r>
      <w:r>
        <w:rPr/>
        <w:pict>
          <v:group style="position:absolute;margin-left:41.880001pt;margin-top:555.959961pt;width:233.3pt;height:147.85pt;mso-position-horizontal-relative:page;mso-position-vertical-relative:page;z-index:-254341120" coordorigin="838,11119" coordsize="4666,2957">
            <v:shape style="position:absolute;left:837;top:11121;width:4644;height:2955" coordorigin="838,11122" coordsize="4644,2955" path="m886,14028l886,11122m838,14028l886,14028m838,13613l886,13613m838,13198l886,13198m838,12782l886,12782m838,12367l886,12367m838,11952l886,11952m838,11537l886,11537m838,11122l886,11122m886,14028l5482,14028m886,14028l886,14076m1519,14028l1519,14076m2153,14028l2153,14076m2786,14028l2786,14076m3420,14028l3420,14076m4054,14028l4054,14076m4687,14028l4687,14076m5323,14028l5323,14076e" filled="false" stroked="true" strokeweight=".24pt" strokecolor="#000000">
              <v:path arrowok="t"/>
              <v:stroke dashstyle="solid"/>
            </v:shape>
            <v:shape style="position:absolute;left:885;top:11942;width:4596;height:1260" coordorigin="886,11942" coordsize="4596,1260" path="m886,11969l1044,11995,1202,11942,1361,11986,1519,12170,1678,12422,1836,12538,1994,12598,2153,12763,2311,12890,2470,12938,2628,12967,2786,12984,2945,13001,3103,13020,3262,13037,3420,13054,3578,13070,3737,13082,3895,13094,4054,13106,4212,13121,4370,13133,4529,13145,4687,13157,4846,13166,5004,13176,5165,13186,5323,13195,5482,13202e" filled="false" stroked="true" strokeweight="2.16pt" strokecolor="#497dba">
              <v:path arrowok="t"/>
              <v:stroke dashstyle="solid"/>
            </v:shape>
            <v:shape style="position:absolute;left:885;top:12854;width:4596;height:524" coordorigin="886,12854" coordsize="4596,524" path="m886,12854l1044,12862,1202,12912,1361,13037,1519,13135,1678,13231,1836,13262,1994,13277,2153,13334,2311,13378,2470,13373,2628,13334,2786,13334,2945,13325,3103,13313,3262,13301,3420,13291,3578,13284,3737,13277,3895,13272,4054,13267,4212,13262,4370,13260,4529,13258,4687,13255,4846,13253,5004,13250,5165,13250,5323,13248,5482,13248e" filled="false" stroked="true" strokeweight="2.16pt" strokecolor="#bd4a47">
              <v:path arrowok="t"/>
              <v:stroke dashstyle="solid"/>
            </v:shape>
            <v:shape style="position:absolute;left:885;top:11484;width:4596;height:1714" coordorigin="886,11484" coordsize="4596,1714" path="m886,11506l1044,11561,1202,11484,1361,11522,1519,11779,1678,12125,1836,12298,1994,12401,2153,12619,2311,12780,2470,12852,2628,12900,2786,12929,2945,12955,3103,12982,3262,13003,3420,13025,3578,13044,3737,13061,3895,13073,4054,13087,4212,13104,4370,13121,4529,13133,4687,13145,4846,13157,5004,13166,5165,13178,5323,13188,5482,13198e" filled="false" stroked="true" strokeweight="2.16pt" strokecolor="#97b853">
              <v:path arrowok="t"/>
              <v:stroke dashstyle="solid"/>
            </v:shape>
            <v:line style="position:absolute" from="3290,11225" to="3674,11225" stroked="true" strokeweight="2.16pt" strokecolor="#497dba">
              <v:stroke dashstyle="solid"/>
            </v:line>
            <v:line style="position:absolute" from="3290,11537" to="3674,11537" stroked="true" strokeweight="2.16pt" strokecolor="#bd4a47">
              <v:stroke dashstyle="solid"/>
            </v:line>
            <v:line style="position:absolute" from="3290,11849" to="3674,11849" stroked="true" strokeweight="2.16pt" strokecolor="#97b853">
              <v:stroke dashstyle="solid"/>
            </v:line>
            <w10:wrap type="none"/>
          </v:group>
        </w:pict>
      </w:r>
      <w:r>
        <w:rPr/>
        <w:pict>
          <v:group style="position:absolute;margin-left:300.825012pt;margin-top:545.974976pt;width:269.95pt;height:170.4pt;mso-position-horizontal-relative:page;mso-position-vertical-relative:page;z-index:-254340096" coordorigin="6017,10919" coordsize="5399,3408">
            <v:shape style="position:absolute;left:6463;top:11109;width:4647;height:2907" coordorigin="6463,11110" coordsize="4647,2907" path="m6511,14016l6511,11110m6463,14016l6511,14016m6463,13433l6511,13433m6463,12852l6511,12852m6463,12271l6511,12271m6463,11690l6511,11690m6463,11110l6511,11110m6511,13433l11110,13433m6511,13433l6511,13483m7147,13433l7147,13483m7781,13433l7781,13483m8414,13433l8414,13483m9048,13433l9048,13483m9684,13433l9684,13483m10318,13433l10318,13483m10951,13433l10951,13483e" filled="false" stroked="true" strokeweight=".24pt" strokecolor="#000000">
              <v:path arrowok="t"/>
              <v:stroke dashstyle="solid"/>
            </v:shape>
            <v:shape style="position:absolute;left:6511;top:11772;width:4599;height:1628" coordorigin="6511,11772" coordsize="4599,1628" path="m6511,12439l6670,12490,6828,12259,6986,11916,7147,11906,7306,11832,7464,11772,7622,11945,7781,12161,7939,12163,8098,12149,8256,12326,8414,12583,8573,12754,8731,12790,8890,12866,9048,12967,9206,13042,9365,13066,9526,13162,9684,13258,9842,13219,10001,13178,10159,13217,10318,13286,10476,13349,10634,13366,10793,13361,10951,13370,11110,13399e" filled="false" stroked="true" strokeweight="2.16pt" strokecolor="#497dba">
              <v:path arrowok="t"/>
              <v:stroke dashstyle="solid"/>
            </v:shape>
            <v:shape style="position:absolute;left:6511;top:12585;width:4599;height:1114" coordorigin="6511,12586" coordsize="4599,1114" path="m6511,12650l6670,12864,6828,12586,6986,12665,7147,12679,7306,12790,7464,12768,7622,13030,7781,13140,7939,13063,8098,13126,8256,13200,8414,13555,8573,13675,8731,13673,8890,13699,9048,13601,9206,13632,9365,13608,9526,13668,9684,13642,9842,13536,10001,13402,10159,13418,10318,13505,10476,13526,10634,13534,10793,13510,10951,13476,11110,13469e" filled="false" stroked="true" strokeweight="2.16pt" strokecolor="#bd4a47">
              <v:path arrowok="t"/>
              <v:stroke dashstyle="solid"/>
            </v:shape>
            <v:shape style="position:absolute;left:6511;top:11412;width:4599;height:1980" coordorigin="6511,11412" coordsize="4599,1980" path="m6511,12329l6670,12302,6828,12098,6986,11573,7147,11575,7306,11458,7464,11412,7622,11592,7781,11870,7939,11918,8098,11904,8256,12122,8414,12374,8573,12571,8731,12626,8890,12725,9048,12864,9206,12950,9365,12986,9526,13090,9684,13205,9842,13176,10001,13150,10159,13190,10318,13258,10476,13325,10634,13346,10793,13344,10951,13358,11110,13392e" filled="false" stroked="true" strokeweight="2.16pt" strokecolor="#9bba58">
              <v:path arrowok="t"/>
              <v:stroke dashstyle="solid"/>
            </v:shape>
            <v:line style="position:absolute" from="9041,11227" to="9425,11227" stroked="true" strokeweight="2.16pt" strokecolor="#497dba">
              <v:stroke dashstyle="solid"/>
            </v:line>
            <v:line style="position:absolute" from="9041,11546" to="9425,11546" stroked="true" strokeweight="2.16pt" strokecolor="#bd4a47">
              <v:stroke dashstyle="solid"/>
            </v:line>
            <v:line style="position:absolute" from="9041,11866" to="9425,11866" stroked="true" strokeweight="2.16pt" strokecolor="#9bba58">
              <v:stroke dashstyle="solid"/>
            </v:line>
            <v:rect style="position:absolute;left:6024;top:10927;width:5384;height:3393" filled="false" stroked="true" strokeweight=".75pt" strokecolor="#ffffff">
              <v:stroke dashstyle="solid"/>
            </v:rect>
            <w10:wrap type="none"/>
          </v:group>
        </w:pict>
      </w:r>
    </w:p>
    <w:p>
      <w:pPr>
        <w:spacing w:after="0"/>
        <w:rPr>
          <w:sz w:val="2"/>
          <w:szCs w:val="2"/>
        </w:rPr>
        <w:sectPr>
          <w:pgSz w:w="11910" w:h="16840"/>
          <w:pgMar w:header="0" w:footer="1334" w:top="1580" w:bottom="1520" w:left="240" w:right="240"/>
        </w:sectPr>
      </w:pPr>
    </w:p>
    <w:tbl>
      <w:tblPr>
        <w:tblW w:w="0" w:type="auto"/>
        <w:jc w:val="left"/>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6"/>
        <w:gridCol w:w="702"/>
        <w:gridCol w:w="861"/>
        <w:gridCol w:w="455"/>
        <w:gridCol w:w="805"/>
        <w:gridCol w:w="735"/>
        <w:gridCol w:w="770"/>
        <w:gridCol w:w="1254"/>
      </w:tblGrid>
      <w:tr>
        <w:trPr>
          <w:trHeight w:val="556" w:hRule="atLeas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115"/>
              <w:ind w:left="107" w:right="413"/>
              <w:rPr>
                <w:sz w:val="20"/>
              </w:rPr>
            </w:pPr>
            <w:r>
              <w:rPr>
                <w:b/>
                <w:sz w:val="20"/>
              </w:rPr>
              <w:t>Figure 7: </w:t>
            </w:r>
            <w:r>
              <w:rPr>
                <w:sz w:val="20"/>
              </w:rPr>
              <w:t>Dependency ratio across regions (non-working age population divided by working age population)</w:t>
            </w:r>
          </w:p>
        </w:tc>
        <w:tc>
          <w:tcPr>
            <w:tcW w:w="5582" w:type="dxa"/>
            <w:gridSpan w:val="7"/>
            <w:tcBorders>
              <w:top w:val="single" w:sz="4" w:space="0" w:color="000000"/>
              <w:left w:val="single" w:sz="4" w:space="0" w:color="000000"/>
              <w:bottom w:val="single" w:sz="4" w:space="0" w:color="000000"/>
              <w:right w:val="single" w:sz="4" w:space="0" w:color="000000"/>
            </w:tcBorders>
          </w:tcPr>
          <w:p>
            <w:pPr>
              <w:pStyle w:val="TableParagraph"/>
              <w:spacing w:before="115"/>
              <w:ind w:left="110"/>
              <w:rPr>
                <w:sz w:val="20"/>
              </w:rPr>
            </w:pPr>
            <w:r>
              <w:rPr>
                <w:b/>
                <w:sz w:val="20"/>
              </w:rPr>
              <w:t>Figure 8: </w:t>
            </w:r>
            <w:r>
              <w:rPr>
                <w:sz w:val="20"/>
              </w:rPr>
              <w:t>Prime age population ratio (25-49/all)</w:t>
            </w:r>
          </w:p>
        </w:tc>
      </w:tr>
      <w:tr>
        <w:trPr>
          <w:trHeight w:val="317" w:hRule="atLeast"/>
        </w:trPr>
        <w:tc>
          <w:tcPr>
            <w:tcW w:w="55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3"/>
              <w:ind w:left="138"/>
              <w:rPr>
                <w:sz w:val="16"/>
              </w:rPr>
            </w:pPr>
            <w:r>
              <w:rPr>
                <w:sz w:val="16"/>
              </w:rPr>
              <w:t>90%</w:t>
            </w:r>
          </w:p>
          <w:p>
            <w:pPr>
              <w:pStyle w:val="TableParagraph"/>
              <w:spacing w:before="136"/>
              <w:ind w:left="138"/>
              <w:rPr>
                <w:sz w:val="16"/>
              </w:rPr>
            </w:pPr>
            <w:r>
              <w:rPr>
                <w:sz w:val="16"/>
              </w:rPr>
              <w:t>80%</w:t>
            </w:r>
          </w:p>
          <w:p>
            <w:pPr>
              <w:pStyle w:val="TableParagraph"/>
              <w:spacing w:before="136"/>
              <w:ind w:left="138"/>
              <w:rPr>
                <w:sz w:val="16"/>
              </w:rPr>
            </w:pPr>
            <w:r>
              <w:rPr>
                <w:sz w:val="16"/>
              </w:rPr>
              <w:t>70%</w:t>
            </w:r>
          </w:p>
          <w:p>
            <w:pPr>
              <w:pStyle w:val="TableParagraph"/>
              <w:spacing w:before="135"/>
              <w:ind w:left="138"/>
              <w:rPr>
                <w:sz w:val="16"/>
              </w:rPr>
            </w:pPr>
            <w:r>
              <w:rPr>
                <w:sz w:val="16"/>
              </w:rPr>
              <w:t>60%</w:t>
            </w:r>
          </w:p>
          <w:p>
            <w:pPr>
              <w:pStyle w:val="TableParagraph"/>
              <w:spacing w:before="136"/>
              <w:ind w:left="138"/>
              <w:rPr>
                <w:sz w:val="16"/>
              </w:rPr>
            </w:pPr>
            <w:r>
              <w:rPr>
                <w:sz w:val="16"/>
              </w:rPr>
              <w:t>50%</w:t>
            </w:r>
          </w:p>
          <w:p>
            <w:pPr>
              <w:pStyle w:val="TableParagraph"/>
              <w:spacing w:before="137"/>
              <w:ind w:left="138"/>
              <w:rPr>
                <w:sz w:val="16"/>
              </w:rPr>
            </w:pPr>
            <w:r>
              <w:rPr>
                <w:sz w:val="16"/>
              </w:rPr>
              <w:t>40%</w:t>
            </w:r>
          </w:p>
          <w:p>
            <w:pPr>
              <w:pStyle w:val="TableParagraph"/>
              <w:tabs>
                <w:tab w:pos="3495" w:val="left" w:leader="none"/>
              </w:tabs>
              <w:spacing w:before="89"/>
              <w:ind w:left="138"/>
              <w:rPr>
                <w:sz w:val="16"/>
              </w:rPr>
            </w:pPr>
            <w:r>
              <w:rPr>
                <w:position w:val="-4"/>
                <w:sz w:val="16"/>
              </w:rPr>
              <w:t>30%</w:t>
              <w:tab/>
            </w:r>
            <w:r>
              <w:rPr>
                <w:sz w:val="16"/>
              </w:rPr>
              <w:t>World</w:t>
            </w:r>
          </w:p>
          <w:p>
            <w:pPr>
              <w:pStyle w:val="TableParagraph"/>
              <w:tabs>
                <w:tab w:pos="3495" w:val="left" w:leader="none"/>
              </w:tabs>
              <w:spacing w:before="85"/>
              <w:ind w:left="138"/>
              <w:rPr>
                <w:sz w:val="16"/>
              </w:rPr>
            </w:pPr>
            <w:r>
              <w:rPr>
                <w:position w:val="-4"/>
                <w:sz w:val="16"/>
              </w:rPr>
              <w:t>20%</w:t>
              <w:tab/>
            </w:r>
            <w:r>
              <w:rPr>
                <w:sz w:val="16"/>
              </w:rPr>
              <w:t>More developed</w:t>
            </w:r>
            <w:r>
              <w:rPr>
                <w:spacing w:val="-5"/>
                <w:sz w:val="16"/>
              </w:rPr>
              <w:t> </w:t>
            </w:r>
            <w:r>
              <w:rPr>
                <w:sz w:val="16"/>
              </w:rPr>
              <w:t>regions</w:t>
            </w:r>
          </w:p>
          <w:p>
            <w:pPr>
              <w:pStyle w:val="TableParagraph"/>
              <w:tabs>
                <w:tab w:pos="3495" w:val="left" w:leader="none"/>
              </w:tabs>
              <w:spacing w:before="86"/>
              <w:ind w:left="138"/>
              <w:rPr>
                <w:sz w:val="16"/>
              </w:rPr>
            </w:pPr>
            <w:r>
              <w:rPr>
                <w:position w:val="-4"/>
                <w:sz w:val="16"/>
              </w:rPr>
              <w:t>10%</w:t>
              <w:tab/>
            </w:r>
            <w:r>
              <w:rPr>
                <w:sz w:val="16"/>
              </w:rPr>
              <w:t>Less developed</w:t>
            </w:r>
            <w:r>
              <w:rPr>
                <w:spacing w:val="-7"/>
                <w:sz w:val="16"/>
              </w:rPr>
              <w:t> </w:t>
            </w:r>
            <w:r>
              <w:rPr>
                <w:sz w:val="16"/>
              </w:rPr>
              <w:t>regions</w:t>
            </w:r>
          </w:p>
          <w:p>
            <w:pPr>
              <w:pStyle w:val="TableParagraph"/>
              <w:spacing w:before="132"/>
              <w:ind w:left="227"/>
              <w:rPr>
                <w:sz w:val="16"/>
              </w:rPr>
            </w:pPr>
            <w:r>
              <w:rPr>
                <w:sz w:val="16"/>
              </w:rPr>
              <w:t>0%</w:t>
            </w:r>
          </w:p>
          <w:p>
            <w:pPr>
              <w:pStyle w:val="TableParagraph"/>
              <w:tabs>
                <w:tab w:pos="1333" w:val="left" w:leader="none"/>
                <w:tab w:pos="2248" w:val="left" w:leader="none"/>
                <w:tab w:pos="3162" w:val="left" w:leader="none"/>
                <w:tab w:pos="4077" w:val="left" w:leader="none"/>
                <w:tab w:pos="4992" w:val="left" w:leader="none"/>
              </w:tabs>
              <w:spacing w:before="7"/>
              <w:ind w:left="418"/>
              <w:rPr>
                <w:sz w:val="16"/>
              </w:rPr>
            </w:pPr>
            <w:r>
              <w:rPr>
                <w:sz w:val="16"/>
              </w:rPr>
              <w:t>1950</w:t>
              <w:tab/>
              <w:t>1970</w:t>
              <w:tab/>
              <w:t>1990</w:t>
              <w:tab/>
              <w:t>2010</w:t>
              <w:tab/>
              <w:t>2030</w:t>
              <w:tab/>
              <w:t>2050</w:t>
            </w:r>
          </w:p>
        </w:tc>
        <w:tc>
          <w:tcPr>
            <w:tcW w:w="702" w:type="dxa"/>
            <w:tcBorders>
              <w:top w:val="single" w:sz="4" w:space="0" w:color="000000"/>
              <w:left w:val="single" w:sz="4" w:space="0" w:color="000000"/>
            </w:tcBorders>
          </w:tcPr>
          <w:p>
            <w:pPr>
              <w:pStyle w:val="TableParagraph"/>
              <w:rPr>
                <w:rFonts w:ascii="Times New Roman"/>
                <w:sz w:val="16"/>
              </w:rPr>
            </w:pPr>
          </w:p>
        </w:tc>
        <w:tc>
          <w:tcPr>
            <w:tcW w:w="2121" w:type="dxa"/>
            <w:gridSpan w:val="3"/>
            <w:tcBorders>
              <w:top w:val="single" w:sz="4" w:space="0" w:color="000000"/>
            </w:tcBorders>
          </w:tcPr>
          <w:p>
            <w:pPr>
              <w:pStyle w:val="TableParagraph"/>
              <w:spacing w:before="77"/>
              <w:ind w:left="121"/>
              <w:rPr>
                <w:sz w:val="16"/>
              </w:rPr>
            </w:pPr>
            <w:r>
              <w:rPr>
                <w:sz w:val="16"/>
              </w:rPr>
              <w:t>High-income economies</w:t>
            </w:r>
          </w:p>
        </w:tc>
        <w:tc>
          <w:tcPr>
            <w:tcW w:w="735" w:type="dxa"/>
            <w:tcBorders>
              <w:top w:val="single" w:sz="4" w:space="0" w:color="000000"/>
            </w:tcBorders>
          </w:tcPr>
          <w:p>
            <w:pPr>
              <w:pStyle w:val="TableParagraph"/>
              <w:rPr>
                <w:rFonts w:ascii="Times New Roman"/>
                <w:sz w:val="16"/>
              </w:rPr>
            </w:pPr>
          </w:p>
        </w:tc>
        <w:tc>
          <w:tcPr>
            <w:tcW w:w="770" w:type="dxa"/>
            <w:tcBorders>
              <w:top w:val="single" w:sz="4" w:space="0" w:color="000000"/>
            </w:tcBorders>
          </w:tcPr>
          <w:p>
            <w:pPr>
              <w:pStyle w:val="TableParagraph"/>
              <w:rPr>
                <w:rFonts w:ascii="Times New Roman"/>
                <w:sz w:val="16"/>
              </w:rPr>
            </w:pPr>
          </w:p>
        </w:tc>
        <w:tc>
          <w:tcPr>
            <w:tcW w:w="1254" w:type="dxa"/>
            <w:tcBorders>
              <w:top w:val="single" w:sz="4" w:space="0" w:color="000000"/>
              <w:right w:val="single" w:sz="4" w:space="0" w:color="000000"/>
            </w:tcBorders>
          </w:tcPr>
          <w:p>
            <w:pPr>
              <w:pStyle w:val="TableParagraph"/>
              <w:spacing w:before="106"/>
              <w:ind w:right="155"/>
              <w:jc w:val="right"/>
              <w:rPr>
                <w:sz w:val="16"/>
              </w:rPr>
            </w:pPr>
            <w:r>
              <w:rPr>
                <w:sz w:val="16"/>
              </w:rPr>
              <w:t>45%</w:t>
            </w:r>
          </w:p>
        </w:tc>
      </w:tr>
      <w:tr>
        <w:trPr>
          <w:trHeight w:val="246" w:hRule="atLeast"/>
        </w:trPr>
        <w:tc>
          <w:tcPr>
            <w:tcW w:w="5586" w:type="dxa"/>
            <w:vMerge/>
            <w:tcBorders>
              <w:top w:val="nil"/>
              <w:left w:val="single" w:sz="4" w:space="0" w:color="000000"/>
              <w:bottom w:val="single" w:sz="4" w:space="0" w:color="000000"/>
              <w:right w:val="single" w:sz="4" w:space="0" w:color="000000"/>
            </w:tcBorders>
          </w:tcPr>
          <w:p>
            <w:pPr>
              <w:rPr>
                <w:sz w:val="2"/>
                <w:szCs w:val="2"/>
              </w:rPr>
            </w:pPr>
          </w:p>
        </w:tc>
        <w:tc>
          <w:tcPr>
            <w:tcW w:w="702" w:type="dxa"/>
            <w:tcBorders>
              <w:left w:val="single" w:sz="4" w:space="0" w:color="000000"/>
            </w:tcBorders>
          </w:tcPr>
          <w:p>
            <w:pPr>
              <w:pStyle w:val="TableParagraph"/>
              <w:rPr>
                <w:rFonts w:ascii="Times New Roman"/>
                <w:sz w:val="16"/>
              </w:rPr>
            </w:pPr>
          </w:p>
        </w:tc>
        <w:tc>
          <w:tcPr>
            <w:tcW w:w="2121" w:type="dxa"/>
            <w:gridSpan w:val="3"/>
          </w:tcPr>
          <w:p>
            <w:pPr>
              <w:pStyle w:val="TableParagraph"/>
              <w:spacing w:before="21"/>
              <w:ind w:left="121"/>
              <w:rPr>
                <w:sz w:val="16"/>
              </w:rPr>
            </w:pPr>
            <w:r>
              <w:rPr>
                <w:sz w:val="16"/>
              </w:rPr>
              <w:t>UK</w:t>
            </w:r>
          </w:p>
        </w:tc>
        <w:tc>
          <w:tcPr>
            <w:tcW w:w="735" w:type="dxa"/>
          </w:tcPr>
          <w:p>
            <w:pPr>
              <w:pStyle w:val="TableParagraph"/>
              <w:rPr>
                <w:rFonts w:ascii="Times New Roman"/>
                <w:sz w:val="16"/>
              </w:rPr>
            </w:pPr>
          </w:p>
        </w:tc>
        <w:tc>
          <w:tcPr>
            <w:tcW w:w="770" w:type="dxa"/>
          </w:tcPr>
          <w:p>
            <w:pPr>
              <w:pStyle w:val="TableParagraph"/>
              <w:rPr>
                <w:rFonts w:ascii="Times New Roman"/>
                <w:sz w:val="16"/>
              </w:rPr>
            </w:pPr>
          </w:p>
        </w:tc>
        <w:tc>
          <w:tcPr>
            <w:tcW w:w="1254" w:type="dxa"/>
            <w:tcBorders>
              <w:right w:val="single" w:sz="4" w:space="0" w:color="000000"/>
            </w:tcBorders>
          </w:tcPr>
          <w:p>
            <w:pPr>
              <w:pStyle w:val="TableParagraph"/>
              <w:rPr>
                <w:rFonts w:ascii="Times New Roman"/>
                <w:sz w:val="16"/>
              </w:rPr>
            </w:pPr>
          </w:p>
        </w:tc>
      </w:tr>
      <w:tr>
        <w:trPr>
          <w:trHeight w:val="261" w:hRule="atLeast"/>
        </w:trPr>
        <w:tc>
          <w:tcPr>
            <w:tcW w:w="5586" w:type="dxa"/>
            <w:vMerge/>
            <w:tcBorders>
              <w:top w:val="nil"/>
              <w:left w:val="single" w:sz="4" w:space="0" w:color="000000"/>
              <w:bottom w:val="single" w:sz="4" w:space="0" w:color="000000"/>
              <w:right w:val="single" w:sz="4" w:space="0" w:color="000000"/>
            </w:tcBorders>
          </w:tcPr>
          <w:p>
            <w:pPr>
              <w:rPr>
                <w:sz w:val="2"/>
                <w:szCs w:val="2"/>
              </w:rPr>
            </w:pPr>
          </w:p>
        </w:tc>
        <w:tc>
          <w:tcPr>
            <w:tcW w:w="702" w:type="dxa"/>
            <w:tcBorders>
              <w:left w:val="single" w:sz="4" w:space="0" w:color="000000"/>
            </w:tcBorders>
          </w:tcPr>
          <w:p>
            <w:pPr>
              <w:pStyle w:val="TableParagraph"/>
              <w:rPr>
                <w:rFonts w:ascii="Times New Roman"/>
                <w:sz w:val="16"/>
              </w:rPr>
            </w:pPr>
          </w:p>
        </w:tc>
        <w:tc>
          <w:tcPr>
            <w:tcW w:w="2121" w:type="dxa"/>
            <w:gridSpan w:val="3"/>
          </w:tcPr>
          <w:p>
            <w:pPr>
              <w:pStyle w:val="TableParagraph"/>
              <w:spacing w:before="36"/>
              <w:ind w:left="121"/>
              <w:rPr>
                <w:sz w:val="16"/>
              </w:rPr>
            </w:pPr>
            <w:r>
              <w:rPr>
                <w:sz w:val="16"/>
              </w:rPr>
              <w:t>US</w:t>
            </w:r>
          </w:p>
        </w:tc>
        <w:tc>
          <w:tcPr>
            <w:tcW w:w="735" w:type="dxa"/>
          </w:tcPr>
          <w:p>
            <w:pPr>
              <w:pStyle w:val="TableParagraph"/>
              <w:rPr>
                <w:rFonts w:ascii="Times New Roman"/>
                <w:sz w:val="16"/>
              </w:rPr>
            </w:pPr>
          </w:p>
        </w:tc>
        <w:tc>
          <w:tcPr>
            <w:tcW w:w="770" w:type="dxa"/>
          </w:tcPr>
          <w:p>
            <w:pPr>
              <w:pStyle w:val="TableParagraph"/>
              <w:rPr>
                <w:rFonts w:ascii="Times New Roman"/>
                <w:sz w:val="16"/>
              </w:rPr>
            </w:pPr>
          </w:p>
        </w:tc>
        <w:tc>
          <w:tcPr>
            <w:tcW w:w="1254" w:type="dxa"/>
            <w:tcBorders>
              <w:right w:val="single" w:sz="4" w:space="0" w:color="000000"/>
            </w:tcBorders>
          </w:tcPr>
          <w:p>
            <w:pPr>
              <w:pStyle w:val="TableParagraph"/>
              <w:rPr>
                <w:rFonts w:ascii="Times New Roman"/>
                <w:sz w:val="16"/>
              </w:rPr>
            </w:pPr>
          </w:p>
        </w:tc>
      </w:tr>
      <w:tr>
        <w:trPr>
          <w:trHeight w:val="454" w:hRule="atLeast"/>
        </w:trPr>
        <w:tc>
          <w:tcPr>
            <w:tcW w:w="5586" w:type="dxa"/>
            <w:vMerge/>
            <w:tcBorders>
              <w:top w:val="nil"/>
              <w:left w:val="single" w:sz="4" w:space="0" w:color="000000"/>
              <w:bottom w:val="single" w:sz="4" w:space="0" w:color="000000"/>
              <w:right w:val="single" w:sz="4" w:space="0" w:color="000000"/>
            </w:tcBorders>
          </w:tcPr>
          <w:p>
            <w:pPr>
              <w:rPr>
                <w:sz w:val="2"/>
                <w:szCs w:val="2"/>
              </w:rPr>
            </w:pPr>
          </w:p>
        </w:tc>
        <w:tc>
          <w:tcPr>
            <w:tcW w:w="702" w:type="dxa"/>
            <w:tcBorders>
              <w:left w:val="single" w:sz="4" w:space="0" w:color="000000"/>
            </w:tcBorders>
          </w:tcPr>
          <w:p>
            <w:pPr>
              <w:pStyle w:val="TableParagraph"/>
              <w:rPr>
                <w:rFonts w:ascii="Times New Roman"/>
                <w:sz w:val="16"/>
              </w:rPr>
            </w:pPr>
          </w:p>
        </w:tc>
        <w:tc>
          <w:tcPr>
            <w:tcW w:w="2121" w:type="dxa"/>
            <w:gridSpan w:val="3"/>
          </w:tcPr>
          <w:p>
            <w:pPr>
              <w:pStyle w:val="TableParagraph"/>
              <w:spacing w:before="36"/>
              <w:ind w:left="121"/>
              <w:rPr>
                <w:sz w:val="16"/>
              </w:rPr>
            </w:pPr>
            <w:r>
              <w:rPr>
                <w:sz w:val="16"/>
              </w:rPr>
              <w:t>Japan</w:t>
            </w:r>
          </w:p>
        </w:tc>
        <w:tc>
          <w:tcPr>
            <w:tcW w:w="735" w:type="dxa"/>
          </w:tcPr>
          <w:p>
            <w:pPr>
              <w:pStyle w:val="TableParagraph"/>
              <w:rPr>
                <w:rFonts w:ascii="Times New Roman"/>
                <w:sz w:val="16"/>
              </w:rPr>
            </w:pPr>
          </w:p>
        </w:tc>
        <w:tc>
          <w:tcPr>
            <w:tcW w:w="770" w:type="dxa"/>
          </w:tcPr>
          <w:p>
            <w:pPr>
              <w:pStyle w:val="TableParagraph"/>
              <w:rPr>
                <w:rFonts w:ascii="Times New Roman"/>
                <w:sz w:val="16"/>
              </w:rPr>
            </w:pPr>
          </w:p>
        </w:tc>
        <w:tc>
          <w:tcPr>
            <w:tcW w:w="1254" w:type="dxa"/>
            <w:tcBorders>
              <w:right w:val="single" w:sz="4" w:space="0" w:color="000000"/>
            </w:tcBorders>
          </w:tcPr>
          <w:p>
            <w:pPr>
              <w:pStyle w:val="TableParagraph"/>
              <w:spacing w:line="157" w:lineRule="exact"/>
              <w:ind w:right="155"/>
              <w:jc w:val="right"/>
              <w:rPr>
                <w:sz w:val="16"/>
              </w:rPr>
            </w:pPr>
            <w:r>
              <w:rPr>
                <w:sz w:val="16"/>
              </w:rPr>
              <w:t>40%</w:t>
            </w:r>
          </w:p>
        </w:tc>
      </w:tr>
      <w:tr>
        <w:trPr>
          <w:trHeight w:val="679" w:hRule="atLeast"/>
        </w:trPr>
        <w:tc>
          <w:tcPr>
            <w:tcW w:w="5586" w:type="dxa"/>
            <w:vMerge/>
            <w:tcBorders>
              <w:top w:val="nil"/>
              <w:left w:val="single" w:sz="4" w:space="0" w:color="000000"/>
              <w:bottom w:val="single" w:sz="4" w:space="0" w:color="000000"/>
              <w:right w:val="single" w:sz="4" w:space="0" w:color="000000"/>
            </w:tcBorders>
          </w:tcPr>
          <w:p>
            <w:pPr>
              <w:rPr>
                <w:sz w:val="2"/>
                <w:szCs w:val="2"/>
              </w:rPr>
            </w:pPr>
          </w:p>
        </w:tc>
        <w:tc>
          <w:tcPr>
            <w:tcW w:w="702" w:type="dxa"/>
            <w:tcBorders>
              <w:left w:val="single" w:sz="4" w:space="0" w:color="000000"/>
            </w:tcBorders>
          </w:tcPr>
          <w:p>
            <w:pPr>
              <w:pStyle w:val="TableParagraph"/>
              <w:rPr>
                <w:rFonts w:ascii="Times New Roman"/>
                <w:sz w:val="16"/>
              </w:rPr>
            </w:pPr>
          </w:p>
        </w:tc>
        <w:tc>
          <w:tcPr>
            <w:tcW w:w="2121" w:type="dxa"/>
            <w:gridSpan w:val="3"/>
          </w:tcPr>
          <w:p>
            <w:pPr>
              <w:pStyle w:val="TableParagraph"/>
              <w:rPr>
                <w:rFonts w:ascii="Times New Roman"/>
                <w:sz w:val="16"/>
              </w:rPr>
            </w:pPr>
          </w:p>
        </w:tc>
        <w:tc>
          <w:tcPr>
            <w:tcW w:w="735" w:type="dxa"/>
          </w:tcPr>
          <w:p>
            <w:pPr>
              <w:pStyle w:val="TableParagraph"/>
              <w:rPr>
                <w:rFonts w:ascii="Times New Roman"/>
                <w:sz w:val="16"/>
              </w:rPr>
            </w:pPr>
          </w:p>
        </w:tc>
        <w:tc>
          <w:tcPr>
            <w:tcW w:w="770" w:type="dxa"/>
          </w:tcPr>
          <w:p>
            <w:pPr>
              <w:pStyle w:val="TableParagraph"/>
              <w:rPr>
                <w:rFonts w:ascii="Times New Roman"/>
                <w:sz w:val="16"/>
              </w:rPr>
            </w:pPr>
          </w:p>
        </w:tc>
        <w:tc>
          <w:tcPr>
            <w:tcW w:w="1254" w:type="dxa"/>
            <w:tcBorders>
              <w:right w:val="single" w:sz="4" w:space="0" w:color="000000"/>
            </w:tcBorders>
          </w:tcPr>
          <w:p>
            <w:pPr>
              <w:pStyle w:val="TableParagraph"/>
              <w:spacing w:before="10"/>
              <w:rPr>
                <w:sz w:val="19"/>
              </w:rPr>
            </w:pPr>
          </w:p>
          <w:p>
            <w:pPr>
              <w:pStyle w:val="TableParagraph"/>
              <w:spacing w:before="1"/>
              <w:ind w:right="155"/>
              <w:jc w:val="right"/>
              <w:rPr>
                <w:sz w:val="16"/>
              </w:rPr>
            </w:pPr>
            <w:r>
              <w:rPr>
                <w:sz w:val="16"/>
              </w:rPr>
              <w:t>35%</w:t>
            </w:r>
          </w:p>
        </w:tc>
      </w:tr>
      <w:tr>
        <w:trPr>
          <w:trHeight w:val="710" w:hRule="atLeast"/>
        </w:trPr>
        <w:tc>
          <w:tcPr>
            <w:tcW w:w="5586" w:type="dxa"/>
            <w:vMerge/>
            <w:tcBorders>
              <w:top w:val="nil"/>
              <w:left w:val="single" w:sz="4" w:space="0" w:color="000000"/>
              <w:bottom w:val="single" w:sz="4" w:space="0" w:color="000000"/>
              <w:right w:val="single" w:sz="4" w:space="0" w:color="000000"/>
            </w:tcBorders>
          </w:tcPr>
          <w:p>
            <w:pPr>
              <w:rPr>
                <w:sz w:val="2"/>
                <w:szCs w:val="2"/>
              </w:rPr>
            </w:pPr>
          </w:p>
        </w:tc>
        <w:tc>
          <w:tcPr>
            <w:tcW w:w="702" w:type="dxa"/>
            <w:tcBorders>
              <w:left w:val="single" w:sz="4" w:space="0" w:color="000000"/>
            </w:tcBorders>
          </w:tcPr>
          <w:p>
            <w:pPr>
              <w:pStyle w:val="TableParagraph"/>
              <w:rPr>
                <w:rFonts w:ascii="Times New Roman"/>
                <w:sz w:val="16"/>
              </w:rPr>
            </w:pPr>
          </w:p>
        </w:tc>
        <w:tc>
          <w:tcPr>
            <w:tcW w:w="2121" w:type="dxa"/>
            <w:gridSpan w:val="3"/>
          </w:tcPr>
          <w:p>
            <w:pPr>
              <w:pStyle w:val="TableParagraph"/>
              <w:rPr>
                <w:rFonts w:ascii="Times New Roman"/>
                <w:sz w:val="16"/>
              </w:rPr>
            </w:pPr>
          </w:p>
        </w:tc>
        <w:tc>
          <w:tcPr>
            <w:tcW w:w="735" w:type="dxa"/>
          </w:tcPr>
          <w:p>
            <w:pPr>
              <w:pStyle w:val="TableParagraph"/>
              <w:rPr>
                <w:rFonts w:ascii="Times New Roman"/>
                <w:sz w:val="16"/>
              </w:rPr>
            </w:pPr>
          </w:p>
        </w:tc>
        <w:tc>
          <w:tcPr>
            <w:tcW w:w="770" w:type="dxa"/>
          </w:tcPr>
          <w:p>
            <w:pPr>
              <w:pStyle w:val="TableParagraph"/>
              <w:rPr>
                <w:rFonts w:ascii="Times New Roman"/>
                <w:sz w:val="16"/>
              </w:rPr>
            </w:pPr>
          </w:p>
        </w:tc>
        <w:tc>
          <w:tcPr>
            <w:tcW w:w="1254" w:type="dxa"/>
            <w:tcBorders>
              <w:right w:val="single" w:sz="4" w:space="0" w:color="000000"/>
            </w:tcBorders>
          </w:tcPr>
          <w:p>
            <w:pPr>
              <w:pStyle w:val="TableParagraph"/>
              <w:spacing w:before="8"/>
              <w:rPr>
                <w:sz w:val="22"/>
              </w:rPr>
            </w:pPr>
          </w:p>
          <w:p>
            <w:pPr>
              <w:pStyle w:val="TableParagraph"/>
              <w:ind w:right="155"/>
              <w:jc w:val="right"/>
              <w:rPr>
                <w:sz w:val="16"/>
              </w:rPr>
            </w:pPr>
            <w:r>
              <w:rPr>
                <w:sz w:val="16"/>
              </w:rPr>
              <w:t>30%</w:t>
            </w:r>
          </w:p>
        </w:tc>
      </w:tr>
      <w:tr>
        <w:trPr>
          <w:trHeight w:val="445" w:hRule="atLeast"/>
        </w:trPr>
        <w:tc>
          <w:tcPr>
            <w:tcW w:w="5586" w:type="dxa"/>
            <w:vMerge/>
            <w:tcBorders>
              <w:top w:val="nil"/>
              <w:left w:val="single" w:sz="4" w:space="0" w:color="000000"/>
              <w:bottom w:val="single" w:sz="4" w:space="0" w:color="000000"/>
              <w:right w:val="single" w:sz="4" w:space="0" w:color="000000"/>
            </w:tcBorders>
          </w:tcPr>
          <w:p>
            <w:pPr>
              <w:rPr>
                <w:sz w:val="2"/>
                <w:szCs w:val="2"/>
              </w:rPr>
            </w:pPr>
          </w:p>
        </w:tc>
        <w:tc>
          <w:tcPr>
            <w:tcW w:w="702" w:type="dxa"/>
            <w:tcBorders>
              <w:left w:val="single" w:sz="4" w:space="0" w:color="000000"/>
            </w:tcBorders>
          </w:tcPr>
          <w:p>
            <w:pPr>
              <w:pStyle w:val="TableParagraph"/>
              <w:rPr>
                <w:rFonts w:ascii="Times New Roman"/>
                <w:sz w:val="16"/>
              </w:rPr>
            </w:pPr>
          </w:p>
        </w:tc>
        <w:tc>
          <w:tcPr>
            <w:tcW w:w="2121" w:type="dxa"/>
            <w:gridSpan w:val="3"/>
          </w:tcPr>
          <w:p>
            <w:pPr>
              <w:pStyle w:val="TableParagraph"/>
              <w:rPr>
                <w:rFonts w:ascii="Times New Roman"/>
                <w:sz w:val="16"/>
              </w:rPr>
            </w:pPr>
          </w:p>
        </w:tc>
        <w:tc>
          <w:tcPr>
            <w:tcW w:w="735" w:type="dxa"/>
          </w:tcPr>
          <w:p>
            <w:pPr>
              <w:pStyle w:val="TableParagraph"/>
              <w:rPr>
                <w:rFonts w:ascii="Times New Roman"/>
                <w:sz w:val="16"/>
              </w:rPr>
            </w:pPr>
          </w:p>
        </w:tc>
        <w:tc>
          <w:tcPr>
            <w:tcW w:w="770" w:type="dxa"/>
          </w:tcPr>
          <w:p>
            <w:pPr>
              <w:pStyle w:val="TableParagraph"/>
              <w:rPr>
                <w:rFonts w:ascii="Times New Roman"/>
                <w:sz w:val="16"/>
              </w:rPr>
            </w:pPr>
          </w:p>
        </w:tc>
        <w:tc>
          <w:tcPr>
            <w:tcW w:w="1254" w:type="dxa"/>
            <w:tcBorders>
              <w:right w:val="single" w:sz="4" w:space="0" w:color="000000"/>
            </w:tcBorders>
          </w:tcPr>
          <w:p>
            <w:pPr>
              <w:pStyle w:val="TableParagraph"/>
              <w:spacing w:before="8"/>
              <w:rPr>
                <w:sz w:val="22"/>
              </w:rPr>
            </w:pPr>
          </w:p>
          <w:p>
            <w:pPr>
              <w:pStyle w:val="TableParagraph"/>
              <w:spacing w:line="165" w:lineRule="exact"/>
              <w:ind w:right="155"/>
              <w:jc w:val="right"/>
              <w:rPr>
                <w:sz w:val="16"/>
              </w:rPr>
            </w:pPr>
            <w:r>
              <w:rPr>
                <w:sz w:val="16"/>
              </w:rPr>
              <w:t>25%</w:t>
            </w:r>
          </w:p>
        </w:tc>
      </w:tr>
      <w:tr>
        <w:trPr>
          <w:trHeight w:val="301" w:hRule="atLeast"/>
        </w:trPr>
        <w:tc>
          <w:tcPr>
            <w:tcW w:w="5586" w:type="dxa"/>
            <w:vMerge/>
            <w:tcBorders>
              <w:top w:val="nil"/>
              <w:left w:val="single" w:sz="4" w:space="0" w:color="000000"/>
              <w:bottom w:val="single" w:sz="4" w:space="0" w:color="000000"/>
              <w:right w:val="single" w:sz="4" w:space="0" w:color="000000"/>
            </w:tcBorders>
          </w:tcPr>
          <w:p>
            <w:pPr>
              <w:rPr>
                <w:sz w:val="2"/>
                <w:szCs w:val="2"/>
              </w:rPr>
            </w:pPr>
          </w:p>
        </w:tc>
        <w:tc>
          <w:tcPr>
            <w:tcW w:w="702" w:type="dxa"/>
            <w:tcBorders>
              <w:left w:val="single" w:sz="4" w:space="0" w:color="000000"/>
              <w:bottom w:val="single" w:sz="4" w:space="0" w:color="000000"/>
            </w:tcBorders>
          </w:tcPr>
          <w:p>
            <w:pPr>
              <w:pStyle w:val="TableParagraph"/>
              <w:spacing w:line="180" w:lineRule="exact"/>
              <w:ind w:right="110"/>
              <w:jc w:val="right"/>
              <w:rPr>
                <w:sz w:val="16"/>
              </w:rPr>
            </w:pPr>
            <w:r>
              <w:rPr>
                <w:sz w:val="16"/>
              </w:rPr>
              <w:t>1950</w:t>
            </w:r>
          </w:p>
        </w:tc>
        <w:tc>
          <w:tcPr>
            <w:tcW w:w="861" w:type="dxa"/>
            <w:tcBorders>
              <w:bottom w:val="single" w:sz="4" w:space="0" w:color="000000"/>
            </w:tcBorders>
          </w:tcPr>
          <w:p>
            <w:pPr>
              <w:pStyle w:val="TableParagraph"/>
              <w:spacing w:line="180" w:lineRule="exact"/>
              <w:ind w:left="232"/>
              <w:rPr>
                <w:sz w:val="16"/>
              </w:rPr>
            </w:pPr>
            <w:r>
              <w:rPr>
                <w:sz w:val="16"/>
              </w:rPr>
              <w:t>1960</w:t>
            </w:r>
          </w:p>
        </w:tc>
        <w:tc>
          <w:tcPr>
            <w:tcW w:w="455" w:type="dxa"/>
            <w:tcBorders>
              <w:bottom w:val="single" w:sz="4" w:space="0" w:color="000000"/>
            </w:tcBorders>
          </w:tcPr>
          <w:p>
            <w:pPr>
              <w:pStyle w:val="TableParagraph"/>
              <w:spacing w:line="180" w:lineRule="exact"/>
              <w:ind w:left="71"/>
              <w:rPr>
                <w:sz w:val="16"/>
              </w:rPr>
            </w:pPr>
            <w:r>
              <w:rPr>
                <w:sz w:val="16"/>
              </w:rPr>
              <w:t>1970</w:t>
            </w:r>
          </w:p>
        </w:tc>
        <w:tc>
          <w:tcPr>
            <w:tcW w:w="805" w:type="dxa"/>
            <w:tcBorders>
              <w:bottom w:val="single" w:sz="4" w:space="0" w:color="000000"/>
            </w:tcBorders>
          </w:tcPr>
          <w:p>
            <w:pPr>
              <w:pStyle w:val="TableParagraph"/>
              <w:spacing w:line="180" w:lineRule="exact"/>
              <w:ind w:left="315"/>
              <w:rPr>
                <w:sz w:val="16"/>
              </w:rPr>
            </w:pPr>
            <w:r>
              <w:rPr>
                <w:sz w:val="16"/>
              </w:rPr>
              <w:t>1980</w:t>
            </w:r>
          </w:p>
        </w:tc>
        <w:tc>
          <w:tcPr>
            <w:tcW w:w="735" w:type="dxa"/>
            <w:tcBorders>
              <w:bottom w:val="single" w:sz="4" w:space="0" w:color="000000"/>
            </w:tcBorders>
          </w:tcPr>
          <w:p>
            <w:pPr>
              <w:pStyle w:val="TableParagraph"/>
              <w:spacing w:line="180" w:lineRule="exact"/>
              <w:ind w:left="210"/>
              <w:rPr>
                <w:sz w:val="16"/>
              </w:rPr>
            </w:pPr>
            <w:r>
              <w:rPr>
                <w:sz w:val="16"/>
              </w:rPr>
              <w:t>1990</w:t>
            </w:r>
          </w:p>
        </w:tc>
        <w:tc>
          <w:tcPr>
            <w:tcW w:w="770" w:type="dxa"/>
            <w:tcBorders>
              <w:bottom w:val="single" w:sz="4" w:space="0" w:color="000000"/>
            </w:tcBorders>
          </w:tcPr>
          <w:p>
            <w:pPr>
              <w:pStyle w:val="TableParagraph"/>
              <w:spacing w:line="180" w:lineRule="exact"/>
              <w:ind w:left="175"/>
              <w:rPr>
                <w:sz w:val="16"/>
              </w:rPr>
            </w:pPr>
            <w:r>
              <w:rPr>
                <w:sz w:val="16"/>
              </w:rPr>
              <w:t>2000</w:t>
            </w:r>
          </w:p>
        </w:tc>
        <w:tc>
          <w:tcPr>
            <w:tcW w:w="1254" w:type="dxa"/>
            <w:tcBorders>
              <w:bottom w:val="single" w:sz="4" w:space="0" w:color="000000"/>
              <w:right w:val="single" w:sz="4" w:space="0" w:color="000000"/>
            </w:tcBorders>
          </w:tcPr>
          <w:p>
            <w:pPr>
              <w:pStyle w:val="TableParagraph"/>
              <w:spacing w:line="180" w:lineRule="exact"/>
              <w:ind w:left="105"/>
              <w:rPr>
                <w:sz w:val="16"/>
              </w:rPr>
            </w:pPr>
            <w:r>
              <w:rPr>
                <w:sz w:val="16"/>
              </w:rPr>
              <w:t>2010</w:t>
            </w:r>
          </w:p>
        </w:tc>
      </w:tr>
      <w:tr>
        <w:trPr>
          <w:trHeight w:val="246" w:hRule="atLeas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before="39"/>
              <w:ind w:left="107"/>
              <w:rPr>
                <w:sz w:val="16"/>
              </w:rPr>
            </w:pPr>
            <w:r>
              <w:rPr>
                <w:sz w:val="16"/>
              </w:rPr>
              <w:t>Source: UN World Population Prospects: The 2015 Revision</w:t>
            </w:r>
          </w:p>
        </w:tc>
        <w:tc>
          <w:tcPr>
            <w:tcW w:w="5582" w:type="dxa"/>
            <w:gridSpan w:val="7"/>
            <w:tcBorders>
              <w:top w:val="single" w:sz="4" w:space="0" w:color="000000"/>
              <w:left w:val="single" w:sz="4" w:space="0" w:color="000000"/>
              <w:bottom w:val="single" w:sz="4" w:space="0" w:color="000000"/>
              <w:right w:val="single" w:sz="4" w:space="0" w:color="000000"/>
            </w:tcBorders>
          </w:tcPr>
          <w:p>
            <w:pPr>
              <w:pStyle w:val="TableParagraph"/>
              <w:spacing w:before="39"/>
              <w:ind w:left="110"/>
              <w:rPr>
                <w:sz w:val="16"/>
              </w:rPr>
            </w:pPr>
            <w:r>
              <w:rPr>
                <w:sz w:val="16"/>
              </w:rPr>
              <w:t>Source: UN World Population Prospects: The 2015 Revision</w:t>
            </w:r>
          </w:p>
        </w:tc>
      </w:tr>
      <w:tr>
        <w:trPr>
          <w:trHeight w:val="556" w:hRule="atLeas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114"/>
              <w:ind w:left="107" w:right="101"/>
              <w:rPr>
                <w:sz w:val="20"/>
              </w:rPr>
            </w:pPr>
            <w:r>
              <w:rPr>
                <w:b/>
                <w:sz w:val="20"/>
              </w:rPr>
              <w:t>Figure 9: </w:t>
            </w:r>
            <w:r>
              <w:rPr>
                <w:sz w:val="20"/>
              </w:rPr>
              <w:t>Inequality in selected Advanced countries (income share of the top decile of the population)</w:t>
            </w:r>
          </w:p>
        </w:tc>
        <w:tc>
          <w:tcPr>
            <w:tcW w:w="5582" w:type="dxa"/>
            <w:gridSpan w:val="7"/>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114"/>
              <w:ind w:left="110" w:right="573"/>
              <w:rPr>
                <w:sz w:val="20"/>
              </w:rPr>
            </w:pPr>
            <w:r>
              <w:rPr>
                <w:b/>
                <w:sz w:val="20"/>
              </w:rPr>
              <w:t>Figure 10: </w:t>
            </w:r>
            <w:r>
              <w:rPr>
                <w:sz w:val="20"/>
              </w:rPr>
              <w:t>Inequality in selected EM countries (income share of the top decile of the population)</w:t>
            </w:r>
          </w:p>
        </w:tc>
      </w:tr>
      <w:tr>
        <w:trPr>
          <w:trHeight w:val="442" w:hRule="atLeast"/>
        </w:trPr>
        <w:tc>
          <w:tcPr>
            <w:tcW w:w="5586" w:type="dxa"/>
            <w:tcBorders>
              <w:top w:val="single" w:sz="4" w:space="0" w:color="000000"/>
              <w:left w:val="single" w:sz="4" w:space="0" w:color="000000"/>
              <w:right w:val="single" w:sz="4" w:space="0" w:color="000000"/>
            </w:tcBorders>
          </w:tcPr>
          <w:p>
            <w:pPr>
              <w:pStyle w:val="TableParagraph"/>
              <w:spacing w:before="109"/>
              <w:ind w:right="136"/>
              <w:jc w:val="right"/>
              <w:rPr>
                <w:sz w:val="16"/>
              </w:rPr>
            </w:pPr>
            <w:r>
              <w:rPr>
                <w:sz w:val="16"/>
              </w:rPr>
              <w:t>50%</w:t>
            </w:r>
          </w:p>
        </w:tc>
        <w:tc>
          <w:tcPr>
            <w:tcW w:w="702" w:type="dxa"/>
            <w:tcBorders>
              <w:top w:val="single" w:sz="4" w:space="0" w:color="000000"/>
              <w:left w:val="single" w:sz="4" w:space="0" w:color="000000"/>
            </w:tcBorders>
          </w:tcPr>
          <w:p>
            <w:pPr>
              <w:pStyle w:val="TableParagraph"/>
              <w:rPr>
                <w:rFonts w:ascii="Times New Roman"/>
                <w:sz w:val="16"/>
              </w:rPr>
            </w:pPr>
          </w:p>
        </w:tc>
        <w:tc>
          <w:tcPr>
            <w:tcW w:w="2121" w:type="dxa"/>
            <w:gridSpan w:val="3"/>
            <w:tcBorders>
              <w:top w:val="single" w:sz="4" w:space="0" w:color="000000"/>
            </w:tcBorders>
          </w:tcPr>
          <w:p>
            <w:pPr>
              <w:pStyle w:val="TableParagraph"/>
              <w:rPr>
                <w:rFonts w:ascii="Times New Roman"/>
                <w:sz w:val="16"/>
              </w:rPr>
            </w:pPr>
          </w:p>
        </w:tc>
        <w:tc>
          <w:tcPr>
            <w:tcW w:w="735" w:type="dxa"/>
            <w:tcBorders>
              <w:top w:val="single" w:sz="4" w:space="0" w:color="000000"/>
            </w:tcBorders>
          </w:tcPr>
          <w:p>
            <w:pPr>
              <w:pStyle w:val="TableParagraph"/>
              <w:rPr>
                <w:rFonts w:ascii="Times New Roman"/>
                <w:sz w:val="16"/>
              </w:rPr>
            </w:pPr>
          </w:p>
        </w:tc>
        <w:tc>
          <w:tcPr>
            <w:tcW w:w="770" w:type="dxa"/>
            <w:tcBorders>
              <w:top w:val="single" w:sz="4" w:space="0" w:color="000000"/>
            </w:tcBorders>
          </w:tcPr>
          <w:p>
            <w:pPr>
              <w:pStyle w:val="TableParagraph"/>
              <w:rPr>
                <w:rFonts w:ascii="Times New Roman"/>
                <w:sz w:val="16"/>
              </w:rPr>
            </w:pPr>
          </w:p>
        </w:tc>
        <w:tc>
          <w:tcPr>
            <w:tcW w:w="1254" w:type="dxa"/>
            <w:tcBorders>
              <w:top w:val="single" w:sz="4" w:space="0" w:color="000000"/>
              <w:right w:val="single" w:sz="4" w:space="0" w:color="000000"/>
            </w:tcBorders>
          </w:tcPr>
          <w:p>
            <w:pPr>
              <w:pStyle w:val="TableParagraph"/>
              <w:spacing w:before="108"/>
              <w:ind w:right="155"/>
              <w:jc w:val="right"/>
              <w:rPr>
                <w:sz w:val="16"/>
              </w:rPr>
            </w:pPr>
            <w:r>
              <w:rPr>
                <w:sz w:val="16"/>
              </w:rPr>
              <w:t>30%</w:t>
            </w:r>
          </w:p>
        </w:tc>
      </w:tr>
      <w:tr>
        <w:trPr>
          <w:trHeight w:val="478" w:hRule="atLeast"/>
        </w:trPr>
        <w:tc>
          <w:tcPr>
            <w:tcW w:w="5586" w:type="dxa"/>
            <w:tcBorders>
              <w:left w:val="single" w:sz="4" w:space="0" w:color="000000"/>
              <w:right w:val="single" w:sz="4" w:space="0" w:color="000000"/>
            </w:tcBorders>
          </w:tcPr>
          <w:p>
            <w:pPr>
              <w:pStyle w:val="TableParagraph"/>
              <w:spacing w:before="145"/>
              <w:ind w:right="136"/>
              <w:jc w:val="right"/>
              <w:rPr>
                <w:sz w:val="16"/>
              </w:rPr>
            </w:pPr>
            <w:r>
              <w:rPr>
                <w:sz w:val="16"/>
              </w:rPr>
              <w:t>45%</w:t>
            </w:r>
          </w:p>
        </w:tc>
        <w:tc>
          <w:tcPr>
            <w:tcW w:w="702" w:type="dxa"/>
            <w:tcBorders>
              <w:left w:val="single" w:sz="4" w:space="0" w:color="000000"/>
            </w:tcBorders>
          </w:tcPr>
          <w:p>
            <w:pPr>
              <w:pStyle w:val="TableParagraph"/>
              <w:rPr>
                <w:rFonts w:ascii="Times New Roman"/>
                <w:sz w:val="16"/>
              </w:rPr>
            </w:pPr>
          </w:p>
        </w:tc>
        <w:tc>
          <w:tcPr>
            <w:tcW w:w="2121" w:type="dxa"/>
            <w:gridSpan w:val="3"/>
          </w:tcPr>
          <w:p>
            <w:pPr>
              <w:pStyle w:val="TableParagraph"/>
              <w:rPr>
                <w:rFonts w:ascii="Times New Roman"/>
                <w:sz w:val="16"/>
              </w:rPr>
            </w:pPr>
          </w:p>
        </w:tc>
        <w:tc>
          <w:tcPr>
            <w:tcW w:w="735" w:type="dxa"/>
          </w:tcPr>
          <w:p>
            <w:pPr>
              <w:pStyle w:val="TableParagraph"/>
              <w:rPr>
                <w:rFonts w:ascii="Times New Roman"/>
                <w:sz w:val="16"/>
              </w:rPr>
            </w:pPr>
          </w:p>
        </w:tc>
        <w:tc>
          <w:tcPr>
            <w:tcW w:w="770" w:type="dxa"/>
          </w:tcPr>
          <w:p>
            <w:pPr>
              <w:pStyle w:val="TableParagraph"/>
              <w:rPr>
                <w:rFonts w:ascii="Times New Roman"/>
                <w:sz w:val="16"/>
              </w:rPr>
            </w:pPr>
          </w:p>
        </w:tc>
        <w:tc>
          <w:tcPr>
            <w:tcW w:w="1254" w:type="dxa"/>
            <w:tcBorders>
              <w:right w:val="single" w:sz="4" w:space="0" w:color="000000"/>
            </w:tcBorders>
          </w:tcPr>
          <w:p>
            <w:pPr>
              <w:pStyle w:val="TableParagraph"/>
              <w:spacing w:before="145"/>
              <w:ind w:right="155"/>
              <w:jc w:val="right"/>
              <w:rPr>
                <w:sz w:val="16"/>
              </w:rPr>
            </w:pPr>
            <w:r>
              <w:rPr>
                <w:sz w:val="16"/>
              </w:rPr>
              <w:t>25%</w:t>
            </w:r>
          </w:p>
        </w:tc>
      </w:tr>
      <w:tr>
        <w:trPr>
          <w:trHeight w:val="479" w:hRule="atLeast"/>
        </w:trPr>
        <w:tc>
          <w:tcPr>
            <w:tcW w:w="5586" w:type="dxa"/>
            <w:tcBorders>
              <w:left w:val="single" w:sz="4" w:space="0" w:color="000000"/>
              <w:right w:val="single" w:sz="4" w:space="0" w:color="000000"/>
            </w:tcBorders>
          </w:tcPr>
          <w:p>
            <w:pPr>
              <w:pStyle w:val="TableParagraph"/>
              <w:spacing w:before="145"/>
              <w:ind w:right="136"/>
              <w:jc w:val="right"/>
              <w:rPr>
                <w:sz w:val="16"/>
              </w:rPr>
            </w:pPr>
            <w:r>
              <w:rPr>
                <w:sz w:val="16"/>
              </w:rPr>
              <w:t>40%</w:t>
            </w:r>
          </w:p>
        </w:tc>
        <w:tc>
          <w:tcPr>
            <w:tcW w:w="702" w:type="dxa"/>
            <w:tcBorders>
              <w:left w:val="single" w:sz="4" w:space="0" w:color="000000"/>
            </w:tcBorders>
          </w:tcPr>
          <w:p>
            <w:pPr>
              <w:pStyle w:val="TableParagraph"/>
              <w:rPr>
                <w:rFonts w:ascii="Times New Roman"/>
                <w:sz w:val="16"/>
              </w:rPr>
            </w:pPr>
          </w:p>
        </w:tc>
        <w:tc>
          <w:tcPr>
            <w:tcW w:w="2121" w:type="dxa"/>
            <w:gridSpan w:val="3"/>
          </w:tcPr>
          <w:p>
            <w:pPr>
              <w:pStyle w:val="TableParagraph"/>
              <w:rPr>
                <w:rFonts w:ascii="Times New Roman"/>
                <w:sz w:val="16"/>
              </w:rPr>
            </w:pPr>
          </w:p>
        </w:tc>
        <w:tc>
          <w:tcPr>
            <w:tcW w:w="735" w:type="dxa"/>
          </w:tcPr>
          <w:p>
            <w:pPr>
              <w:pStyle w:val="TableParagraph"/>
              <w:rPr>
                <w:rFonts w:ascii="Times New Roman"/>
                <w:sz w:val="16"/>
              </w:rPr>
            </w:pPr>
          </w:p>
        </w:tc>
        <w:tc>
          <w:tcPr>
            <w:tcW w:w="770" w:type="dxa"/>
          </w:tcPr>
          <w:p>
            <w:pPr>
              <w:pStyle w:val="TableParagraph"/>
              <w:rPr>
                <w:rFonts w:ascii="Times New Roman"/>
                <w:sz w:val="16"/>
              </w:rPr>
            </w:pPr>
          </w:p>
        </w:tc>
        <w:tc>
          <w:tcPr>
            <w:tcW w:w="1254" w:type="dxa"/>
            <w:tcBorders>
              <w:right w:val="single" w:sz="4" w:space="0" w:color="000000"/>
            </w:tcBorders>
          </w:tcPr>
          <w:p>
            <w:pPr>
              <w:pStyle w:val="TableParagraph"/>
              <w:spacing w:before="145"/>
              <w:ind w:right="155"/>
              <w:jc w:val="right"/>
              <w:rPr>
                <w:sz w:val="16"/>
              </w:rPr>
            </w:pPr>
            <w:r>
              <w:rPr>
                <w:sz w:val="16"/>
              </w:rPr>
              <w:t>20%</w:t>
            </w:r>
          </w:p>
        </w:tc>
      </w:tr>
      <w:tr>
        <w:trPr>
          <w:trHeight w:val="478" w:hRule="atLeast"/>
        </w:trPr>
        <w:tc>
          <w:tcPr>
            <w:tcW w:w="5586" w:type="dxa"/>
            <w:tcBorders>
              <w:left w:val="single" w:sz="4" w:space="0" w:color="000000"/>
              <w:right w:val="single" w:sz="4" w:space="0" w:color="000000"/>
            </w:tcBorders>
          </w:tcPr>
          <w:p>
            <w:pPr>
              <w:pStyle w:val="TableParagraph"/>
              <w:spacing w:before="145"/>
              <w:ind w:right="136"/>
              <w:jc w:val="right"/>
              <w:rPr>
                <w:sz w:val="16"/>
              </w:rPr>
            </w:pPr>
            <w:r>
              <w:rPr>
                <w:sz w:val="16"/>
              </w:rPr>
              <w:t>35%</w:t>
            </w:r>
          </w:p>
        </w:tc>
        <w:tc>
          <w:tcPr>
            <w:tcW w:w="702" w:type="dxa"/>
            <w:tcBorders>
              <w:left w:val="single" w:sz="4" w:space="0" w:color="000000"/>
            </w:tcBorders>
          </w:tcPr>
          <w:p>
            <w:pPr>
              <w:pStyle w:val="TableParagraph"/>
              <w:rPr>
                <w:rFonts w:ascii="Times New Roman"/>
                <w:sz w:val="16"/>
              </w:rPr>
            </w:pPr>
          </w:p>
        </w:tc>
        <w:tc>
          <w:tcPr>
            <w:tcW w:w="2121" w:type="dxa"/>
            <w:gridSpan w:val="3"/>
          </w:tcPr>
          <w:p>
            <w:pPr>
              <w:pStyle w:val="TableParagraph"/>
              <w:rPr>
                <w:rFonts w:ascii="Times New Roman"/>
                <w:sz w:val="16"/>
              </w:rPr>
            </w:pPr>
          </w:p>
        </w:tc>
        <w:tc>
          <w:tcPr>
            <w:tcW w:w="735" w:type="dxa"/>
          </w:tcPr>
          <w:p>
            <w:pPr>
              <w:pStyle w:val="TableParagraph"/>
              <w:rPr>
                <w:rFonts w:ascii="Times New Roman"/>
                <w:sz w:val="16"/>
              </w:rPr>
            </w:pPr>
          </w:p>
        </w:tc>
        <w:tc>
          <w:tcPr>
            <w:tcW w:w="770" w:type="dxa"/>
          </w:tcPr>
          <w:p>
            <w:pPr>
              <w:pStyle w:val="TableParagraph"/>
              <w:rPr>
                <w:rFonts w:ascii="Times New Roman"/>
                <w:sz w:val="16"/>
              </w:rPr>
            </w:pPr>
          </w:p>
        </w:tc>
        <w:tc>
          <w:tcPr>
            <w:tcW w:w="1254" w:type="dxa"/>
            <w:tcBorders>
              <w:right w:val="single" w:sz="4" w:space="0" w:color="000000"/>
            </w:tcBorders>
          </w:tcPr>
          <w:p>
            <w:pPr>
              <w:pStyle w:val="TableParagraph"/>
              <w:spacing w:before="145"/>
              <w:ind w:right="155"/>
              <w:jc w:val="right"/>
              <w:rPr>
                <w:sz w:val="16"/>
              </w:rPr>
            </w:pPr>
            <w:r>
              <w:rPr>
                <w:sz w:val="16"/>
              </w:rPr>
              <w:t>15%</w:t>
            </w:r>
          </w:p>
        </w:tc>
      </w:tr>
      <w:tr>
        <w:trPr>
          <w:trHeight w:val="368" w:hRule="atLeast"/>
        </w:trPr>
        <w:tc>
          <w:tcPr>
            <w:tcW w:w="5586" w:type="dxa"/>
            <w:tcBorders>
              <w:left w:val="single" w:sz="4" w:space="0" w:color="000000"/>
              <w:right w:val="single" w:sz="4" w:space="0" w:color="000000"/>
            </w:tcBorders>
          </w:tcPr>
          <w:p>
            <w:pPr>
              <w:pStyle w:val="TableParagraph"/>
              <w:tabs>
                <w:tab w:pos="4255" w:val="left" w:leader="none"/>
              </w:tabs>
              <w:spacing w:line="203" w:lineRule="exact" w:before="145"/>
              <w:ind w:right="136"/>
              <w:jc w:val="right"/>
              <w:rPr>
                <w:sz w:val="16"/>
              </w:rPr>
            </w:pPr>
            <w:r>
              <w:rPr>
                <w:position w:val="-3"/>
                <w:sz w:val="16"/>
              </w:rPr>
              <w:t>US</w:t>
              <w:tab/>
            </w:r>
            <w:r>
              <w:rPr>
                <w:spacing w:val="-1"/>
                <w:sz w:val="16"/>
              </w:rPr>
              <w:t>30%</w:t>
            </w:r>
          </w:p>
        </w:tc>
        <w:tc>
          <w:tcPr>
            <w:tcW w:w="702" w:type="dxa"/>
            <w:tcBorders>
              <w:left w:val="single" w:sz="4" w:space="0" w:color="000000"/>
            </w:tcBorders>
          </w:tcPr>
          <w:p>
            <w:pPr>
              <w:pStyle w:val="TableParagraph"/>
              <w:rPr>
                <w:rFonts w:ascii="Times New Roman"/>
                <w:sz w:val="16"/>
              </w:rPr>
            </w:pPr>
          </w:p>
        </w:tc>
        <w:tc>
          <w:tcPr>
            <w:tcW w:w="2121" w:type="dxa"/>
            <w:gridSpan w:val="3"/>
          </w:tcPr>
          <w:p>
            <w:pPr>
              <w:pStyle w:val="TableParagraph"/>
              <w:rPr>
                <w:rFonts w:ascii="Times New Roman"/>
                <w:sz w:val="16"/>
              </w:rPr>
            </w:pPr>
          </w:p>
        </w:tc>
        <w:tc>
          <w:tcPr>
            <w:tcW w:w="735" w:type="dxa"/>
          </w:tcPr>
          <w:p>
            <w:pPr>
              <w:pStyle w:val="TableParagraph"/>
              <w:rPr>
                <w:rFonts w:ascii="Times New Roman"/>
                <w:sz w:val="16"/>
              </w:rPr>
            </w:pPr>
          </w:p>
        </w:tc>
        <w:tc>
          <w:tcPr>
            <w:tcW w:w="770" w:type="dxa"/>
          </w:tcPr>
          <w:p>
            <w:pPr>
              <w:pStyle w:val="TableParagraph"/>
              <w:rPr>
                <w:rFonts w:ascii="Times New Roman"/>
                <w:sz w:val="16"/>
              </w:rPr>
            </w:pPr>
          </w:p>
        </w:tc>
        <w:tc>
          <w:tcPr>
            <w:tcW w:w="1254" w:type="dxa"/>
            <w:tcBorders>
              <w:right w:val="single" w:sz="4" w:space="0" w:color="000000"/>
            </w:tcBorders>
          </w:tcPr>
          <w:p>
            <w:pPr>
              <w:pStyle w:val="TableParagraph"/>
              <w:spacing w:before="145"/>
              <w:ind w:right="155"/>
              <w:jc w:val="right"/>
              <w:rPr>
                <w:sz w:val="16"/>
              </w:rPr>
            </w:pPr>
            <w:r>
              <w:rPr>
                <w:sz w:val="16"/>
              </w:rPr>
              <w:t>10%</w:t>
            </w:r>
          </w:p>
        </w:tc>
      </w:tr>
      <w:tr>
        <w:trPr>
          <w:trHeight w:val="245" w:hRule="atLeast"/>
        </w:trPr>
        <w:tc>
          <w:tcPr>
            <w:tcW w:w="5586" w:type="dxa"/>
            <w:tcBorders>
              <w:left w:val="single" w:sz="4" w:space="0" w:color="000000"/>
              <w:right w:val="single" w:sz="4" w:space="0" w:color="000000"/>
            </w:tcBorders>
          </w:tcPr>
          <w:p>
            <w:pPr>
              <w:pStyle w:val="TableParagraph"/>
              <w:spacing w:line="179" w:lineRule="exact" w:before="45"/>
              <w:ind w:left="862"/>
              <w:rPr>
                <w:sz w:val="16"/>
              </w:rPr>
            </w:pPr>
            <w:r>
              <w:rPr>
                <w:sz w:val="16"/>
              </w:rPr>
              <w:t>UK</w:t>
            </w:r>
          </w:p>
        </w:tc>
        <w:tc>
          <w:tcPr>
            <w:tcW w:w="702" w:type="dxa"/>
            <w:tcBorders>
              <w:left w:val="single" w:sz="4" w:space="0" w:color="000000"/>
            </w:tcBorders>
          </w:tcPr>
          <w:p>
            <w:pPr>
              <w:pStyle w:val="TableParagraph"/>
              <w:rPr>
                <w:rFonts w:ascii="Times New Roman"/>
                <w:sz w:val="16"/>
              </w:rPr>
            </w:pPr>
          </w:p>
        </w:tc>
        <w:tc>
          <w:tcPr>
            <w:tcW w:w="2121" w:type="dxa"/>
            <w:gridSpan w:val="3"/>
          </w:tcPr>
          <w:p>
            <w:pPr>
              <w:pStyle w:val="TableParagraph"/>
              <w:spacing w:line="181" w:lineRule="exact"/>
              <w:ind w:left="158"/>
              <w:rPr>
                <w:sz w:val="16"/>
              </w:rPr>
            </w:pPr>
            <w:r>
              <w:rPr>
                <w:sz w:val="16"/>
              </w:rPr>
              <w:t>India</w:t>
            </w:r>
          </w:p>
        </w:tc>
        <w:tc>
          <w:tcPr>
            <w:tcW w:w="735" w:type="dxa"/>
          </w:tcPr>
          <w:p>
            <w:pPr>
              <w:pStyle w:val="TableParagraph"/>
              <w:rPr>
                <w:rFonts w:ascii="Times New Roman"/>
                <w:sz w:val="16"/>
              </w:rPr>
            </w:pPr>
          </w:p>
        </w:tc>
        <w:tc>
          <w:tcPr>
            <w:tcW w:w="770" w:type="dxa"/>
          </w:tcPr>
          <w:p>
            <w:pPr>
              <w:pStyle w:val="TableParagraph"/>
              <w:rPr>
                <w:rFonts w:ascii="Times New Roman"/>
                <w:sz w:val="16"/>
              </w:rPr>
            </w:pPr>
          </w:p>
        </w:tc>
        <w:tc>
          <w:tcPr>
            <w:tcW w:w="1254" w:type="dxa"/>
            <w:tcBorders>
              <w:right w:val="single" w:sz="4" w:space="0" w:color="000000"/>
            </w:tcBorders>
          </w:tcPr>
          <w:p>
            <w:pPr>
              <w:pStyle w:val="TableParagraph"/>
              <w:rPr>
                <w:rFonts w:ascii="Times New Roman"/>
                <w:sz w:val="16"/>
              </w:rPr>
            </w:pPr>
          </w:p>
        </w:tc>
      </w:tr>
      <w:tr>
        <w:trPr>
          <w:trHeight w:val="240" w:hRule="atLeast"/>
        </w:trPr>
        <w:tc>
          <w:tcPr>
            <w:tcW w:w="5586" w:type="dxa"/>
            <w:tcBorders>
              <w:left w:val="single" w:sz="4" w:space="0" w:color="000000"/>
              <w:right w:val="single" w:sz="4" w:space="0" w:color="000000"/>
            </w:tcBorders>
          </w:tcPr>
          <w:p>
            <w:pPr>
              <w:pStyle w:val="TableParagraph"/>
              <w:tabs>
                <w:tab w:pos="4255" w:val="left" w:leader="none"/>
              </w:tabs>
              <w:spacing w:before="11"/>
              <w:ind w:right="136"/>
              <w:jc w:val="right"/>
              <w:rPr>
                <w:sz w:val="16"/>
              </w:rPr>
            </w:pPr>
            <w:r>
              <w:rPr>
                <w:sz w:val="16"/>
              </w:rPr>
              <w:t>Germany</w:t>
              <w:tab/>
            </w:r>
            <w:r>
              <w:rPr>
                <w:spacing w:val="-1"/>
                <w:position w:val="2"/>
                <w:sz w:val="16"/>
              </w:rPr>
              <w:t>25%</w:t>
            </w:r>
          </w:p>
        </w:tc>
        <w:tc>
          <w:tcPr>
            <w:tcW w:w="702" w:type="dxa"/>
            <w:tcBorders>
              <w:left w:val="single" w:sz="4" w:space="0" w:color="000000"/>
            </w:tcBorders>
          </w:tcPr>
          <w:p>
            <w:pPr>
              <w:pStyle w:val="TableParagraph"/>
              <w:rPr>
                <w:rFonts w:ascii="Times New Roman"/>
                <w:sz w:val="16"/>
              </w:rPr>
            </w:pPr>
          </w:p>
        </w:tc>
        <w:tc>
          <w:tcPr>
            <w:tcW w:w="2121" w:type="dxa"/>
            <w:gridSpan w:val="3"/>
          </w:tcPr>
          <w:p>
            <w:pPr>
              <w:pStyle w:val="TableParagraph"/>
              <w:spacing w:before="14"/>
              <w:ind w:left="158"/>
              <w:rPr>
                <w:sz w:val="16"/>
              </w:rPr>
            </w:pPr>
            <w:r>
              <w:rPr>
                <w:sz w:val="16"/>
              </w:rPr>
              <w:t>South Africa</w:t>
            </w:r>
          </w:p>
        </w:tc>
        <w:tc>
          <w:tcPr>
            <w:tcW w:w="735" w:type="dxa"/>
          </w:tcPr>
          <w:p>
            <w:pPr>
              <w:pStyle w:val="TableParagraph"/>
              <w:rPr>
                <w:rFonts w:ascii="Times New Roman"/>
                <w:sz w:val="16"/>
              </w:rPr>
            </w:pPr>
          </w:p>
        </w:tc>
        <w:tc>
          <w:tcPr>
            <w:tcW w:w="770" w:type="dxa"/>
          </w:tcPr>
          <w:p>
            <w:pPr>
              <w:pStyle w:val="TableParagraph"/>
              <w:rPr>
                <w:rFonts w:ascii="Times New Roman"/>
                <w:sz w:val="16"/>
              </w:rPr>
            </w:pPr>
          </w:p>
        </w:tc>
        <w:tc>
          <w:tcPr>
            <w:tcW w:w="1254" w:type="dxa"/>
            <w:tcBorders>
              <w:right w:val="single" w:sz="4" w:space="0" w:color="000000"/>
            </w:tcBorders>
          </w:tcPr>
          <w:p>
            <w:pPr>
              <w:pStyle w:val="TableParagraph"/>
              <w:spacing w:before="10"/>
              <w:ind w:right="244"/>
              <w:jc w:val="right"/>
              <w:rPr>
                <w:sz w:val="16"/>
              </w:rPr>
            </w:pPr>
            <w:r>
              <w:rPr>
                <w:sz w:val="16"/>
              </w:rPr>
              <w:t>5%</w:t>
            </w:r>
          </w:p>
        </w:tc>
      </w:tr>
      <w:tr>
        <w:trPr>
          <w:trHeight w:val="236" w:hRule="atLeast"/>
        </w:trPr>
        <w:tc>
          <w:tcPr>
            <w:tcW w:w="5586" w:type="dxa"/>
            <w:tcBorders>
              <w:left w:val="single" w:sz="4" w:space="0" w:color="000000"/>
              <w:right w:val="single" w:sz="4" w:space="0" w:color="000000"/>
            </w:tcBorders>
          </w:tcPr>
          <w:p>
            <w:pPr>
              <w:pStyle w:val="TableParagraph"/>
              <w:spacing w:before="21"/>
              <w:ind w:left="862"/>
              <w:rPr>
                <w:sz w:val="16"/>
              </w:rPr>
            </w:pPr>
            <w:r>
              <w:rPr>
                <w:sz w:val="16"/>
              </w:rPr>
              <w:t>France</w:t>
            </w:r>
          </w:p>
        </w:tc>
        <w:tc>
          <w:tcPr>
            <w:tcW w:w="702" w:type="dxa"/>
            <w:tcBorders>
              <w:left w:val="single" w:sz="4" w:space="0" w:color="000000"/>
            </w:tcBorders>
          </w:tcPr>
          <w:p>
            <w:pPr>
              <w:pStyle w:val="TableParagraph"/>
              <w:rPr>
                <w:rFonts w:ascii="Times New Roman"/>
                <w:sz w:val="16"/>
              </w:rPr>
            </w:pPr>
          </w:p>
        </w:tc>
        <w:tc>
          <w:tcPr>
            <w:tcW w:w="2121" w:type="dxa"/>
            <w:gridSpan w:val="3"/>
          </w:tcPr>
          <w:p>
            <w:pPr>
              <w:pStyle w:val="TableParagraph"/>
              <w:spacing w:line="181" w:lineRule="exact" w:before="36"/>
              <w:ind w:left="158"/>
              <w:rPr>
                <w:sz w:val="16"/>
              </w:rPr>
            </w:pPr>
            <w:r>
              <w:rPr>
                <w:sz w:val="16"/>
              </w:rPr>
              <w:t>China</w:t>
            </w:r>
          </w:p>
        </w:tc>
        <w:tc>
          <w:tcPr>
            <w:tcW w:w="735" w:type="dxa"/>
          </w:tcPr>
          <w:p>
            <w:pPr>
              <w:pStyle w:val="TableParagraph"/>
              <w:rPr>
                <w:rFonts w:ascii="Times New Roman"/>
                <w:sz w:val="16"/>
              </w:rPr>
            </w:pPr>
          </w:p>
        </w:tc>
        <w:tc>
          <w:tcPr>
            <w:tcW w:w="770" w:type="dxa"/>
          </w:tcPr>
          <w:p>
            <w:pPr>
              <w:pStyle w:val="TableParagraph"/>
              <w:rPr>
                <w:rFonts w:ascii="Times New Roman"/>
                <w:sz w:val="16"/>
              </w:rPr>
            </w:pPr>
          </w:p>
        </w:tc>
        <w:tc>
          <w:tcPr>
            <w:tcW w:w="1254" w:type="dxa"/>
            <w:tcBorders>
              <w:right w:val="single" w:sz="4" w:space="0" w:color="000000"/>
            </w:tcBorders>
          </w:tcPr>
          <w:p>
            <w:pPr>
              <w:pStyle w:val="TableParagraph"/>
              <w:rPr>
                <w:rFonts w:ascii="Times New Roman"/>
                <w:sz w:val="16"/>
              </w:rPr>
            </w:pPr>
          </w:p>
        </w:tc>
      </w:tr>
      <w:tr>
        <w:trPr>
          <w:trHeight w:val="201" w:hRule="atLeast"/>
        </w:trPr>
        <w:tc>
          <w:tcPr>
            <w:tcW w:w="5586" w:type="dxa"/>
            <w:tcBorders>
              <w:left w:val="single" w:sz="4" w:space="0" w:color="000000"/>
              <w:right w:val="single" w:sz="4" w:space="0" w:color="000000"/>
            </w:tcBorders>
          </w:tcPr>
          <w:p>
            <w:pPr>
              <w:pStyle w:val="TableParagraph"/>
              <w:spacing w:line="170" w:lineRule="exact" w:before="12"/>
              <w:ind w:right="136"/>
              <w:jc w:val="right"/>
              <w:rPr>
                <w:sz w:val="16"/>
              </w:rPr>
            </w:pPr>
            <w:r>
              <w:rPr>
                <w:sz w:val="16"/>
              </w:rPr>
              <w:t>20%</w:t>
            </w:r>
          </w:p>
        </w:tc>
        <w:tc>
          <w:tcPr>
            <w:tcW w:w="702" w:type="dxa"/>
            <w:tcBorders>
              <w:left w:val="single" w:sz="4" w:space="0" w:color="000000"/>
            </w:tcBorders>
          </w:tcPr>
          <w:p>
            <w:pPr>
              <w:pStyle w:val="TableParagraph"/>
              <w:rPr>
                <w:rFonts w:ascii="Times New Roman"/>
                <w:sz w:val="14"/>
              </w:rPr>
            </w:pPr>
          </w:p>
        </w:tc>
        <w:tc>
          <w:tcPr>
            <w:tcW w:w="2121" w:type="dxa"/>
            <w:gridSpan w:val="3"/>
          </w:tcPr>
          <w:p>
            <w:pPr>
              <w:pStyle w:val="TableParagraph"/>
              <w:rPr>
                <w:rFonts w:ascii="Times New Roman"/>
                <w:sz w:val="14"/>
              </w:rPr>
            </w:pPr>
          </w:p>
        </w:tc>
        <w:tc>
          <w:tcPr>
            <w:tcW w:w="735" w:type="dxa"/>
          </w:tcPr>
          <w:p>
            <w:pPr>
              <w:pStyle w:val="TableParagraph"/>
              <w:rPr>
                <w:rFonts w:ascii="Times New Roman"/>
                <w:sz w:val="14"/>
              </w:rPr>
            </w:pPr>
          </w:p>
        </w:tc>
        <w:tc>
          <w:tcPr>
            <w:tcW w:w="770" w:type="dxa"/>
          </w:tcPr>
          <w:p>
            <w:pPr>
              <w:pStyle w:val="TableParagraph"/>
              <w:rPr>
                <w:rFonts w:ascii="Times New Roman"/>
                <w:sz w:val="14"/>
              </w:rPr>
            </w:pPr>
          </w:p>
        </w:tc>
        <w:tc>
          <w:tcPr>
            <w:tcW w:w="1254" w:type="dxa"/>
            <w:tcBorders>
              <w:right w:val="single" w:sz="4" w:space="0" w:color="000000"/>
            </w:tcBorders>
          </w:tcPr>
          <w:p>
            <w:pPr>
              <w:pStyle w:val="TableParagraph"/>
              <w:spacing w:line="170" w:lineRule="exact" w:before="12"/>
              <w:ind w:right="244"/>
              <w:jc w:val="right"/>
              <w:rPr>
                <w:sz w:val="16"/>
              </w:rPr>
            </w:pPr>
            <w:r>
              <w:rPr>
                <w:sz w:val="16"/>
              </w:rPr>
              <w:t>0%</w:t>
            </w:r>
          </w:p>
        </w:tc>
      </w:tr>
      <w:tr>
        <w:trPr>
          <w:trHeight w:val="314" w:hRule="atLeast"/>
        </w:trPr>
        <w:tc>
          <w:tcPr>
            <w:tcW w:w="5586" w:type="dxa"/>
            <w:tcBorders>
              <w:left w:val="single" w:sz="4" w:space="0" w:color="000000"/>
              <w:bottom w:val="single" w:sz="4" w:space="0" w:color="000000"/>
              <w:right w:val="single" w:sz="4" w:space="0" w:color="000000"/>
            </w:tcBorders>
          </w:tcPr>
          <w:p>
            <w:pPr>
              <w:pStyle w:val="TableParagraph"/>
              <w:tabs>
                <w:tab w:pos="1060" w:val="left" w:leader="none"/>
                <w:tab w:pos="1891" w:val="left" w:leader="none"/>
                <w:tab w:pos="2723" w:val="left" w:leader="none"/>
                <w:tab w:pos="3555" w:val="left" w:leader="none"/>
                <w:tab w:pos="4386" w:val="left" w:leader="none"/>
              </w:tabs>
              <w:spacing w:before="1"/>
              <w:ind w:left="228"/>
              <w:rPr>
                <w:sz w:val="16"/>
              </w:rPr>
            </w:pPr>
            <w:r>
              <w:rPr>
                <w:sz w:val="16"/>
              </w:rPr>
              <w:t>1900</w:t>
              <w:tab/>
              <w:t>1920</w:t>
              <w:tab/>
              <w:t>1940</w:t>
              <w:tab/>
              <w:t>1960</w:t>
              <w:tab/>
              <w:t>1980</w:t>
              <w:tab/>
              <w:t>2000</w:t>
            </w:r>
          </w:p>
        </w:tc>
        <w:tc>
          <w:tcPr>
            <w:tcW w:w="702" w:type="dxa"/>
            <w:tcBorders>
              <w:left w:val="single" w:sz="4" w:space="0" w:color="000000"/>
              <w:bottom w:val="single" w:sz="4" w:space="0" w:color="000000"/>
            </w:tcBorders>
          </w:tcPr>
          <w:p>
            <w:pPr>
              <w:pStyle w:val="TableParagraph"/>
              <w:spacing w:before="1"/>
              <w:ind w:right="110"/>
              <w:jc w:val="right"/>
              <w:rPr>
                <w:sz w:val="16"/>
              </w:rPr>
            </w:pPr>
            <w:r>
              <w:rPr>
                <w:sz w:val="16"/>
              </w:rPr>
              <w:t>1910</w:t>
            </w:r>
          </w:p>
        </w:tc>
        <w:tc>
          <w:tcPr>
            <w:tcW w:w="861" w:type="dxa"/>
            <w:tcBorders>
              <w:bottom w:val="single" w:sz="4" w:space="0" w:color="000000"/>
            </w:tcBorders>
          </w:tcPr>
          <w:p>
            <w:pPr>
              <w:pStyle w:val="TableParagraph"/>
              <w:spacing w:before="1"/>
              <w:ind w:left="442"/>
              <w:rPr>
                <w:sz w:val="16"/>
              </w:rPr>
            </w:pPr>
            <w:r>
              <w:rPr>
                <w:sz w:val="16"/>
              </w:rPr>
              <w:t>1930</w:t>
            </w:r>
          </w:p>
        </w:tc>
        <w:tc>
          <w:tcPr>
            <w:tcW w:w="455" w:type="dxa"/>
            <w:tcBorders>
              <w:bottom w:val="single" w:sz="4" w:space="0" w:color="000000"/>
            </w:tcBorders>
          </w:tcPr>
          <w:p>
            <w:pPr>
              <w:pStyle w:val="TableParagraph"/>
              <w:rPr>
                <w:rFonts w:ascii="Times New Roman"/>
                <w:sz w:val="16"/>
              </w:rPr>
            </w:pPr>
          </w:p>
        </w:tc>
        <w:tc>
          <w:tcPr>
            <w:tcW w:w="805" w:type="dxa"/>
            <w:tcBorders>
              <w:bottom w:val="single" w:sz="4" w:space="0" w:color="000000"/>
            </w:tcBorders>
          </w:tcPr>
          <w:p>
            <w:pPr>
              <w:pStyle w:val="TableParagraph"/>
              <w:spacing w:before="1"/>
              <w:ind w:left="36"/>
              <w:rPr>
                <w:sz w:val="16"/>
              </w:rPr>
            </w:pPr>
            <w:r>
              <w:rPr>
                <w:sz w:val="16"/>
              </w:rPr>
              <w:t>1950</w:t>
            </w:r>
          </w:p>
        </w:tc>
        <w:tc>
          <w:tcPr>
            <w:tcW w:w="735" w:type="dxa"/>
            <w:tcBorders>
              <w:bottom w:val="single" w:sz="4" w:space="0" w:color="000000"/>
            </w:tcBorders>
          </w:tcPr>
          <w:p>
            <w:pPr>
              <w:pStyle w:val="TableParagraph"/>
              <w:spacing w:before="1"/>
              <w:ind w:left="140"/>
              <w:rPr>
                <w:sz w:val="16"/>
              </w:rPr>
            </w:pPr>
            <w:r>
              <w:rPr>
                <w:sz w:val="16"/>
              </w:rPr>
              <w:t>1970</w:t>
            </w:r>
          </w:p>
        </w:tc>
        <w:tc>
          <w:tcPr>
            <w:tcW w:w="770" w:type="dxa"/>
            <w:tcBorders>
              <w:bottom w:val="single" w:sz="4" w:space="0" w:color="000000"/>
            </w:tcBorders>
          </w:tcPr>
          <w:p>
            <w:pPr>
              <w:pStyle w:val="TableParagraph"/>
              <w:spacing w:before="1"/>
              <w:ind w:left="315"/>
              <w:rPr>
                <w:sz w:val="16"/>
              </w:rPr>
            </w:pPr>
            <w:r>
              <w:rPr>
                <w:sz w:val="16"/>
              </w:rPr>
              <w:t>1990</w:t>
            </w:r>
          </w:p>
        </w:tc>
        <w:tc>
          <w:tcPr>
            <w:tcW w:w="1254" w:type="dxa"/>
            <w:tcBorders>
              <w:bottom w:val="single" w:sz="4" w:space="0" w:color="000000"/>
              <w:right w:val="single" w:sz="4" w:space="0" w:color="000000"/>
            </w:tcBorders>
          </w:tcPr>
          <w:p>
            <w:pPr>
              <w:pStyle w:val="TableParagraph"/>
              <w:spacing w:before="1"/>
              <w:ind w:left="435" w:right="418"/>
              <w:jc w:val="center"/>
              <w:rPr>
                <w:sz w:val="16"/>
              </w:rPr>
            </w:pPr>
            <w:r>
              <w:rPr>
                <w:sz w:val="16"/>
              </w:rPr>
              <w:t>2010</w:t>
            </w:r>
          </w:p>
        </w:tc>
      </w:tr>
      <w:tr>
        <w:trPr>
          <w:trHeight w:val="246" w:hRule="atLeas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before="29"/>
              <w:ind w:left="107"/>
              <w:rPr>
                <w:sz w:val="16"/>
              </w:rPr>
            </w:pPr>
            <w:r>
              <w:rPr>
                <w:sz w:val="16"/>
              </w:rPr>
              <w:t>Source: Picketty (2014)</w:t>
            </w:r>
          </w:p>
        </w:tc>
        <w:tc>
          <w:tcPr>
            <w:tcW w:w="5582" w:type="dxa"/>
            <w:gridSpan w:val="7"/>
            <w:tcBorders>
              <w:top w:val="single" w:sz="4" w:space="0" w:color="000000"/>
              <w:left w:val="single" w:sz="4" w:space="0" w:color="000000"/>
              <w:bottom w:val="single" w:sz="4" w:space="0" w:color="000000"/>
              <w:right w:val="single" w:sz="4" w:space="0" w:color="000000"/>
            </w:tcBorders>
          </w:tcPr>
          <w:p>
            <w:pPr>
              <w:pStyle w:val="TableParagraph"/>
              <w:spacing w:before="29"/>
              <w:ind w:left="110"/>
              <w:rPr>
                <w:sz w:val="16"/>
              </w:rPr>
            </w:pPr>
            <w:r>
              <w:rPr>
                <w:sz w:val="16"/>
              </w:rPr>
              <w:t>Source: Picketty (2014)</w:t>
            </w:r>
          </w:p>
        </w:tc>
      </w:tr>
      <w:tr>
        <w:trPr>
          <w:trHeight w:val="613" w:hRule="atLeas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before="114"/>
              <w:ind w:left="107"/>
              <w:rPr>
                <w:sz w:val="20"/>
              </w:rPr>
            </w:pPr>
            <w:r>
              <w:rPr>
                <w:b/>
                <w:sz w:val="20"/>
              </w:rPr>
              <w:t>Figure 11: </w:t>
            </w:r>
            <w:r>
              <w:rPr>
                <w:sz w:val="20"/>
              </w:rPr>
              <w:t>Saving behaviour by income quintile (US)</w:t>
            </w:r>
          </w:p>
        </w:tc>
        <w:tc>
          <w:tcPr>
            <w:tcW w:w="558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2" w:lineRule="auto" w:before="114"/>
              <w:ind w:left="110" w:right="35"/>
              <w:rPr>
                <w:sz w:val="20"/>
              </w:rPr>
            </w:pPr>
            <w:r>
              <w:rPr>
                <w:b/>
                <w:sz w:val="20"/>
              </w:rPr>
              <w:t>Figure 12: </w:t>
            </w:r>
            <w:r>
              <w:rPr>
                <w:sz w:val="20"/>
              </w:rPr>
              <w:t>US Natural Interest Rate - Persistent projections of reversion to the mean</w:t>
            </w:r>
          </w:p>
        </w:tc>
      </w:tr>
      <w:tr>
        <w:trPr>
          <w:trHeight w:val="3504" w:hRule="atLeast"/>
        </w:trPr>
        <w:tc>
          <w:tcPr>
            <w:tcW w:w="5586" w:type="dxa"/>
            <w:tcBorders>
              <w:top w:val="single" w:sz="4" w:space="0" w:color="000000"/>
              <w:left w:val="single" w:sz="4" w:space="0" w:color="000000"/>
              <w:bottom w:val="single" w:sz="4" w:space="0" w:color="000000"/>
              <w:right w:val="single" w:sz="4" w:space="0" w:color="000000"/>
            </w:tcBorders>
          </w:tcPr>
          <w:p>
            <w:pPr>
              <w:pStyle w:val="TableParagraph"/>
              <w:tabs>
                <w:tab w:pos="3877" w:val="left" w:leader="none"/>
                <w:tab w:pos="5001" w:val="left" w:leader="none"/>
              </w:tabs>
              <w:spacing w:line="312" w:lineRule="auto" w:before="151"/>
              <w:ind w:left="472" w:right="252"/>
              <w:rPr>
                <w:sz w:val="16"/>
              </w:rPr>
            </w:pPr>
            <w:r>
              <w:rPr>
                <w:sz w:val="16"/>
              </w:rPr>
              <w:t>Average</w:t>
            </w:r>
            <w:r>
              <w:rPr>
                <w:spacing w:val="-2"/>
                <w:sz w:val="16"/>
              </w:rPr>
              <w:t> </w:t>
            </w:r>
            <w:r>
              <w:rPr>
                <w:sz w:val="16"/>
              </w:rPr>
              <w:t>saving</w:t>
            </w:r>
            <w:r>
              <w:rPr>
                <w:spacing w:val="-3"/>
                <w:sz w:val="16"/>
              </w:rPr>
              <w:t> </w:t>
            </w:r>
            <w:r>
              <w:rPr>
                <w:sz w:val="16"/>
              </w:rPr>
              <w:t>rate</w:t>
              <w:tab/>
            </w:r>
            <w:r>
              <w:rPr>
                <w:b/>
                <w:position w:val="1"/>
                <w:sz w:val="16"/>
              </w:rPr>
              <w:t>Saving rates </w:t>
            </w:r>
            <w:r>
              <w:rPr>
                <w:spacing w:val="-5"/>
                <w:position w:val="-2"/>
                <w:sz w:val="16"/>
              </w:rPr>
              <w:t>50% </w:t>
            </w:r>
            <w:r>
              <w:rPr>
                <w:sz w:val="16"/>
              </w:rPr>
              <w:t>Marginal propensity</w:t>
            </w:r>
            <w:r>
              <w:rPr>
                <w:spacing w:val="-6"/>
                <w:sz w:val="16"/>
              </w:rPr>
              <w:t> </w:t>
            </w:r>
            <w:r>
              <w:rPr>
                <w:sz w:val="16"/>
              </w:rPr>
              <w:t>to</w:t>
            </w:r>
            <w:r>
              <w:rPr>
                <w:spacing w:val="-1"/>
                <w:sz w:val="16"/>
              </w:rPr>
              <w:t> </w:t>
            </w:r>
            <w:r>
              <w:rPr>
                <w:sz w:val="16"/>
              </w:rPr>
              <w:t>save</w:t>
              <w:tab/>
              <w:tab/>
            </w:r>
            <w:r>
              <w:rPr>
                <w:spacing w:val="-7"/>
                <w:position w:val="-9"/>
                <w:sz w:val="16"/>
              </w:rPr>
              <w:t>40%</w:t>
            </w:r>
          </w:p>
          <w:p>
            <w:pPr>
              <w:pStyle w:val="TableParagraph"/>
              <w:spacing w:before="96"/>
              <w:ind w:left="4928" w:right="181"/>
              <w:jc w:val="center"/>
              <w:rPr>
                <w:sz w:val="16"/>
              </w:rPr>
            </w:pPr>
            <w:r>
              <w:rPr>
                <w:sz w:val="16"/>
              </w:rPr>
              <w:t>30%</w:t>
            </w:r>
          </w:p>
          <w:p>
            <w:pPr>
              <w:pStyle w:val="TableParagraph"/>
              <w:spacing w:before="155"/>
              <w:ind w:left="4928" w:right="181"/>
              <w:jc w:val="center"/>
              <w:rPr>
                <w:sz w:val="16"/>
              </w:rPr>
            </w:pPr>
            <w:r>
              <w:rPr>
                <w:sz w:val="16"/>
              </w:rPr>
              <w:t>20%</w:t>
            </w:r>
          </w:p>
          <w:p>
            <w:pPr>
              <w:pStyle w:val="TableParagraph"/>
              <w:spacing w:before="154"/>
              <w:ind w:left="4928" w:right="181"/>
              <w:jc w:val="center"/>
              <w:rPr>
                <w:sz w:val="16"/>
              </w:rPr>
            </w:pPr>
            <w:r>
              <w:rPr>
                <w:sz w:val="16"/>
              </w:rPr>
              <w:t>10%</w:t>
            </w:r>
          </w:p>
          <w:p>
            <w:pPr>
              <w:pStyle w:val="TableParagraph"/>
              <w:spacing w:before="155"/>
              <w:ind w:left="4839" w:right="181"/>
              <w:jc w:val="center"/>
              <w:rPr>
                <w:sz w:val="16"/>
              </w:rPr>
            </w:pPr>
            <w:r>
              <w:rPr>
                <w:sz w:val="16"/>
              </w:rPr>
              <w:t>0%</w:t>
            </w:r>
          </w:p>
          <w:p>
            <w:pPr>
              <w:pStyle w:val="TableParagraph"/>
              <w:spacing w:before="154"/>
              <w:ind w:left="4980" w:right="181"/>
              <w:jc w:val="center"/>
              <w:rPr>
                <w:sz w:val="16"/>
              </w:rPr>
            </w:pPr>
            <w:r>
              <w:rPr>
                <w:sz w:val="16"/>
              </w:rPr>
              <w:t>-10%</w:t>
            </w:r>
          </w:p>
          <w:p>
            <w:pPr>
              <w:pStyle w:val="TableParagraph"/>
              <w:spacing w:before="155"/>
              <w:ind w:left="4980" w:right="181"/>
              <w:jc w:val="center"/>
              <w:rPr>
                <w:sz w:val="16"/>
              </w:rPr>
            </w:pPr>
            <w:r>
              <w:rPr>
                <w:sz w:val="16"/>
              </w:rPr>
              <w:t>-20%</w:t>
            </w:r>
          </w:p>
          <w:p>
            <w:pPr>
              <w:pStyle w:val="TableParagraph"/>
              <w:spacing w:before="154"/>
              <w:ind w:left="4980" w:right="181"/>
              <w:jc w:val="center"/>
              <w:rPr>
                <w:sz w:val="16"/>
              </w:rPr>
            </w:pPr>
            <w:r>
              <w:rPr>
                <w:sz w:val="16"/>
              </w:rPr>
              <w:t>-30%</w:t>
            </w:r>
          </w:p>
          <w:p>
            <w:pPr>
              <w:pStyle w:val="TableParagraph"/>
              <w:tabs>
                <w:tab w:pos="911" w:val="left" w:leader="none"/>
                <w:tab w:pos="1822" w:val="left" w:leader="none"/>
                <w:tab w:pos="2733" w:val="left" w:leader="none"/>
                <w:tab w:pos="3644" w:val="left" w:leader="none"/>
              </w:tabs>
              <w:spacing w:before="7"/>
              <w:ind w:right="401"/>
              <w:jc w:val="center"/>
              <w:rPr>
                <w:sz w:val="16"/>
              </w:rPr>
            </w:pPr>
            <w:r>
              <w:rPr>
                <w:sz w:val="16"/>
              </w:rPr>
              <w:t>1</w:t>
              <w:tab/>
              <w:t>2</w:t>
              <w:tab/>
              <w:t>3</w:t>
              <w:tab/>
              <w:t>4</w:t>
              <w:tab/>
              <w:t>5</w:t>
            </w:r>
          </w:p>
          <w:p>
            <w:pPr>
              <w:pStyle w:val="TableParagraph"/>
              <w:spacing w:line="180" w:lineRule="exact" w:before="32"/>
              <w:ind w:right="469"/>
              <w:jc w:val="center"/>
              <w:rPr>
                <w:b/>
                <w:sz w:val="16"/>
              </w:rPr>
            </w:pPr>
            <w:r>
              <w:rPr>
                <w:b/>
                <w:sz w:val="16"/>
              </w:rPr>
              <w:t>Income quintile</w:t>
            </w:r>
          </w:p>
        </w:tc>
        <w:tc>
          <w:tcPr>
            <w:tcW w:w="5582" w:type="dxa"/>
            <w:gridSpan w:val="7"/>
            <w:tcBorders>
              <w:top w:val="single" w:sz="4" w:space="0" w:color="000000"/>
              <w:left w:val="single" w:sz="4" w:space="0" w:color="000000"/>
              <w:bottom w:val="single" w:sz="4" w:space="0" w:color="000000"/>
              <w:right w:val="single" w:sz="4" w:space="0" w:color="000000"/>
            </w:tcBorders>
          </w:tcPr>
          <w:p>
            <w:pPr>
              <w:pStyle w:val="TableParagraph"/>
              <w:spacing w:before="3"/>
              <w:rPr>
                <w:sz w:val="6"/>
              </w:rPr>
            </w:pPr>
          </w:p>
          <w:p>
            <w:pPr>
              <w:pStyle w:val="TableParagraph"/>
              <w:ind w:left="184"/>
              <w:rPr>
                <w:sz w:val="20"/>
              </w:rPr>
            </w:pPr>
            <w:r>
              <w:rPr>
                <w:sz w:val="20"/>
              </w:rPr>
              <w:drawing>
                <wp:inline distT="0" distB="0" distL="0" distR="0">
                  <wp:extent cx="3224416" cy="2134552"/>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17" cstate="print"/>
                          <a:stretch>
                            <a:fillRect/>
                          </a:stretch>
                        </pic:blipFill>
                        <pic:spPr>
                          <a:xfrm>
                            <a:off x="0" y="0"/>
                            <a:ext cx="3224416" cy="2134552"/>
                          </a:xfrm>
                          <a:prstGeom prst="rect">
                            <a:avLst/>
                          </a:prstGeom>
                        </pic:spPr>
                      </pic:pic>
                    </a:graphicData>
                  </a:graphic>
                </wp:inline>
              </w:drawing>
            </w:r>
            <w:r>
              <w:rPr>
                <w:sz w:val="20"/>
              </w:rPr>
            </w:r>
          </w:p>
        </w:tc>
      </w:tr>
      <w:tr>
        <w:trPr>
          <w:trHeight w:val="314" w:hRule="atLeas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before="37"/>
              <w:ind w:left="107"/>
              <w:rPr>
                <w:sz w:val="16"/>
              </w:rPr>
            </w:pPr>
            <w:r>
              <w:rPr>
                <w:sz w:val="16"/>
              </w:rPr>
              <w:t>Source: Dynan et al (2004)</w:t>
            </w:r>
          </w:p>
        </w:tc>
        <w:tc>
          <w:tcPr>
            <w:tcW w:w="5582" w:type="dxa"/>
            <w:gridSpan w:val="7"/>
            <w:tcBorders>
              <w:top w:val="single" w:sz="4" w:space="0" w:color="000000"/>
              <w:left w:val="single" w:sz="4" w:space="0" w:color="000000"/>
              <w:bottom w:val="single" w:sz="4" w:space="0" w:color="000000"/>
              <w:right w:val="single" w:sz="4" w:space="0" w:color="000000"/>
            </w:tcBorders>
          </w:tcPr>
          <w:p>
            <w:pPr>
              <w:pStyle w:val="TableParagraph"/>
              <w:spacing w:before="37"/>
              <w:ind w:left="110"/>
              <w:rPr>
                <w:sz w:val="16"/>
              </w:rPr>
            </w:pPr>
            <w:r>
              <w:rPr>
                <w:sz w:val="16"/>
              </w:rPr>
              <w:t>Source: Curdia (2015)</w:t>
            </w:r>
          </w:p>
        </w:tc>
      </w:tr>
    </w:tbl>
    <w:p>
      <w:pPr>
        <w:rPr>
          <w:sz w:val="2"/>
          <w:szCs w:val="2"/>
        </w:rPr>
      </w:pPr>
      <w:r>
        <w:rPr/>
        <w:pict>
          <v:group style="position:absolute;margin-left:45.84pt;margin-top:120.839981pt;width:232.2pt;height:146.4pt;mso-position-horizontal-relative:page;mso-position-vertical-relative:page;z-index:-254339072" coordorigin="917,2417" coordsize="4644,2928">
            <v:shape style="position:absolute;left:916;top:2419;width:4623;height:2926" coordorigin="917,2419" coordsize="4623,2926" path="m965,5297l965,2419m917,5297l965,5297m917,4975l965,4975m917,4656l965,4656m917,4337l965,4337m917,4018l965,4018m917,3696l965,3696m917,3377l965,3377m917,3058l965,3058m917,2738l965,2738m917,2419l965,2419m965,5297l5539,5297m965,5297l965,5345m1879,5297l1879,5345m2794,5297l2794,5345m3710,5297l3710,5345m4625,5297l4625,5345m5539,5297l5539,5345e" filled="false" stroked="true" strokeweight=".24pt" strokecolor="#000000">
              <v:path arrowok="t"/>
              <v:stroke dashstyle="solid"/>
            </v:shape>
            <v:shape style="position:absolute;left:964;top:2887;width:4575;height:737" coordorigin="965,2887" coordsize="4575,737" path="m965,3214l1195,3108,1423,2971,1651,2887,1879,2894,2110,2935,2338,3050,2566,3190,2794,3254,3024,3310,3252,3418,3480,3550,3710,3624,3938,3624,4166,3588,4394,3569,4625,3547,4853,3514,5081,3470,5309,3439,5539,3391e" filled="false" stroked="true" strokeweight="2.16pt" strokecolor="#497dba">
              <v:path arrowok="t"/>
              <v:stroke dashstyle="solid"/>
            </v:shape>
            <v:shape style="position:absolute;left:964;top:2964;width:4575;height:812" coordorigin="965,2964" coordsize="4575,812" path="m965,3562l1195,3533,1423,3437,1651,3461,1879,3511,2110,3578,2338,3636,2566,3718,2794,3718,3024,3710,3252,3756,3480,3775,3710,3758,3938,3648,4166,3509,4394,3382,4625,3262,4853,3187,5081,3110,5309,3048,5539,2964e" filled="false" stroked="true" strokeweight="2.16pt" strokecolor="#bd4a47">
              <v:path arrowok="t"/>
              <v:stroke dashstyle="solid"/>
            </v:shape>
            <v:shape style="position:absolute;left:964;top:2611;width:4575;height:1008" coordorigin="965,2611" coordsize="4575,1008" path="m965,3031l1195,2890,1423,2741,1651,2611,1879,2621,2110,2671,2338,2832,2566,3007,2794,3110,3024,3194,3252,3331,3480,3494,3710,3595,3938,3619,4166,3602,4394,3602,4625,3595,4853,3566,5081,3526,5309,3494,5539,3449e" filled="false" stroked="true" strokeweight="2.16pt" strokecolor="#97b853">
              <v:path arrowok="t"/>
              <v:stroke dashstyle="solid"/>
            </v:shape>
            <v:line style="position:absolute" from="3439,4291" to="3823,4291" stroked="true" strokeweight="2.16pt" strokecolor="#497dba">
              <v:stroke dashstyle="solid"/>
            </v:line>
            <v:line style="position:absolute" from="3439,4610" to="3823,4610" stroked="true" strokeweight="2.16pt" strokecolor="#bd4a47">
              <v:stroke dashstyle="solid"/>
            </v:line>
            <v:line style="position:absolute" from="3439,4930" to="3823,4930" stroked="true" strokeweight="2.16pt" strokecolor="#97b853">
              <v:stroke dashstyle="solid"/>
            </v:line>
            <w10:wrap type="none"/>
          </v:group>
        </w:pict>
      </w:r>
      <w:r>
        <w:rPr/>
        <w:pict>
          <v:group style="position:absolute;margin-left:317.040009pt;margin-top:118.559982pt;width:230.9pt;height:149.050pt;mso-position-horizontal-relative:page;mso-position-vertical-relative:page;z-index:-254338048" coordorigin="6341,2371" coordsize="4618,2981">
            <v:shape style="position:absolute;left:6362;top:2421;width:4596;height:2931" coordorigin="6362,2422" coordsize="4596,2931" path="m10910,5304l10910,2422m10910,5304l10958,5304m10910,4584l10958,4584m10910,3862l10958,3862m10910,3142l10958,3142m10910,2422l10958,2422m6362,5304l10910,5304m6362,5304l6362,5352m7063,5304l7063,5352m7762,5304l7762,5352m8462,5304l8462,5352m9161,5304l9161,5352m9862,5304l9862,5352m10560,5304l10560,5352e" filled="false" stroked="true" strokeweight=".24pt" strokecolor="#000000">
              <v:path arrowok="t"/>
              <v:stroke dashstyle="solid"/>
            </v:shape>
            <v:shape style="position:absolute;left:6362;top:3552;width:4548;height:711" coordorigin="6362,3552" coordsize="4548,711" path="m6362,4008l6713,4034,7063,4176,7411,4262,7762,4236,8112,4152,8462,4068,8813,3864,9161,3708,9511,3552,9862,3564,10212,3643,10560,3744,10910,3888e" filled="false" stroked="true" strokeweight="2.16pt" strokecolor="#4f81bc">
              <v:path arrowok="t"/>
              <v:stroke dashstyle="solid"/>
            </v:shape>
            <v:shape style="position:absolute;left:6362;top:3564;width:4548;height:917" coordorigin="6362,3564" coordsize="4548,917" path="m6362,3564l6713,3790,7063,4087,7411,4370,7762,4481,8112,4433,8462,4361,8813,4193,9161,3878,9511,3679,9862,3756,10212,3821,10560,3893,10910,4058e" filled="false" stroked="true" strokeweight="2.16pt" strokecolor="#c0504d">
              <v:path arrowok="t"/>
              <v:stroke dashstyle="solid"/>
            </v:shape>
            <v:shape style="position:absolute;left:6362;top:3343;width:4548;height:1244" coordorigin="6362,3343" coordsize="4548,1244" path="m6362,3816l6713,3953,7063,4260,7411,4536,7762,4586,8112,4454,8462,4212,8813,3768,9161,3442,9511,3343,9862,3492,10212,3734,10560,3984,10910,4198e" filled="false" stroked="true" strokeweight="2.16pt" strokecolor="#9bba58">
              <v:path arrowok="t"/>
              <v:stroke dashstyle="solid"/>
            </v:shape>
            <v:shape style="position:absolute;left:6362;top:3230;width:4548;height:1368" coordorigin="6362,3230" coordsize="4548,1368" path="m6362,4598l6713,4380,7063,4051,7411,3790,7762,3521,8112,3230,8462,3295,8813,3538,9161,3694,9511,3806,9862,3955,10212,4061,10560,4142,10910,4243e" filled="false" stroked="true" strokeweight="2.16pt" strokecolor="#ffc000">
              <v:path arrowok="t"/>
              <v:stroke dashstyle="solid"/>
            </v:shape>
            <v:line style="position:absolute" from="6348,2393" to="6732,2393" stroked="true" strokeweight="2.16pt" strokecolor="#4f81bc">
              <v:stroke dashstyle="solid"/>
            </v:line>
            <v:line style="position:absolute" from="6348,2664" to="6732,2664" stroked="true" strokeweight="2.16pt" strokecolor="#c0504d">
              <v:stroke dashstyle="solid"/>
            </v:line>
            <v:line style="position:absolute" from="6348,2935" to="6732,2935" stroked="true" strokeweight="2.16pt" strokecolor="#9bba58">
              <v:stroke dashstyle="solid"/>
            </v:line>
            <v:line style="position:absolute" from="6348,3206" to="6732,3206" stroked="true" strokeweight="2.16pt" strokecolor="#ffc000">
              <v:stroke dashstyle="solid"/>
            </v:line>
            <w10:wrap type="none"/>
          </v:group>
        </w:pict>
      </w:r>
      <w:r>
        <w:rPr/>
        <w:pict>
          <v:group style="position:absolute;margin-left:24.6pt;margin-top:337.799988pt;width:245.3pt;height:146.3pt;mso-position-horizontal-relative:page;mso-position-vertical-relative:page;z-index:-254337024" coordorigin="492,6756" coordsize="4906,2926">
            <v:shape style="position:absolute;left:775;top:6758;width:4623;height:2924" coordorigin="775,6758" coordsize="4623,2924" path="m5350,9634l5350,6758m5350,9634l5398,9634m5350,9154l5398,9154m5350,8676l5398,8676m5350,8196l5398,8196m5350,7718l5398,7718m5350,7238l5398,7238m5350,6758l5398,6758m775,9634l5350,9634m775,9634l775,9682m1608,9634l1608,9682m2438,9634l2438,9682m3271,9634l3271,9682m4102,9634l4102,9682m4932,9634l4932,9682e" filled="false" stroked="true" strokeweight=".24pt" strokecolor="#000000">
              <v:path arrowok="t"/>
              <v:stroke dashstyle="solid"/>
            </v:shape>
            <v:shape style="position:absolute;left:775;top:6960;width:4575;height:1388" coordorigin="775,6960" coordsize="4575,1388" path="m775,7670l1190,7632,1608,7272,2023,7229,2438,8054,2854,8321,3271,8280,3686,8347,4102,7958,4517,7488,4932,7054,5350,6960e" filled="false" stroked="true" strokeweight="2.16pt" strokecolor="#4f81bc">
              <v:path arrowok="t"/>
              <v:stroke dashstyle="solid"/>
            </v:shape>
            <v:shape style="position:absolute;left:775;top:7012;width:4575;height:1822" coordorigin="775,7013" coordsize="4575,1822" path="m775,7039l1190,7013,1608,7586,2023,7783,2438,8299,2854,8642,3271,8736,3686,8834,4102,8422,4517,7870,4932,7697,5350,7567e" filled="false" stroked="true" strokeweight="2.16pt" strokecolor="#c0504d">
              <v:path arrowok="t"/>
              <v:stroke dashstyle="solid"/>
            </v:shape>
            <v:shape style="position:absolute;left:775;top:7238;width:4575;height:1342" coordorigin="775,7238" coordsize="4575,1342" path="m775,7238l1190,7363,1608,7841,2023,7524,2438,8254,2854,8369,3271,8580,3686,8544,4102,8522,4517,8314,4932,8131,5350,8088e" filled="false" stroked="true" strokeweight="2.16pt" strokecolor="#9bba58">
              <v:path arrowok="t"/>
              <v:stroke dashstyle="solid"/>
            </v:shape>
            <v:shape style="position:absolute;left:775;top:7082;width:4575;height:1488" coordorigin="775,7082" coordsize="4575,1488" path="m775,7190l1190,7082,1608,7526,2023,7421,2438,8340,2854,8311,3271,8095,3686,8412,4102,8570,4517,8443,4932,8386,5350,8393e" filled="false" stroked="true" strokeweight="2.16pt" strokecolor="#ffc000">
              <v:path arrowok="t"/>
              <v:stroke dashstyle="solid"/>
            </v:shape>
            <v:rect style="position:absolute;left:492;top:8596;width:1702;height:924" filled="true" fillcolor="#ffffff" stroked="false">
              <v:fill type="solid"/>
            </v:rect>
            <v:line style="position:absolute" from="806,8712" to="1190,8712" stroked="true" strokeweight="2.16pt" strokecolor="#4f81bc">
              <v:stroke dashstyle="solid"/>
            </v:line>
            <v:line style="position:absolute" from="806,8942" to="1190,8942" stroked="true" strokeweight="2.16pt" strokecolor="#c0504d">
              <v:stroke dashstyle="solid"/>
            </v:line>
            <v:line style="position:absolute" from="806,9175" to="1190,9175" stroked="true" strokeweight="2.16pt" strokecolor="#9bba58">
              <v:stroke dashstyle="solid"/>
            </v:line>
            <v:line style="position:absolute" from="806,9406" to="1190,9406" stroked="true" strokeweight="2.16pt" strokecolor="#ffc000">
              <v:stroke dashstyle="solid"/>
            </v:line>
            <w10:wrap type="none"/>
          </v:group>
        </w:pict>
      </w:r>
      <w:r>
        <w:rPr/>
        <w:pict>
          <v:group style="position:absolute;margin-left:318pt;margin-top:337.799988pt;width:229.95pt;height:146.3pt;mso-position-horizontal-relative:page;mso-position-vertical-relative:page;z-index:-254336000" coordorigin="6360,6756" coordsize="4599,2926">
            <v:shape style="position:absolute;left:6362;top:6758;width:4596;height:2924" coordorigin="6362,6758" coordsize="4596,2924" path="m10910,9634l10910,6758m10910,9634l10958,9634m10910,9154l10958,9154m10910,8676l10958,8676m10910,8196l10958,8196m10910,7718l10958,7718m10910,7238l10958,7238m10910,6758l10958,6758m6362,9634l10910,9634m6362,9634l6362,9682m7272,9634l7272,9682m8182,9634l8182,9682m9091,9634l9091,9682m10001,9634l10001,9682m10910,9634l10910,9682e" filled="false" stroked="true" strokeweight=".24pt" strokecolor="#000000">
              <v:path arrowok="t"/>
              <v:stroke dashstyle="solid"/>
            </v:shape>
            <v:shape style="position:absolute;left:6909;top:7924;width:4001;height:1287" coordorigin="6910,7925" coordsize="4001,1287" path="m6910,8414l6955,8350,6998,8534,7044,8448,7090,8398,7135,8357,7181,8328,7226,8381,7272,8242,7318,8093,7363,8088,7409,7994,7454,8014,7500,7973,7546,8141,7591,8143,7637,7925,7682,8090,7728,8086,7774,8287,7865,8645,7908,8566,7954,8539,8045,8556,8090,8498,8136,8484,8182,8347,8318,8491,8364,8333,8410,8254,8455,8410,8501,8354,8546,8429,8592,8448,8638,8453,8683,8470,8729,8525,8818,8710,8863,8587,8909,8676,8954,8674,9000,8681,9091,8674,9137,8822,9228,8959,9274,8995,9319,8940,9365,8938,9410,9041,9456,9053,9502,9096,9547,9175,9593,9211,9638,9202,9684,9014,9727,9022,9773,8844,9818,8806,9864,8856,9910,8818,9955,8849,10001,8923,10046,8952,10092,8966,10138,8815,10183,8858,10229,8803,10274,8798,10320,8609,10366,8774,10411,8774,10910,8484e" filled="false" stroked="true" strokeweight="2.16pt" strokecolor="#4f81bc">
              <v:path arrowok="t"/>
              <v:stroke dashstyle="solid"/>
            </v:shape>
            <v:shape style="position:absolute;left:6544;top:7370;width:4366;height:1421" coordorigin="6545,7370" coordsize="4366,1421" path="m6545,7522l6590,7531,6636,7519,6682,7440,6727,7613,6773,7802,6818,7687,6864,7543,6910,7793,6955,7762,6998,7721,7044,7658,7090,7699,7135,7718,7181,7709,7226,7704,7272,7666,7318,7685,7363,7740,7409,7769,7454,7858,7500,7826,7546,7862,7591,7932,7637,7997,7682,8098,7908,7886,7954,7675,7999,7370,8045,7594,8090,7517,8136,7934,8364,8278,8410,8251,8455,8299,8501,8335,8546,8395,8592,8426,8683,8503,8774,8369,8818,8323,8863,8362,8954,8422,9046,8352,9137,8398,9274,8393,9319,8467,9456,8642,9502,8681,9547,8590,9593,8546,9638,8484,9684,8546,9727,8551,9773,8614,9818,8642,9864,8791,9910,8686,10001,8690,10046,8623,10092,8621,10138,8650,10548,8201,10594,8174,10637,8160,10682,8083,10728,7994,10774,7898,10819,7920,10865,8028,10910,8045e" filled="false" stroked="true" strokeweight="2.16pt" strokecolor="#c0504d">
              <v:path arrowok="t"/>
              <v:stroke dashstyle="solid"/>
            </v:shape>
            <v:shape style="position:absolute;left:9818;top:8580;width:1092;height:672" coordorigin="9818,8580" coordsize="1092,672" path="m9818,9252l9864,9250,9910,9154,9955,9137,10001,9154,10046,9146,10092,9065,10138,9010,10183,8998,10229,9002,10274,8959,10320,8930,10366,8938,10411,8947,10457,8909,10502,8906,10548,8868,10594,8789,10910,8580e" filled="false" stroked="true" strokeweight="2.16pt" strokecolor="#9bba58">
              <v:path arrowok="t"/>
              <v:stroke dashstyle="solid"/>
            </v:shape>
            <v:line style="position:absolute" from="6386,8894" to="6770,8894" stroked="true" strokeweight="2.16pt" strokecolor="#4f81bc">
              <v:stroke dashstyle="solid"/>
            </v:line>
            <v:line style="position:absolute" from="6386,9158" to="6770,9158" stroked="true" strokeweight="2.16pt" strokecolor="#c0504d">
              <v:stroke dashstyle="solid"/>
            </v:line>
            <v:line style="position:absolute" from="6386,9420" to="6770,9420" stroked="true" strokeweight="2.16pt" strokecolor="#9bba58">
              <v:stroke dashstyle="solid"/>
            </v:line>
            <w10:wrap type="none"/>
          </v:group>
        </w:pict>
      </w:r>
      <w:r>
        <w:rPr/>
        <w:pict>
          <v:group style="position:absolute;margin-left:33.720001pt;margin-top:557.399963pt;width:230.3pt;height:139pt;mso-position-horizontal-relative:page;mso-position-vertical-relative:page;z-index:-254334976" coordorigin="674,11148" coordsize="4606,2780">
            <v:rect style="position:absolute;left:873;top:12909;width:260;height:768" filled="true" fillcolor="#4f81bc" stroked="false">
              <v:fill type="solid"/>
            </v:rect>
            <v:line style="position:absolute" from="1133,12858" to="1394,12858" stroked="true" strokeweight="5.16pt" strokecolor="#c0504d">
              <v:stroke dashstyle="solid"/>
            </v:line>
            <v:rect style="position:absolute;left:1783;top:12400;width:262;height:509" filled="true" fillcolor="#4f81bc" stroked="false">
              <v:fill type="solid"/>
            </v:rect>
            <v:rect style="position:absolute;left:2044;top:12374;width:260;height:536" filled="true" fillcolor="#c0504d" stroked="false">
              <v:fill type="solid"/>
            </v:rect>
            <v:rect style="position:absolute;left:2695;top:11997;width:260;height:912" filled="true" fillcolor="#4f81bc" stroked="false">
              <v:fill type="solid"/>
            </v:rect>
            <v:rect style="position:absolute;left:2954;top:12439;width:262;height:471" filled="true" fillcolor="#c0504d" stroked="false">
              <v:fill type="solid"/>
            </v:rect>
            <v:rect style="position:absolute;left:3604;top:11738;width:262;height:1172" filled="true" fillcolor="#4f81bc" stroked="false">
              <v:fill type="solid"/>
            </v:rect>
            <v:rect style="position:absolute;left:3866;top:11457;width:260;height:1452" filled="true" fillcolor="#c0504d" stroked="false">
              <v:fill type="solid"/>
            </v:rect>
            <v:rect style="position:absolute;left:4516;top:11368;width:260;height:1541" filled="true" fillcolor="#4f81bc" stroked="false">
              <v:fill type="solid"/>
            </v:rect>
            <v:rect style="position:absolute;left:4776;top:11457;width:262;height:1452" filled="true" fillcolor="#c0504d" stroked="false">
              <v:fill type="solid"/>
            </v:rect>
            <v:shape style="position:absolute;left:676;top:11217;width:4604;height:2708" coordorigin="677,11218" coordsize="4604,2708" path="m5232,13925l5232,11218m5232,13925l5280,13925m5232,13586l5280,13586m5232,13248l5280,13248m5232,12910l5280,12910m5232,12571l5280,12571m5232,12233l5280,12233m5232,11894l5280,11894m5232,11556l5280,11556m5232,11218l5280,11218m677,12910l5232,12910m677,12910l677,12958m1589,12910l1589,12958m2498,12910l2498,12958m3410,12910l3410,12958m4322,12910l4322,12958m5232,12910l5232,12958e" filled="false" stroked="true" strokeweight=".24pt" strokecolor="#000000">
              <v:path arrowok="t"/>
              <v:stroke dashstyle="solid"/>
            </v:shape>
            <v:rect style="position:absolute;left:729;top:11148;width:80;height:82" filled="true" fillcolor="#4f81bc" stroked="false">
              <v:fill type="solid"/>
            </v:rect>
            <v:rect style="position:absolute;left:729;top:11419;width:80;height:80" filled="true" fillcolor="#c0504d" stroked="false">
              <v:fill type="solid"/>
            </v:rect>
            <w10:wrap type="none"/>
          </v:group>
        </w:pict>
      </w:r>
    </w:p>
    <w:p>
      <w:pPr>
        <w:spacing w:after="0"/>
        <w:rPr>
          <w:sz w:val="2"/>
          <w:szCs w:val="2"/>
        </w:rPr>
        <w:sectPr>
          <w:footerReference w:type="default" r:id="rId16"/>
          <w:pgSz w:w="11910" w:h="16840"/>
          <w:pgMar w:footer="1334" w:header="0" w:top="1580" w:bottom="1520" w:left="240" w:right="240"/>
          <w:pgNumType w:start="17"/>
        </w:sectPr>
      </w:pPr>
    </w:p>
    <w:p>
      <w:pPr>
        <w:pStyle w:val="BodyText"/>
      </w:pPr>
      <w:r>
        <w:rPr/>
        <w:pict>
          <v:group style="position:absolute;margin-left:33pt;margin-top:140.279984pt;width:241.8pt;height:150.15pt;mso-position-horizontal-relative:page;mso-position-vertical-relative:page;z-index:-254333952" coordorigin="660,2806" coordsize="4836,3003">
            <v:shape style="position:absolute;left:765;top:2880;width:4731;height:2928" coordorigin="766,2880" coordsize="4731,2928" path="m5448,5760l5448,2880m5448,5760l5496,5760m5448,5441l5496,5441m5448,5119l5496,5119m5448,4800l5496,4800m5448,4481l5496,4481m5448,4159l5496,4159m5448,3840l5496,3840m5448,3521l5496,3521m5448,3202l5496,3202m5448,2880l5496,2880m766,5760l5448,5760m766,5760l766,5808m1286,5760l1286,5808m1807,5760l1807,5808m2328,5760l2328,5808m2846,5760l2846,5808m3367,5760l3367,5808m3888,5760l3888,5808m4409,5760l4409,5808m4927,5760l4927,5808m5448,5760l5448,5808e" filled="false" stroked="true" strokeweight=".24pt" strokecolor="#000000">
              <v:path arrowok="t"/>
              <v:stroke dashstyle="solid"/>
            </v:shape>
            <v:shape style="position:absolute;left:765;top:3201;width:2081;height:2175" coordorigin="766,3202" coordsize="2081,2175" path="m766,5376l1286,4735,1807,3967,2328,3521,2846,3202e" filled="false" stroked="true" strokeweight="2.16pt" strokecolor="#4f81bc">
              <v:path arrowok="t"/>
              <v:stroke dashstyle="solid"/>
            </v:shape>
            <v:shape style="position:absolute;left:1286;top:3393;width:2081;height:1856" coordorigin="1286,3394" coordsize="2081,1856" path="m1286,5249l1807,4800,2328,4224,2846,3713,3367,3394e" filled="false" stroked="true" strokeweight="2.16pt" strokecolor="#c0504d">
              <v:path arrowok="t"/>
              <v:stroke dashstyle="solid"/>
            </v:shape>
            <v:shape style="position:absolute;left:1807;top:3744;width:2081;height:1678" coordorigin="1807,3744" coordsize="2081,1678" path="m1807,5422l2328,5249,2846,4877,3367,4313,3888,3744e" filled="false" stroked="true" strokeweight="2.16pt" strokecolor="#9bba58">
              <v:path arrowok="t"/>
              <v:stroke dashstyle="solid"/>
            </v:shape>
            <v:shape style="position:absolute;left:2328;top:4154;width:2081;height:1272" coordorigin="2328,4154" coordsize="2081,1272" path="m2328,5426l2846,5318,3367,4999,3888,4543,4409,4154e" filled="false" stroked="true" strokeweight="2.16pt" strokecolor="#8063a1">
              <v:path arrowok="t"/>
              <v:stroke dashstyle="solid"/>
            </v:shape>
            <v:shape style="position:absolute;left:2846;top:3967;width:2081;height:1467" coordorigin="2846,3967" coordsize="2081,1467" path="m2846,5434l3367,5203,3888,4762,4409,4339,4927,3967e" filled="false" stroked="true" strokeweight="2.16pt" strokecolor="#4aacc5">
              <v:path arrowok="t"/>
              <v:stroke dashstyle="solid"/>
            </v:shape>
            <v:shape style="position:absolute;left:3367;top:4032;width:2081;height:1344" coordorigin="3367,4032" coordsize="2081,1344" path="m3367,5376l3888,5057,4409,4608,4927,4224,5448,4032e" filled="false" stroked="true" strokeweight="2.16pt" strokecolor="#f79546">
              <v:path arrowok="t"/>
              <v:stroke dashstyle="solid"/>
            </v:shape>
            <v:line style="position:absolute" from="660,2827" to="1044,2827" stroked="true" strokeweight="2.16pt" strokecolor="#4f81bc">
              <v:stroke dashstyle="solid"/>
            </v:line>
            <v:line style="position:absolute" from="1877,2827" to="2261,2827" stroked="true" strokeweight="2.16pt" strokecolor="#c0504d">
              <v:stroke dashstyle="solid"/>
            </v:line>
            <v:line style="position:absolute" from="3094,2827" to="3478,2827" stroked="true" strokeweight="2.16pt" strokecolor="#9bba58">
              <v:stroke dashstyle="solid"/>
            </v:line>
            <v:line style="position:absolute" from="660,3050" to="1044,3050" stroked="true" strokeweight="2.16pt" strokecolor="#8063a1">
              <v:stroke dashstyle="solid"/>
            </v:line>
            <v:line style="position:absolute" from="1877,3050" to="2261,3050" stroked="true" strokeweight="2.16pt" strokecolor="#4aacc5">
              <v:stroke dashstyle="solid"/>
            </v:line>
            <v:line style="position:absolute" from="3094,3050" to="3478,3050" stroked="true" strokeweight="2.16pt" strokecolor="#f79546">
              <v:stroke dashstyle="solid"/>
            </v:line>
            <w10:wrap type="none"/>
          </v:group>
        </w:pict>
      </w:r>
      <w:r>
        <w:rPr/>
        <w:pict>
          <v:group style="position:absolute;margin-left:316.679993pt;margin-top:140.519989pt;width:236.65pt;height:148.950pt;mso-position-horizontal-relative:page;mso-position-vertical-relative:page;z-index:-254332928" coordorigin="6334,2810" coordsize="4733,2979">
            <v:shape style="position:absolute;left:6360;top:2872;width:4707;height:2916" coordorigin="6360,2873" coordsize="4707,2916" path="m11018,5741l11018,2873m11018,5741l11066,5741m11018,5422l11066,5422m11018,5102l11066,5102m11018,4783l11066,4783m11018,4464l11066,4464m11018,4147l11066,4147m11018,3828l11066,3828m11018,3509l11066,3509m11018,3190l11066,3190m11018,2873l11066,2873m6360,5741l11018,5741m6360,5741l6360,5789m6943,5741l6943,5789m7524,5741l7524,5789m8107,5741l8107,5789m8690,5741l8690,5789m9271,5741l9271,5789m9854,5741l9854,5789m10435,5741l10435,5789m11018,5741l11018,5789e" filled="false" stroked="true" strokeweight=".24pt" strokecolor="#000000">
              <v:path arrowok="t"/>
              <v:stroke dashstyle="solid"/>
            </v:shape>
            <v:shape style="position:absolute;left:6360;top:3432;width:1748;height:2084" coordorigin="6360,3432" coordsize="1748,2084" path="m6360,5515l6943,4656,7524,3763,8107,3432e" filled="false" stroked="true" strokeweight="2.16pt" strokecolor="#4f81bc">
              <v:path arrowok="t"/>
              <v:stroke dashstyle="solid"/>
            </v:shape>
            <v:shape style="position:absolute;left:6943;top:3924;width:1748;height:1685" coordorigin="6943,3924" coordsize="1748,1685" path="m6943,5609l7524,5134,8107,4274,8690,3924e" filled="false" stroked="true" strokeweight="2.16pt" strokecolor="#c0504d">
              <v:path arrowok="t"/>
              <v:stroke dashstyle="solid"/>
            </v:shape>
            <v:shape style="position:absolute;left:7524;top:4656;width:1748;height:1044" coordorigin="7524,4656" coordsize="1748,1044" path="m7524,5700l8107,5664,8690,5208,9271,4656e" filled="false" stroked="true" strokeweight="2.16pt" strokecolor="#9bba58">
              <v:path arrowok="t"/>
              <v:stroke dashstyle="solid"/>
            </v:shape>
            <v:shape style="position:absolute;left:8107;top:4663;width:1748;height:1013" coordorigin="8107,4663" coordsize="1748,1013" path="m8107,5676l8690,5635,9271,5388,9854,4663e" filled="false" stroked="true" strokeweight="2.16pt" strokecolor="#8063a1">
              <v:path arrowok="t"/>
              <v:stroke dashstyle="solid"/>
            </v:shape>
            <v:shape style="position:absolute;left:8690;top:3969;width:1745;height:1714" coordorigin="8690,3970" coordsize="1745,1714" path="m8690,5683l9271,5520,9854,4783,10435,3970e" filled="false" stroked="true" strokeweight="2.16pt" strokecolor="#4aacc5">
              <v:path arrowok="t"/>
              <v:stroke dashstyle="solid"/>
            </v:shape>
            <v:shape style="position:absolute;left:9271;top:3828;width:1748;height:1745" coordorigin="9271,3828" coordsize="1748,1745" path="m9271,5573l9854,4973,10435,4042,11018,3828e" filled="false" stroked="true" strokeweight="2.16pt" strokecolor="#f79546">
              <v:path arrowok="t"/>
              <v:stroke dashstyle="solid"/>
            </v:shape>
            <v:line style="position:absolute" from="6334,2832" to="6718,2832" stroked="true" strokeweight="2.16pt" strokecolor="#4f81bc">
              <v:stroke dashstyle="solid"/>
            </v:line>
            <v:line style="position:absolute" from="7519,2832" to="7903,2832" stroked="true" strokeweight="2.16pt" strokecolor="#c0504d">
              <v:stroke dashstyle="solid"/>
            </v:line>
            <v:line style="position:absolute" from="8707,2832" to="9091,2832" stroked="true" strokeweight="2.16pt" strokecolor="#9bba58">
              <v:stroke dashstyle="solid"/>
            </v:line>
            <v:line style="position:absolute" from="6334,3065" to="6718,3065" stroked="true" strokeweight="2.16pt" strokecolor="#8063a1">
              <v:stroke dashstyle="solid"/>
            </v:line>
            <v:line style="position:absolute" from="7519,3065" to="7903,3065" stroked="true" strokeweight="2.16pt" strokecolor="#4aacc5">
              <v:stroke dashstyle="solid"/>
            </v:line>
            <v:line style="position:absolute" from="8707,3065" to="9091,3065" stroked="true" strokeweight="2.16pt" strokecolor="#f79546">
              <v:stroke dashstyle="solid"/>
            </v:line>
            <w10:wrap type="none"/>
          </v:group>
        </w:pict>
      </w:r>
    </w:p>
    <w:p>
      <w:pPr>
        <w:pStyle w:val="BodyText"/>
        <w:spacing w:before="8"/>
        <w:rPr>
          <w:sz w:val="11"/>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595"/>
        <w:gridCol w:w="456"/>
        <w:gridCol w:w="1040"/>
        <w:gridCol w:w="1040"/>
        <w:gridCol w:w="520"/>
        <w:gridCol w:w="520"/>
        <w:gridCol w:w="765"/>
        <w:gridCol w:w="695"/>
        <w:gridCol w:w="657"/>
        <w:gridCol w:w="510"/>
        <w:gridCol w:w="665"/>
        <w:gridCol w:w="498"/>
        <w:gridCol w:w="676"/>
        <w:gridCol w:w="487"/>
        <w:gridCol w:w="582"/>
        <w:gridCol w:w="819"/>
      </w:tblGrid>
      <w:tr>
        <w:trPr>
          <w:trHeight w:val="614" w:hRule="atLeast"/>
        </w:trPr>
        <w:tc>
          <w:tcPr>
            <w:tcW w:w="559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2" w:lineRule="auto" w:before="114"/>
              <w:ind w:left="110" w:right="516"/>
              <w:rPr>
                <w:sz w:val="20"/>
              </w:rPr>
            </w:pPr>
            <w:r>
              <w:rPr>
                <w:b/>
                <w:sz w:val="20"/>
              </w:rPr>
              <w:t>Figure 13: </w:t>
            </w:r>
            <w:r>
              <w:rPr>
                <w:sz w:val="20"/>
              </w:rPr>
              <w:t>Forecasts of UK Bank Rate (end of calendar year)</w:t>
            </w:r>
          </w:p>
        </w:tc>
        <w:tc>
          <w:tcPr>
            <w:tcW w:w="558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2" w:lineRule="auto" w:before="114"/>
              <w:ind w:left="113" w:right="106"/>
              <w:rPr>
                <w:sz w:val="20"/>
              </w:rPr>
            </w:pPr>
            <w:r>
              <w:rPr>
                <w:b/>
                <w:sz w:val="20"/>
              </w:rPr>
              <w:t>Figure 14: </w:t>
            </w:r>
            <w:r>
              <w:rPr>
                <w:sz w:val="20"/>
              </w:rPr>
              <w:t>Fed Funds Forecasts by Professional Forecasters (calendar year average)</w:t>
            </w:r>
          </w:p>
        </w:tc>
      </w:tr>
      <w:tr>
        <w:trPr>
          <w:trHeight w:val="363" w:hRule="atLeast"/>
        </w:trPr>
        <w:tc>
          <w:tcPr>
            <w:tcW w:w="656" w:type="dxa"/>
            <w:tcBorders>
              <w:top w:val="single" w:sz="4" w:space="0" w:color="000000"/>
              <w:left w:val="single" w:sz="4" w:space="0" w:color="000000"/>
            </w:tcBorders>
          </w:tcPr>
          <w:p>
            <w:pPr>
              <w:pStyle w:val="TableParagraph"/>
              <w:rPr>
                <w:rFonts w:ascii="Times New Roman"/>
                <w:sz w:val="16"/>
              </w:rPr>
            </w:pPr>
          </w:p>
        </w:tc>
        <w:tc>
          <w:tcPr>
            <w:tcW w:w="595" w:type="dxa"/>
            <w:tcBorders>
              <w:top w:val="single" w:sz="4" w:space="0" w:color="000000"/>
            </w:tcBorders>
          </w:tcPr>
          <w:p>
            <w:pPr>
              <w:pStyle w:val="TableParagraph"/>
              <w:spacing w:before="131"/>
              <w:ind w:left="75"/>
              <w:rPr>
                <w:sz w:val="16"/>
              </w:rPr>
            </w:pPr>
            <w:r>
              <w:rPr>
                <w:sz w:val="16"/>
              </w:rPr>
              <w:t>Feb-10</w:t>
            </w:r>
          </w:p>
        </w:tc>
        <w:tc>
          <w:tcPr>
            <w:tcW w:w="456" w:type="dxa"/>
            <w:tcBorders>
              <w:top w:val="single" w:sz="4" w:space="0" w:color="000000"/>
            </w:tcBorders>
          </w:tcPr>
          <w:p>
            <w:pPr>
              <w:pStyle w:val="TableParagraph"/>
              <w:rPr>
                <w:rFonts w:ascii="Times New Roman"/>
                <w:sz w:val="16"/>
              </w:rPr>
            </w:pPr>
          </w:p>
        </w:tc>
        <w:tc>
          <w:tcPr>
            <w:tcW w:w="1040" w:type="dxa"/>
            <w:tcBorders>
              <w:top w:val="single" w:sz="4" w:space="0" w:color="000000"/>
            </w:tcBorders>
          </w:tcPr>
          <w:p>
            <w:pPr>
              <w:pStyle w:val="TableParagraph"/>
              <w:spacing w:before="131"/>
              <w:ind w:left="67" w:right="115"/>
              <w:jc w:val="center"/>
              <w:rPr>
                <w:sz w:val="16"/>
              </w:rPr>
            </w:pPr>
            <w:r>
              <w:rPr>
                <w:sz w:val="16"/>
              </w:rPr>
              <w:t>Feb-11</w:t>
            </w:r>
          </w:p>
        </w:tc>
        <w:tc>
          <w:tcPr>
            <w:tcW w:w="1040" w:type="dxa"/>
            <w:tcBorders>
              <w:top w:val="single" w:sz="4" w:space="0" w:color="000000"/>
            </w:tcBorders>
          </w:tcPr>
          <w:p>
            <w:pPr>
              <w:pStyle w:val="TableParagraph"/>
              <w:spacing w:before="131"/>
              <w:ind w:right="112"/>
              <w:jc w:val="right"/>
              <w:rPr>
                <w:sz w:val="16"/>
              </w:rPr>
            </w:pPr>
            <w:r>
              <w:rPr>
                <w:sz w:val="16"/>
              </w:rPr>
              <w:t>Feb-12</w:t>
            </w:r>
          </w:p>
        </w:tc>
        <w:tc>
          <w:tcPr>
            <w:tcW w:w="520" w:type="dxa"/>
            <w:tcBorders>
              <w:top w:val="single" w:sz="4" w:space="0" w:color="000000"/>
            </w:tcBorders>
          </w:tcPr>
          <w:p>
            <w:pPr>
              <w:pStyle w:val="TableParagraph"/>
              <w:rPr>
                <w:rFonts w:ascii="Times New Roman"/>
                <w:sz w:val="16"/>
              </w:rPr>
            </w:pPr>
          </w:p>
        </w:tc>
        <w:tc>
          <w:tcPr>
            <w:tcW w:w="520" w:type="dxa"/>
            <w:tcBorders>
              <w:top w:val="single" w:sz="4" w:space="0" w:color="000000"/>
            </w:tcBorders>
          </w:tcPr>
          <w:p>
            <w:pPr>
              <w:pStyle w:val="TableParagraph"/>
              <w:rPr>
                <w:rFonts w:ascii="Times New Roman"/>
                <w:sz w:val="16"/>
              </w:rPr>
            </w:pPr>
          </w:p>
        </w:tc>
        <w:tc>
          <w:tcPr>
            <w:tcW w:w="765" w:type="dxa"/>
            <w:tcBorders>
              <w:top w:val="single" w:sz="4" w:space="0" w:color="000000"/>
              <w:right w:val="single" w:sz="4" w:space="0" w:color="000000"/>
            </w:tcBorders>
          </w:tcPr>
          <w:p>
            <w:pPr>
              <w:pStyle w:val="TableParagraph"/>
              <w:rPr>
                <w:sz w:val="16"/>
              </w:rPr>
            </w:pPr>
          </w:p>
          <w:p>
            <w:pPr>
              <w:pStyle w:val="TableParagraph"/>
              <w:spacing w:line="159" w:lineRule="exact"/>
              <w:ind w:right="128"/>
              <w:jc w:val="right"/>
              <w:rPr>
                <w:sz w:val="16"/>
              </w:rPr>
            </w:pPr>
            <w:r>
              <w:rPr>
                <w:sz w:val="16"/>
              </w:rPr>
              <w:t>4.5</w:t>
            </w:r>
          </w:p>
        </w:tc>
        <w:tc>
          <w:tcPr>
            <w:tcW w:w="695" w:type="dxa"/>
            <w:tcBorders>
              <w:top w:val="single" w:sz="4" w:space="0" w:color="000000"/>
              <w:left w:val="single" w:sz="4" w:space="0" w:color="000000"/>
            </w:tcBorders>
          </w:tcPr>
          <w:p>
            <w:pPr>
              <w:pStyle w:val="TableParagraph"/>
              <w:rPr>
                <w:rFonts w:ascii="Times New Roman"/>
                <w:sz w:val="16"/>
              </w:rPr>
            </w:pPr>
          </w:p>
        </w:tc>
        <w:tc>
          <w:tcPr>
            <w:tcW w:w="657" w:type="dxa"/>
            <w:tcBorders>
              <w:top w:val="single" w:sz="4" w:space="0" w:color="000000"/>
            </w:tcBorders>
          </w:tcPr>
          <w:p>
            <w:pPr>
              <w:pStyle w:val="TableParagraph"/>
              <w:spacing w:before="137"/>
              <w:ind w:left="118"/>
              <w:rPr>
                <w:sz w:val="16"/>
              </w:rPr>
            </w:pPr>
            <w:r>
              <w:rPr>
                <w:sz w:val="16"/>
              </w:rPr>
              <w:t>Feb-10</w:t>
            </w:r>
          </w:p>
        </w:tc>
        <w:tc>
          <w:tcPr>
            <w:tcW w:w="510" w:type="dxa"/>
            <w:tcBorders>
              <w:top w:val="single" w:sz="4" w:space="0" w:color="000000"/>
            </w:tcBorders>
          </w:tcPr>
          <w:p>
            <w:pPr>
              <w:pStyle w:val="TableParagraph"/>
              <w:rPr>
                <w:rFonts w:ascii="Times New Roman"/>
                <w:sz w:val="16"/>
              </w:rPr>
            </w:pPr>
          </w:p>
        </w:tc>
        <w:tc>
          <w:tcPr>
            <w:tcW w:w="665" w:type="dxa"/>
            <w:tcBorders>
              <w:top w:val="single" w:sz="4" w:space="0" w:color="000000"/>
            </w:tcBorders>
          </w:tcPr>
          <w:p>
            <w:pPr>
              <w:pStyle w:val="TableParagraph"/>
              <w:spacing w:before="137"/>
              <w:ind w:left="139"/>
              <w:rPr>
                <w:sz w:val="16"/>
              </w:rPr>
            </w:pPr>
            <w:r>
              <w:rPr>
                <w:sz w:val="16"/>
              </w:rPr>
              <w:t>Feb-11</w:t>
            </w:r>
          </w:p>
        </w:tc>
        <w:tc>
          <w:tcPr>
            <w:tcW w:w="498" w:type="dxa"/>
            <w:tcBorders>
              <w:top w:val="single" w:sz="4" w:space="0" w:color="000000"/>
            </w:tcBorders>
          </w:tcPr>
          <w:p>
            <w:pPr>
              <w:pStyle w:val="TableParagraph"/>
              <w:rPr>
                <w:rFonts w:ascii="Times New Roman"/>
                <w:sz w:val="16"/>
              </w:rPr>
            </w:pPr>
          </w:p>
        </w:tc>
        <w:tc>
          <w:tcPr>
            <w:tcW w:w="676" w:type="dxa"/>
            <w:tcBorders>
              <w:top w:val="single" w:sz="4" w:space="0" w:color="000000"/>
            </w:tcBorders>
          </w:tcPr>
          <w:p>
            <w:pPr>
              <w:pStyle w:val="TableParagraph"/>
              <w:spacing w:before="137"/>
              <w:ind w:left="163"/>
              <w:rPr>
                <w:sz w:val="16"/>
              </w:rPr>
            </w:pPr>
            <w:r>
              <w:rPr>
                <w:sz w:val="16"/>
              </w:rPr>
              <w:t>Feb-12</w:t>
            </w:r>
          </w:p>
        </w:tc>
        <w:tc>
          <w:tcPr>
            <w:tcW w:w="487" w:type="dxa"/>
            <w:tcBorders>
              <w:top w:val="single" w:sz="4" w:space="0" w:color="000000"/>
            </w:tcBorders>
          </w:tcPr>
          <w:p>
            <w:pPr>
              <w:pStyle w:val="TableParagraph"/>
              <w:rPr>
                <w:rFonts w:ascii="Times New Roman"/>
                <w:sz w:val="16"/>
              </w:rPr>
            </w:pPr>
          </w:p>
        </w:tc>
        <w:tc>
          <w:tcPr>
            <w:tcW w:w="582" w:type="dxa"/>
            <w:tcBorders>
              <w:top w:val="single" w:sz="4" w:space="0" w:color="000000"/>
            </w:tcBorders>
          </w:tcPr>
          <w:p>
            <w:pPr>
              <w:pStyle w:val="TableParagraph"/>
              <w:rPr>
                <w:rFonts w:ascii="Times New Roman"/>
                <w:sz w:val="16"/>
              </w:rPr>
            </w:pPr>
          </w:p>
        </w:tc>
        <w:tc>
          <w:tcPr>
            <w:tcW w:w="819" w:type="dxa"/>
            <w:tcBorders>
              <w:top w:val="single" w:sz="4" w:space="0" w:color="000000"/>
              <w:right w:val="single" w:sz="4" w:space="0" w:color="000000"/>
            </w:tcBorders>
          </w:tcPr>
          <w:p>
            <w:pPr>
              <w:pStyle w:val="TableParagraph"/>
              <w:spacing w:before="3"/>
              <w:rPr>
                <w:sz w:val="15"/>
              </w:rPr>
            </w:pPr>
          </w:p>
          <w:p>
            <w:pPr>
              <w:pStyle w:val="TableParagraph"/>
              <w:spacing w:line="167" w:lineRule="exact"/>
              <w:ind w:right="145"/>
              <w:jc w:val="right"/>
              <w:rPr>
                <w:sz w:val="16"/>
              </w:rPr>
            </w:pPr>
            <w:r>
              <w:rPr>
                <w:sz w:val="16"/>
              </w:rPr>
              <w:t>4.5</w:t>
            </w:r>
          </w:p>
        </w:tc>
      </w:tr>
      <w:tr>
        <w:trPr>
          <w:trHeight w:val="160" w:hRule="atLeast"/>
        </w:trPr>
        <w:tc>
          <w:tcPr>
            <w:tcW w:w="656" w:type="dxa"/>
            <w:tcBorders>
              <w:left w:val="single" w:sz="4" w:space="0" w:color="000000"/>
            </w:tcBorders>
          </w:tcPr>
          <w:p>
            <w:pPr>
              <w:pStyle w:val="TableParagraph"/>
              <w:rPr>
                <w:rFonts w:ascii="Times New Roman"/>
                <w:sz w:val="10"/>
              </w:rPr>
            </w:pPr>
          </w:p>
        </w:tc>
        <w:tc>
          <w:tcPr>
            <w:tcW w:w="595" w:type="dxa"/>
          </w:tcPr>
          <w:p>
            <w:pPr>
              <w:pStyle w:val="TableParagraph"/>
              <w:spacing w:line="141" w:lineRule="exact"/>
              <w:ind w:left="75"/>
              <w:rPr>
                <w:sz w:val="16"/>
              </w:rPr>
            </w:pPr>
            <w:r>
              <w:rPr>
                <w:sz w:val="16"/>
              </w:rPr>
              <w:t>Feb-13</w:t>
            </w:r>
          </w:p>
        </w:tc>
        <w:tc>
          <w:tcPr>
            <w:tcW w:w="456" w:type="dxa"/>
          </w:tcPr>
          <w:p>
            <w:pPr>
              <w:pStyle w:val="TableParagraph"/>
              <w:rPr>
                <w:rFonts w:ascii="Times New Roman"/>
                <w:sz w:val="10"/>
              </w:rPr>
            </w:pPr>
          </w:p>
        </w:tc>
        <w:tc>
          <w:tcPr>
            <w:tcW w:w="1040" w:type="dxa"/>
          </w:tcPr>
          <w:p>
            <w:pPr>
              <w:pStyle w:val="TableParagraph"/>
              <w:spacing w:line="141" w:lineRule="exact"/>
              <w:ind w:left="67" w:right="115"/>
              <w:jc w:val="center"/>
              <w:rPr>
                <w:sz w:val="16"/>
              </w:rPr>
            </w:pPr>
            <w:r>
              <w:rPr>
                <w:sz w:val="16"/>
              </w:rPr>
              <w:t>Feb-14</w:t>
            </w:r>
          </w:p>
        </w:tc>
        <w:tc>
          <w:tcPr>
            <w:tcW w:w="1040" w:type="dxa"/>
          </w:tcPr>
          <w:p>
            <w:pPr>
              <w:pStyle w:val="TableParagraph"/>
              <w:spacing w:line="141" w:lineRule="exact"/>
              <w:ind w:right="112"/>
              <w:jc w:val="right"/>
              <w:rPr>
                <w:sz w:val="16"/>
              </w:rPr>
            </w:pPr>
            <w:r>
              <w:rPr>
                <w:sz w:val="16"/>
              </w:rPr>
              <w:t>Feb-15</w:t>
            </w:r>
          </w:p>
        </w:tc>
        <w:tc>
          <w:tcPr>
            <w:tcW w:w="520" w:type="dxa"/>
          </w:tcPr>
          <w:p>
            <w:pPr>
              <w:pStyle w:val="TableParagraph"/>
              <w:rPr>
                <w:rFonts w:ascii="Times New Roman"/>
                <w:sz w:val="10"/>
              </w:rPr>
            </w:pPr>
          </w:p>
        </w:tc>
        <w:tc>
          <w:tcPr>
            <w:tcW w:w="520" w:type="dxa"/>
          </w:tcPr>
          <w:p>
            <w:pPr>
              <w:pStyle w:val="TableParagraph"/>
              <w:rPr>
                <w:rFonts w:ascii="Times New Roman"/>
                <w:sz w:val="10"/>
              </w:rPr>
            </w:pPr>
          </w:p>
        </w:tc>
        <w:tc>
          <w:tcPr>
            <w:tcW w:w="765" w:type="dxa"/>
            <w:tcBorders>
              <w:right w:val="single" w:sz="4" w:space="0" w:color="000000"/>
            </w:tcBorders>
          </w:tcPr>
          <w:p>
            <w:pPr>
              <w:pStyle w:val="TableParagraph"/>
              <w:rPr>
                <w:rFonts w:ascii="Times New Roman"/>
                <w:sz w:val="10"/>
              </w:rPr>
            </w:pPr>
          </w:p>
        </w:tc>
        <w:tc>
          <w:tcPr>
            <w:tcW w:w="695" w:type="dxa"/>
            <w:tcBorders>
              <w:left w:val="single" w:sz="4" w:space="0" w:color="000000"/>
            </w:tcBorders>
          </w:tcPr>
          <w:p>
            <w:pPr>
              <w:pStyle w:val="TableParagraph"/>
              <w:rPr>
                <w:rFonts w:ascii="Times New Roman"/>
                <w:sz w:val="10"/>
              </w:rPr>
            </w:pPr>
          </w:p>
        </w:tc>
        <w:tc>
          <w:tcPr>
            <w:tcW w:w="657" w:type="dxa"/>
          </w:tcPr>
          <w:p>
            <w:pPr>
              <w:pStyle w:val="TableParagraph"/>
              <w:spacing w:line="136" w:lineRule="exact" w:before="5"/>
              <w:ind w:left="118"/>
              <w:rPr>
                <w:sz w:val="16"/>
              </w:rPr>
            </w:pPr>
            <w:r>
              <w:rPr>
                <w:sz w:val="16"/>
              </w:rPr>
              <w:t>Feb-13</w:t>
            </w:r>
          </w:p>
        </w:tc>
        <w:tc>
          <w:tcPr>
            <w:tcW w:w="510" w:type="dxa"/>
          </w:tcPr>
          <w:p>
            <w:pPr>
              <w:pStyle w:val="TableParagraph"/>
              <w:rPr>
                <w:rFonts w:ascii="Times New Roman"/>
                <w:sz w:val="10"/>
              </w:rPr>
            </w:pPr>
          </w:p>
        </w:tc>
        <w:tc>
          <w:tcPr>
            <w:tcW w:w="665" w:type="dxa"/>
          </w:tcPr>
          <w:p>
            <w:pPr>
              <w:pStyle w:val="TableParagraph"/>
              <w:spacing w:line="136" w:lineRule="exact" w:before="5"/>
              <w:ind w:left="139"/>
              <w:rPr>
                <w:sz w:val="16"/>
              </w:rPr>
            </w:pPr>
            <w:r>
              <w:rPr>
                <w:sz w:val="16"/>
              </w:rPr>
              <w:t>Feb-14</w:t>
            </w:r>
          </w:p>
        </w:tc>
        <w:tc>
          <w:tcPr>
            <w:tcW w:w="498" w:type="dxa"/>
          </w:tcPr>
          <w:p>
            <w:pPr>
              <w:pStyle w:val="TableParagraph"/>
              <w:rPr>
                <w:rFonts w:ascii="Times New Roman"/>
                <w:sz w:val="10"/>
              </w:rPr>
            </w:pPr>
          </w:p>
        </w:tc>
        <w:tc>
          <w:tcPr>
            <w:tcW w:w="676" w:type="dxa"/>
          </w:tcPr>
          <w:p>
            <w:pPr>
              <w:pStyle w:val="TableParagraph"/>
              <w:spacing w:line="136" w:lineRule="exact" w:before="5"/>
              <w:ind w:left="163"/>
              <w:rPr>
                <w:sz w:val="16"/>
              </w:rPr>
            </w:pPr>
            <w:r>
              <w:rPr>
                <w:sz w:val="16"/>
              </w:rPr>
              <w:t>Feb-15</w:t>
            </w:r>
          </w:p>
        </w:tc>
        <w:tc>
          <w:tcPr>
            <w:tcW w:w="487" w:type="dxa"/>
          </w:tcPr>
          <w:p>
            <w:pPr>
              <w:pStyle w:val="TableParagraph"/>
              <w:rPr>
                <w:rFonts w:ascii="Times New Roman"/>
                <w:sz w:val="10"/>
              </w:rPr>
            </w:pPr>
          </w:p>
        </w:tc>
        <w:tc>
          <w:tcPr>
            <w:tcW w:w="582" w:type="dxa"/>
          </w:tcPr>
          <w:p>
            <w:pPr>
              <w:pStyle w:val="TableParagraph"/>
              <w:rPr>
                <w:rFonts w:ascii="Times New Roman"/>
                <w:sz w:val="10"/>
              </w:rPr>
            </w:pPr>
          </w:p>
        </w:tc>
        <w:tc>
          <w:tcPr>
            <w:tcW w:w="819" w:type="dxa"/>
            <w:tcBorders>
              <w:right w:val="single" w:sz="4" w:space="0" w:color="000000"/>
            </w:tcBorders>
          </w:tcPr>
          <w:p>
            <w:pPr>
              <w:pStyle w:val="TableParagraph"/>
              <w:rPr>
                <w:rFonts w:ascii="Times New Roman"/>
                <w:sz w:val="10"/>
              </w:rPr>
            </w:pPr>
          </w:p>
        </w:tc>
      </w:tr>
      <w:tr>
        <w:trPr>
          <w:trHeight w:val="229" w:hRule="atLeast"/>
        </w:trPr>
        <w:tc>
          <w:tcPr>
            <w:tcW w:w="656" w:type="dxa"/>
            <w:tcBorders>
              <w:left w:val="single" w:sz="4" w:space="0" w:color="000000"/>
            </w:tcBorders>
          </w:tcPr>
          <w:p>
            <w:pPr>
              <w:pStyle w:val="TableParagraph"/>
              <w:rPr>
                <w:rFonts w:ascii="Times New Roman"/>
                <w:sz w:val="16"/>
              </w:rPr>
            </w:pPr>
          </w:p>
        </w:tc>
        <w:tc>
          <w:tcPr>
            <w:tcW w:w="595" w:type="dxa"/>
          </w:tcPr>
          <w:p>
            <w:pPr>
              <w:pStyle w:val="TableParagraph"/>
              <w:rPr>
                <w:rFonts w:ascii="Times New Roman"/>
                <w:sz w:val="16"/>
              </w:rPr>
            </w:pPr>
          </w:p>
        </w:tc>
        <w:tc>
          <w:tcPr>
            <w:tcW w:w="456" w:type="dxa"/>
          </w:tcPr>
          <w:p>
            <w:pPr>
              <w:pStyle w:val="TableParagraph"/>
              <w:rPr>
                <w:rFonts w:ascii="Times New Roman"/>
                <w:sz w:val="16"/>
              </w:rPr>
            </w:pPr>
          </w:p>
        </w:tc>
        <w:tc>
          <w:tcPr>
            <w:tcW w:w="1040" w:type="dxa"/>
          </w:tcPr>
          <w:p>
            <w:pPr>
              <w:pStyle w:val="TableParagraph"/>
              <w:rPr>
                <w:rFonts w:ascii="Times New Roman"/>
                <w:sz w:val="16"/>
              </w:rPr>
            </w:pPr>
          </w:p>
        </w:tc>
        <w:tc>
          <w:tcPr>
            <w:tcW w:w="1040" w:type="dxa"/>
          </w:tcPr>
          <w:p>
            <w:pPr>
              <w:pStyle w:val="TableParagraph"/>
              <w:rPr>
                <w:rFonts w:ascii="Times New Roman"/>
                <w:sz w:val="16"/>
              </w:rPr>
            </w:pPr>
          </w:p>
        </w:tc>
        <w:tc>
          <w:tcPr>
            <w:tcW w:w="520" w:type="dxa"/>
          </w:tcPr>
          <w:p>
            <w:pPr>
              <w:pStyle w:val="TableParagraph"/>
              <w:rPr>
                <w:rFonts w:ascii="Times New Roman"/>
                <w:sz w:val="16"/>
              </w:rPr>
            </w:pPr>
          </w:p>
        </w:tc>
        <w:tc>
          <w:tcPr>
            <w:tcW w:w="520" w:type="dxa"/>
          </w:tcPr>
          <w:p>
            <w:pPr>
              <w:pStyle w:val="TableParagraph"/>
              <w:rPr>
                <w:rFonts w:ascii="Times New Roman"/>
                <w:sz w:val="16"/>
              </w:rPr>
            </w:pPr>
          </w:p>
        </w:tc>
        <w:tc>
          <w:tcPr>
            <w:tcW w:w="765" w:type="dxa"/>
            <w:tcBorders>
              <w:right w:val="single" w:sz="4" w:space="0" w:color="000000"/>
            </w:tcBorders>
          </w:tcPr>
          <w:p>
            <w:pPr>
              <w:pStyle w:val="TableParagraph"/>
              <w:spacing w:line="164" w:lineRule="exact"/>
              <w:ind w:right="128"/>
              <w:jc w:val="right"/>
              <w:rPr>
                <w:sz w:val="16"/>
              </w:rPr>
            </w:pPr>
            <w:r>
              <w:rPr>
                <w:sz w:val="16"/>
              </w:rPr>
              <w:t>4.0</w:t>
            </w:r>
          </w:p>
        </w:tc>
        <w:tc>
          <w:tcPr>
            <w:tcW w:w="695" w:type="dxa"/>
            <w:tcBorders>
              <w:left w:val="single" w:sz="4" w:space="0" w:color="000000"/>
            </w:tcBorders>
          </w:tcPr>
          <w:p>
            <w:pPr>
              <w:pStyle w:val="TableParagraph"/>
              <w:rPr>
                <w:rFonts w:ascii="Times New Roman"/>
                <w:sz w:val="16"/>
              </w:rPr>
            </w:pPr>
          </w:p>
        </w:tc>
        <w:tc>
          <w:tcPr>
            <w:tcW w:w="657" w:type="dxa"/>
          </w:tcPr>
          <w:p>
            <w:pPr>
              <w:pStyle w:val="TableParagraph"/>
              <w:rPr>
                <w:rFonts w:ascii="Times New Roman"/>
                <w:sz w:val="16"/>
              </w:rPr>
            </w:pPr>
          </w:p>
        </w:tc>
        <w:tc>
          <w:tcPr>
            <w:tcW w:w="510" w:type="dxa"/>
          </w:tcPr>
          <w:p>
            <w:pPr>
              <w:pStyle w:val="TableParagraph"/>
              <w:rPr>
                <w:rFonts w:ascii="Times New Roman"/>
                <w:sz w:val="16"/>
              </w:rPr>
            </w:pPr>
          </w:p>
        </w:tc>
        <w:tc>
          <w:tcPr>
            <w:tcW w:w="665" w:type="dxa"/>
          </w:tcPr>
          <w:p>
            <w:pPr>
              <w:pStyle w:val="TableParagraph"/>
              <w:rPr>
                <w:rFonts w:ascii="Times New Roman"/>
                <w:sz w:val="16"/>
              </w:rPr>
            </w:pPr>
          </w:p>
        </w:tc>
        <w:tc>
          <w:tcPr>
            <w:tcW w:w="498" w:type="dxa"/>
          </w:tcPr>
          <w:p>
            <w:pPr>
              <w:pStyle w:val="TableParagraph"/>
              <w:rPr>
                <w:rFonts w:ascii="Times New Roman"/>
                <w:sz w:val="16"/>
              </w:rPr>
            </w:pPr>
          </w:p>
        </w:tc>
        <w:tc>
          <w:tcPr>
            <w:tcW w:w="676" w:type="dxa"/>
          </w:tcPr>
          <w:p>
            <w:pPr>
              <w:pStyle w:val="TableParagraph"/>
              <w:rPr>
                <w:rFonts w:ascii="Times New Roman"/>
                <w:sz w:val="16"/>
              </w:rPr>
            </w:pPr>
          </w:p>
        </w:tc>
        <w:tc>
          <w:tcPr>
            <w:tcW w:w="487" w:type="dxa"/>
          </w:tcPr>
          <w:p>
            <w:pPr>
              <w:pStyle w:val="TableParagraph"/>
              <w:rPr>
                <w:rFonts w:ascii="Times New Roman"/>
                <w:sz w:val="16"/>
              </w:rPr>
            </w:pPr>
          </w:p>
        </w:tc>
        <w:tc>
          <w:tcPr>
            <w:tcW w:w="582" w:type="dxa"/>
          </w:tcPr>
          <w:p>
            <w:pPr>
              <w:pStyle w:val="TableParagraph"/>
              <w:rPr>
                <w:rFonts w:ascii="Times New Roman"/>
                <w:sz w:val="16"/>
              </w:rPr>
            </w:pPr>
          </w:p>
        </w:tc>
        <w:tc>
          <w:tcPr>
            <w:tcW w:w="819" w:type="dxa"/>
            <w:tcBorders>
              <w:right w:val="single" w:sz="4" w:space="0" w:color="000000"/>
            </w:tcBorders>
          </w:tcPr>
          <w:p>
            <w:pPr>
              <w:pStyle w:val="TableParagraph"/>
              <w:spacing w:line="155" w:lineRule="exact"/>
              <w:ind w:right="145"/>
              <w:jc w:val="right"/>
              <w:rPr>
                <w:sz w:val="16"/>
              </w:rPr>
            </w:pPr>
            <w:r>
              <w:rPr>
                <w:sz w:val="16"/>
              </w:rPr>
              <w:t>4.0</w:t>
            </w:r>
          </w:p>
        </w:tc>
      </w:tr>
      <w:tr>
        <w:trPr>
          <w:trHeight w:val="319" w:hRule="atLeast"/>
        </w:trPr>
        <w:tc>
          <w:tcPr>
            <w:tcW w:w="656" w:type="dxa"/>
            <w:tcBorders>
              <w:left w:val="single" w:sz="4" w:space="0" w:color="000000"/>
            </w:tcBorders>
          </w:tcPr>
          <w:p>
            <w:pPr>
              <w:pStyle w:val="TableParagraph"/>
              <w:rPr>
                <w:rFonts w:ascii="Times New Roman"/>
                <w:sz w:val="16"/>
              </w:rPr>
            </w:pPr>
          </w:p>
        </w:tc>
        <w:tc>
          <w:tcPr>
            <w:tcW w:w="595" w:type="dxa"/>
          </w:tcPr>
          <w:p>
            <w:pPr>
              <w:pStyle w:val="TableParagraph"/>
              <w:rPr>
                <w:rFonts w:ascii="Times New Roman"/>
                <w:sz w:val="16"/>
              </w:rPr>
            </w:pPr>
          </w:p>
        </w:tc>
        <w:tc>
          <w:tcPr>
            <w:tcW w:w="456" w:type="dxa"/>
          </w:tcPr>
          <w:p>
            <w:pPr>
              <w:pStyle w:val="TableParagraph"/>
              <w:rPr>
                <w:rFonts w:ascii="Times New Roman"/>
                <w:sz w:val="16"/>
              </w:rPr>
            </w:pPr>
          </w:p>
        </w:tc>
        <w:tc>
          <w:tcPr>
            <w:tcW w:w="1040" w:type="dxa"/>
          </w:tcPr>
          <w:p>
            <w:pPr>
              <w:pStyle w:val="TableParagraph"/>
              <w:rPr>
                <w:rFonts w:ascii="Times New Roman"/>
                <w:sz w:val="16"/>
              </w:rPr>
            </w:pPr>
          </w:p>
        </w:tc>
        <w:tc>
          <w:tcPr>
            <w:tcW w:w="1040" w:type="dxa"/>
          </w:tcPr>
          <w:p>
            <w:pPr>
              <w:pStyle w:val="TableParagraph"/>
              <w:rPr>
                <w:rFonts w:ascii="Times New Roman"/>
                <w:sz w:val="16"/>
              </w:rPr>
            </w:pPr>
          </w:p>
        </w:tc>
        <w:tc>
          <w:tcPr>
            <w:tcW w:w="520" w:type="dxa"/>
          </w:tcPr>
          <w:p>
            <w:pPr>
              <w:pStyle w:val="TableParagraph"/>
              <w:rPr>
                <w:rFonts w:ascii="Times New Roman"/>
                <w:sz w:val="16"/>
              </w:rPr>
            </w:pPr>
          </w:p>
        </w:tc>
        <w:tc>
          <w:tcPr>
            <w:tcW w:w="520" w:type="dxa"/>
          </w:tcPr>
          <w:p>
            <w:pPr>
              <w:pStyle w:val="TableParagraph"/>
              <w:rPr>
                <w:rFonts w:ascii="Times New Roman"/>
                <w:sz w:val="16"/>
              </w:rPr>
            </w:pPr>
          </w:p>
        </w:tc>
        <w:tc>
          <w:tcPr>
            <w:tcW w:w="765" w:type="dxa"/>
            <w:tcBorders>
              <w:right w:val="single" w:sz="4" w:space="0" w:color="000000"/>
            </w:tcBorders>
          </w:tcPr>
          <w:p>
            <w:pPr>
              <w:pStyle w:val="TableParagraph"/>
              <w:spacing w:before="71"/>
              <w:ind w:right="128"/>
              <w:jc w:val="right"/>
              <w:rPr>
                <w:sz w:val="16"/>
              </w:rPr>
            </w:pPr>
            <w:r>
              <w:rPr>
                <w:sz w:val="16"/>
              </w:rPr>
              <w:t>3.5</w:t>
            </w:r>
          </w:p>
        </w:tc>
        <w:tc>
          <w:tcPr>
            <w:tcW w:w="695" w:type="dxa"/>
            <w:tcBorders>
              <w:left w:val="single" w:sz="4" w:space="0" w:color="000000"/>
            </w:tcBorders>
          </w:tcPr>
          <w:p>
            <w:pPr>
              <w:pStyle w:val="TableParagraph"/>
              <w:rPr>
                <w:rFonts w:ascii="Times New Roman"/>
                <w:sz w:val="16"/>
              </w:rPr>
            </w:pPr>
          </w:p>
        </w:tc>
        <w:tc>
          <w:tcPr>
            <w:tcW w:w="657" w:type="dxa"/>
          </w:tcPr>
          <w:p>
            <w:pPr>
              <w:pStyle w:val="TableParagraph"/>
              <w:rPr>
                <w:rFonts w:ascii="Times New Roman"/>
                <w:sz w:val="16"/>
              </w:rPr>
            </w:pPr>
          </w:p>
        </w:tc>
        <w:tc>
          <w:tcPr>
            <w:tcW w:w="510" w:type="dxa"/>
          </w:tcPr>
          <w:p>
            <w:pPr>
              <w:pStyle w:val="TableParagraph"/>
              <w:rPr>
                <w:rFonts w:ascii="Times New Roman"/>
                <w:sz w:val="16"/>
              </w:rPr>
            </w:pPr>
          </w:p>
        </w:tc>
        <w:tc>
          <w:tcPr>
            <w:tcW w:w="665" w:type="dxa"/>
          </w:tcPr>
          <w:p>
            <w:pPr>
              <w:pStyle w:val="TableParagraph"/>
              <w:rPr>
                <w:rFonts w:ascii="Times New Roman"/>
                <w:sz w:val="16"/>
              </w:rPr>
            </w:pPr>
          </w:p>
        </w:tc>
        <w:tc>
          <w:tcPr>
            <w:tcW w:w="498" w:type="dxa"/>
          </w:tcPr>
          <w:p>
            <w:pPr>
              <w:pStyle w:val="TableParagraph"/>
              <w:rPr>
                <w:rFonts w:ascii="Times New Roman"/>
                <w:sz w:val="16"/>
              </w:rPr>
            </w:pPr>
          </w:p>
        </w:tc>
        <w:tc>
          <w:tcPr>
            <w:tcW w:w="676" w:type="dxa"/>
          </w:tcPr>
          <w:p>
            <w:pPr>
              <w:pStyle w:val="TableParagraph"/>
              <w:rPr>
                <w:rFonts w:ascii="Times New Roman"/>
                <w:sz w:val="16"/>
              </w:rPr>
            </w:pPr>
          </w:p>
        </w:tc>
        <w:tc>
          <w:tcPr>
            <w:tcW w:w="487" w:type="dxa"/>
          </w:tcPr>
          <w:p>
            <w:pPr>
              <w:pStyle w:val="TableParagraph"/>
              <w:rPr>
                <w:rFonts w:ascii="Times New Roman"/>
                <w:sz w:val="16"/>
              </w:rPr>
            </w:pPr>
          </w:p>
        </w:tc>
        <w:tc>
          <w:tcPr>
            <w:tcW w:w="582" w:type="dxa"/>
          </w:tcPr>
          <w:p>
            <w:pPr>
              <w:pStyle w:val="TableParagraph"/>
              <w:rPr>
                <w:rFonts w:ascii="Times New Roman"/>
                <w:sz w:val="16"/>
              </w:rPr>
            </w:pPr>
          </w:p>
        </w:tc>
        <w:tc>
          <w:tcPr>
            <w:tcW w:w="819" w:type="dxa"/>
            <w:tcBorders>
              <w:right w:val="single" w:sz="4" w:space="0" w:color="000000"/>
            </w:tcBorders>
          </w:tcPr>
          <w:p>
            <w:pPr>
              <w:pStyle w:val="TableParagraph"/>
              <w:spacing w:before="60"/>
              <w:ind w:right="145"/>
              <w:jc w:val="right"/>
              <w:rPr>
                <w:sz w:val="16"/>
              </w:rPr>
            </w:pPr>
            <w:r>
              <w:rPr>
                <w:sz w:val="16"/>
              </w:rPr>
              <w:t>3.5</w:t>
            </w:r>
          </w:p>
        </w:tc>
      </w:tr>
      <w:tr>
        <w:trPr>
          <w:trHeight w:val="319" w:hRule="atLeast"/>
        </w:trPr>
        <w:tc>
          <w:tcPr>
            <w:tcW w:w="656" w:type="dxa"/>
            <w:tcBorders>
              <w:left w:val="single" w:sz="4" w:space="0" w:color="000000"/>
            </w:tcBorders>
          </w:tcPr>
          <w:p>
            <w:pPr>
              <w:pStyle w:val="TableParagraph"/>
              <w:rPr>
                <w:rFonts w:ascii="Times New Roman"/>
                <w:sz w:val="16"/>
              </w:rPr>
            </w:pPr>
          </w:p>
        </w:tc>
        <w:tc>
          <w:tcPr>
            <w:tcW w:w="595" w:type="dxa"/>
          </w:tcPr>
          <w:p>
            <w:pPr>
              <w:pStyle w:val="TableParagraph"/>
              <w:rPr>
                <w:rFonts w:ascii="Times New Roman"/>
                <w:sz w:val="16"/>
              </w:rPr>
            </w:pPr>
          </w:p>
        </w:tc>
        <w:tc>
          <w:tcPr>
            <w:tcW w:w="456" w:type="dxa"/>
          </w:tcPr>
          <w:p>
            <w:pPr>
              <w:pStyle w:val="TableParagraph"/>
              <w:rPr>
                <w:rFonts w:ascii="Times New Roman"/>
                <w:sz w:val="16"/>
              </w:rPr>
            </w:pPr>
          </w:p>
        </w:tc>
        <w:tc>
          <w:tcPr>
            <w:tcW w:w="1040" w:type="dxa"/>
          </w:tcPr>
          <w:p>
            <w:pPr>
              <w:pStyle w:val="TableParagraph"/>
              <w:rPr>
                <w:rFonts w:ascii="Times New Roman"/>
                <w:sz w:val="16"/>
              </w:rPr>
            </w:pPr>
          </w:p>
        </w:tc>
        <w:tc>
          <w:tcPr>
            <w:tcW w:w="1040" w:type="dxa"/>
          </w:tcPr>
          <w:p>
            <w:pPr>
              <w:pStyle w:val="TableParagraph"/>
              <w:rPr>
                <w:rFonts w:ascii="Times New Roman"/>
                <w:sz w:val="16"/>
              </w:rPr>
            </w:pPr>
          </w:p>
        </w:tc>
        <w:tc>
          <w:tcPr>
            <w:tcW w:w="520" w:type="dxa"/>
          </w:tcPr>
          <w:p>
            <w:pPr>
              <w:pStyle w:val="TableParagraph"/>
              <w:rPr>
                <w:rFonts w:ascii="Times New Roman"/>
                <w:sz w:val="16"/>
              </w:rPr>
            </w:pPr>
          </w:p>
        </w:tc>
        <w:tc>
          <w:tcPr>
            <w:tcW w:w="520" w:type="dxa"/>
          </w:tcPr>
          <w:p>
            <w:pPr>
              <w:pStyle w:val="TableParagraph"/>
              <w:rPr>
                <w:rFonts w:ascii="Times New Roman"/>
                <w:sz w:val="16"/>
              </w:rPr>
            </w:pPr>
          </w:p>
        </w:tc>
        <w:tc>
          <w:tcPr>
            <w:tcW w:w="765" w:type="dxa"/>
            <w:tcBorders>
              <w:right w:val="single" w:sz="4" w:space="0" w:color="000000"/>
            </w:tcBorders>
          </w:tcPr>
          <w:p>
            <w:pPr>
              <w:pStyle w:val="TableParagraph"/>
              <w:spacing w:before="71"/>
              <w:ind w:right="128"/>
              <w:jc w:val="right"/>
              <w:rPr>
                <w:sz w:val="16"/>
              </w:rPr>
            </w:pPr>
            <w:r>
              <w:rPr>
                <w:sz w:val="16"/>
              </w:rPr>
              <w:t>3.0</w:t>
            </w:r>
          </w:p>
        </w:tc>
        <w:tc>
          <w:tcPr>
            <w:tcW w:w="695" w:type="dxa"/>
            <w:tcBorders>
              <w:left w:val="single" w:sz="4" w:space="0" w:color="000000"/>
            </w:tcBorders>
          </w:tcPr>
          <w:p>
            <w:pPr>
              <w:pStyle w:val="TableParagraph"/>
              <w:rPr>
                <w:rFonts w:ascii="Times New Roman"/>
                <w:sz w:val="16"/>
              </w:rPr>
            </w:pPr>
          </w:p>
        </w:tc>
        <w:tc>
          <w:tcPr>
            <w:tcW w:w="657" w:type="dxa"/>
          </w:tcPr>
          <w:p>
            <w:pPr>
              <w:pStyle w:val="TableParagraph"/>
              <w:rPr>
                <w:rFonts w:ascii="Times New Roman"/>
                <w:sz w:val="16"/>
              </w:rPr>
            </w:pPr>
          </w:p>
        </w:tc>
        <w:tc>
          <w:tcPr>
            <w:tcW w:w="510" w:type="dxa"/>
          </w:tcPr>
          <w:p>
            <w:pPr>
              <w:pStyle w:val="TableParagraph"/>
              <w:rPr>
                <w:rFonts w:ascii="Times New Roman"/>
                <w:sz w:val="16"/>
              </w:rPr>
            </w:pPr>
          </w:p>
        </w:tc>
        <w:tc>
          <w:tcPr>
            <w:tcW w:w="665" w:type="dxa"/>
          </w:tcPr>
          <w:p>
            <w:pPr>
              <w:pStyle w:val="TableParagraph"/>
              <w:rPr>
                <w:rFonts w:ascii="Times New Roman"/>
                <w:sz w:val="16"/>
              </w:rPr>
            </w:pPr>
          </w:p>
        </w:tc>
        <w:tc>
          <w:tcPr>
            <w:tcW w:w="498" w:type="dxa"/>
          </w:tcPr>
          <w:p>
            <w:pPr>
              <w:pStyle w:val="TableParagraph"/>
              <w:rPr>
                <w:rFonts w:ascii="Times New Roman"/>
                <w:sz w:val="16"/>
              </w:rPr>
            </w:pPr>
          </w:p>
        </w:tc>
        <w:tc>
          <w:tcPr>
            <w:tcW w:w="676" w:type="dxa"/>
          </w:tcPr>
          <w:p>
            <w:pPr>
              <w:pStyle w:val="TableParagraph"/>
              <w:rPr>
                <w:rFonts w:ascii="Times New Roman"/>
                <w:sz w:val="16"/>
              </w:rPr>
            </w:pPr>
          </w:p>
        </w:tc>
        <w:tc>
          <w:tcPr>
            <w:tcW w:w="487" w:type="dxa"/>
          </w:tcPr>
          <w:p>
            <w:pPr>
              <w:pStyle w:val="TableParagraph"/>
              <w:rPr>
                <w:rFonts w:ascii="Times New Roman"/>
                <w:sz w:val="16"/>
              </w:rPr>
            </w:pPr>
          </w:p>
        </w:tc>
        <w:tc>
          <w:tcPr>
            <w:tcW w:w="582" w:type="dxa"/>
          </w:tcPr>
          <w:p>
            <w:pPr>
              <w:pStyle w:val="TableParagraph"/>
              <w:rPr>
                <w:rFonts w:ascii="Times New Roman"/>
                <w:sz w:val="16"/>
              </w:rPr>
            </w:pPr>
          </w:p>
        </w:tc>
        <w:tc>
          <w:tcPr>
            <w:tcW w:w="819" w:type="dxa"/>
            <w:tcBorders>
              <w:right w:val="single" w:sz="4" w:space="0" w:color="000000"/>
            </w:tcBorders>
          </w:tcPr>
          <w:p>
            <w:pPr>
              <w:pStyle w:val="TableParagraph"/>
              <w:spacing w:before="59"/>
              <w:ind w:right="145"/>
              <w:jc w:val="right"/>
              <w:rPr>
                <w:sz w:val="16"/>
              </w:rPr>
            </w:pPr>
            <w:r>
              <w:rPr>
                <w:sz w:val="16"/>
              </w:rPr>
              <w:t>3.0</w:t>
            </w:r>
          </w:p>
        </w:tc>
      </w:tr>
      <w:tr>
        <w:trPr>
          <w:trHeight w:val="319" w:hRule="atLeast"/>
        </w:trPr>
        <w:tc>
          <w:tcPr>
            <w:tcW w:w="656" w:type="dxa"/>
            <w:tcBorders>
              <w:left w:val="single" w:sz="4" w:space="0" w:color="000000"/>
            </w:tcBorders>
          </w:tcPr>
          <w:p>
            <w:pPr>
              <w:pStyle w:val="TableParagraph"/>
              <w:rPr>
                <w:rFonts w:ascii="Times New Roman"/>
                <w:sz w:val="16"/>
              </w:rPr>
            </w:pPr>
          </w:p>
        </w:tc>
        <w:tc>
          <w:tcPr>
            <w:tcW w:w="595" w:type="dxa"/>
          </w:tcPr>
          <w:p>
            <w:pPr>
              <w:pStyle w:val="TableParagraph"/>
              <w:rPr>
                <w:rFonts w:ascii="Times New Roman"/>
                <w:sz w:val="16"/>
              </w:rPr>
            </w:pPr>
          </w:p>
        </w:tc>
        <w:tc>
          <w:tcPr>
            <w:tcW w:w="456" w:type="dxa"/>
          </w:tcPr>
          <w:p>
            <w:pPr>
              <w:pStyle w:val="TableParagraph"/>
              <w:rPr>
                <w:rFonts w:ascii="Times New Roman"/>
                <w:sz w:val="16"/>
              </w:rPr>
            </w:pPr>
          </w:p>
        </w:tc>
        <w:tc>
          <w:tcPr>
            <w:tcW w:w="1040" w:type="dxa"/>
          </w:tcPr>
          <w:p>
            <w:pPr>
              <w:pStyle w:val="TableParagraph"/>
              <w:rPr>
                <w:rFonts w:ascii="Times New Roman"/>
                <w:sz w:val="16"/>
              </w:rPr>
            </w:pPr>
          </w:p>
        </w:tc>
        <w:tc>
          <w:tcPr>
            <w:tcW w:w="1040" w:type="dxa"/>
          </w:tcPr>
          <w:p>
            <w:pPr>
              <w:pStyle w:val="TableParagraph"/>
              <w:rPr>
                <w:rFonts w:ascii="Times New Roman"/>
                <w:sz w:val="16"/>
              </w:rPr>
            </w:pPr>
          </w:p>
        </w:tc>
        <w:tc>
          <w:tcPr>
            <w:tcW w:w="520" w:type="dxa"/>
          </w:tcPr>
          <w:p>
            <w:pPr>
              <w:pStyle w:val="TableParagraph"/>
              <w:rPr>
                <w:rFonts w:ascii="Times New Roman"/>
                <w:sz w:val="16"/>
              </w:rPr>
            </w:pPr>
          </w:p>
        </w:tc>
        <w:tc>
          <w:tcPr>
            <w:tcW w:w="520" w:type="dxa"/>
          </w:tcPr>
          <w:p>
            <w:pPr>
              <w:pStyle w:val="TableParagraph"/>
              <w:rPr>
                <w:rFonts w:ascii="Times New Roman"/>
                <w:sz w:val="16"/>
              </w:rPr>
            </w:pPr>
          </w:p>
        </w:tc>
        <w:tc>
          <w:tcPr>
            <w:tcW w:w="765" w:type="dxa"/>
            <w:tcBorders>
              <w:right w:val="single" w:sz="4" w:space="0" w:color="000000"/>
            </w:tcBorders>
          </w:tcPr>
          <w:p>
            <w:pPr>
              <w:pStyle w:val="TableParagraph"/>
              <w:spacing w:before="72"/>
              <w:ind w:right="128"/>
              <w:jc w:val="right"/>
              <w:rPr>
                <w:sz w:val="16"/>
              </w:rPr>
            </w:pPr>
            <w:r>
              <w:rPr>
                <w:sz w:val="16"/>
              </w:rPr>
              <w:t>2.5</w:t>
            </w:r>
          </w:p>
        </w:tc>
        <w:tc>
          <w:tcPr>
            <w:tcW w:w="695" w:type="dxa"/>
            <w:tcBorders>
              <w:left w:val="single" w:sz="4" w:space="0" w:color="000000"/>
            </w:tcBorders>
          </w:tcPr>
          <w:p>
            <w:pPr>
              <w:pStyle w:val="TableParagraph"/>
              <w:rPr>
                <w:rFonts w:ascii="Times New Roman"/>
                <w:sz w:val="16"/>
              </w:rPr>
            </w:pPr>
          </w:p>
        </w:tc>
        <w:tc>
          <w:tcPr>
            <w:tcW w:w="657" w:type="dxa"/>
          </w:tcPr>
          <w:p>
            <w:pPr>
              <w:pStyle w:val="TableParagraph"/>
              <w:rPr>
                <w:rFonts w:ascii="Times New Roman"/>
                <w:sz w:val="16"/>
              </w:rPr>
            </w:pPr>
          </w:p>
        </w:tc>
        <w:tc>
          <w:tcPr>
            <w:tcW w:w="510" w:type="dxa"/>
          </w:tcPr>
          <w:p>
            <w:pPr>
              <w:pStyle w:val="TableParagraph"/>
              <w:rPr>
                <w:rFonts w:ascii="Times New Roman"/>
                <w:sz w:val="16"/>
              </w:rPr>
            </w:pPr>
          </w:p>
        </w:tc>
        <w:tc>
          <w:tcPr>
            <w:tcW w:w="665" w:type="dxa"/>
          </w:tcPr>
          <w:p>
            <w:pPr>
              <w:pStyle w:val="TableParagraph"/>
              <w:rPr>
                <w:rFonts w:ascii="Times New Roman"/>
                <w:sz w:val="16"/>
              </w:rPr>
            </w:pPr>
          </w:p>
        </w:tc>
        <w:tc>
          <w:tcPr>
            <w:tcW w:w="498" w:type="dxa"/>
          </w:tcPr>
          <w:p>
            <w:pPr>
              <w:pStyle w:val="TableParagraph"/>
              <w:rPr>
                <w:rFonts w:ascii="Times New Roman"/>
                <w:sz w:val="16"/>
              </w:rPr>
            </w:pPr>
          </w:p>
        </w:tc>
        <w:tc>
          <w:tcPr>
            <w:tcW w:w="676" w:type="dxa"/>
          </w:tcPr>
          <w:p>
            <w:pPr>
              <w:pStyle w:val="TableParagraph"/>
              <w:rPr>
                <w:rFonts w:ascii="Times New Roman"/>
                <w:sz w:val="16"/>
              </w:rPr>
            </w:pPr>
          </w:p>
        </w:tc>
        <w:tc>
          <w:tcPr>
            <w:tcW w:w="487" w:type="dxa"/>
          </w:tcPr>
          <w:p>
            <w:pPr>
              <w:pStyle w:val="TableParagraph"/>
              <w:rPr>
                <w:rFonts w:ascii="Times New Roman"/>
                <w:sz w:val="16"/>
              </w:rPr>
            </w:pPr>
          </w:p>
        </w:tc>
        <w:tc>
          <w:tcPr>
            <w:tcW w:w="582" w:type="dxa"/>
          </w:tcPr>
          <w:p>
            <w:pPr>
              <w:pStyle w:val="TableParagraph"/>
              <w:rPr>
                <w:rFonts w:ascii="Times New Roman"/>
                <w:sz w:val="16"/>
              </w:rPr>
            </w:pPr>
          </w:p>
        </w:tc>
        <w:tc>
          <w:tcPr>
            <w:tcW w:w="819" w:type="dxa"/>
            <w:tcBorders>
              <w:right w:val="single" w:sz="4" w:space="0" w:color="000000"/>
            </w:tcBorders>
          </w:tcPr>
          <w:p>
            <w:pPr>
              <w:pStyle w:val="TableParagraph"/>
              <w:spacing w:before="58"/>
              <w:ind w:right="145"/>
              <w:jc w:val="right"/>
              <w:rPr>
                <w:sz w:val="16"/>
              </w:rPr>
            </w:pPr>
            <w:r>
              <w:rPr>
                <w:sz w:val="16"/>
              </w:rPr>
              <w:t>2.5</w:t>
            </w:r>
          </w:p>
        </w:tc>
      </w:tr>
      <w:tr>
        <w:trPr>
          <w:trHeight w:val="319" w:hRule="atLeast"/>
        </w:trPr>
        <w:tc>
          <w:tcPr>
            <w:tcW w:w="656" w:type="dxa"/>
            <w:tcBorders>
              <w:left w:val="single" w:sz="4" w:space="0" w:color="000000"/>
            </w:tcBorders>
          </w:tcPr>
          <w:p>
            <w:pPr>
              <w:pStyle w:val="TableParagraph"/>
              <w:rPr>
                <w:rFonts w:ascii="Times New Roman"/>
                <w:sz w:val="16"/>
              </w:rPr>
            </w:pPr>
          </w:p>
        </w:tc>
        <w:tc>
          <w:tcPr>
            <w:tcW w:w="595" w:type="dxa"/>
          </w:tcPr>
          <w:p>
            <w:pPr>
              <w:pStyle w:val="TableParagraph"/>
              <w:rPr>
                <w:rFonts w:ascii="Times New Roman"/>
                <w:sz w:val="16"/>
              </w:rPr>
            </w:pPr>
          </w:p>
        </w:tc>
        <w:tc>
          <w:tcPr>
            <w:tcW w:w="456" w:type="dxa"/>
          </w:tcPr>
          <w:p>
            <w:pPr>
              <w:pStyle w:val="TableParagraph"/>
              <w:rPr>
                <w:rFonts w:ascii="Times New Roman"/>
                <w:sz w:val="16"/>
              </w:rPr>
            </w:pPr>
          </w:p>
        </w:tc>
        <w:tc>
          <w:tcPr>
            <w:tcW w:w="1040" w:type="dxa"/>
          </w:tcPr>
          <w:p>
            <w:pPr>
              <w:pStyle w:val="TableParagraph"/>
              <w:rPr>
                <w:rFonts w:ascii="Times New Roman"/>
                <w:sz w:val="16"/>
              </w:rPr>
            </w:pPr>
          </w:p>
        </w:tc>
        <w:tc>
          <w:tcPr>
            <w:tcW w:w="1040" w:type="dxa"/>
          </w:tcPr>
          <w:p>
            <w:pPr>
              <w:pStyle w:val="TableParagraph"/>
              <w:rPr>
                <w:rFonts w:ascii="Times New Roman"/>
                <w:sz w:val="16"/>
              </w:rPr>
            </w:pPr>
          </w:p>
        </w:tc>
        <w:tc>
          <w:tcPr>
            <w:tcW w:w="520" w:type="dxa"/>
          </w:tcPr>
          <w:p>
            <w:pPr>
              <w:pStyle w:val="TableParagraph"/>
              <w:rPr>
                <w:rFonts w:ascii="Times New Roman"/>
                <w:sz w:val="16"/>
              </w:rPr>
            </w:pPr>
          </w:p>
        </w:tc>
        <w:tc>
          <w:tcPr>
            <w:tcW w:w="520" w:type="dxa"/>
          </w:tcPr>
          <w:p>
            <w:pPr>
              <w:pStyle w:val="TableParagraph"/>
              <w:rPr>
                <w:rFonts w:ascii="Times New Roman"/>
                <w:sz w:val="16"/>
              </w:rPr>
            </w:pPr>
          </w:p>
        </w:tc>
        <w:tc>
          <w:tcPr>
            <w:tcW w:w="765" w:type="dxa"/>
            <w:tcBorders>
              <w:right w:val="single" w:sz="4" w:space="0" w:color="000000"/>
            </w:tcBorders>
          </w:tcPr>
          <w:p>
            <w:pPr>
              <w:pStyle w:val="TableParagraph"/>
              <w:spacing w:before="73"/>
              <w:ind w:right="128"/>
              <w:jc w:val="right"/>
              <w:rPr>
                <w:sz w:val="16"/>
              </w:rPr>
            </w:pPr>
            <w:r>
              <w:rPr>
                <w:sz w:val="16"/>
              </w:rPr>
              <w:t>2.0</w:t>
            </w:r>
          </w:p>
        </w:tc>
        <w:tc>
          <w:tcPr>
            <w:tcW w:w="695" w:type="dxa"/>
            <w:tcBorders>
              <w:left w:val="single" w:sz="4" w:space="0" w:color="000000"/>
            </w:tcBorders>
          </w:tcPr>
          <w:p>
            <w:pPr>
              <w:pStyle w:val="TableParagraph"/>
              <w:rPr>
                <w:rFonts w:ascii="Times New Roman"/>
                <w:sz w:val="16"/>
              </w:rPr>
            </w:pPr>
          </w:p>
        </w:tc>
        <w:tc>
          <w:tcPr>
            <w:tcW w:w="657" w:type="dxa"/>
          </w:tcPr>
          <w:p>
            <w:pPr>
              <w:pStyle w:val="TableParagraph"/>
              <w:rPr>
                <w:rFonts w:ascii="Times New Roman"/>
                <w:sz w:val="16"/>
              </w:rPr>
            </w:pPr>
          </w:p>
        </w:tc>
        <w:tc>
          <w:tcPr>
            <w:tcW w:w="510" w:type="dxa"/>
          </w:tcPr>
          <w:p>
            <w:pPr>
              <w:pStyle w:val="TableParagraph"/>
              <w:rPr>
                <w:rFonts w:ascii="Times New Roman"/>
                <w:sz w:val="16"/>
              </w:rPr>
            </w:pPr>
          </w:p>
        </w:tc>
        <w:tc>
          <w:tcPr>
            <w:tcW w:w="665" w:type="dxa"/>
          </w:tcPr>
          <w:p>
            <w:pPr>
              <w:pStyle w:val="TableParagraph"/>
              <w:rPr>
                <w:rFonts w:ascii="Times New Roman"/>
                <w:sz w:val="16"/>
              </w:rPr>
            </w:pPr>
          </w:p>
        </w:tc>
        <w:tc>
          <w:tcPr>
            <w:tcW w:w="498" w:type="dxa"/>
          </w:tcPr>
          <w:p>
            <w:pPr>
              <w:pStyle w:val="TableParagraph"/>
              <w:rPr>
                <w:rFonts w:ascii="Times New Roman"/>
                <w:sz w:val="16"/>
              </w:rPr>
            </w:pPr>
          </w:p>
        </w:tc>
        <w:tc>
          <w:tcPr>
            <w:tcW w:w="676" w:type="dxa"/>
          </w:tcPr>
          <w:p>
            <w:pPr>
              <w:pStyle w:val="TableParagraph"/>
              <w:rPr>
                <w:rFonts w:ascii="Times New Roman"/>
                <w:sz w:val="16"/>
              </w:rPr>
            </w:pPr>
          </w:p>
        </w:tc>
        <w:tc>
          <w:tcPr>
            <w:tcW w:w="487" w:type="dxa"/>
          </w:tcPr>
          <w:p>
            <w:pPr>
              <w:pStyle w:val="TableParagraph"/>
              <w:rPr>
                <w:rFonts w:ascii="Times New Roman"/>
                <w:sz w:val="16"/>
              </w:rPr>
            </w:pPr>
          </w:p>
        </w:tc>
        <w:tc>
          <w:tcPr>
            <w:tcW w:w="582" w:type="dxa"/>
          </w:tcPr>
          <w:p>
            <w:pPr>
              <w:pStyle w:val="TableParagraph"/>
              <w:rPr>
                <w:rFonts w:ascii="Times New Roman"/>
                <w:sz w:val="16"/>
              </w:rPr>
            </w:pPr>
          </w:p>
        </w:tc>
        <w:tc>
          <w:tcPr>
            <w:tcW w:w="819" w:type="dxa"/>
            <w:tcBorders>
              <w:right w:val="single" w:sz="4" w:space="0" w:color="000000"/>
            </w:tcBorders>
          </w:tcPr>
          <w:p>
            <w:pPr>
              <w:pStyle w:val="TableParagraph"/>
              <w:spacing w:before="58"/>
              <w:ind w:right="145"/>
              <w:jc w:val="right"/>
              <w:rPr>
                <w:sz w:val="16"/>
              </w:rPr>
            </w:pPr>
            <w:r>
              <w:rPr>
                <w:sz w:val="16"/>
              </w:rPr>
              <w:t>2.0</w:t>
            </w:r>
          </w:p>
        </w:tc>
      </w:tr>
      <w:tr>
        <w:trPr>
          <w:trHeight w:val="319" w:hRule="atLeast"/>
        </w:trPr>
        <w:tc>
          <w:tcPr>
            <w:tcW w:w="656" w:type="dxa"/>
            <w:tcBorders>
              <w:left w:val="single" w:sz="4" w:space="0" w:color="000000"/>
            </w:tcBorders>
          </w:tcPr>
          <w:p>
            <w:pPr>
              <w:pStyle w:val="TableParagraph"/>
              <w:rPr>
                <w:rFonts w:ascii="Times New Roman"/>
                <w:sz w:val="16"/>
              </w:rPr>
            </w:pPr>
          </w:p>
        </w:tc>
        <w:tc>
          <w:tcPr>
            <w:tcW w:w="595" w:type="dxa"/>
          </w:tcPr>
          <w:p>
            <w:pPr>
              <w:pStyle w:val="TableParagraph"/>
              <w:rPr>
                <w:rFonts w:ascii="Times New Roman"/>
                <w:sz w:val="16"/>
              </w:rPr>
            </w:pPr>
          </w:p>
        </w:tc>
        <w:tc>
          <w:tcPr>
            <w:tcW w:w="456" w:type="dxa"/>
          </w:tcPr>
          <w:p>
            <w:pPr>
              <w:pStyle w:val="TableParagraph"/>
              <w:rPr>
                <w:rFonts w:ascii="Times New Roman"/>
                <w:sz w:val="16"/>
              </w:rPr>
            </w:pPr>
          </w:p>
        </w:tc>
        <w:tc>
          <w:tcPr>
            <w:tcW w:w="1040" w:type="dxa"/>
          </w:tcPr>
          <w:p>
            <w:pPr>
              <w:pStyle w:val="TableParagraph"/>
              <w:rPr>
                <w:rFonts w:ascii="Times New Roman"/>
                <w:sz w:val="16"/>
              </w:rPr>
            </w:pPr>
          </w:p>
        </w:tc>
        <w:tc>
          <w:tcPr>
            <w:tcW w:w="1040" w:type="dxa"/>
          </w:tcPr>
          <w:p>
            <w:pPr>
              <w:pStyle w:val="TableParagraph"/>
              <w:rPr>
                <w:rFonts w:ascii="Times New Roman"/>
                <w:sz w:val="16"/>
              </w:rPr>
            </w:pPr>
          </w:p>
        </w:tc>
        <w:tc>
          <w:tcPr>
            <w:tcW w:w="520" w:type="dxa"/>
          </w:tcPr>
          <w:p>
            <w:pPr>
              <w:pStyle w:val="TableParagraph"/>
              <w:rPr>
                <w:rFonts w:ascii="Times New Roman"/>
                <w:sz w:val="16"/>
              </w:rPr>
            </w:pPr>
          </w:p>
        </w:tc>
        <w:tc>
          <w:tcPr>
            <w:tcW w:w="520" w:type="dxa"/>
          </w:tcPr>
          <w:p>
            <w:pPr>
              <w:pStyle w:val="TableParagraph"/>
              <w:rPr>
                <w:rFonts w:ascii="Times New Roman"/>
                <w:sz w:val="16"/>
              </w:rPr>
            </w:pPr>
          </w:p>
        </w:tc>
        <w:tc>
          <w:tcPr>
            <w:tcW w:w="765" w:type="dxa"/>
            <w:tcBorders>
              <w:right w:val="single" w:sz="4" w:space="0" w:color="000000"/>
            </w:tcBorders>
          </w:tcPr>
          <w:p>
            <w:pPr>
              <w:pStyle w:val="TableParagraph"/>
              <w:spacing w:before="74"/>
              <w:ind w:right="128"/>
              <w:jc w:val="right"/>
              <w:rPr>
                <w:sz w:val="16"/>
              </w:rPr>
            </w:pPr>
            <w:r>
              <w:rPr>
                <w:sz w:val="16"/>
              </w:rPr>
              <w:t>1.5</w:t>
            </w:r>
          </w:p>
        </w:tc>
        <w:tc>
          <w:tcPr>
            <w:tcW w:w="695" w:type="dxa"/>
            <w:tcBorders>
              <w:left w:val="single" w:sz="4" w:space="0" w:color="000000"/>
            </w:tcBorders>
          </w:tcPr>
          <w:p>
            <w:pPr>
              <w:pStyle w:val="TableParagraph"/>
              <w:rPr>
                <w:rFonts w:ascii="Times New Roman"/>
                <w:sz w:val="16"/>
              </w:rPr>
            </w:pPr>
          </w:p>
        </w:tc>
        <w:tc>
          <w:tcPr>
            <w:tcW w:w="657" w:type="dxa"/>
          </w:tcPr>
          <w:p>
            <w:pPr>
              <w:pStyle w:val="TableParagraph"/>
              <w:rPr>
                <w:rFonts w:ascii="Times New Roman"/>
                <w:sz w:val="16"/>
              </w:rPr>
            </w:pPr>
          </w:p>
        </w:tc>
        <w:tc>
          <w:tcPr>
            <w:tcW w:w="510" w:type="dxa"/>
          </w:tcPr>
          <w:p>
            <w:pPr>
              <w:pStyle w:val="TableParagraph"/>
              <w:rPr>
                <w:rFonts w:ascii="Times New Roman"/>
                <w:sz w:val="16"/>
              </w:rPr>
            </w:pPr>
          </w:p>
        </w:tc>
        <w:tc>
          <w:tcPr>
            <w:tcW w:w="665" w:type="dxa"/>
          </w:tcPr>
          <w:p>
            <w:pPr>
              <w:pStyle w:val="TableParagraph"/>
              <w:rPr>
                <w:rFonts w:ascii="Times New Roman"/>
                <w:sz w:val="16"/>
              </w:rPr>
            </w:pPr>
          </w:p>
        </w:tc>
        <w:tc>
          <w:tcPr>
            <w:tcW w:w="498" w:type="dxa"/>
          </w:tcPr>
          <w:p>
            <w:pPr>
              <w:pStyle w:val="TableParagraph"/>
              <w:rPr>
                <w:rFonts w:ascii="Times New Roman"/>
                <w:sz w:val="16"/>
              </w:rPr>
            </w:pPr>
          </w:p>
        </w:tc>
        <w:tc>
          <w:tcPr>
            <w:tcW w:w="676" w:type="dxa"/>
          </w:tcPr>
          <w:p>
            <w:pPr>
              <w:pStyle w:val="TableParagraph"/>
              <w:rPr>
                <w:rFonts w:ascii="Times New Roman"/>
                <w:sz w:val="16"/>
              </w:rPr>
            </w:pPr>
          </w:p>
        </w:tc>
        <w:tc>
          <w:tcPr>
            <w:tcW w:w="487" w:type="dxa"/>
          </w:tcPr>
          <w:p>
            <w:pPr>
              <w:pStyle w:val="TableParagraph"/>
              <w:rPr>
                <w:rFonts w:ascii="Times New Roman"/>
                <w:sz w:val="16"/>
              </w:rPr>
            </w:pPr>
          </w:p>
        </w:tc>
        <w:tc>
          <w:tcPr>
            <w:tcW w:w="582" w:type="dxa"/>
          </w:tcPr>
          <w:p>
            <w:pPr>
              <w:pStyle w:val="TableParagraph"/>
              <w:rPr>
                <w:rFonts w:ascii="Times New Roman"/>
                <w:sz w:val="16"/>
              </w:rPr>
            </w:pPr>
          </w:p>
        </w:tc>
        <w:tc>
          <w:tcPr>
            <w:tcW w:w="819" w:type="dxa"/>
            <w:tcBorders>
              <w:right w:val="single" w:sz="4" w:space="0" w:color="000000"/>
            </w:tcBorders>
          </w:tcPr>
          <w:p>
            <w:pPr>
              <w:pStyle w:val="TableParagraph"/>
              <w:spacing w:before="57"/>
              <w:ind w:right="145"/>
              <w:jc w:val="right"/>
              <w:rPr>
                <w:sz w:val="16"/>
              </w:rPr>
            </w:pPr>
            <w:r>
              <w:rPr>
                <w:sz w:val="16"/>
              </w:rPr>
              <w:t>1.5</w:t>
            </w:r>
          </w:p>
        </w:tc>
      </w:tr>
      <w:tr>
        <w:trPr>
          <w:trHeight w:val="319" w:hRule="atLeast"/>
        </w:trPr>
        <w:tc>
          <w:tcPr>
            <w:tcW w:w="656" w:type="dxa"/>
            <w:tcBorders>
              <w:left w:val="single" w:sz="4" w:space="0" w:color="000000"/>
            </w:tcBorders>
          </w:tcPr>
          <w:p>
            <w:pPr>
              <w:pStyle w:val="TableParagraph"/>
              <w:rPr>
                <w:rFonts w:ascii="Times New Roman"/>
                <w:sz w:val="16"/>
              </w:rPr>
            </w:pPr>
          </w:p>
        </w:tc>
        <w:tc>
          <w:tcPr>
            <w:tcW w:w="595" w:type="dxa"/>
          </w:tcPr>
          <w:p>
            <w:pPr>
              <w:pStyle w:val="TableParagraph"/>
              <w:rPr>
                <w:rFonts w:ascii="Times New Roman"/>
                <w:sz w:val="16"/>
              </w:rPr>
            </w:pPr>
          </w:p>
        </w:tc>
        <w:tc>
          <w:tcPr>
            <w:tcW w:w="456" w:type="dxa"/>
          </w:tcPr>
          <w:p>
            <w:pPr>
              <w:pStyle w:val="TableParagraph"/>
              <w:rPr>
                <w:rFonts w:ascii="Times New Roman"/>
                <w:sz w:val="16"/>
              </w:rPr>
            </w:pPr>
          </w:p>
        </w:tc>
        <w:tc>
          <w:tcPr>
            <w:tcW w:w="1040" w:type="dxa"/>
          </w:tcPr>
          <w:p>
            <w:pPr>
              <w:pStyle w:val="TableParagraph"/>
              <w:rPr>
                <w:rFonts w:ascii="Times New Roman"/>
                <w:sz w:val="16"/>
              </w:rPr>
            </w:pPr>
          </w:p>
        </w:tc>
        <w:tc>
          <w:tcPr>
            <w:tcW w:w="1040" w:type="dxa"/>
          </w:tcPr>
          <w:p>
            <w:pPr>
              <w:pStyle w:val="TableParagraph"/>
              <w:rPr>
                <w:rFonts w:ascii="Times New Roman"/>
                <w:sz w:val="16"/>
              </w:rPr>
            </w:pPr>
          </w:p>
        </w:tc>
        <w:tc>
          <w:tcPr>
            <w:tcW w:w="520" w:type="dxa"/>
          </w:tcPr>
          <w:p>
            <w:pPr>
              <w:pStyle w:val="TableParagraph"/>
              <w:rPr>
                <w:rFonts w:ascii="Times New Roman"/>
                <w:sz w:val="16"/>
              </w:rPr>
            </w:pPr>
          </w:p>
        </w:tc>
        <w:tc>
          <w:tcPr>
            <w:tcW w:w="520" w:type="dxa"/>
          </w:tcPr>
          <w:p>
            <w:pPr>
              <w:pStyle w:val="TableParagraph"/>
              <w:rPr>
                <w:rFonts w:ascii="Times New Roman"/>
                <w:sz w:val="16"/>
              </w:rPr>
            </w:pPr>
          </w:p>
        </w:tc>
        <w:tc>
          <w:tcPr>
            <w:tcW w:w="765" w:type="dxa"/>
            <w:tcBorders>
              <w:right w:val="single" w:sz="4" w:space="0" w:color="000000"/>
            </w:tcBorders>
          </w:tcPr>
          <w:p>
            <w:pPr>
              <w:pStyle w:val="TableParagraph"/>
              <w:spacing w:before="74"/>
              <w:ind w:right="128"/>
              <w:jc w:val="right"/>
              <w:rPr>
                <w:sz w:val="16"/>
              </w:rPr>
            </w:pPr>
            <w:r>
              <w:rPr>
                <w:sz w:val="16"/>
              </w:rPr>
              <w:t>1.0</w:t>
            </w:r>
          </w:p>
        </w:tc>
        <w:tc>
          <w:tcPr>
            <w:tcW w:w="695" w:type="dxa"/>
            <w:tcBorders>
              <w:left w:val="single" w:sz="4" w:space="0" w:color="000000"/>
            </w:tcBorders>
          </w:tcPr>
          <w:p>
            <w:pPr>
              <w:pStyle w:val="TableParagraph"/>
              <w:rPr>
                <w:rFonts w:ascii="Times New Roman"/>
                <w:sz w:val="16"/>
              </w:rPr>
            </w:pPr>
          </w:p>
        </w:tc>
        <w:tc>
          <w:tcPr>
            <w:tcW w:w="657" w:type="dxa"/>
          </w:tcPr>
          <w:p>
            <w:pPr>
              <w:pStyle w:val="TableParagraph"/>
              <w:rPr>
                <w:rFonts w:ascii="Times New Roman"/>
                <w:sz w:val="16"/>
              </w:rPr>
            </w:pPr>
          </w:p>
        </w:tc>
        <w:tc>
          <w:tcPr>
            <w:tcW w:w="510" w:type="dxa"/>
          </w:tcPr>
          <w:p>
            <w:pPr>
              <w:pStyle w:val="TableParagraph"/>
              <w:rPr>
                <w:rFonts w:ascii="Times New Roman"/>
                <w:sz w:val="16"/>
              </w:rPr>
            </w:pPr>
          </w:p>
        </w:tc>
        <w:tc>
          <w:tcPr>
            <w:tcW w:w="665" w:type="dxa"/>
          </w:tcPr>
          <w:p>
            <w:pPr>
              <w:pStyle w:val="TableParagraph"/>
              <w:rPr>
                <w:rFonts w:ascii="Times New Roman"/>
                <w:sz w:val="16"/>
              </w:rPr>
            </w:pPr>
          </w:p>
        </w:tc>
        <w:tc>
          <w:tcPr>
            <w:tcW w:w="498" w:type="dxa"/>
          </w:tcPr>
          <w:p>
            <w:pPr>
              <w:pStyle w:val="TableParagraph"/>
              <w:rPr>
                <w:rFonts w:ascii="Times New Roman"/>
                <w:sz w:val="16"/>
              </w:rPr>
            </w:pPr>
          </w:p>
        </w:tc>
        <w:tc>
          <w:tcPr>
            <w:tcW w:w="676" w:type="dxa"/>
          </w:tcPr>
          <w:p>
            <w:pPr>
              <w:pStyle w:val="TableParagraph"/>
              <w:rPr>
                <w:rFonts w:ascii="Times New Roman"/>
                <w:sz w:val="16"/>
              </w:rPr>
            </w:pPr>
          </w:p>
        </w:tc>
        <w:tc>
          <w:tcPr>
            <w:tcW w:w="487" w:type="dxa"/>
          </w:tcPr>
          <w:p>
            <w:pPr>
              <w:pStyle w:val="TableParagraph"/>
              <w:rPr>
                <w:rFonts w:ascii="Times New Roman"/>
                <w:sz w:val="16"/>
              </w:rPr>
            </w:pPr>
          </w:p>
        </w:tc>
        <w:tc>
          <w:tcPr>
            <w:tcW w:w="582" w:type="dxa"/>
          </w:tcPr>
          <w:p>
            <w:pPr>
              <w:pStyle w:val="TableParagraph"/>
              <w:rPr>
                <w:rFonts w:ascii="Times New Roman"/>
                <w:sz w:val="16"/>
              </w:rPr>
            </w:pPr>
          </w:p>
        </w:tc>
        <w:tc>
          <w:tcPr>
            <w:tcW w:w="819" w:type="dxa"/>
            <w:tcBorders>
              <w:right w:val="single" w:sz="4" w:space="0" w:color="000000"/>
            </w:tcBorders>
          </w:tcPr>
          <w:p>
            <w:pPr>
              <w:pStyle w:val="TableParagraph"/>
              <w:spacing w:before="57"/>
              <w:ind w:right="145"/>
              <w:jc w:val="right"/>
              <w:rPr>
                <w:sz w:val="16"/>
              </w:rPr>
            </w:pPr>
            <w:r>
              <w:rPr>
                <w:sz w:val="16"/>
              </w:rPr>
              <w:t>1.0</w:t>
            </w:r>
          </w:p>
        </w:tc>
      </w:tr>
      <w:tr>
        <w:trPr>
          <w:trHeight w:val="319" w:hRule="atLeast"/>
        </w:trPr>
        <w:tc>
          <w:tcPr>
            <w:tcW w:w="656" w:type="dxa"/>
            <w:tcBorders>
              <w:left w:val="single" w:sz="4" w:space="0" w:color="000000"/>
            </w:tcBorders>
          </w:tcPr>
          <w:p>
            <w:pPr>
              <w:pStyle w:val="TableParagraph"/>
              <w:rPr>
                <w:rFonts w:ascii="Times New Roman"/>
                <w:sz w:val="16"/>
              </w:rPr>
            </w:pPr>
          </w:p>
        </w:tc>
        <w:tc>
          <w:tcPr>
            <w:tcW w:w="595" w:type="dxa"/>
          </w:tcPr>
          <w:p>
            <w:pPr>
              <w:pStyle w:val="TableParagraph"/>
              <w:rPr>
                <w:rFonts w:ascii="Times New Roman"/>
                <w:sz w:val="16"/>
              </w:rPr>
            </w:pPr>
          </w:p>
        </w:tc>
        <w:tc>
          <w:tcPr>
            <w:tcW w:w="456" w:type="dxa"/>
          </w:tcPr>
          <w:p>
            <w:pPr>
              <w:pStyle w:val="TableParagraph"/>
              <w:rPr>
                <w:rFonts w:ascii="Times New Roman"/>
                <w:sz w:val="16"/>
              </w:rPr>
            </w:pPr>
          </w:p>
        </w:tc>
        <w:tc>
          <w:tcPr>
            <w:tcW w:w="1040" w:type="dxa"/>
          </w:tcPr>
          <w:p>
            <w:pPr>
              <w:pStyle w:val="TableParagraph"/>
              <w:rPr>
                <w:rFonts w:ascii="Times New Roman"/>
                <w:sz w:val="16"/>
              </w:rPr>
            </w:pPr>
          </w:p>
        </w:tc>
        <w:tc>
          <w:tcPr>
            <w:tcW w:w="1040" w:type="dxa"/>
          </w:tcPr>
          <w:p>
            <w:pPr>
              <w:pStyle w:val="TableParagraph"/>
              <w:rPr>
                <w:rFonts w:ascii="Times New Roman"/>
                <w:sz w:val="16"/>
              </w:rPr>
            </w:pPr>
          </w:p>
        </w:tc>
        <w:tc>
          <w:tcPr>
            <w:tcW w:w="520" w:type="dxa"/>
          </w:tcPr>
          <w:p>
            <w:pPr>
              <w:pStyle w:val="TableParagraph"/>
              <w:rPr>
                <w:rFonts w:ascii="Times New Roman"/>
                <w:sz w:val="16"/>
              </w:rPr>
            </w:pPr>
          </w:p>
        </w:tc>
        <w:tc>
          <w:tcPr>
            <w:tcW w:w="520" w:type="dxa"/>
          </w:tcPr>
          <w:p>
            <w:pPr>
              <w:pStyle w:val="TableParagraph"/>
              <w:rPr>
                <w:rFonts w:ascii="Times New Roman"/>
                <w:sz w:val="16"/>
              </w:rPr>
            </w:pPr>
          </w:p>
        </w:tc>
        <w:tc>
          <w:tcPr>
            <w:tcW w:w="765" w:type="dxa"/>
            <w:tcBorders>
              <w:right w:val="single" w:sz="4" w:space="0" w:color="000000"/>
            </w:tcBorders>
          </w:tcPr>
          <w:p>
            <w:pPr>
              <w:pStyle w:val="TableParagraph"/>
              <w:spacing w:before="75"/>
              <w:ind w:right="128"/>
              <w:jc w:val="right"/>
              <w:rPr>
                <w:sz w:val="16"/>
              </w:rPr>
            </w:pPr>
            <w:r>
              <w:rPr>
                <w:sz w:val="16"/>
              </w:rPr>
              <w:t>0.5</w:t>
            </w:r>
          </w:p>
        </w:tc>
        <w:tc>
          <w:tcPr>
            <w:tcW w:w="695" w:type="dxa"/>
            <w:tcBorders>
              <w:left w:val="single" w:sz="4" w:space="0" w:color="000000"/>
            </w:tcBorders>
          </w:tcPr>
          <w:p>
            <w:pPr>
              <w:pStyle w:val="TableParagraph"/>
              <w:rPr>
                <w:rFonts w:ascii="Times New Roman"/>
                <w:sz w:val="16"/>
              </w:rPr>
            </w:pPr>
          </w:p>
        </w:tc>
        <w:tc>
          <w:tcPr>
            <w:tcW w:w="657" w:type="dxa"/>
          </w:tcPr>
          <w:p>
            <w:pPr>
              <w:pStyle w:val="TableParagraph"/>
              <w:rPr>
                <w:rFonts w:ascii="Times New Roman"/>
                <w:sz w:val="16"/>
              </w:rPr>
            </w:pPr>
          </w:p>
        </w:tc>
        <w:tc>
          <w:tcPr>
            <w:tcW w:w="510" w:type="dxa"/>
          </w:tcPr>
          <w:p>
            <w:pPr>
              <w:pStyle w:val="TableParagraph"/>
              <w:rPr>
                <w:rFonts w:ascii="Times New Roman"/>
                <w:sz w:val="16"/>
              </w:rPr>
            </w:pPr>
          </w:p>
        </w:tc>
        <w:tc>
          <w:tcPr>
            <w:tcW w:w="665" w:type="dxa"/>
          </w:tcPr>
          <w:p>
            <w:pPr>
              <w:pStyle w:val="TableParagraph"/>
              <w:rPr>
                <w:rFonts w:ascii="Times New Roman"/>
                <w:sz w:val="16"/>
              </w:rPr>
            </w:pPr>
          </w:p>
        </w:tc>
        <w:tc>
          <w:tcPr>
            <w:tcW w:w="498" w:type="dxa"/>
          </w:tcPr>
          <w:p>
            <w:pPr>
              <w:pStyle w:val="TableParagraph"/>
              <w:rPr>
                <w:rFonts w:ascii="Times New Roman"/>
                <w:sz w:val="16"/>
              </w:rPr>
            </w:pPr>
          </w:p>
        </w:tc>
        <w:tc>
          <w:tcPr>
            <w:tcW w:w="676" w:type="dxa"/>
          </w:tcPr>
          <w:p>
            <w:pPr>
              <w:pStyle w:val="TableParagraph"/>
              <w:rPr>
                <w:rFonts w:ascii="Times New Roman"/>
                <w:sz w:val="16"/>
              </w:rPr>
            </w:pPr>
          </w:p>
        </w:tc>
        <w:tc>
          <w:tcPr>
            <w:tcW w:w="487" w:type="dxa"/>
          </w:tcPr>
          <w:p>
            <w:pPr>
              <w:pStyle w:val="TableParagraph"/>
              <w:rPr>
                <w:rFonts w:ascii="Times New Roman"/>
                <w:sz w:val="16"/>
              </w:rPr>
            </w:pPr>
          </w:p>
        </w:tc>
        <w:tc>
          <w:tcPr>
            <w:tcW w:w="582" w:type="dxa"/>
          </w:tcPr>
          <w:p>
            <w:pPr>
              <w:pStyle w:val="TableParagraph"/>
              <w:rPr>
                <w:rFonts w:ascii="Times New Roman"/>
                <w:sz w:val="16"/>
              </w:rPr>
            </w:pPr>
          </w:p>
        </w:tc>
        <w:tc>
          <w:tcPr>
            <w:tcW w:w="819" w:type="dxa"/>
            <w:tcBorders>
              <w:right w:val="single" w:sz="4" w:space="0" w:color="000000"/>
            </w:tcBorders>
          </w:tcPr>
          <w:p>
            <w:pPr>
              <w:pStyle w:val="TableParagraph"/>
              <w:spacing w:before="56"/>
              <w:ind w:right="145"/>
              <w:jc w:val="right"/>
              <w:rPr>
                <w:sz w:val="16"/>
              </w:rPr>
            </w:pPr>
            <w:r>
              <w:rPr>
                <w:sz w:val="16"/>
              </w:rPr>
              <w:t>0.5</w:t>
            </w:r>
          </w:p>
        </w:tc>
      </w:tr>
      <w:tr>
        <w:trPr>
          <w:trHeight w:val="255" w:hRule="atLeast"/>
        </w:trPr>
        <w:tc>
          <w:tcPr>
            <w:tcW w:w="656" w:type="dxa"/>
            <w:tcBorders>
              <w:left w:val="single" w:sz="4" w:space="0" w:color="000000"/>
            </w:tcBorders>
          </w:tcPr>
          <w:p>
            <w:pPr>
              <w:pStyle w:val="TableParagraph"/>
              <w:rPr>
                <w:rFonts w:ascii="Times New Roman"/>
                <w:sz w:val="16"/>
              </w:rPr>
            </w:pPr>
          </w:p>
        </w:tc>
        <w:tc>
          <w:tcPr>
            <w:tcW w:w="595" w:type="dxa"/>
          </w:tcPr>
          <w:p>
            <w:pPr>
              <w:pStyle w:val="TableParagraph"/>
              <w:rPr>
                <w:rFonts w:ascii="Times New Roman"/>
                <w:sz w:val="16"/>
              </w:rPr>
            </w:pPr>
          </w:p>
        </w:tc>
        <w:tc>
          <w:tcPr>
            <w:tcW w:w="456" w:type="dxa"/>
          </w:tcPr>
          <w:p>
            <w:pPr>
              <w:pStyle w:val="TableParagraph"/>
              <w:rPr>
                <w:rFonts w:ascii="Times New Roman"/>
                <w:sz w:val="16"/>
              </w:rPr>
            </w:pPr>
          </w:p>
        </w:tc>
        <w:tc>
          <w:tcPr>
            <w:tcW w:w="1040" w:type="dxa"/>
          </w:tcPr>
          <w:p>
            <w:pPr>
              <w:pStyle w:val="TableParagraph"/>
              <w:rPr>
                <w:rFonts w:ascii="Times New Roman"/>
                <w:sz w:val="16"/>
              </w:rPr>
            </w:pPr>
          </w:p>
        </w:tc>
        <w:tc>
          <w:tcPr>
            <w:tcW w:w="1040" w:type="dxa"/>
          </w:tcPr>
          <w:p>
            <w:pPr>
              <w:pStyle w:val="TableParagraph"/>
              <w:rPr>
                <w:rFonts w:ascii="Times New Roman"/>
                <w:sz w:val="16"/>
              </w:rPr>
            </w:pPr>
          </w:p>
        </w:tc>
        <w:tc>
          <w:tcPr>
            <w:tcW w:w="520" w:type="dxa"/>
          </w:tcPr>
          <w:p>
            <w:pPr>
              <w:pStyle w:val="TableParagraph"/>
              <w:rPr>
                <w:rFonts w:ascii="Times New Roman"/>
                <w:sz w:val="16"/>
              </w:rPr>
            </w:pPr>
          </w:p>
        </w:tc>
        <w:tc>
          <w:tcPr>
            <w:tcW w:w="520" w:type="dxa"/>
          </w:tcPr>
          <w:p>
            <w:pPr>
              <w:pStyle w:val="TableParagraph"/>
              <w:rPr>
                <w:rFonts w:ascii="Times New Roman"/>
                <w:sz w:val="16"/>
              </w:rPr>
            </w:pPr>
          </w:p>
        </w:tc>
        <w:tc>
          <w:tcPr>
            <w:tcW w:w="765" w:type="dxa"/>
            <w:tcBorders>
              <w:right w:val="single" w:sz="4" w:space="0" w:color="000000"/>
            </w:tcBorders>
          </w:tcPr>
          <w:p>
            <w:pPr>
              <w:pStyle w:val="TableParagraph"/>
              <w:spacing w:line="160" w:lineRule="exact" w:before="75"/>
              <w:ind w:right="128"/>
              <w:jc w:val="right"/>
              <w:rPr>
                <w:sz w:val="16"/>
              </w:rPr>
            </w:pPr>
            <w:r>
              <w:rPr>
                <w:sz w:val="16"/>
              </w:rPr>
              <w:t>0.0</w:t>
            </w:r>
          </w:p>
        </w:tc>
        <w:tc>
          <w:tcPr>
            <w:tcW w:w="695" w:type="dxa"/>
            <w:tcBorders>
              <w:left w:val="single" w:sz="4" w:space="0" w:color="000000"/>
            </w:tcBorders>
          </w:tcPr>
          <w:p>
            <w:pPr>
              <w:pStyle w:val="TableParagraph"/>
              <w:rPr>
                <w:rFonts w:ascii="Times New Roman"/>
                <w:sz w:val="16"/>
              </w:rPr>
            </w:pPr>
          </w:p>
        </w:tc>
        <w:tc>
          <w:tcPr>
            <w:tcW w:w="657" w:type="dxa"/>
          </w:tcPr>
          <w:p>
            <w:pPr>
              <w:pStyle w:val="TableParagraph"/>
              <w:rPr>
                <w:rFonts w:ascii="Times New Roman"/>
                <w:sz w:val="16"/>
              </w:rPr>
            </w:pPr>
          </w:p>
        </w:tc>
        <w:tc>
          <w:tcPr>
            <w:tcW w:w="510" w:type="dxa"/>
          </w:tcPr>
          <w:p>
            <w:pPr>
              <w:pStyle w:val="TableParagraph"/>
              <w:rPr>
                <w:rFonts w:ascii="Times New Roman"/>
                <w:sz w:val="16"/>
              </w:rPr>
            </w:pPr>
          </w:p>
        </w:tc>
        <w:tc>
          <w:tcPr>
            <w:tcW w:w="665" w:type="dxa"/>
          </w:tcPr>
          <w:p>
            <w:pPr>
              <w:pStyle w:val="TableParagraph"/>
              <w:rPr>
                <w:rFonts w:ascii="Times New Roman"/>
                <w:sz w:val="16"/>
              </w:rPr>
            </w:pPr>
          </w:p>
        </w:tc>
        <w:tc>
          <w:tcPr>
            <w:tcW w:w="498" w:type="dxa"/>
          </w:tcPr>
          <w:p>
            <w:pPr>
              <w:pStyle w:val="TableParagraph"/>
              <w:rPr>
                <w:rFonts w:ascii="Times New Roman"/>
                <w:sz w:val="16"/>
              </w:rPr>
            </w:pPr>
          </w:p>
        </w:tc>
        <w:tc>
          <w:tcPr>
            <w:tcW w:w="676" w:type="dxa"/>
          </w:tcPr>
          <w:p>
            <w:pPr>
              <w:pStyle w:val="TableParagraph"/>
              <w:rPr>
                <w:rFonts w:ascii="Times New Roman"/>
                <w:sz w:val="16"/>
              </w:rPr>
            </w:pPr>
          </w:p>
        </w:tc>
        <w:tc>
          <w:tcPr>
            <w:tcW w:w="487" w:type="dxa"/>
          </w:tcPr>
          <w:p>
            <w:pPr>
              <w:pStyle w:val="TableParagraph"/>
              <w:rPr>
                <w:rFonts w:ascii="Times New Roman"/>
                <w:sz w:val="16"/>
              </w:rPr>
            </w:pPr>
          </w:p>
        </w:tc>
        <w:tc>
          <w:tcPr>
            <w:tcW w:w="582" w:type="dxa"/>
          </w:tcPr>
          <w:p>
            <w:pPr>
              <w:pStyle w:val="TableParagraph"/>
              <w:rPr>
                <w:rFonts w:ascii="Times New Roman"/>
                <w:sz w:val="16"/>
              </w:rPr>
            </w:pPr>
          </w:p>
        </w:tc>
        <w:tc>
          <w:tcPr>
            <w:tcW w:w="819" w:type="dxa"/>
            <w:tcBorders>
              <w:right w:val="single" w:sz="4" w:space="0" w:color="000000"/>
            </w:tcBorders>
          </w:tcPr>
          <w:p>
            <w:pPr>
              <w:pStyle w:val="TableParagraph"/>
              <w:spacing w:line="180" w:lineRule="exact" w:before="55"/>
              <w:ind w:right="145"/>
              <w:jc w:val="right"/>
              <w:rPr>
                <w:sz w:val="16"/>
              </w:rPr>
            </w:pPr>
            <w:r>
              <w:rPr>
                <w:sz w:val="16"/>
              </w:rPr>
              <w:t>0.0</w:t>
            </w:r>
          </w:p>
        </w:tc>
      </w:tr>
      <w:tr>
        <w:trPr>
          <w:trHeight w:val="262" w:hRule="atLeast"/>
        </w:trPr>
        <w:tc>
          <w:tcPr>
            <w:tcW w:w="656" w:type="dxa"/>
            <w:tcBorders>
              <w:left w:val="single" w:sz="4" w:space="0" w:color="000000"/>
              <w:bottom w:val="single" w:sz="4" w:space="0" w:color="000000"/>
            </w:tcBorders>
          </w:tcPr>
          <w:p>
            <w:pPr>
              <w:pStyle w:val="TableParagraph"/>
              <w:spacing w:before="11"/>
              <w:ind w:left="230"/>
              <w:rPr>
                <w:sz w:val="16"/>
              </w:rPr>
            </w:pPr>
            <w:r>
              <w:rPr>
                <w:sz w:val="16"/>
              </w:rPr>
              <w:t>2010</w:t>
            </w:r>
          </w:p>
        </w:tc>
        <w:tc>
          <w:tcPr>
            <w:tcW w:w="595" w:type="dxa"/>
            <w:tcBorders>
              <w:bottom w:val="single" w:sz="4" w:space="0" w:color="000000"/>
            </w:tcBorders>
          </w:tcPr>
          <w:p>
            <w:pPr>
              <w:pStyle w:val="TableParagraph"/>
              <w:spacing w:before="11"/>
              <w:ind w:left="99"/>
              <w:rPr>
                <w:sz w:val="16"/>
              </w:rPr>
            </w:pPr>
            <w:r>
              <w:rPr>
                <w:sz w:val="16"/>
              </w:rPr>
              <w:t>2011</w:t>
            </w:r>
          </w:p>
        </w:tc>
        <w:tc>
          <w:tcPr>
            <w:tcW w:w="456" w:type="dxa"/>
            <w:tcBorders>
              <w:bottom w:val="single" w:sz="4" w:space="0" w:color="000000"/>
            </w:tcBorders>
          </w:tcPr>
          <w:p>
            <w:pPr>
              <w:pStyle w:val="TableParagraph"/>
              <w:spacing w:before="11"/>
              <w:ind w:left="24"/>
              <w:rPr>
                <w:sz w:val="16"/>
              </w:rPr>
            </w:pPr>
            <w:r>
              <w:rPr>
                <w:sz w:val="16"/>
              </w:rPr>
              <w:t>2012</w:t>
            </w:r>
          </w:p>
        </w:tc>
        <w:tc>
          <w:tcPr>
            <w:tcW w:w="1040" w:type="dxa"/>
            <w:tcBorders>
              <w:bottom w:val="single" w:sz="4" w:space="0" w:color="000000"/>
            </w:tcBorders>
          </w:tcPr>
          <w:p>
            <w:pPr>
              <w:pStyle w:val="TableParagraph"/>
              <w:spacing w:before="11"/>
              <w:ind w:left="127" w:right="115"/>
              <w:jc w:val="center"/>
              <w:rPr>
                <w:sz w:val="16"/>
              </w:rPr>
            </w:pPr>
            <w:r>
              <w:rPr>
                <w:sz w:val="16"/>
              </w:rPr>
              <w:t>2013 2014</w:t>
            </w:r>
          </w:p>
        </w:tc>
        <w:tc>
          <w:tcPr>
            <w:tcW w:w="1040" w:type="dxa"/>
            <w:tcBorders>
              <w:bottom w:val="single" w:sz="4" w:space="0" w:color="000000"/>
            </w:tcBorders>
          </w:tcPr>
          <w:p>
            <w:pPr>
              <w:pStyle w:val="TableParagraph"/>
              <w:spacing w:before="11"/>
              <w:ind w:right="73"/>
              <w:jc w:val="right"/>
              <w:rPr>
                <w:sz w:val="16"/>
              </w:rPr>
            </w:pPr>
            <w:r>
              <w:rPr>
                <w:sz w:val="16"/>
              </w:rPr>
              <w:t>2015 2016</w:t>
            </w:r>
          </w:p>
        </w:tc>
        <w:tc>
          <w:tcPr>
            <w:tcW w:w="520" w:type="dxa"/>
            <w:tcBorders>
              <w:bottom w:val="single" w:sz="4" w:space="0" w:color="000000"/>
            </w:tcBorders>
          </w:tcPr>
          <w:p>
            <w:pPr>
              <w:pStyle w:val="TableParagraph"/>
              <w:spacing w:before="11"/>
              <w:ind w:left="90"/>
              <w:rPr>
                <w:sz w:val="16"/>
              </w:rPr>
            </w:pPr>
            <w:r>
              <w:rPr>
                <w:sz w:val="16"/>
              </w:rPr>
              <w:t>2017</w:t>
            </w:r>
          </w:p>
        </w:tc>
        <w:tc>
          <w:tcPr>
            <w:tcW w:w="520" w:type="dxa"/>
            <w:tcBorders>
              <w:bottom w:val="single" w:sz="4" w:space="0" w:color="000000"/>
            </w:tcBorders>
          </w:tcPr>
          <w:p>
            <w:pPr>
              <w:pStyle w:val="TableParagraph"/>
              <w:spacing w:before="11"/>
              <w:ind w:left="90"/>
              <w:rPr>
                <w:sz w:val="16"/>
              </w:rPr>
            </w:pPr>
            <w:r>
              <w:rPr>
                <w:sz w:val="16"/>
              </w:rPr>
              <w:t>2018</w:t>
            </w:r>
          </w:p>
        </w:tc>
        <w:tc>
          <w:tcPr>
            <w:tcW w:w="765" w:type="dxa"/>
            <w:tcBorders>
              <w:bottom w:val="single" w:sz="4" w:space="0" w:color="000000"/>
              <w:right w:val="single" w:sz="4" w:space="0" w:color="000000"/>
            </w:tcBorders>
          </w:tcPr>
          <w:p>
            <w:pPr>
              <w:pStyle w:val="TableParagraph"/>
              <w:spacing w:before="11"/>
              <w:ind w:left="90"/>
              <w:rPr>
                <w:sz w:val="16"/>
              </w:rPr>
            </w:pPr>
            <w:r>
              <w:rPr>
                <w:sz w:val="16"/>
              </w:rPr>
              <w:t>2019</w:t>
            </w:r>
          </w:p>
        </w:tc>
        <w:tc>
          <w:tcPr>
            <w:tcW w:w="695" w:type="dxa"/>
            <w:tcBorders>
              <w:left w:val="single" w:sz="4" w:space="0" w:color="000000"/>
              <w:bottom w:val="single" w:sz="4" w:space="0" w:color="000000"/>
            </w:tcBorders>
          </w:tcPr>
          <w:p>
            <w:pPr>
              <w:pStyle w:val="TableParagraph"/>
              <w:spacing w:line="175" w:lineRule="exact"/>
              <w:ind w:left="233"/>
              <w:rPr>
                <w:sz w:val="16"/>
              </w:rPr>
            </w:pPr>
            <w:r>
              <w:rPr>
                <w:sz w:val="16"/>
              </w:rPr>
              <w:t>2010</w:t>
            </w:r>
          </w:p>
        </w:tc>
        <w:tc>
          <w:tcPr>
            <w:tcW w:w="657" w:type="dxa"/>
            <w:tcBorders>
              <w:bottom w:val="single" w:sz="4" w:space="0" w:color="000000"/>
            </w:tcBorders>
          </w:tcPr>
          <w:p>
            <w:pPr>
              <w:pStyle w:val="TableParagraph"/>
              <w:spacing w:line="175" w:lineRule="exact"/>
              <w:ind w:left="125"/>
              <w:rPr>
                <w:sz w:val="16"/>
              </w:rPr>
            </w:pPr>
            <w:r>
              <w:rPr>
                <w:sz w:val="16"/>
              </w:rPr>
              <w:t>2011</w:t>
            </w:r>
          </w:p>
        </w:tc>
        <w:tc>
          <w:tcPr>
            <w:tcW w:w="510" w:type="dxa"/>
            <w:tcBorders>
              <w:bottom w:val="single" w:sz="4" w:space="0" w:color="000000"/>
            </w:tcBorders>
          </w:tcPr>
          <w:p>
            <w:pPr>
              <w:pStyle w:val="TableParagraph"/>
              <w:spacing w:line="175" w:lineRule="exact"/>
              <w:ind w:left="50"/>
              <w:rPr>
                <w:sz w:val="16"/>
              </w:rPr>
            </w:pPr>
            <w:r>
              <w:rPr>
                <w:sz w:val="16"/>
              </w:rPr>
              <w:t>2012</w:t>
            </w:r>
          </w:p>
        </w:tc>
        <w:tc>
          <w:tcPr>
            <w:tcW w:w="665" w:type="dxa"/>
            <w:tcBorders>
              <w:bottom w:val="single" w:sz="4" w:space="0" w:color="000000"/>
            </w:tcBorders>
          </w:tcPr>
          <w:p>
            <w:pPr>
              <w:pStyle w:val="TableParagraph"/>
              <w:spacing w:line="175" w:lineRule="exact"/>
              <w:ind w:left="123"/>
              <w:rPr>
                <w:sz w:val="16"/>
              </w:rPr>
            </w:pPr>
            <w:r>
              <w:rPr>
                <w:sz w:val="16"/>
              </w:rPr>
              <w:t>2013</w:t>
            </w:r>
          </w:p>
        </w:tc>
        <w:tc>
          <w:tcPr>
            <w:tcW w:w="498" w:type="dxa"/>
            <w:tcBorders>
              <w:bottom w:val="single" w:sz="4" w:space="0" w:color="000000"/>
            </w:tcBorders>
          </w:tcPr>
          <w:p>
            <w:pPr>
              <w:pStyle w:val="TableParagraph"/>
              <w:spacing w:line="175" w:lineRule="exact"/>
              <w:ind w:left="40"/>
              <w:rPr>
                <w:sz w:val="16"/>
              </w:rPr>
            </w:pPr>
            <w:r>
              <w:rPr>
                <w:sz w:val="16"/>
              </w:rPr>
              <w:t>2014</w:t>
            </w:r>
          </w:p>
        </w:tc>
        <w:tc>
          <w:tcPr>
            <w:tcW w:w="676" w:type="dxa"/>
            <w:tcBorders>
              <w:bottom w:val="single" w:sz="4" w:space="0" w:color="000000"/>
            </w:tcBorders>
          </w:tcPr>
          <w:p>
            <w:pPr>
              <w:pStyle w:val="TableParagraph"/>
              <w:spacing w:line="175" w:lineRule="exact"/>
              <w:ind w:left="125"/>
              <w:rPr>
                <w:sz w:val="16"/>
              </w:rPr>
            </w:pPr>
            <w:r>
              <w:rPr>
                <w:sz w:val="16"/>
              </w:rPr>
              <w:t>2015</w:t>
            </w:r>
          </w:p>
        </w:tc>
        <w:tc>
          <w:tcPr>
            <w:tcW w:w="487" w:type="dxa"/>
            <w:tcBorders>
              <w:bottom w:val="single" w:sz="4" w:space="0" w:color="000000"/>
            </w:tcBorders>
          </w:tcPr>
          <w:p>
            <w:pPr>
              <w:pStyle w:val="TableParagraph"/>
              <w:spacing w:line="175" w:lineRule="exact"/>
              <w:ind w:left="31"/>
              <w:rPr>
                <w:sz w:val="16"/>
              </w:rPr>
            </w:pPr>
            <w:r>
              <w:rPr>
                <w:sz w:val="16"/>
              </w:rPr>
              <w:t>2016</w:t>
            </w:r>
          </w:p>
        </w:tc>
        <w:tc>
          <w:tcPr>
            <w:tcW w:w="582" w:type="dxa"/>
            <w:tcBorders>
              <w:bottom w:val="single" w:sz="4" w:space="0" w:color="000000"/>
            </w:tcBorders>
          </w:tcPr>
          <w:p>
            <w:pPr>
              <w:pStyle w:val="TableParagraph"/>
              <w:spacing w:line="175" w:lineRule="exact"/>
              <w:ind w:left="127"/>
              <w:rPr>
                <w:sz w:val="16"/>
              </w:rPr>
            </w:pPr>
            <w:r>
              <w:rPr>
                <w:sz w:val="16"/>
              </w:rPr>
              <w:t>2017</w:t>
            </w:r>
          </w:p>
        </w:tc>
        <w:tc>
          <w:tcPr>
            <w:tcW w:w="819" w:type="dxa"/>
            <w:tcBorders>
              <w:bottom w:val="single" w:sz="4" w:space="0" w:color="000000"/>
              <w:right w:val="single" w:sz="4" w:space="0" w:color="000000"/>
            </w:tcBorders>
          </w:tcPr>
          <w:p>
            <w:pPr>
              <w:pStyle w:val="TableParagraph"/>
              <w:spacing w:line="175" w:lineRule="exact"/>
              <w:ind w:left="127"/>
              <w:rPr>
                <w:sz w:val="16"/>
              </w:rPr>
            </w:pPr>
            <w:r>
              <w:rPr>
                <w:sz w:val="16"/>
              </w:rPr>
              <w:t>2018</w:t>
            </w:r>
          </w:p>
        </w:tc>
      </w:tr>
      <w:tr>
        <w:trPr>
          <w:trHeight w:val="244" w:hRule="atLeast"/>
        </w:trPr>
        <w:tc>
          <w:tcPr>
            <w:tcW w:w="5592" w:type="dxa"/>
            <w:gridSpan w:val="8"/>
            <w:tcBorders>
              <w:top w:val="single" w:sz="4" w:space="0" w:color="000000"/>
              <w:left w:val="single" w:sz="4" w:space="0" w:color="000000"/>
              <w:bottom w:val="single" w:sz="4" w:space="0" w:color="000000"/>
              <w:right w:val="single" w:sz="4" w:space="0" w:color="000000"/>
            </w:tcBorders>
          </w:tcPr>
          <w:p>
            <w:pPr>
              <w:pStyle w:val="TableParagraph"/>
              <w:spacing w:before="37"/>
              <w:ind w:left="110"/>
              <w:rPr>
                <w:sz w:val="16"/>
              </w:rPr>
            </w:pPr>
            <w:r>
              <w:rPr>
                <w:sz w:val="16"/>
              </w:rPr>
              <w:t>Source: HMT Survey of External Forecasters</w:t>
            </w:r>
          </w:p>
        </w:tc>
        <w:tc>
          <w:tcPr>
            <w:tcW w:w="5589" w:type="dxa"/>
            <w:gridSpan w:val="9"/>
            <w:tcBorders>
              <w:top w:val="single" w:sz="4" w:space="0" w:color="000000"/>
              <w:left w:val="single" w:sz="4" w:space="0" w:color="000000"/>
              <w:bottom w:val="single" w:sz="4" w:space="0" w:color="000000"/>
              <w:right w:val="single" w:sz="4" w:space="0" w:color="000000"/>
            </w:tcBorders>
          </w:tcPr>
          <w:p>
            <w:pPr>
              <w:pStyle w:val="TableParagraph"/>
              <w:spacing w:before="37"/>
              <w:ind w:left="113"/>
              <w:rPr>
                <w:sz w:val="16"/>
              </w:rPr>
            </w:pPr>
            <w:r>
              <w:rPr>
                <w:sz w:val="16"/>
              </w:rPr>
              <w:t>Source: Philadelphia Fed, Survey of Professional Forecasters</w:t>
            </w:r>
          </w:p>
        </w:tc>
      </w:tr>
    </w:tbl>
    <w:sectPr>
      <w:footerReference w:type="default" r:id="rId18"/>
      <w:pgSz w:w="11910" w:h="16840"/>
      <w:pgMar w:footer="1334" w:header="0" w:top="1580" w:bottom="1520" w:left="240" w:right="240"/>
      <w:pgNumType w:start="1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564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4355456"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43544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206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31961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43.400002pt;margin-top:771.999451pt;width:466.9pt;height:13.15pt;mso-position-horizontal-relative:page;mso-position-vertical-relative:page;z-index:-2543185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4317568" type="#_x0000_t202" filled="false" stroked="false">
          <v:textbox inset="0,0,0,0">
            <w:txbxContent>
              <w:p>
                <w:pPr>
                  <w:pStyle w:val="BodyText"/>
                  <w:spacing w:before="12"/>
                  <w:ind w:left="20"/>
                </w:pPr>
                <w:r>
                  <w:rPr/>
                  <w:t>16</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165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31552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17</w:t>
                </w:r>
                <w:r>
                  <w:rPr/>
                  <w:fldChar w:fldCharType="end"/>
                </w:r>
              </w:p>
            </w:txbxContent>
          </v:textbox>
          <w10:wrap type="none"/>
        </v:shape>
      </w:pict>
    </w:r>
    <w:r>
      <w:rPr/>
      <w:pict>
        <v:shape style="position:absolute;margin-left:43.400002pt;margin-top:771.999451pt;width:466.9pt;height:13.15pt;mso-position-horizontal-relative:page;mso-position-vertical-relative:page;z-index:-2543144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4313472" type="#_x0000_t202" filled="false" stroked="false">
          <v:textbox inset="0,0,0,0">
            <w:txbxContent>
              <w:p>
                <w:pPr>
                  <w:pStyle w:val="BodyText"/>
                  <w:spacing w:before="12"/>
                  <w:ind w:left="20"/>
                </w:pPr>
                <w:r>
                  <w:rPr/>
                  <w:t>17</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124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31142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43.400002pt;margin-top:771.999451pt;width:466.9pt;height:13.15pt;mso-position-horizontal-relative:page;mso-position-vertical-relative:page;z-index:-2543104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4309376" type="#_x0000_t202" filled="false" stroked="false">
          <v:textbox inset="0,0,0,0">
            <w:txbxContent>
              <w:p>
                <w:pPr>
                  <w:pStyle w:val="BodyText"/>
                  <w:spacing w:before="12"/>
                  <w:ind w:left="20"/>
                </w:pPr>
                <w:r>
                  <w:rPr/>
                  <w:t>18</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534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352384"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43513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435033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493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348288"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466.9pt;height:13.15pt;mso-position-horizontal-relative:page;mso-position-vertical-relative:page;z-index:-2543472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4346240"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452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344192"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466.9pt;height:13.15pt;mso-position-horizontal-relative:page;mso-position-vertical-relative:page;z-index:-2543431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4342144"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411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340096"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466.9pt;height:13.15pt;mso-position-horizontal-relative:page;mso-position-vertical-relative:page;z-index:-2543390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4338048"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370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336000"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466.9pt;height:13.15pt;mso-position-horizontal-relative:page;mso-position-vertical-relative:page;z-index:-2543349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4333952"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329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331904"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466.9pt;height:13.15pt;mso-position-horizontal-relative:page;mso-position-vertical-relative:page;z-index:-2543308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4329856"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288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327808"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466.9pt;height:13.15pt;mso-position-horizontal-relative:page;mso-position-vertical-relative:page;z-index:-2543267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4325760"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247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43237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466.9pt;height:13.15pt;mso-position-horizontal-relative:page;mso-position-vertical-relative:page;z-index:-2543226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4321664"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973" w:hanging="72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2924" w:hanging="720"/>
      </w:pPr>
      <w:rPr>
        <w:rFonts w:hint="default"/>
        <w:lang w:val="en-gb" w:eastAsia="en-gb" w:bidi="en-gb"/>
      </w:rPr>
    </w:lvl>
    <w:lvl w:ilvl="2">
      <w:start w:val="0"/>
      <w:numFmt w:val="bullet"/>
      <w:lvlText w:val="•"/>
      <w:lvlJc w:val="left"/>
      <w:pPr>
        <w:ind w:left="3869" w:hanging="720"/>
      </w:pPr>
      <w:rPr>
        <w:rFonts w:hint="default"/>
        <w:lang w:val="en-gb" w:eastAsia="en-gb" w:bidi="en-gb"/>
      </w:rPr>
    </w:lvl>
    <w:lvl w:ilvl="3">
      <w:start w:val="0"/>
      <w:numFmt w:val="bullet"/>
      <w:lvlText w:val="•"/>
      <w:lvlJc w:val="left"/>
      <w:pPr>
        <w:ind w:left="4813" w:hanging="720"/>
      </w:pPr>
      <w:rPr>
        <w:rFonts w:hint="default"/>
        <w:lang w:val="en-gb" w:eastAsia="en-gb" w:bidi="en-gb"/>
      </w:rPr>
    </w:lvl>
    <w:lvl w:ilvl="4">
      <w:start w:val="0"/>
      <w:numFmt w:val="bullet"/>
      <w:lvlText w:val="•"/>
      <w:lvlJc w:val="left"/>
      <w:pPr>
        <w:ind w:left="5758" w:hanging="720"/>
      </w:pPr>
      <w:rPr>
        <w:rFonts w:hint="default"/>
        <w:lang w:val="en-gb" w:eastAsia="en-gb" w:bidi="en-gb"/>
      </w:rPr>
    </w:lvl>
    <w:lvl w:ilvl="5">
      <w:start w:val="0"/>
      <w:numFmt w:val="bullet"/>
      <w:lvlText w:val="•"/>
      <w:lvlJc w:val="left"/>
      <w:pPr>
        <w:ind w:left="6703" w:hanging="720"/>
      </w:pPr>
      <w:rPr>
        <w:rFonts w:hint="default"/>
        <w:lang w:val="en-gb" w:eastAsia="en-gb" w:bidi="en-gb"/>
      </w:rPr>
    </w:lvl>
    <w:lvl w:ilvl="6">
      <w:start w:val="0"/>
      <w:numFmt w:val="bullet"/>
      <w:lvlText w:val="•"/>
      <w:lvlJc w:val="left"/>
      <w:pPr>
        <w:ind w:left="7647" w:hanging="720"/>
      </w:pPr>
      <w:rPr>
        <w:rFonts w:hint="default"/>
        <w:lang w:val="en-gb" w:eastAsia="en-gb" w:bidi="en-gb"/>
      </w:rPr>
    </w:lvl>
    <w:lvl w:ilvl="7">
      <w:start w:val="0"/>
      <w:numFmt w:val="bullet"/>
      <w:lvlText w:val="•"/>
      <w:lvlJc w:val="left"/>
      <w:pPr>
        <w:ind w:left="8592" w:hanging="720"/>
      </w:pPr>
      <w:rPr>
        <w:rFonts w:hint="default"/>
        <w:lang w:val="en-gb" w:eastAsia="en-gb" w:bidi="en-gb"/>
      </w:rPr>
    </w:lvl>
    <w:lvl w:ilvl="8">
      <w:start w:val="0"/>
      <w:numFmt w:val="bullet"/>
      <w:lvlText w:val="•"/>
      <w:lvlJc w:val="left"/>
      <w:pPr>
        <w:ind w:left="9537" w:hanging="72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ind w:left="1973" w:hanging="721"/>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image" Target="media/image2.jpeg"/><Relationship Id="rId18" Type="http://schemas.openxmlformats.org/officeDocument/2006/relationships/footer" Target="footer12.xml"/><Relationship Id="rId1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Gertjan Vlieghe at the LSE 18 January 2016</dc:subject>
  <dc:title>Debt, Demographics and the Distribution of Income: New challenges for monetary policy</dc:title>
  <dcterms:created xsi:type="dcterms:W3CDTF">2020-06-02T17:23:28Z</dcterms:created>
  <dcterms:modified xsi:type="dcterms:W3CDTF">2020-06-02T17:23:28Z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2016-02-23T00:00:00Z</vt:filetime>
  </property>
  <property fmtid="{D5CDD505-2E9C-101B-9397-08002B2CF9AE}" pid="3" name="LastSaved">
    <vt:filetime>2020-06-02T00:00:00Z</vt:filetime>
  </property>
</Properties>
</file>