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Economic Imbalance and UK Monetary Policy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Christopher Allsopp,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120"/>
        <w:rPr>
          <w:rFonts w:ascii="Arial"/>
        </w:rPr>
      </w:pPr>
      <w:r>
        <w:rPr>
          <w:rFonts w:ascii="Arial"/>
        </w:rPr>
        <w:t>Delivered in the Scott Policy Seminar Series of the Northern Ireland Economic Research Centre (NIERC)</w:t>
      </w:r>
    </w:p>
    <w:p>
      <w:pPr>
        <w:pStyle w:val="BodyText"/>
        <w:spacing w:before="1"/>
        <w:ind w:left="352"/>
        <w:rPr>
          <w:rFonts w:ascii="Arial"/>
        </w:rPr>
      </w:pPr>
      <w:r>
        <w:rPr>
          <w:rFonts w:ascii="Arial"/>
        </w:rPr>
        <w:t>19 September 2001</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rPr>
      </w:pPr>
    </w:p>
    <w:p>
      <w:pPr>
        <w:spacing w:before="93"/>
        <w:ind w:left="352" w:right="493" w:firstLine="0"/>
        <w:jc w:val="left"/>
        <w:rPr>
          <w:rFonts w:ascii="Arial"/>
          <w:sz w:val="20"/>
        </w:rPr>
      </w:pPr>
      <w:r>
        <w:rPr>
          <w:rFonts w:ascii="Arial"/>
          <w:sz w:val="20"/>
        </w:rPr>
        <w:t>I thank Amit Kara and Edward Nelson for helpful discussions and advice in the preparation of this talk. The views expressed are personal and should not be interpreted as those of the Bank of England or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6"/>
        <w:rPr>
          <w:rFonts w:ascii="Arial"/>
          <w:sz w:val="21"/>
        </w:rPr>
      </w:pPr>
    </w:p>
    <w:p>
      <w:pPr>
        <w:pStyle w:val="Heading1"/>
        <w:numPr>
          <w:ilvl w:val="0"/>
          <w:numId w:val="1"/>
        </w:numPr>
        <w:tabs>
          <w:tab w:pos="951" w:val="left" w:leader="none"/>
          <w:tab w:pos="952" w:val="left" w:leader="none"/>
        </w:tabs>
        <w:spacing w:line="240" w:lineRule="auto" w:before="90" w:after="0"/>
        <w:ind w:left="952" w:right="0" w:hanging="721"/>
        <w:jc w:val="left"/>
      </w:pPr>
      <w:r>
        <w:rPr/>
        <w:t>INTRODUCTION</w:t>
      </w:r>
    </w:p>
    <w:p>
      <w:pPr>
        <w:pStyle w:val="BodyText"/>
        <w:rPr>
          <w:b/>
          <w:sz w:val="26"/>
        </w:rPr>
      </w:pPr>
    </w:p>
    <w:p>
      <w:pPr>
        <w:pStyle w:val="BodyText"/>
        <w:spacing w:before="9"/>
        <w:rPr>
          <w:b/>
          <w:sz w:val="21"/>
        </w:rPr>
      </w:pPr>
    </w:p>
    <w:p>
      <w:pPr>
        <w:pStyle w:val="BodyText"/>
        <w:spacing w:line="360" w:lineRule="auto"/>
        <w:ind w:left="231" w:right="304"/>
      </w:pPr>
      <w:r>
        <w:rPr/>
        <w:t>It is a great pleasure to be asked to contribute to the Scott Policy Seminar Series. This talk was prepared largely before the devastating events of Tuesday, September 11, 2001 in the United States.</w:t>
      </w:r>
    </w:p>
    <w:p>
      <w:pPr>
        <w:pStyle w:val="BodyText"/>
        <w:rPr>
          <w:sz w:val="36"/>
        </w:rPr>
      </w:pPr>
    </w:p>
    <w:p>
      <w:pPr>
        <w:pStyle w:val="BodyText"/>
        <w:spacing w:line="360" w:lineRule="auto"/>
        <w:ind w:left="231" w:right="304"/>
      </w:pPr>
      <w:r>
        <w:rPr/>
        <w:t>My theme today is UK monetary policy— in the context of emerging imbalances in the world economy and within the UK. It seems to be the consensus that the MPC, after a remarkably successful period since the start of the new arrangements in 1997— with above trend growth, falling unemployment and stable inflation close to the government’s target— now faces considerably greater difficulties and challenges in the period ahead.</w:t>
      </w:r>
    </w:p>
    <w:p>
      <w:pPr>
        <w:pStyle w:val="BodyText"/>
        <w:spacing w:before="2"/>
        <w:rPr>
          <w:sz w:val="31"/>
        </w:rPr>
      </w:pPr>
    </w:p>
    <w:p>
      <w:pPr>
        <w:pStyle w:val="BodyText"/>
        <w:spacing w:line="360" w:lineRule="auto" w:before="1"/>
        <w:ind w:left="231" w:right="348"/>
      </w:pPr>
      <w:r>
        <w:rPr>
          <w:spacing w:val="2"/>
        </w:rPr>
        <w:t>Economic </w:t>
      </w:r>
      <w:r>
        <w:rPr/>
        <w:t>commentaries are full </w:t>
      </w:r>
      <w:r>
        <w:rPr>
          <w:spacing w:val="3"/>
        </w:rPr>
        <w:t>of </w:t>
      </w:r>
      <w:r>
        <w:rPr/>
        <w:t>stories about the </w:t>
      </w:r>
      <w:r>
        <w:rPr>
          <w:spacing w:val="-4"/>
        </w:rPr>
        <w:t>‘two-speed </w:t>
      </w:r>
      <w:r>
        <w:rPr/>
        <w:t>economy’ and about the imbalances between manufacturing and services, the traded goods sectors and the non- traded, as well as worries about consumer indebtedness and the balance </w:t>
      </w:r>
      <w:r>
        <w:rPr>
          <w:spacing w:val="2"/>
        </w:rPr>
        <w:t>of </w:t>
      </w:r>
      <w:r>
        <w:rPr/>
        <w:t>payments which raise the spectre </w:t>
      </w:r>
      <w:r>
        <w:rPr>
          <w:spacing w:val="2"/>
        </w:rPr>
        <w:t>of </w:t>
      </w:r>
      <w:r>
        <w:rPr/>
        <w:t>a late 1980s style </w:t>
      </w:r>
      <w:r>
        <w:rPr>
          <w:spacing w:val="-6"/>
        </w:rPr>
        <w:t>‘boom </w:t>
      </w:r>
      <w:r>
        <w:rPr/>
        <w:t>and bust’ for the UK economy.</w:t>
      </w:r>
    </w:p>
    <w:p>
      <w:pPr>
        <w:pStyle w:val="BodyText"/>
        <w:spacing w:before="3"/>
        <w:rPr>
          <w:sz w:val="31"/>
        </w:rPr>
      </w:pPr>
    </w:p>
    <w:p>
      <w:pPr>
        <w:pStyle w:val="BodyText"/>
        <w:spacing w:line="360" w:lineRule="auto"/>
        <w:ind w:left="231" w:right="252"/>
      </w:pPr>
      <w:r>
        <w:rPr/>
        <w:t>There is no doubt that the talk of imbalances reflects genuine worries about the world economy— especially about the US, but also about Japan, now sinking again into recession, and about the slowdown in euro area— and about the UK. But the pessimism needs to be tempered. One obvious point is that the last four years of relative UK success have also been years of major international shocks and uncertainties— most notably the Asia crisis and the Russian default and its aftermath. Monetary policy, on the whole, managed to adjust to offset some of the problems, which looked particularly dire at the time. Might it not be the same this time?</w:t>
      </w:r>
    </w:p>
    <w:p>
      <w:pPr>
        <w:pStyle w:val="BodyText"/>
        <w:spacing w:before="4"/>
        <w:rPr>
          <w:sz w:val="31"/>
        </w:rPr>
      </w:pPr>
    </w:p>
    <w:p>
      <w:pPr>
        <w:pStyle w:val="BodyText"/>
        <w:spacing w:line="360" w:lineRule="auto"/>
        <w:ind w:left="231" w:right="252"/>
      </w:pPr>
      <w:r>
        <w:rPr/>
        <w:t>Clearly, however, the shocks and uncertainties are very different now. That does not mean that policy actions, at home and abroad, can have no influence. But it does mean, if light is to be thrown on the issues, that it is necessary to pick apart the different impacts and uncertainties to see what each might imply for monetary and other policy. Only then, I shall argue, can a reasonable overall assessment be made.</w:t>
      </w:r>
    </w:p>
    <w:p>
      <w:pPr>
        <w:spacing w:after="0" w:line="360" w:lineRule="auto"/>
        <w:sectPr>
          <w:footerReference w:type="default" r:id="rId7"/>
          <w:pgSz w:w="11900" w:h="16840"/>
          <w:pgMar w:footer="1237" w:header="0" w:top="1600" w:bottom="1420" w:left="1400" w:right="1400"/>
          <w:pgNumType w:start="2"/>
        </w:sectPr>
      </w:pPr>
    </w:p>
    <w:p>
      <w:pPr>
        <w:pStyle w:val="BodyText"/>
        <w:rPr>
          <w:sz w:val="20"/>
        </w:rPr>
      </w:pPr>
    </w:p>
    <w:p>
      <w:pPr>
        <w:pStyle w:val="BodyText"/>
        <w:rPr>
          <w:sz w:val="20"/>
        </w:rPr>
      </w:pPr>
    </w:p>
    <w:p>
      <w:pPr>
        <w:pStyle w:val="BodyText"/>
        <w:spacing w:line="360" w:lineRule="auto" w:before="232"/>
        <w:ind w:left="231" w:right="304"/>
      </w:pPr>
      <w:r>
        <w:rPr/>
        <w:t>There is a lot going on. A rough classification, which does less than justice to the interactions between the parts, might be as follows:</w:t>
      </w:r>
    </w:p>
    <w:p>
      <w:pPr>
        <w:pStyle w:val="BodyText"/>
        <w:spacing w:before="6"/>
        <w:rPr>
          <w:sz w:val="31"/>
        </w:rPr>
      </w:pPr>
    </w:p>
    <w:p>
      <w:pPr>
        <w:spacing w:before="0"/>
        <w:ind w:left="231" w:right="0" w:firstLine="0"/>
        <w:jc w:val="left"/>
        <w:rPr>
          <w:i/>
          <w:sz w:val="24"/>
        </w:rPr>
      </w:pPr>
      <w:r>
        <w:rPr>
          <w:sz w:val="24"/>
        </w:rPr>
        <w:t>A </w:t>
      </w:r>
      <w:r>
        <w:rPr>
          <w:i/>
          <w:sz w:val="24"/>
        </w:rPr>
        <w:t>International</w:t>
      </w:r>
    </w:p>
    <w:p>
      <w:pPr>
        <w:pStyle w:val="BodyText"/>
        <w:rPr>
          <w:i/>
          <w:sz w:val="32"/>
        </w:rPr>
      </w:pPr>
    </w:p>
    <w:p>
      <w:pPr>
        <w:pStyle w:val="BodyText"/>
        <w:tabs>
          <w:tab w:pos="600" w:val="left" w:leader="none"/>
        </w:tabs>
        <w:ind w:left="231"/>
      </w:pPr>
      <w:r>
        <w:rPr/>
        <w:t>1</w:t>
        <w:tab/>
        <w:t>The world slowdown and the risks </w:t>
      </w:r>
      <w:r>
        <w:rPr>
          <w:spacing w:val="2"/>
        </w:rPr>
        <w:t>of </w:t>
      </w:r>
      <w:r>
        <w:rPr/>
        <w:t>world</w:t>
      </w:r>
      <w:r>
        <w:rPr>
          <w:spacing w:val="13"/>
        </w:rPr>
        <w:t> </w:t>
      </w:r>
      <w:r>
        <w:rPr/>
        <w:t>recession.</w:t>
      </w:r>
    </w:p>
    <w:p>
      <w:pPr>
        <w:pStyle w:val="ListParagraph"/>
        <w:numPr>
          <w:ilvl w:val="0"/>
          <w:numId w:val="1"/>
        </w:numPr>
        <w:tabs>
          <w:tab w:pos="592" w:val="left" w:leader="none"/>
        </w:tabs>
        <w:spacing w:line="240" w:lineRule="auto" w:before="137" w:after="0"/>
        <w:ind w:left="592" w:right="0" w:hanging="361"/>
        <w:jc w:val="left"/>
        <w:rPr>
          <w:sz w:val="24"/>
        </w:rPr>
      </w:pPr>
      <w:r>
        <w:rPr>
          <w:sz w:val="24"/>
        </w:rPr>
        <w:t>The international ICT shock and associated stock market</w:t>
      </w:r>
      <w:r>
        <w:rPr>
          <w:spacing w:val="16"/>
          <w:sz w:val="24"/>
        </w:rPr>
        <w:t> </w:t>
      </w:r>
      <w:r>
        <w:rPr>
          <w:sz w:val="24"/>
        </w:rPr>
        <w:t>falls.</w:t>
      </w:r>
    </w:p>
    <w:p>
      <w:pPr>
        <w:pStyle w:val="ListParagraph"/>
        <w:numPr>
          <w:ilvl w:val="0"/>
          <w:numId w:val="1"/>
        </w:numPr>
        <w:tabs>
          <w:tab w:pos="592" w:val="left" w:leader="none"/>
        </w:tabs>
        <w:spacing w:line="362" w:lineRule="auto" w:before="136" w:after="0"/>
        <w:ind w:left="591" w:right="731" w:hanging="360"/>
        <w:jc w:val="left"/>
        <w:rPr>
          <w:sz w:val="24"/>
        </w:rPr>
      </w:pPr>
      <w:r>
        <w:rPr>
          <w:spacing w:val="2"/>
          <w:sz w:val="24"/>
        </w:rPr>
        <w:t>Imbalances</w:t>
      </w:r>
      <w:r>
        <w:rPr>
          <w:spacing w:val="-6"/>
          <w:sz w:val="24"/>
        </w:rPr>
        <w:t> </w:t>
      </w:r>
      <w:r>
        <w:rPr>
          <w:sz w:val="24"/>
        </w:rPr>
        <w:t>within</w:t>
      </w:r>
      <w:r>
        <w:rPr>
          <w:spacing w:val="-8"/>
          <w:sz w:val="24"/>
        </w:rPr>
        <w:t> </w:t>
      </w:r>
      <w:r>
        <w:rPr>
          <w:sz w:val="24"/>
        </w:rPr>
        <w:t>the</w:t>
      </w:r>
      <w:r>
        <w:rPr>
          <w:spacing w:val="-8"/>
          <w:sz w:val="24"/>
        </w:rPr>
        <w:t> </w:t>
      </w:r>
      <w:r>
        <w:rPr>
          <w:sz w:val="24"/>
        </w:rPr>
        <w:t>US</w:t>
      </w:r>
      <w:r>
        <w:rPr>
          <w:spacing w:val="-7"/>
          <w:sz w:val="24"/>
        </w:rPr>
        <w:t> </w:t>
      </w:r>
      <w:r>
        <w:rPr>
          <w:sz w:val="24"/>
        </w:rPr>
        <w:t>and</w:t>
      </w:r>
      <w:r>
        <w:rPr>
          <w:spacing w:val="-8"/>
          <w:sz w:val="24"/>
        </w:rPr>
        <w:t> </w:t>
      </w:r>
      <w:r>
        <w:rPr>
          <w:sz w:val="24"/>
        </w:rPr>
        <w:t>the</w:t>
      </w:r>
      <w:r>
        <w:rPr>
          <w:spacing w:val="-7"/>
          <w:sz w:val="24"/>
        </w:rPr>
        <w:t> </w:t>
      </w:r>
      <w:r>
        <w:rPr>
          <w:sz w:val="24"/>
        </w:rPr>
        <w:t>international</w:t>
      </w:r>
      <w:r>
        <w:rPr>
          <w:spacing w:val="-8"/>
          <w:sz w:val="24"/>
        </w:rPr>
        <w:t> </w:t>
      </w:r>
      <w:r>
        <w:rPr>
          <w:sz w:val="24"/>
        </w:rPr>
        <w:t>economy</w:t>
      </w:r>
      <w:r>
        <w:rPr>
          <w:spacing w:val="-8"/>
          <w:sz w:val="24"/>
        </w:rPr>
        <w:t> </w:t>
      </w:r>
      <w:r>
        <w:rPr>
          <w:sz w:val="24"/>
        </w:rPr>
        <w:t>and</w:t>
      </w:r>
      <w:r>
        <w:rPr>
          <w:spacing w:val="-7"/>
          <w:sz w:val="24"/>
        </w:rPr>
        <w:t> </w:t>
      </w:r>
      <w:r>
        <w:rPr>
          <w:sz w:val="24"/>
        </w:rPr>
        <w:t>the</w:t>
      </w:r>
      <w:r>
        <w:rPr>
          <w:spacing w:val="-8"/>
          <w:sz w:val="24"/>
        </w:rPr>
        <w:t> </w:t>
      </w:r>
      <w:r>
        <w:rPr>
          <w:sz w:val="24"/>
        </w:rPr>
        <w:t>implications</w:t>
      </w:r>
      <w:r>
        <w:rPr>
          <w:spacing w:val="-7"/>
          <w:sz w:val="24"/>
        </w:rPr>
        <w:t> </w:t>
      </w:r>
      <w:r>
        <w:rPr>
          <w:sz w:val="24"/>
        </w:rPr>
        <w:t>for </w:t>
      </w:r>
      <w:r>
        <w:rPr>
          <w:spacing w:val="2"/>
          <w:sz w:val="24"/>
        </w:rPr>
        <w:t>(possibly </w:t>
      </w:r>
      <w:r>
        <w:rPr>
          <w:sz w:val="24"/>
        </w:rPr>
        <w:t>large and sudden) changes in major exchange</w:t>
      </w:r>
      <w:r>
        <w:rPr>
          <w:spacing w:val="17"/>
          <w:sz w:val="24"/>
        </w:rPr>
        <w:t> </w:t>
      </w:r>
      <w:r>
        <w:rPr>
          <w:sz w:val="24"/>
        </w:rPr>
        <w:t>rates.</w:t>
      </w:r>
    </w:p>
    <w:p>
      <w:pPr>
        <w:pStyle w:val="BodyText"/>
        <w:spacing w:before="1"/>
        <w:rPr>
          <w:sz w:val="31"/>
        </w:rPr>
      </w:pPr>
    </w:p>
    <w:p>
      <w:pPr>
        <w:spacing w:before="0"/>
        <w:ind w:left="232" w:right="0" w:firstLine="0"/>
        <w:jc w:val="left"/>
        <w:rPr>
          <w:i/>
          <w:sz w:val="24"/>
        </w:rPr>
      </w:pPr>
      <w:r>
        <w:rPr>
          <w:sz w:val="24"/>
        </w:rPr>
        <w:t>B </w:t>
      </w:r>
      <w:r>
        <w:rPr>
          <w:i/>
          <w:sz w:val="24"/>
        </w:rPr>
        <w:t>Domestic</w:t>
      </w:r>
    </w:p>
    <w:p>
      <w:pPr>
        <w:pStyle w:val="BodyText"/>
        <w:spacing w:before="10"/>
        <w:rPr>
          <w:i/>
          <w:sz w:val="31"/>
        </w:rPr>
      </w:pPr>
    </w:p>
    <w:p>
      <w:pPr>
        <w:pStyle w:val="ListParagraph"/>
        <w:numPr>
          <w:ilvl w:val="0"/>
          <w:numId w:val="1"/>
        </w:numPr>
        <w:tabs>
          <w:tab w:pos="592" w:val="left" w:leader="none"/>
        </w:tabs>
        <w:spacing w:line="360" w:lineRule="auto" w:before="1" w:after="0"/>
        <w:ind w:left="592" w:right="324" w:hanging="360"/>
        <w:jc w:val="left"/>
        <w:rPr>
          <w:sz w:val="24"/>
        </w:rPr>
      </w:pPr>
      <w:r>
        <w:rPr>
          <w:sz w:val="24"/>
        </w:rPr>
        <w:t>Within the UK, the implications </w:t>
      </w:r>
      <w:r>
        <w:rPr>
          <w:spacing w:val="3"/>
          <w:sz w:val="24"/>
        </w:rPr>
        <w:t>of </w:t>
      </w:r>
      <w:r>
        <w:rPr>
          <w:sz w:val="24"/>
        </w:rPr>
        <w:t>the </w:t>
      </w:r>
      <w:r>
        <w:rPr>
          <w:spacing w:val="-3"/>
          <w:sz w:val="24"/>
        </w:rPr>
        <w:t>‘high’ </w:t>
      </w:r>
      <w:r>
        <w:rPr>
          <w:sz w:val="24"/>
        </w:rPr>
        <w:t>exchange rate, against the euro particularly, which has been </w:t>
      </w:r>
      <w:r>
        <w:rPr>
          <w:spacing w:val="4"/>
          <w:sz w:val="24"/>
        </w:rPr>
        <w:t>one </w:t>
      </w:r>
      <w:r>
        <w:rPr>
          <w:spacing w:val="3"/>
          <w:sz w:val="24"/>
        </w:rPr>
        <w:t>of </w:t>
      </w:r>
      <w:r>
        <w:rPr>
          <w:sz w:val="24"/>
        </w:rPr>
        <w:t>the major sources </w:t>
      </w:r>
      <w:r>
        <w:rPr>
          <w:spacing w:val="3"/>
          <w:sz w:val="24"/>
        </w:rPr>
        <w:t>of </w:t>
      </w:r>
      <w:r>
        <w:rPr>
          <w:sz w:val="24"/>
        </w:rPr>
        <w:t>imbalance— for example between</w:t>
      </w:r>
      <w:r>
        <w:rPr>
          <w:spacing w:val="-6"/>
          <w:sz w:val="24"/>
        </w:rPr>
        <w:t> </w:t>
      </w:r>
      <w:r>
        <w:rPr>
          <w:sz w:val="24"/>
        </w:rPr>
        <w:t>the</w:t>
      </w:r>
      <w:r>
        <w:rPr>
          <w:spacing w:val="-6"/>
          <w:sz w:val="24"/>
        </w:rPr>
        <w:t> </w:t>
      </w:r>
      <w:r>
        <w:rPr>
          <w:sz w:val="24"/>
        </w:rPr>
        <w:t>more</w:t>
      </w:r>
      <w:r>
        <w:rPr>
          <w:spacing w:val="-5"/>
          <w:sz w:val="24"/>
        </w:rPr>
        <w:t> </w:t>
      </w:r>
      <w:r>
        <w:rPr>
          <w:sz w:val="24"/>
        </w:rPr>
        <w:t>exposed</w:t>
      </w:r>
      <w:r>
        <w:rPr>
          <w:spacing w:val="-6"/>
          <w:sz w:val="24"/>
        </w:rPr>
        <w:t> </w:t>
      </w:r>
      <w:r>
        <w:rPr>
          <w:sz w:val="24"/>
        </w:rPr>
        <w:t>sectors</w:t>
      </w:r>
      <w:r>
        <w:rPr>
          <w:spacing w:val="-5"/>
          <w:sz w:val="24"/>
        </w:rPr>
        <w:t> </w:t>
      </w:r>
      <w:r>
        <w:rPr>
          <w:spacing w:val="2"/>
          <w:sz w:val="24"/>
        </w:rPr>
        <w:t>of</w:t>
      </w:r>
      <w:r>
        <w:rPr>
          <w:spacing w:val="-2"/>
          <w:sz w:val="24"/>
        </w:rPr>
        <w:t> </w:t>
      </w:r>
      <w:r>
        <w:rPr>
          <w:sz w:val="24"/>
        </w:rPr>
        <w:t>manufacturing</w:t>
      </w:r>
      <w:r>
        <w:rPr>
          <w:spacing w:val="-6"/>
          <w:sz w:val="24"/>
        </w:rPr>
        <w:t> </w:t>
      </w:r>
      <w:r>
        <w:rPr>
          <w:sz w:val="24"/>
        </w:rPr>
        <w:t>and</w:t>
      </w:r>
      <w:r>
        <w:rPr>
          <w:spacing w:val="-6"/>
          <w:sz w:val="24"/>
        </w:rPr>
        <w:t> </w:t>
      </w:r>
      <w:r>
        <w:rPr>
          <w:sz w:val="24"/>
        </w:rPr>
        <w:t>the</w:t>
      </w:r>
      <w:r>
        <w:rPr>
          <w:spacing w:val="-5"/>
          <w:sz w:val="24"/>
        </w:rPr>
        <w:t> </w:t>
      </w:r>
      <w:r>
        <w:rPr>
          <w:sz w:val="24"/>
        </w:rPr>
        <w:t>more</w:t>
      </w:r>
      <w:r>
        <w:rPr>
          <w:spacing w:val="-6"/>
          <w:sz w:val="24"/>
        </w:rPr>
        <w:t> </w:t>
      </w:r>
      <w:r>
        <w:rPr>
          <w:sz w:val="24"/>
        </w:rPr>
        <w:t>sheltered</w:t>
      </w:r>
      <w:r>
        <w:rPr>
          <w:spacing w:val="-5"/>
          <w:sz w:val="24"/>
        </w:rPr>
        <w:t> </w:t>
      </w:r>
      <w:r>
        <w:rPr>
          <w:sz w:val="24"/>
        </w:rPr>
        <w:t>sectors</w:t>
      </w:r>
      <w:r>
        <w:rPr>
          <w:spacing w:val="-6"/>
          <w:sz w:val="24"/>
        </w:rPr>
        <w:t> </w:t>
      </w:r>
      <w:r>
        <w:rPr>
          <w:sz w:val="24"/>
        </w:rPr>
        <w:t>of services. Added </w:t>
      </w:r>
      <w:r>
        <w:rPr>
          <w:spacing w:val="3"/>
          <w:sz w:val="24"/>
        </w:rPr>
        <w:t>to </w:t>
      </w:r>
      <w:r>
        <w:rPr>
          <w:sz w:val="24"/>
        </w:rPr>
        <w:t>this is the worry that the exchange rate might change quite substantially as events in the world economy unfold </w:t>
      </w:r>
      <w:r>
        <w:rPr>
          <w:spacing w:val="3"/>
          <w:sz w:val="24"/>
        </w:rPr>
        <w:t>or </w:t>
      </w:r>
      <w:r>
        <w:rPr>
          <w:sz w:val="24"/>
        </w:rPr>
        <w:t>because </w:t>
      </w:r>
      <w:r>
        <w:rPr>
          <w:spacing w:val="3"/>
          <w:sz w:val="24"/>
        </w:rPr>
        <w:t>of </w:t>
      </w:r>
      <w:r>
        <w:rPr>
          <w:sz w:val="24"/>
        </w:rPr>
        <w:t>developments within the</w:t>
      </w:r>
      <w:r>
        <w:rPr>
          <w:spacing w:val="7"/>
          <w:sz w:val="24"/>
        </w:rPr>
        <w:t> </w:t>
      </w:r>
      <w:r>
        <w:rPr>
          <w:sz w:val="24"/>
        </w:rPr>
        <w:t>UK.</w:t>
      </w:r>
    </w:p>
    <w:p>
      <w:pPr>
        <w:pStyle w:val="ListParagraph"/>
        <w:numPr>
          <w:ilvl w:val="0"/>
          <w:numId w:val="1"/>
        </w:numPr>
        <w:tabs>
          <w:tab w:pos="592" w:val="left" w:leader="none"/>
        </w:tabs>
        <w:spacing w:line="360" w:lineRule="auto" w:before="0" w:after="0"/>
        <w:ind w:left="592" w:right="484" w:hanging="360"/>
        <w:jc w:val="left"/>
        <w:rPr>
          <w:sz w:val="24"/>
        </w:rPr>
      </w:pPr>
      <w:r>
        <w:rPr>
          <w:sz w:val="24"/>
        </w:rPr>
        <w:t>Also within the UK, the fact that domestic demand has been growing substantially more rapidly than GDP, with the difference accounted for by a deterioration </w:t>
      </w:r>
      <w:r>
        <w:rPr>
          <w:spacing w:val="2"/>
          <w:sz w:val="24"/>
        </w:rPr>
        <w:t>of </w:t>
      </w:r>
      <w:r>
        <w:rPr>
          <w:sz w:val="24"/>
        </w:rPr>
        <w:t>net trade. A consequence has been a worsening in the current account </w:t>
      </w:r>
      <w:r>
        <w:rPr>
          <w:spacing w:val="2"/>
          <w:sz w:val="24"/>
        </w:rPr>
        <w:t>of </w:t>
      </w:r>
      <w:r>
        <w:rPr>
          <w:sz w:val="24"/>
        </w:rPr>
        <w:t>the balance </w:t>
      </w:r>
      <w:r>
        <w:rPr>
          <w:spacing w:val="3"/>
          <w:sz w:val="24"/>
        </w:rPr>
        <w:t>of </w:t>
      </w:r>
      <w:r>
        <w:rPr>
          <w:spacing w:val="2"/>
          <w:sz w:val="24"/>
        </w:rPr>
        <w:t>payments— </w:t>
      </w:r>
      <w:r>
        <w:rPr>
          <w:sz w:val="24"/>
        </w:rPr>
        <w:t>partly masked, however, </w:t>
      </w:r>
      <w:r>
        <w:rPr>
          <w:spacing w:val="3"/>
          <w:sz w:val="24"/>
        </w:rPr>
        <w:t>over </w:t>
      </w:r>
      <w:r>
        <w:rPr>
          <w:sz w:val="24"/>
        </w:rPr>
        <w:t>the last few years by the rise in the exchange rate and an ‘improvement’ in the terms </w:t>
      </w:r>
      <w:r>
        <w:rPr>
          <w:spacing w:val="2"/>
          <w:sz w:val="24"/>
        </w:rPr>
        <w:t>of</w:t>
      </w:r>
      <w:r>
        <w:rPr>
          <w:spacing w:val="-14"/>
          <w:sz w:val="24"/>
        </w:rPr>
        <w:t> </w:t>
      </w:r>
      <w:r>
        <w:rPr>
          <w:sz w:val="24"/>
        </w:rPr>
        <w:t>trade.</w:t>
      </w:r>
    </w:p>
    <w:p>
      <w:pPr>
        <w:pStyle w:val="ListParagraph"/>
        <w:numPr>
          <w:ilvl w:val="0"/>
          <w:numId w:val="1"/>
        </w:numPr>
        <w:tabs>
          <w:tab w:pos="592" w:val="left" w:leader="none"/>
        </w:tabs>
        <w:spacing w:line="360" w:lineRule="auto" w:before="1" w:after="0"/>
        <w:ind w:left="592" w:right="276" w:hanging="360"/>
        <w:jc w:val="left"/>
        <w:rPr>
          <w:sz w:val="24"/>
        </w:rPr>
      </w:pPr>
      <w:r>
        <w:rPr>
          <w:sz w:val="24"/>
        </w:rPr>
        <w:t>Related </w:t>
      </w:r>
      <w:r>
        <w:rPr>
          <w:spacing w:val="3"/>
          <w:sz w:val="24"/>
        </w:rPr>
        <w:t>to </w:t>
      </w:r>
      <w:r>
        <w:rPr>
          <w:sz w:val="24"/>
        </w:rPr>
        <w:t>this, the surprising buoyancy </w:t>
      </w:r>
      <w:r>
        <w:rPr>
          <w:spacing w:val="3"/>
          <w:sz w:val="24"/>
        </w:rPr>
        <w:t>of </w:t>
      </w:r>
      <w:r>
        <w:rPr>
          <w:sz w:val="24"/>
        </w:rPr>
        <w:t>consumption and retail sales despite a falling</w:t>
      </w:r>
      <w:r>
        <w:rPr>
          <w:spacing w:val="-12"/>
          <w:sz w:val="24"/>
        </w:rPr>
        <w:t> </w:t>
      </w:r>
      <w:r>
        <w:rPr>
          <w:spacing w:val="2"/>
          <w:sz w:val="24"/>
        </w:rPr>
        <w:t>stock</w:t>
      </w:r>
      <w:r>
        <w:rPr>
          <w:spacing w:val="-12"/>
          <w:sz w:val="24"/>
        </w:rPr>
        <w:t> </w:t>
      </w:r>
      <w:r>
        <w:rPr>
          <w:sz w:val="24"/>
        </w:rPr>
        <w:t>market—</w:t>
      </w:r>
      <w:r>
        <w:rPr>
          <w:spacing w:val="19"/>
          <w:sz w:val="24"/>
        </w:rPr>
        <w:t> </w:t>
      </w:r>
      <w:r>
        <w:rPr>
          <w:spacing w:val="2"/>
          <w:sz w:val="24"/>
        </w:rPr>
        <w:t>reflected</w:t>
      </w:r>
      <w:r>
        <w:rPr>
          <w:spacing w:val="-12"/>
          <w:sz w:val="24"/>
        </w:rPr>
        <w:t> </w:t>
      </w:r>
      <w:r>
        <w:rPr>
          <w:sz w:val="24"/>
        </w:rPr>
        <w:t>in</w:t>
      </w:r>
      <w:r>
        <w:rPr>
          <w:spacing w:val="-12"/>
          <w:sz w:val="24"/>
        </w:rPr>
        <w:t> </w:t>
      </w:r>
      <w:r>
        <w:rPr>
          <w:sz w:val="24"/>
        </w:rPr>
        <w:t>an</w:t>
      </w:r>
      <w:r>
        <w:rPr>
          <w:spacing w:val="-13"/>
          <w:sz w:val="24"/>
        </w:rPr>
        <w:t> </w:t>
      </w:r>
      <w:r>
        <w:rPr>
          <w:sz w:val="24"/>
        </w:rPr>
        <w:t>extremely</w:t>
      </w:r>
      <w:r>
        <w:rPr>
          <w:spacing w:val="-13"/>
          <w:sz w:val="24"/>
        </w:rPr>
        <w:t> </w:t>
      </w:r>
      <w:r>
        <w:rPr>
          <w:sz w:val="24"/>
        </w:rPr>
        <w:t>low</w:t>
      </w:r>
      <w:r>
        <w:rPr>
          <w:spacing w:val="-12"/>
          <w:sz w:val="24"/>
        </w:rPr>
        <w:t> </w:t>
      </w:r>
      <w:r>
        <w:rPr>
          <w:sz w:val="24"/>
        </w:rPr>
        <w:t>savings</w:t>
      </w:r>
      <w:r>
        <w:rPr>
          <w:spacing w:val="-13"/>
          <w:sz w:val="24"/>
        </w:rPr>
        <w:t> </w:t>
      </w:r>
      <w:r>
        <w:rPr>
          <w:spacing w:val="2"/>
          <w:sz w:val="24"/>
        </w:rPr>
        <w:t>rate</w:t>
      </w:r>
      <w:r>
        <w:rPr>
          <w:spacing w:val="-11"/>
          <w:sz w:val="24"/>
        </w:rPr>
        <w:t> </w:t>
      </w:r>
      <w:r>
        <w:rPr>
          <w:spacing w:val="2"/>
          <w:sz w:val="24"/>
        </w:rPr>
        <w:t>(comparable</w:t>
      </w:r>
      <w:r>
        <w:rPr>
          <w:spacing w:val="-11"/>
          <w:sz w:val="24"/>
        </w:rPr>
        <w:t> </w:t>
      </w:r>
      <w:r>
        <w:rPr>
          <w:spacing w:val="3"/>
          <w:sz w:val="24"/>
        </w:rPr>
        <w:t>to</w:t>
      </w:r>
      <w:r>
        <w:rPr>
          <w:spacing w:val="-8"/>
          <w:sz w:val="24"/>
        </w:rPr>
        <w:t> </w:t>
      </w:r>
      <w:r>
        <w:rPr>
          <w:sz w:val="24"/>
        </w:rPr>
        <w:t>that in the late 1980s boom). Consistent with this has been strong growth in credit </w:t>
      </w:r>
      <w:r>
        <w:rPr>
          <w:spacing w:val="3"/>
          <w:sz w:val="24"/>
        </w:rPr>
        <w:t>to </w:t>
      </w:r>
      <w:r>
        <w:rPr>
          <w:sz w:val="24"/>
        </w:rPr>
        <w:t>households and a high and </w:t>
      </w:r>
      <w:r>
        <w:rPr>
          <w:spacing w:val="2"/>
          <w:sz w:val="24"/>
        </w:rPr>
        <w:t>rising </w:t>
      </w:r>
      <w:r>
        <w:rPr>
          <w:sz w:val="24"/>
        </w:rPr>
        <w:t>level </w:t>
      </w:r>
      <w:r>
        <w:rPr>
          <w:spacing w:val="3"/>
          <w:sz w:val="24"/>
        </w:rPr>
        <w:t>of </w:t>
      </w:r>
      <w:r>
        <w:rPr>
          <w:sz w:val="24"/>
        </w:rPr>
        <w:t>household debt. Meanwhile, the housing market</w:t>
      </w:r>
      <w:r>
        <w:rPr>
          <w:spacing w:val="-13"/>
          <w:sz w:val="24"/>
        </w:rPr>
        <w:t> </w:t>
      </w:r>
      <w:r>
        <w:rPr>
          <w:sz w:val="24"/>
        </w:rPr>
        <w:t>has</w:t>
      </w:r>
      <w:r>
        <w:rPr>
          <w:spacing w:val="-15"/>
          <w:sz w:val="24"/>
        </w:rPr>
        <w:t> </w:t>
      </w:r>
      <w:r>
        <w:rPr>
          <w:sz w:val="24"/>
        </w:rPr>
        <w:t>picked</w:t>
      </w:r>
      <w:r>
        <w:rPr>
          <w:spacing w:val="-16"/>
          <w:sz w:val="24"/>
        </w:rPr>
        <w:t> </w:t>
      </w:r>
      <w:r>
        <w:rPr>
          <w:sz w:val="24"/>
        </w:rPr>
        <w:t>up</w:t>
      </w:r>
      <w:r>
        <w:rPr>
          <w:spacing w:val="-16"/>
          <w:sz w:val="24"/>
        </w:rPr>
        <w:t> </w:t>
      </w:r>
      <w:r>
        <w:rPr>
          <w:sz w:val="24"/>
        </w:rPr>
        <w:t>again—</w:t>
      </w:r>
      <w:r>
        <w:rPr>
          <w:spacing w:val="14"/>
          <w:sz w:val="24"/>
        </w:rPr>
        <w:t> </w:t>
      </w:r>
      <w:r>
        <w:rPr>
          <w:sz w:val="24"/>
        </w:rPr>
        <w:t>after</w:t>
      </w:r>
      <w:r>
        <w:rPr>
          <w:spacing w:val="-15"/>
          <w:sz w:val="24"/>
        </w:rPr>
        <w:t> </w:t>
      </w:r>
      <w:r>
        <w:rPr>
          <w:sz w:val="24"/>
        </w:rPr>
        <w:t>a</w:t>
      </w:r>
      <w:r>
        <w:rPr>
          <w:spacing w:val="-15"/>
          <w:sz w:val="24"/>
        </w:rPr>
        <w:t> </w:t>
      </w:r>
      <w:r>
        <w:rPr>
          <w:sz w:val="24"/>
        </w:rPr>
        <w:t>pause</w:t>
      </w:r>
      <w:r>
        <w:rPr>
          <w:spacing w:val="-15"/>
          <w:sz w:val="24"/>
        </w:rPr>
        <w:t> </w:t>
      </w:r>
      <w:r>
        <w:rPr>
          <w:sz w:val="24"/>
        </w:rPr>
        <w:t>in</w:t>
      </w:r>
      <w:r>
        <w:rPr>
          <w:spacing w:val="-15"/>
          <w:sz w:val="24"/>
        </w:rPr>
        <w:t> </w:t>
      </w:r>
      <w:r>
        <w:rPr>
          <w:sz w:val="24"/>
        </w:rPr>
        <w:t>the</w:t>
      </w:r>
      <w:r>
        <w:rPr>
          <w:spacing w:val="-15"/>
          <w:sz w:val="24"/>
        </w:rPr>
        <w:t> </w:t>
      </w:r>
      <w:r>
        <w:rPr>
          <w:sz w:val="24"/>
        </w:rPr>
        <w:t>second</w:t>
      </w:r>
      <w:r>
        <w:rPr>
          <w:spacing w:val="-15"/>
          <w:sz w:val="24"/>
        </w:rPr>
        <w:t> </w:t>
      </w:r>
      <w:r>
        <w:rPr>
          <w:sz w:val="24"/>
        </w:rPr>
        <w:t>half</w:t>
      </w:r>
      <w:r>
        <w:rPr>
          <w:spacing w:val="-15"/>
          <w:sz w:val="24"/>
        </w:rPr>
        <w:t> </w:t>
      </w:r>
      <w:r>
        <w:rPr>
          <w:spacing w:val="2"/>
          <w:sz w:val="24"/>
        </w:rPr>
        <w:t>of</w:t>
      </w:r>
      <w:r>
        <w:rPr>
          <w:spacing w:val="-11"/>
          <w:sz w:val="24"/>
        </w:rPr>
        <w:t> </w:t>
      </w:r>
      <w:r>
        <w:rPr>
          <w:sz w:val="24"/>
        </w:rPr>
        <w:t>last</w:t>
      </w:r>
      <w:r>
        <w:rPr>
          <w:spacing w:val="-11"/>
          <w:sz w:val="24"/>
        </w:rPr>
        <w:t> </w:t>
      </w:r>
      <w:r>
        <w:rPr>
          <w:sz w:val="24"/>
        </w:rPr>
        <w:t>year—</w:t>
      </w:r>
      <w:r>
        <w:rPr>
          <w:spacing w:val="13"/>
          <w:sz w:val="24"/>
        </w:rPr>
        <w:t> </w:t>
      </w:r>
      <w:r>
        <w:rPr>
          <w:sz w:val="24"/>
        </w:rPr>
        <w:t>with</w:t>
      </w:r>
      <w:r>
        <w:rPr>
          <w:spacing w:val="-12"/>
          <w:sz w:val="24"/>
        </w:rPr>
        <w:t> </w:t>
      </w:r>
      <w:r>
        <w:rPr>
          <w:sz w:val="24"/>
        </w:rPr>
        <w:t>house prices now about 11% higher than a year</w:t>
      </w:r>
      <w:r>
        <w:rPr>
          <w:spacing w:val="23"/>
          <w:sz w:val="24"/>
        </w:rPr>
        <w:t> </w:t>
      </w:r>
      <w:r>
        <w:rPr>
          <w:sz w:val="24"/>
        </w:rPr>
        <w:t>ago.</w:t>
      </w:r>
    </w:p>
    <w:p>
      <w:pPr>
        <w:spacing w:after="0" w:line="360" w:lineRule="auto"/>
        <w:jc w:val="left"/>
        <w:rPr>
          <w:sz w:val="24"/>
        </w:rPr>
        <w:sectPr>
          <w:pgSz w:w="11900" w:h="16840"/>
          <w:pgMar w:header="0" w:footer="1237" w:top="1600" w:bottom="1420" w:left="1400" w:right="1400"/>
        </w:sectPr>
      </w:pPr>
    </w:p>
    <w:p>
      <w:pPr>
        <w:pStyle w:val="BodyText"/>
        <w:spacing w:before="1"/>
        <w:rPr>
          <w:sz w:val="21"/>
        </w:rPr>
      </w:pPr>
    </w:p>
    <w:p>
      <w:pPr>
        <w:pStyle w:val="BodyText"/>
        <w:spacing w:line="360" w:lineRule="auto" w:before="90"/>
        <w:ind w:left="231" w:right="304"/>
      </w:pPr>
      <w:r>
        <w:rPr/>
        <w:t>UK monetary policy needs to be set with one eye on the various impacts from the world economy and with the other eye on developments and tensions within the UK itself. It is worth reiterating that the Monetary Policy Committee’s statutory duty is to try to meet the government’s 2.5% target for RPIX inflation ; and that the target is symmetric.</w:t>
      </w:r>
    </w:p>
    <w:p>
      <w:pPr>
        <w:pStyle w:val="BodyText"/>
        <w:spacing w:before="8"/>
        <w:rPr>
          <w:sz w:val="31"/>
        </w:rPr>
      </w:pPr>
    </w:p>
    <w:p>
      <w:pPr>
        <w:pStyle w:val="Heading1"/>
        <w:numPr>
          <w:ilvl w:val="0"/>
          <w:numId w:val="2"/>
        </w:numPr>
        <w:tabs>
          <w:tab w:pos="592" w:val="left" w:leader="none"/>
        </w:tabs>
        <w:spacing w:line="240" w:lineRule="auto" w:before="0" w:after="0"/>
        <w:ind w:left="592" w:right="0" w:hanging="361"/>
        <w:jc w:val="left"/>
      </w:pPr>
      <w:r>
        <w:rPr/>
        <w:t>INTERNATIONAL</w:t>
      </w:r>
      <w:r>
        <w:rPr>
          <w:spacing w:val="1"/>
        </w:rPr>
        <w:t> </w:t>
      </w:r>
      <w:r>
        <w:rPr/>
        <w:t>IMPACTS</w:t>
      </w:r>
    </w:p>
    <w:p>
      <w:pPr>
        <w:pStyle w:val="BodyText"/>
        <w:rPr>
          <w:b/>
          <w:sz w:val="26"/>
        </w:rPr>
      </w:pPr>
    </w:p>
    <w:p>
      <w:pPr>
        <w:pStyle w:val="BodyText"/>
        <w:spacing w:line="360" w:lineRule="auto" w:before="193"/>
        <w:ind w:left="231" w:right="304"/>
      </w:pPr>
      <w:r>
        <w:rPr/>
        <w:t>Much</w:t>
      </w:r>
      <w:r>
        <w:rPr>
          <w:spacing w:val="-7"/>
        </w:rPr>
        <w:t> </w:t>
      </w:r>
      <w:r>
        <w:rPr/>
        <w:t>has</w:t>
      </w:r>
      <w:r>
        <w:rPr>
          <w:spacing w:val="-6"/>
        </w:rPr>
        <w:t> </w:t>
      </w:r>
      <w:r>
        <w:rPr/>
        <w:t>been</w:t>
      </w:r>
      <w:r>
        <w:rPr>
          <w:spacing w:val="-6"/>
        </w:rPr>
        <w:t> </w:t>
      </w:r>
      <w:r>
        <w:rPr/>
        <w:t>said</w:t>
      </w:r>
      <w:r>
        <w:rPr>
          <w:spacing w:val="-7"/>
        </w:rPr>
        <w:t> </w:t>
      </w:r>
      <w:r>
        <w:rPr/>
        <w:t>and</w:t>
      </w:r>
      <w:r>
        <w:rPr>
          <w:spacing w:val="-6"/>
        </w:rPr>
        <w:t> </w:t>
      </w:r>
      <w:r>
        <w:rPr/>
        <w:t>written</w:t>
      </w:r>
      <w:r>
        <w:rPr>
          <w:spacing w:val="-6"/>
        </w:rPr>
        <w:t> </w:t>
      </w:r>
      <w:r>
        <w:rPr/>
        <w:t>about</w:t>
      </w:r>
      <w:r>
        <w:rPr>
          <w:spacing w:val="-2"/>
        </w:rPr>
        <w:t> </w:t>
      </w:r>
      <w:r>
        <w:rPr/>
        <w:t>developments</w:t>
      </w:r>
      <w:r>
        <w:rPr>
          <w:spacing w:val="-6"/>
        </w:rPr>
        <w:t> </w:t>
      </w:r>
      <w:r>
        <w:rPr/>
        <w:t>in</w:t>
      </w:r>
      <w:r>
        <w:rPr>
          <w:spacing w:val="-7"/>
        </w:rPr>
        <w:t> </w:t>
      </w:r>
      <w:r>
        <w:rPr/>
        <w:t>the</w:t>
      </w:r>
      <w:r>
        <w:rPr>
          <w:spacing w:val="-6"/>
        </w:rPr>
        <w:t> </w:t>
      </w:r>
      <w:r>
        <w:rPr/>
        <w:t>world</w:t>
      </w:r>
      <w:r>
        <w:rPr>
          <w:spacing w:val="-6"/>
        </w:rPr>
        <w:t> </w:t>
      </w:r>
      <w:r>
        <w:rPr/>
        <w:t>economy,</w:t>
      </w:r>
      <w:r>
        <w:rPr>
          <w:spacing w:val="-6"/>
        </w:rPr>
        <w:t> </w:t>
      </w:r>
      <w:r>
        <w:rPr/>
        <w:t>so</w:t>
      </w:r>
      <w:r>
        <w:rPr>
          <w:spacing w:val="-7"/>
        </w:rPr>
        <w:t> </w:t>
      </w:r>
      <w:r>
        <w:rPr/>
        <w:t>I</w:t>
      </w:r>
      <w:r>
        <w:rPr>
          <w:spacing w:val="-4"/>
        </w:rPr>
        <w:t> </w:t>
      </w:r>
      <w:r>
        <w:rPr/>
        <w:t>can</w:t>
      </w:r>
      <w:r>
        <w:rPr>
          <w:spacing w:val="-7"/>
        </w:rPr>
        <w:t> </w:t>
      </w:r>
      <w:r>
        <w:rPr/>
        <w:t>be brief. In the first half </w:t>
      </w:r>
      <w:r>
        <w:rPr>
          <w:spacing w:val="3"/>
        </w:rPr>
        <w:t>of </w:t>
      </w:r>
      <w:r>
        <w:rPr/>
        <w:t>last year the world economy was booming, with industrial countries (OECD) growing at about 5.0% per annum and domestic demand in the US rising</w:t>
      </w:r>
      <w:r>
        <w:rPr>
          <w:spacing w:val="-12"/>
        </w:rPr>
        <w:t> </w:t>
      </w:r>
      <w:r>
        <w:rPr/>
        <w:t>at</w:t>
      </w:r>
      <w:r>
        <w:rPr>
          <w:spacing w:val="-8"/>
        </w:rPr>
        <w:t> </w:t>
      </w:r>
      <w:r>
        <w:rPr/>
        <w:t>about</w:t>
      </w:r>
      <w:r>
        <w:rPr>
          <w:spacing w:val="-8"/>
        </w:rPr>
        <w:t> </w:t>
      </w:r>
      <w:r>
        <w:rPr/>
        <w:t>6.5%</w:t>
      </w:r>
      <w:r>
        <w:rPr>
          <w:spacing w:val="-13"/>
        </w:rPr>
        <w:t> </w:t>
      </w:r>
      <w:r>
        <w:rPr/>
        <w:t>per</w:t>
      </w:r>
      <w:r>
        <w:rPr>
          <w:spacing w:val="-13"/>
        </w:rPr>
        <w:t> </w:t>
      </w:r>
      <w:r>
        <w:rPr/>
        <w:t>annum—</w:t>
      </w:r>
      <w:r>
        <w:rPr>
          <w:spacing w:val="20"/>
        </w:rPr>
        <w:t> </w:t>
      </w:r>
      <w:r>
        <w:rPr/>
        <w:t>a</w:t>
      </w:r>
      <w:r>
        <w:rPr>
          <w:spacing w:val="-11"/>
        </w:rPr>
        <w:t> </w:t>
      </w:r>
      <w:r>
        <w:rPr/>
        <w:t>rate</w:t>
      </w:r>
      <w:r>
        <w:rPr>
          <w:spacing w:val="-10"/>
        </w:rPr>
        <w:t> </w:t>
      </w:r>
      <w:r>
        <w:rPr/>
        <w:t>which</w:t>
      </w:r>
      <w:r>
        <w:rPr>
          <w:spacing w:val="-12"/>
        </w:rPr>
        <w:t> </w:t>
      </w:r>
      <w:r>
        <w:rPr/>
        <w:t>clearly</w:t>
      </w:r>
      <w:r>
        <w:rPr>
          <w:spacing w:val="-11"/>
        </w:rPr>
        <w:t> </w:t>
      </w:r>
      <w:r>
        <w:rPr/>
        <w:t>looked</w:t>
      </w:r>
      <w:r>
        <w:rPr>
          <w:spacing w:val="-11"/>
        </w:rPr>
        <w:t> </w:t>
      </w:r>
      <w:r>
        <w:rPr/>
        <w:t>unsustainable,</w:t>
      </w:r>
      <w:r>
        <w:rPr>
          <w:spacing w:val="-12"/>
        </w:rPr>
        <w:t> </w:t>
      </w:r>
      <w:r>
        <w:rPr/>
        <w:t>though</w:t>
      </w:r>
      <w:r>
        <w:rPr>
          <w:spacing w:val="-11"/>
        </w:rPr>
        <w:t> </w:t>
      </w:r>
      <w:r>
        <w:rPr/>
        <w:t>the turning point was hard </w:t>
      </w:r>
      <w:r>
        <w:rPr>
          <w:spacing w:val="3"/>
        </w:rPr>
        <w:t>to </w:t>
      </w:r>
      <w:r>
        <w:rPr/>
        <w:t>predict. A US slowdown appeared not </w:t>
      </w:r>
      <w:r>
        <w:rPr>
          <w:spacing w:val="3"/>
        </w:rPr>
        <w:t>only </w:t>
      </w:r>
      <w:r>
        <w:rPr/>
        <w:t>inevitable, but desirable. It is worth recalling that consensus forecasts at the time involved a </w:t>
      </w:r>
      <w:r>
        <w:rPr>
          <w:spacing w:val="-6"/>
        </w:rPr>
        <w:t>‘soft </w:t>
      </w:r>
      <w:r>
        <w:rPr>
          <w:spacing w:val="3"/>
        </w:rPr>
        <w:t>landing’ </w:t>
      </w:r>
      <w:r>
        <w:rPr/>
        <w:t>with a moderate slowdown in the US balanced by a pick up in growth in the euro area and in</w:t>
      </w:r>
      <w:r>
        <w:rPr>
          <w:spacing w:val="10"/>
        </w:rPr>
        <w:t> </w:t>
      </w:r>
      <w:r>
        <w:rPr/>
        <w:t>Japan.</w:t>
      </w:r>
    </w:p>
    <w:p>
      <w:pPr>
        <w:pStyle w:val="BodyText"/>
        <w:spacing w:before="4"/>
        <w:rPr>
          <w:sz w:val="36"/>
        </w:rPr>
      </w:pPr>
    </w:p>
    <w:p>
      <w:pPr>
        <w:pStyle w:val="BodyText"/>
        <w:spacing w:line="360" w:lineRule="auto"/>
        <w:ind w:left="231" w:right="302"/>
      </w:pPr>
      <w:r>
        <w:rPr/>
        <w:t>In the event, the US has slowed much further than that, with GDP growth barely positive in the first half </w:t>
      </w:r>
      <w:r>
        <w:rPr>
          <w:spacing w:val="2"/>
        </w:rPr>
        <w:t>of </w:t>
      </w:r>
      <w:r>
        <w:rPr/>
        <w:t>this year. </w:t>
      </w:r>
      <w:r>
        <w:rPr>
          <w:spacing w:val="2"/>
        </w:rPr>
        <w:t>There </w:t>
      </w:r>
      <w:r>
        <w:rPr/>
        <w:t>are </w:t>
      </w:r>
      <w:r>
        <w:rPr>
          <w:spacing w:val="4"/>
        </w:rPr>
        <w:t>obvious </w:t>
      </w:r>
      <w:r>
        <w:rPr/>
        <w:t>linkages </w:t>
      </w:r>
      <w:r>
        <w:rPr>
          <w:spacing w:val="3"/>
        </w:rPr>
        <w:t>to </w:t>
      </w:r>
      <w:r>
        <w:rPr>
          <w:spacing w:val="4"/>
        </w:rPr>
        <w:t>other </w:t>
      </w:r>
      <w:r>
        <w:rPr/>
        <w:t>countries via the trade </w:t>
      </w:r>
      <w:r>
        <w:rPr>
          <w:spacing w:val="2"/>
        </w:rPr>
        <w:t>flows.</w:t>
      </w:r>
      <w:r>
        <w:rPr>
          <w:spacing w:val="2"/>
          <w:vertAlign w:val="superscript"/>
        </w:rPr>
        <w:t>2</w:t>
      </w:r>
      <w:r>
        <w:rPr>
          <w:spacing w:val="-4"/>
          <w:vertAlign w:val="baseline"/>
        </w:rPr>
        <w:t> </w:t>
      </w:r>
      <w:r>
        <w:rPr>
          <w:vertAlign w:val="baseline"/>
        </w:rPr>
        <w:t>The</w:t>
      </w:r>
      <w:r>
        <w:rPr>
          <w:spacing w:val="-4"/>
          <w:vertAlign w:val="baseline"/>
        </w:rPr>
        <w:t> </w:t>
      </w:r>
      <w:r>
        <w:rPr>
          <w:vertAlign w:val="baseline"/>
        </w:rPr>
        <w:t>slowdown</w:t>
      </w:r>
      <w:r>
        <w:rPr>
          <w:spacing w:val="-5"/>
          <w:vertAlign w:val="baseline"/>
        </w:rPr>
        <w:t> </w:t>
      </w:r>
      <w:r>
        <w:rPr>
          <w:vertAlign w:val="baseline"/>
        </w:rPr>
        <w:t>has</w:t>
      </w:r>
      <w:r>
        <w:rPr>
          <w:spacing w:val="-5"/>
          <w:vertAlign w:val="baseline"/>
        </w:rPr>
        <w:t> </w:t>
      </w:r>
      <w:r>
        <w:rPr>
          <w:vertAlign w:val="baseline"/>
        </w:rPr>
        <w:t>been</w:t>
      </w:r>
      <w:r>
        <w:rPr>
          <w:spacing w:val="-6"/>
          <w:vertAlign w:val="baseline"/>
        </w:rPr>
        <w:t> </w:t>
      </w:r>
      <w:r>
        <w:rPr>
          <w:vertAlign w:val="baseline"/>
        </w:rPr>
        <w:t>associated</w:t>
      </w:r>
      <w:r>
        <w:rPr>
          <w:spacing w:val="-5"/>
          <w:vertAlign w:val="baseline"/>
        </w:rPr>
        <w:t> </w:t>
      </w:r>
      <w:r>
        <w:rPr>
          <w:vertAlign w:val="baseline"/>
        </w:rPr>
        <w:t>with</w:t>
      </w:r>
      <w:r>
        <w:rPr>
          <w:spacing w:val="-6"/>
          <w:vertAlign w:val="baseline"/>
        </w:rPr>
        <w:t> </w:t>
      </w:r>
      <w:r>
        <w:rPr>
          <w:vertAlign w:val="baseline"/>
        </w:rPr>
        <w:t>a</w:t>
      </w:r>
      <w:r>
        <w:rPr>
          <w:spacing w:val="-5"/>
          <w:vertAlign w:val="baseline"/>
        </w:rPr>
        <w:t> </w:t>
      </w:r>
      <w:r>
        <w:rPr>
          <w:vertAlign w:val="baseline"/>
        </w:rPr>
        <w:t>major</w:t>
      </w:r>
      <w:r>
        <w:rPr>
          <w:spacing w:val="-5"/>
          <w:vertAlign w:val="baseline"/>
        </w:rPr>
        <w:t> </w:t>
      </w:r>
      <w:r>
        <w:rPr>
          <w:vertAlign w:val="baseline"/>
        </w:rPr>
        <w:t>shock</w:t>
      </w:r>
      <w:r>
        <w:rPr>
          <w:spacing w:val="-6"/>
          <w:vertAlign w:val="baseline"/>
        </w:rPr>
        <w:t> </w:t>
      </w:r>
      <w:r>
        <w:rPr>
          <w:vertAlign w:val="baseline"/>
        </w:rPr>
        <w:t>from</w:t>
      </w:r>
      <w:r>
        <w:rPr>
          <w:spacing w:val="-5"/>
          <w:vertAlign w:val="baseline"/>
        </w:rPr>
        <w:t> </w:t>
      </w:r>
      <w:r>
        <w:rPr>
          <w:vertAlign w:val="baseline"/>
        </w:rPr>
        <w:t>the</w:t>
      </w:r>
      <w:r>
        <w:rPr>
          <w:spacing w:val="-5"/>
          <w:vertAlign w:val="baseline"/>
        </w:rPr>
        <w:t> </w:t>
      </w:r>
      <w:r>
        <w:rPr>
          <w:vertAlign w:val="baseline"/>
        </w:rPr>
        <w:t>ICT</w:t>
      </w:r>
      <w:r>
        <w:rPr>
          <w:spacing w:val="-5"/>
          <w:vertAlign w:val="baseline"/>
        </w:rPr>
        <w:t> </w:t>
      </w:r>
      <w:r>
        <w:rPr>
          <w:vertAlign w:val="baseline"/>
        </w:rPr>
        <w:t>sectors</w:t>
      </w:r>
      <w:r>
        <w:rPr>
          <w:spacing w:val="-5"/>
          <w:vertAlign w:val="baseline"/>
        </w:rPr>
        <w:t> </w:t>
      </w:r>
      <w:r>
        <w:rPr>
          <w:vertAlign w:val="baseline"/>
        </w:rPr>
        <w:t>and</w:t>
      </w:r>
      <w:r>
        <w:rPr>
          <w:spacing w:val="-6"/>
          <w:vertAlign w:val="baseline"/>
        </w:rPr>
        <w:t> </w:t>
      </w:r>
      <w:r>
        <w:rPr>
          <w:vertAlign w:val="baseline"/>
        </w:rPr>
        <w:t>a large stock market fall in the technology sectors. The ICT shock is effectively global, and there are substantial linkages via financial markets as well. Far from taking up a locomotive role, the euro area countries as a group have also slowed, with Germany in particular facing strong recessionary forces, and the latest data suggesting a substantial slowdown in France and Italy. Japan, strongly affected by the ICT shock in the midst </w:t>
      </w:r>
      <w:r>
        <w:rPr>
          <w:spacing w:val="3"/>
          <w:vertAlign w:val="baseline"/>
        </w:rPr>
        <w:t>of </w:t>
      </w:r>
      <w:r>
        <w:rPr>
          <w:vertAlign w:val="baseline"/>
        </w:rPr>
        <w:t>serious domestic difficulties, is, according </w:t>
      </w:r>
      <w:r>
        <w:rPr>
          <w:spacing w:val="3"/>
          <w:vertAlign w:val="baseline"/>
        </w:rPr>
        <w:t>to </w:t>
      </w:r>
      <w:r>
        <w:rPr>
          <w:vertAlign w:val="baseline"/>
        </w:rPr>
        <w:t>most forecasts, facing the prospect </w:t>
      </w:r>
      <w:r>
        <w:rPr>
          <w:spacing w:val="3"/>
          <w:vertAlign w:val="baseline"/>
        </w:rPr>
        <w:t>of </w:t>
      </w:r>
      <w:r>
        <w:rPr>
          <w:vertAlign w:val="baseline"/>
        </w:rPr>
        <w:t>renewed</w:t>
      </w:r>
      <w:r>
        <w:rPr>
          <w:spacing w:val="3"/>
          <w:vertAlign w:val="baseline"/>
        </w:rPr>
        <w:t> </w:t>
      </w:r>
      <w:r>
        <w:rPr>
          <w:vertAlign w:val="baseline"/>
        </w:rPr>
        <w:t>recession.</w:t>
      </w:r>
    </w:p>
    <w:p>
      <w:pPr>
        <w:pStyle w:val="BodyText"/>
        <w:rPr>
          <w:sz w:val="20"/>
        </w:rPr>
      </w:pPr>
    </w:p>
    <w:p>
      <w:pPr>
        <w:pStyle w:val="BodyText"/>
        <w:rPr>
          <w:sz w:val="20"/>
        </w:rPr>
      </w:pPr>
    </w:p>
    <w:p>
      <w:pPr>
        <w:pStyle w:val="BodyText"/>
        <w:rPr>
          <w:sz w:val="20"/>
        </w:rPr>
      </w:pPr>
    </w:p>
    <w:p>
      <w:pPr>
        <w:pStyle w:val="BodyText"/>
        <w:spacing w:before="2"/>
        <w:rPr>
          <w:sz w:val="28"/>
        </w:rPr>
      </w:pPr>
      <w:r>
        <w:rPr/>
        <w:pict>
          <v:group style="position:absolute;margin-left:81.599998pt;margin-top:18.15834pt;width:432pt;height:.5pt;mso-position-horizontal-relative:page;mso-position-vertical-relative:paragraph;z-index:-251656192;mso-wrap-distance-left:0;mso-wrap-distance-right:0" coordorigin="1632,363" coordsize="8640,10">
            <v:line style="position:absolute" from="1632,368" to="4512,368" stroked="true" strokeweight=".48pt" strokecolor="#000000">
              <v:stroke dashstyle="solid"/>
            </v:line>
            <v:line style="position:absolute" from="4512,368" to="7392,368" stroked="true" strokeweight=".48pt" strokecolor="#000000">
              <v:stroke dashstyle="solid"/>
            </v:line>
            <v:line style="position:absolute" from="7392,368" to="10272,368" stroked="true" strokeweight=".48pt" strokecolor="#000000">
              <v:stroke dashstyle="solid"/>
            </v:line>
            <w10:wrap type="topAndBottom"/>
          </v:group>
        </w:pict>
      </w:r>
    </w:p>
    <w:p>
      <w:pPr>
        <w:spacing w:before="33"/>
        <w:ind w:left="231" w:right="304" w:firstLine="0"/>
        <w:jc w:val="left"/>
        <w:rPr>
          <w:sz w:val="20"/>
        </w:rPr>
      </w:pPr>
      <w:r>
        <w:rPr>
          <w:position w:val="9"/>
          <w:sz w:val="13"/>
        </w:rPr>
        <w:t>2 </w:t>
      </w:r>
      <w:r>
        <w:rPr>
          <w:sz w:val="20"/>
        </w:rPr>
        <w:t>Trade as a proportion of GDP is of the order of 10% for the US, for Europe (excluding intratrade) and for Japan. It is widely argued that these figures tend to understate the international linkages. A revealing statistic is that US import growth which was about 16% per annum in the first half of 2000 is estimated to have fallen to about –6% per annum in the first half of 2001. The fall in US export growth was almost as large: from about 10% per annum to about –6.5% per annum.</w:t>
      </w:r>
    </w:p>
    <w:p>
      <w:pPr>
        <w:spacing w:after="0"/>
        <w:jc w:val="left"/>
        <w:rPr>
          <w:sz w:val="20"/>
        </w:rPr>
        <w:sectPr>
          <w:pgSz w:w="11900" w:h="16840"/>
          <w:pgMar w:header="0" w:footer="1237" w:top="1600" w:bottom="1420" w:left="1400" w:right="1400"/>
        </w:sectPr>
      </w:pPr>
    </w:p>
    <w:p>
      <w:pPr>
        <w:pStyle w:val="BodyText"/>
        <w:spacing w:before="1"/>
        <w:rPr>
          <w:sz w:val="21"/>
        </w:rPr>
      </w:pPr>
    </w:p>
    <w:p>
      <w:pPr>
        <w:pStyle w:val="BodyText"/>
        <w:spacing w:line="360" w:lineRule="auto" w:before="90"/>
        <w:ind w:left="231" w:right="391"/>
      </w:pPr>
      <w:r>
        <w:rPr/>
        <w:t>The brunt </w:t>
      </w:r>
      <w:r>
        <w:rPr>
          <w:spacing w:val="2"/>
        </w:rPr>
        <w:t>of </w:t>
      </w:r>
      <w:r>
        <w:rPr/>
        <w:t>the slowdown in the US has been borne by the manufacturing sectors (and more generally by the corporate </w:t>
      </w:r>
      <w:r>
        <w:rPr>
          <w:spacing w:val="3"/>
        </w:rPr>
        <w:t>sector). </w:t>
      </w:r>
      <w:r>
        <w:rPr/>
        <w:t>Consumer demand has held up reasonably well compared</w:t>
      </w:r>
      <w:r>
        <w:rPr>
          <w:spacing w:val="-18"/>
        </w:rPr>
        <w:t> </w:t>
      </w:r>
      <w:r>
        <w:rPr/>
        <w:t>with</w:t>
      </w:r>
      <w:r>
        <w:rPr>
          <w:spacing w:val="-18"/>
        </w:rPr>
        <w:t> </w:t>
      </w:r>
      <w:r>
        <w:rPr/>
        <w:t>expectations—</w:t>
      </w:r>
      <w:r>
        <w:rPr>
          <w:spacing w:val="11"/>
        </w:rPr>
        <w:t> </w:t>
      </w:r>
      <w:r>
        <w:rPr/>
        <w:t>so</w:t>
      </w:r>
      <w:r>
        <w:rPr>
          <w:spacing w:val="-18"/>
        </w:rPr>
        <w:t> </w:t>
      </w:r>
      <w:r>
        <w:rPr/>
        <w:t>that</w:t>
      </w:r>
      <w:r>
        <w:rPr>
          <w:spacing w:val="-14"/>
        </w:rPr>
        <w:t> </w:t>
      </w:r>
      <w:r>
        <w:rPr>
          <w:spacing w:val="4"/>
        </w:rPr>
        <w:t>outright</w:t>
      </w:r>
      <w:r>
        <w:rPr>
          <w:spacing w:val="-14"/>
        </w:rPr>
        <w:t> </w:t>
      </w:r>
      <w:r>
        <w:rPr/>
        <w:t>recession</w:t>
      </w:r>
      <w:r>
        <w:rPr>
          <w:spacing w:val="-16"/>
        </w:rPr>
        <w:t> </w:t>
      </w:r>
      <w:r>
        <w:rPr/>
        <w:t>has</w:t>
      </w:r>
      <w:r>
        <w:rPr>
          <w:spacing w:val="-18"/>
        </w:rPr>
        <w:t> </w:t>
      </w:r>
      <w:r>
        <w:rPr/>
        <w:t>been</w:t>
      </w:r>
      <w:r>
        <w:rPr>
          <w:spacing w:val="-17"/>
        </w:rPr>
        <w:t> </w:t>
      </w:r>
      <w:r>
        <w:rPr/>
        <w:t>avoided</w:t>
      </w:r>
      <w:r>
        <w:rPr>
          <w:spacing w:val="-18"/>
        </w:rPr>
        <w:t> </w:t>
      </w:r>
      <w:r>
        <w:rPr/>
        <w:t>so</w:t>
      </w:r>
      <w:r>
        <w:rPr>
          <w:spacing w:val="-18"/>
        </w:rPr>
        <w:t> </w:t>
      </w:r>
      <w:r>
        <w:rPr/>
        <w:t>far—</w:t>
      </w:r>
      <w:r>
        <w:rPr>
          <w:spacing w:val="11"/>
        </w:rPr>
        <w:t> </w:t>
      </w:r>
      <w:r>
        <w:rPr/>
        <w:t>but</w:t>
      </w:r>
      <w:r>
        <w:rPr>
          <w:spacing w:val="-15"/>
        </w:rPr>
        <w:t> </w:t>
      </w:r>
      <w:r>
        <w:rPr/>
        <w:t>at the expense </w:t>
      </w:r>
      <w:r>
        <w:rPr>
          <w:spacing w:val="2"/>
        </w:rPr>
        <w:t>of </w:t>
      </w:r>
      <w:r>
        <w:rPr/>
        <w:t>a continuation </w:t>
      </w:r>
      <w:r>
        <w:rPr>
          <w:spacing w:val="2"/>
        </w:rPr>
        <w:t>of </w:t>
      </w:r>
      <w:r>
        <w:rPr/>
        <w:t>domestic and foreign imbalances. The private sector deficit is </w:t>
      </w:r>
      <w:r>
        <w:rPr>
          <w:spacing w:val="2"/>
        </w:rPr>
        <w:t>running </w:t>
      </w:r>
      <w:r>
        <w:rPr/>
        <w:t>at </w:t>
      </w:r>
      <w:r>
        <w:rPr>
          <w:spacing w:val="4"/>
        </w:rPr>
        <w:t>over </w:t>
      </w:r>
      <w:r>
        <w:rPr/>
        <w:t>6% </w:t>
      </w:r>
      <w:r>
        <w:rPr>
          <w:spacing w:val="3"/>
        </w:rPr>
        <w:t>of </w:t>
      </w:r>
      <w:r>
        <w:rPr/>
        <w:t>GDP— well </w:t>
      </w:r>
      <w:r>
        <w:rPr>
          <w:spacing w:val="4"/>
        </w:rPr>
        <w:t>out </w:t>
      </w:r>
      <w:r>
        <w:rPr>
          <w:spacing w:val="3"/>
        </w:rPr>
        <w:t>of </w:t>
      </w:r>
      <w:r>
        <w:rPr/>
        <w:t>line with previous post-war experience. The main counterpart is the US’ external current account deficit which, at about 4.5% </w:t>
      </w:r>
      <w:r>
        <w:rPr>
          <w:spacing w:val="3"/>
        </w:rPr>
        <w:t>of </w:t>
      </w:r>
      <w:r>
        <w:rPr/>
        <w:t>GDP, is substantially higher than the imbalances </w:t>
      </w:r>
      <w:r>
        <w:rPr>
          <w:spacing w:val="3"/>
        </w:rPr>
        <w:t>of </w:t>
      </w:r>
      <w:r>
        <w:rPr/>
        <w:t>the mid-1980s. (See Charts 1 and 2.) Most commentators agree that </w:t>
      </w:r>
      <w:r>
        <w:rPr>
          <w:spacing w:val="3"/>
        </w:rPr>
        <w:t>one </w:t>
      </w:r>
      <w:r>
        <w:rPr>
          <w:spacing w:val="2"/>
        </w:rPr>
        <w:t>of </w:t>
      </w:r>
      <w:r>
        <w:rPr/>
        <w:t>the main downside risks for the US and the world economy is a major reaction </w:t>
      </w:r>
      <w:r>
        <w:rPr>
          <w:spacing w:val="2"/>
        </w:rPr>
        <w:t>of </w:t>
      </w:r>
      <w:r>
        <w:rPr/>
        <w:t>the private sector (households and corporations) towards financial prudence as balance sheets get stretched. (Such a reaction would be the more likely if further stockmarket falls were </w:t>
      </w:r>
      <w:r>
        <w:rPr>
          <w:spacing w:val="3"/>
        </w:rPr>
        <w:t>to</w:t>
      </w:r>
      <w:r>
        <w:rPr/>
        <w:t> materialise.)</w:t>
      </w:r>
    </w:p>
    <w:p>
      <w:pPr>
        <w:pStyle w:val="BodyText"/>
        <w:spacing w:before="5"/>
        <w:rPr>
          <w:sz w:val="36"/>
        </w:rPr>
      </w:pPr>
    </w:p>
    <w:p>
      <w:pPr>
        <w:pStyle w:val="Heading1"/>
      </w:pPr>
      <w:r>
        <w:rPr/>
        <w:t>Chart 1: US sectoral balances</w:t>
      </w:r>
    </w:p>
    <w:p>
      <w:pPr>
        <w:pStyle w:val="BodyText"/>
        <w:spacing w:before="6"/>
        <w:rPr>
          <w:b/>
          <w:sz w:val="16"/>
        </w:rPr>
      </w:pPr>
    </w:p>
    <w:p>
      <w:pPr>
        <w:spacing w:line="183" w:lineRule="exact" w:before="94"/>
        <w:ind w:left="3737" w:right="4203" w:firstLine="0"/>
        <w:jc w:val="center"/>
        <w:rPr>
          <w:sz w:val="16"/>
        </w:rPr>
      </w:pPr>
      <w:r>
        <w:rPr>
          <w:sz w:val="16"/>
        </w:rPr>
        <w:t>% of GDP</w:t>
      </w:r>
    </w:p>
    <w:p>
      <w:pPr>
        <w:spacing w:line="183" w:lineRule="exact" w:before="0"/>
        <w:ind w:left="113" w:right="0" w:firstLine="0"/>
        <w:jc w:val="center"/>
        <w:rPr>
          <w:sz w:val="16"/>
        </w:rPr>
      </w:pPr>
      <w:r>
        <w:rPr/>
        <w:pict>
          <v:group style="position:absolute;margin-left:106.199997pt;margin-top:4.909142pt;width:188.4pt;height:163pt;mso-position-horizontal-relative:page;mso-position-vertical-relative:paragraph;z-index:251664384" coordorigin="2124,98" coordsize="3768,3260">
            <v:line style="position:absolute" from="2160,1733" to="2160,2169" stroked="true" strokeweight="1.44pt" strokecolor="#ff00ff">
              <v:stroke dashstyle="solid"/>
            </v:line>
            <v:line style="position:absolute" from="2210,1733" to="2210,2213" stroked="true" strokeweight=".72pt" strokecolor="#ff00ff">
              <v:stroke dashstyle="solid"/>
            </v:line>
            <v:line style="position:absolute" from="2261,1733" to="2261,2198" stroked="true" strokeweight="1.44pt" strokecolor="#ff00ff">
              <v:stroke dashstyle="solid"/>
            </v:line>
            <v:line style="position:absolute" from="2314,1733" to="2314,2261" stroked="true" strokeweight=".96pt" strokecolor="#ff00ff">
              <v:stroke dashstyle="solid"/>
            </v:line>
            <v:line style="position:absolute" from="2366,1733" to="2366,2198" stroked="true" strokeweight="1.44pt" strokecolor="#ff00ff">
              <v:stroke dashstyle="solid"/>
            </v:line>
            <v:line style="position:absolute" from="2417,1733" to="2417,2289" stroked="true" strokeweight=".72pt" strokecolor="#ff00ff">
              <v:stroke dashstyle="solid"/>
            </v:line>
            <v:line style="position:absolute" from="2472,1733" to="2472,2318" stroked="true" strokeweight="1.44pt" strokecolor="#ff00ff">
              <v:stroke dashstyle="solid"/>
            </v:line>
            <v:line style="position:absolute" from="2522,1733" to="2522,2381" stroked="true" strokeweight=".72pt" strokecolor="#ff00ff">
              <v:stroke dashstyle="solid"/>
            </v:line>
            <v:line style="position:absolute" from="2578,1733" to="2578,2366" stroked="true" strokeweight="1.44pt" strokecolor="#ff00ff">
              <v:stroke dashstyle="solid"/>
            </v:line>
            <v:line style="position:absolute" from="2628,1733" to="2628,2381" stroked="true" strokeweight=".72pt" strokecolor="#ff00ff">
              <v:stroke dashstyle="solid"/>
            </v:line>
            <v:line style="position:absolute" from="2681,1733" to="2681,2424" stroked="true" strokeweight="1.68pt" strokecolor="#ff00ff">
              <v:stroke dashstyle="solid"/>
            </v:line>
            <v:line style="position:absolute" from="2741,1733" to="2741,2424" stroked="true" strokeweight="1.44pt" strokecolor="#ff00ff">
              <v:stroke dashstyle="solid"/>
            </v:line>
            <v:line style="position:absolute" from="2794,1733" to="2794,2424" stroked="true" strokeweight=".96pt" strokecolor="#ff00ff">
              <v:stroke dashstyle="solid"/>
            </v:line>
            <v:line style="position:absolute" from="2846,1733" to="2846,2424" stroked="true" strokeweight="1.44pt" strokecolor="#ff00ff">
              <v:stroke dashstyle="solid"/>
            </v:line>
            <v:line style="position:absolute" from="2897,1733" to="2897,2409" stroked="true" strokeweight=".72pt" strokecolor="#ff00ff">
              <v:stroke dashstyle="solid"/>
            </v:line>
            <v:line style="position:absolute" from="2952,1733" to="2952,2409" stroked="true" strokeweight="1.44pt" strokecolor="#ff00ff">
              <v:stroke dashstyle="solid"/>
            </v:line>
            <v:line style="position:absolute" from="3002,1733" to="3002,2275" stroked="true" strokeweight=".72pt" strokecolor="#ff00ff">
              <v:stroke dashstyle="solid"/>
            </v:line>
            <v:line style="position:absolute" from="3058,1733" to="3058,2184" stroked="true" strokeweight="1.44pt" strokecolor="#ff00ff">
              <v:stroke dashstyle="solid"/>
            </v:line>
            <v:line style="position:absolute" from="3108,1733" to="3108,2169" stroked="true" strokeweight=".72pt" strokecolor="#ff00ff">
              <v:stroke dashstyle="solid"/>
            </v:line>
            <v:line style="position:absolute" from="3161,1733" to="3161,2213" stroked="true" strokeweight="1.68pt" strokecolor="#ff00ff">
              <v:stroke dashstyle="solid"/>
            </v:line>
            <v:line style="position:absolute" from="3214,1733" to="3214,2141" stroked="true" strokeweight=".72pt" strokecolor="#ff00ff">
              <v:stroke dashstyle="solid"/>
            </v:line>
            <v:line style="position:absolute" from="3266,1733" to="3266,2112" stroked="true" strokeweight="1.68pt" strokecolor="#ff00ff">
              <v:stroke dashstyle="solid"/>
            </v:line>
            <v:line style="position:absolute" from="3319,1733" to="3319,2064" stroked="true" strokeweight=".72pt" strokecolor="#ff00ff">
              <v:stroke dashstyle="solid"/>
            </v:line>
            <v:shape style="position:absolute;left:3369;top:1732;width:63;height:332" coordorigin="3370,1733" coordsize="63,332" path="m3370,1733l3370,2064m3432,1733l3432,2049e" filled="false" stroked="true" strokeweight="1.44pt" strokecolor="#ff00ff">
              <v:path arrowok="t"/>
              <v:stroke dashstyle="solid"/>
            </v:shape>
            <v:line style="position:absolute" from="3482,1733" to="3482,2006" stroked="true" strokeweight=".72pt" strokecolor="#ff00ff">
              <v:stroke dashstyle="solid"/>
            </v:line>
            <v:line style="position:absolute" from="3538,1733" to="3538,2035" stroked="true" strokeweight="1.44pt" strokecolor="#ff00ff">
              <v:stroke dashstyle="solid"/>
            </v:line>
            <v:line style="position:absolute" from="3588,1733" to="3588,1929" stroked="true" strokeweight=".72pt" strokecolor="#ff00ff">
              <v:stroke dashstyle="solid"/>
            </v:line>
            <v:line style="position:absolute" from="3641,1569" to="3641,1733" stroked="true" strokeweight="1.68pt" strokecolor="#ff00ff">
              <v:stroke dashstyle="solid"/>
            </v:line>
            <v:shape style="position:absolute;left:3686;top:1703;width:178;height:92" coordorigin="3686,1704" coordsize="178,92" path="m3701,1704l3686,1704,3686,1733,3701,1733,3701,1704m3763,1733l3730,1733,3730,1795,3763,1795,3763,1733m3806,1733l3792,1733,3792,1795,3806,1795,3806,1733m3864,1733l3835,1733,3835,1795,3864,1795,3864,1733e" filled="true" fillcolor="#ff00ff" stroked="false">
              <v:path arrowok="t"/>
              <v:fill type="solid"/>
            </v:shape>
            <v:line style="position:absolute" from="3905,1733" to="3905,1886" stroked="true" strokeweight=".72pt" strokecolor="#ff00ff">
              <v:stroke dashstyle="solid"/>
            </v:line>
            <v:shape style="position:absolute;left:3955;top:1732;width:63;height:226" coordorigin="3955,1733" coordsize="63,226" path="m3955,1733l3955,1886m4018,1733l4018,1958e" filled="false" stroked="true" strokeweight="1.44pt" strokecolor="#ff00ff">
              <v:path arrowok="t"/>
              <v:stroke dashstyle="solid"/>
            </v:shape>
            <v:line style="position:absolute" from="4068,1733" to="4068,1886" stroked="true" strokeweight=".72pt" strokecolor="#ff00ff">
              <v:stroke dashstyle="solid"/>
            </v:line>
            <v:line style="position:absolute" from="4121,1733" to="4121,1992" stroked="true" strokeweight="1.68pt" strokecolor="#ff00ff">
              <v:stroke dashstyle="solid"/>
            </v:line>
            <v:line style="position:absolute" from="4174,1733" to="4174,1992" stroked="true" strokeweight=".72pt" strokecolor="#ff00ff">
              <v:stroke dashstyle="solid"/>
            </v:line>
            <v:line style="position:absolute" from="4226,1733" to="4226,2049" stroked="true" strokeweight="1.68pt" strokecolor="#ff00ff">
              <v:stroke dashstyle="solid"/>
            </v:line>
            <v:line style="position:absolute" from="4279,1733" to="4279,2006" stroked="true" strokeweight=".72pt" strokecolor="#ff00ff">
              <v:stroke dashstyle="solid"/>
            </v:line>
            <v:line style="position:absolute" from="4330,1733" to="4330,2064" stroked="true" strokeweight="1.44pt" strokecolor="#ff00ff">
              <v:stroke dashstyle="solid"/>
            </v:line>
            <v:line style="position:absolute" from="4385,1733" to="4385,2078" stroked="true" strokeweight=".72pt" strokecolor="#ff00ff">
              <v:stroke dashstyle="solid"/>
            </v:line>
            <v:line style="position:absolute" from="4435,1733" to="4435,2126" stroked="true" strokeweight="1.44pt" strokecolor="#ff00ff">
              <v:stroke dashstyle="solid"/>
            </v:line>
            <v:line style="position:absolute" from="4490,1733" to="4490,2064" stroked="true" strokeweight=".72pt" strokecolor="#ff00ff">
              <v:stroke dashstyle="solid"/>
            </v:line>
            <v:line style="position:absolute" from="4541,1733" to="4541,2078" stroked="true" strokeweight="1.44pt" strokecolor="#ff00ff">
              <v:stroke dashstyle="solid"/>
            </v:line>
            <v:line style="position:absolute" from="4601,1733" to="4601,2021" stroked="true" strokeweight="1.68pt" strokecolor="#ff00ff">
              <v:stroke dashstyle="solid"/>
            </v:line>
            <v:line style="position:absolute" from="4654,1733" to="4654,1958" stroked="true" strokeweight=".72pt" strokecolor="#ff00ff">
              <v:stroke dashstyle="solid"/>
            </v:line>
            <v:line style="position:absolute" from="4706,1733" to="4706,1992" stroked="true" strokeweight="1.68pt" strokecolor="#ff00ff">
              <v:stroke dashstyle="solid"/>
            </v:line>
            <v:line style="position:absolute" from="4759,1733" to="4759,2035" stroked="true" strokeweight=".72pt" strokecolor="#ff00ff">
              <v:stroke dashstyle="solid"/>
            </v:line>
            <v:line style="position:absolute" from="4810,1733" to="4810,2093" stroked="true" strokeweight="1.44pt" strokecolor="#ff00ff">
              <v:stroke dashstyle="solid"/>
            </v:line>
            <v:line style="position:absolute" from="4865,1733" to="4865,2035" stroked="true" strokeweight=".72pt" strokecolor="#ff00ff">
              <v:stroke dashstyle="solid"/>
            </v:line>
            <v:line style="position:absolute" from="4915,1733" to="4915,2078" stroked="true" strokeweight="1.44pt" strokecolor="#ff00ff">
              <v:stroke dashstyle="solid"/>
            </v:line>
            <v:line style="position:absolute" from="4970,1733" to="4970,2021" stroked="true" strokeweight=".72pt" strokecolor="#ff00ff">
              <v:stroke dashstyle="solid"/>
            </v:line>
            <v:line style="position:absolute" from="5021,1733" to="5021,2049" stroked="true" strokeweight="1.44pt" strokecolor="#ff00ff">
              <v:stroke dashstyle="solid"/>
            </v:line>
            <v:line style="position:absolute" from="5074,1733" to="5074,2126" stroked="true" strokeweight=".96pt" strokecolor="#ff00ff">
              <v:stroke dashstyle="solid"/>
            </v:line>
            <v:line style="position:absolute" from="5126,1733" to="5126,2141" stroked="true" strokeweight="1.44pt" strokecolor="#ff00ff">
              <v:stroke dashstyle="solid"/>
            </v:line>
            <v:line style="position:absolute" from="5177,1733" to="5177,2213" stroked="true" strokeweight=".72pt" strokecolor="#ff00ff">
              <v:stroke dashstyle="solid"/>
            </v:line>
            <v:shape style="position:absolute;left:5232;top:1732;width:58;height:557" coordorigin="5232,1733" coordsize="58,557" path="m5232,1733l5232,2289m5290,1733l5290,2275e" filled="false" stroked="true" strokeweight="1.44pt" strokecolor="#ff00ff">
              <v:path arrowok="t"/>
              <v:stroke dashstyle="solid"/>
            </v:shape>
            <v:line style="position:absolute" from="5345,1733" to="5345,2318" stroked="true" strokeweight=".72pt" strokecolor="#ff00ff">
              <v:stroke dashstyle="solid"/>
            </v:line>
            <v:line style="position:absolute" from="5395,1733" to="5395,2409" stroked="true" strokeweight="1.44pt" strokecolor="#ff00ff">
              <v:stroke dashstyle="solid"/>
            </v:line>
            <v:line style="position:absolute" from="5450,1733" to="5450,2501" stroked="true" strokeweight=".72pt" strokecolor="#ff00ff">
              <v:stroke dashstyle="solid"/>
            </v:line>
            <v:line style="position:absolute" from="5501,1733" to="5501,2515" stroked="true" strokeweight="1.44pt" strokecolor="#ff00ff">
              <v:stroke dashstyle="solid"/>
            </v:line>
            <v:line style="position:absolute" from="5554,1733" to="5554,2606" stroked="true" strokeweight=".96pt" strokecolor="#ff00ff">
              <v:stroke dashstyle="solid"/>
            </v:line>
            <v:line style="position:absolute" from="5606,1733" to="5606,2606" stroked="true" strokeweight="1.44pt" strokecolor="#ff00ff">
              <v:stroke dashstyle="solid"/>
            </v:line>
            <v:line style="position:absolute" from="5657,1733" to="5657,2664" stroked="true" strokeweight=".72pt" strokecolor="#ff00ff">
              <v:stroke dashstyle="solid"/>
            </v:line>
            <v:line style="position:absolute" from="5712,1733" to="5712,2664" stroked="true" strokeweight="1.44pt" strokecolor="#ff00ff">
              <v:stroke dashstyle="solid"/>
            </v:line>
            <v:line style="position:absolute" from="5762,1733" to="5762,2621" stroked="true" strokeweight=".72pt" strokecolor="#ff00ff">
              <v:stroke dashstyle="solid"/>
            </v:line>
            <v:line style="position:absolute" from="5818,1733" to="5818,2573" stroked="true" strokeweight="1.44pt" strokecolor="#ff00ff">
              <v:stroke dashstyle="solid"/>
            </v:line>
            <v:shape style="position:absolute;left:5846;top:100;width:44;height:3255" coordorigin="5846,101" coordsize="44,3255" path="m5846,101l5846,3355,5890,3355m5846,2947l5890,2952m5846,2544l5890,2544m5846,2141l5890,2141e" filled="false" stroked="true" strokeweight=".24pt" strokecolor="#000000">
              <v:path arrowok="t"/>
              <v:stroke dashstyle="solid"/>
            </v:shape>
            <v:line style="position:absolute" from="5844,1735" to="5892,1735" stroked="true" strokeweight=".48pt" strokecolor="#000000">
              <v:stroke dashstyle="solid"/>
            </v:line>
            <v:shape style="position:absolute;left:2126;top:100;width:3764;height:1637" coordorigin="2126,101" coordsize="3764,1637" path="m5846,1315l5890,1315m5846,907l5890,912m5846,504l5890,504m5846,101l5890,101m2126,1733l5846,1737e" filled="false" stroked="true" strokeweight=".24pt" strokecolor="#000000">
              <v:path arrowok="t"/>
              <v:stroke dashstyle="solid"/>
            </v:shape>
            <v:line style="position:absolute" from="2129,1730" to="2129,1783" stroked="true" strokeweight=".48pt" strokecolor="#000000">
              <v:stroke dashstyle="solid"/>
            </v:line>
            <v:line style="position:absolute" from="2818,1781" to="2818,1733" stroked="true" strokeweight=".24pt" strokecolor="#000000">
              <v:stroke dashstyle="solid"/>
            </v:line>
            <v:line style="position:absolute" from="3506,1730" to="3506,1783" stroked="true" strokeweight=".48pt" strokecolor="#000000">
              <v:stroke dashstyle="solid"/>
            </v:line>
            <v:shape style="position:absolute;left:4195;top:1732;width:1383;height:48" coordorigin="4195,1733" coordsize="1383,48" path="m4195,1781l4195,1733m4886,1781l4886,1733m5578,1781l5578,1733e" filled="false" stroked="true" strokeweight=".24pt" strokecolor="#000000">
              <v:path arrowok="t"/>
              <v:stroke dashstyle="solid"/>
            </v:shape>
            <v:shape style="position:absolute;left:2160;top:1180;width:3620;height:1800" coordorigin="2160,1181" coordsize="3620,1800" path="m3960,2977l3950,2977,3955,2981,3960,2977xm3928,2905l3912,2905,3917,2919,3905,2922,3946,2977,3965,2977,3970,2973,3972,2967,3941,2967,3946,2959,3948,2955,3953,2942,3928,2905xm3948,2955l3946,2959,3941,2967,3955,2967,3960,2963,3946,2963,3948,2955xm4003,2809l3953,2942,3965,2959,3955,2967,3972,2967,4018,2842,4008,2829,4013,2827,4018,2815,4003,2815,4003,2809xm3960,2953l3950,2953,3948,2955,3946,2963,3960,2953xm3961,2953l3960,2953,3946,2963,3960,2963,3965,2959,3961,2953xm3953,2942l3948,2955,3950,2953,3961,2953,3953,2942xm3817,2785l3806,2785,3811,2799,3798,2805,3840,2925,3840,2929,3845,2935,3854,2935,3905,2922,3902,2919,3850,2919,3850,2905,3860,2905,3817,2785xm3912,2905l3907,2919,3902,2919,3905,2922,3917,2919,3912,2905xm3861,2906l3853,2908,3854,2909,3850,2909,3850,2919,3864,2915,3862,2909,3854,2909,3853,2908,3862,2908,3861,2906xm3912,2891l3907,2895,3861,2906,3864,2915,3850,2919,3907,2919,3912,2905,3928,2905,3922,2895,3917,2895,3912,2891xm3850,2905l3850,2909,3853,2908,3850,2905xm3860,2905l3850,2905,3853,2908,3861,2906,3860,2905xm2589,2727l2578,2727,2587,2737,2573,2754,2626,2867,2626,2871,2630,2871,2630,2877,2674,2891,2678,2891,2683,2885,2688,2885,2693,2881,2694,2877,2664,2877,2669,2867,2672,2863,2673,2861,2635,2861,2640,2847,2645,2847,2589,2727xm4066,2885l4056,2885,4061,2891,4066,2885xm4040,2823l4027,2823,4024,2826,4018,2842,4051,2885,4070,2885,4070,2881,4072,2877,4046,2877,4049,2871,4046,2871,4056,2847,4040,2823xm2414,2871l2405,2871,2410,2877,2414,2871xm2672,2863l2669,2867,2664,2877,2678,2877,2680,2871,2669,2871,2672,2863xm2726,2723l2674,2858,2683,2861,2678,2877,2694,2877,2743,2753,2731,2737,2736,2737,2741,2727,2726,2727,2726,2723xm4066,2861l4066,2861,4050,2869,4046,2877,4061,2877,4070,2867,4066,2861xm4171,2723l4109,2723,4056,2847,4070,2867,4061,2877,4072,2877,4129,2741,4123,2741,4128,2737,4123,2737,4118,2727,4161,2727,4171,2723xm2381,2575l2366,2575,2381,2579,2362,2638,2400,2861,2400,2871,2419,2871,2426,2861,2410,2861,2400,2853,2419,2824,2381,2575xm2678,2861l2674,2861,2672,2863,2669,2871,2678,2861xm2683,2861l2678,2861,2669,2871,2680,2871,2683,2861xm4056,2847l4046,2871,4050,2869,4051,2867,4056,2861,4066,2861,4056,2847xm4050,2869l4046,2871,4049,2871,4050,2869xm4066,2861l4056,2861,4051,2867,4050,2869,4066,2861xm2674,2858l2672,2863,2674,2861,2683,2861,2674,2858xm2414,2847l2405,2847,2400,2853,2410,2861,2424,2857,2423,2853,2419,2853,2414,2847xm2477,2757l2467,2757,2462,2761,2419,2824,2424,2857,2410,2861,2426,2861,2477,2787,2467,2785,2472,2783,2472,2771,2522,2771,2477,2757xm2640,2847l2635,2861,2650,2857,2646,2848,2640,2847xm2646,2848l2650,2857,2635,2861,2673,2861,2674,2858,2646,2848xm2419,2824l2400,2853,2405,2847,2422,2847,2419,2824xm2422,2847l2414,2847,2419,2853,2423,2853,2422,2847xm2645,2847l2640,2847,2646,2848,2645,2847xm4024,2826l4022,2829,4008,2829,4018,2842,4023,2829,4013,2829,4013,2827,4024,2827,4024,2826xm3655,2575l3638,2575,3653,2579,3640,2609,3686,2733,3691,2737,3734,2823,3739,2829,3754,2829,3780,2815,3744,2815,3739,2805,3744,2799,3752,2799,3753,2798,3715,2727,3701,2727,3709,2720,3655,2575xm4026,2823l4013,2827,4013,2829,4022,2829,4024,2826,4026,2823xm4018,2815l4013,2827,4026,2823,4027,2819,4018,2815xm4027,2823l4026,2823,4024,2826,4027,2823xm4027,2805l4008,2805,4003,2815,4018,2815,4027,2819,4026,2823,4027,2823,4040,2823,4027,2805xm3753,2798l3746,2801,3749,2805,3739,2805,3744,2815,3758,2809,3756,2805,3749,2805,3746,2801,3754,2801,3753,2798xm3806,2771l3802,2775,3753,2798,3758,2809,3744,2815,3780,2815,3798,2805,3792,2789,3803,2789,3806,2785,3817,2785,3816,2781,3816,2775,3811,2775,3806,2771xm3792,2789l3798,2805,3811,2799,3802,2799,3797,2795,3799,2792,3792,2789xm3744,2799l3739,2805,3746,2801,3744,2799xm4018,2799l4013,2805,4022,2805,4018,2799xm3752,2799l3744,2799,3746,2801,3752,2799xm2522,2771l2472,2771,2482,2781,2477,2787,2530,2799,2539,2799,2550,2785,2530,2785,2525,2775,2520,2775,2523,2771,2522,2771xm2746,2713l2736,2713,2731,2719,2726,2727,2741,2727,2750,2733,2743,2753,2774,2799,2789,2799,2798,2789,2799,2785,2770,2785,2774,2775,2776,2775,2780,2757,2750,2719,2746,2713xm3799,2792l3797,2795,3802,2799,3811,2799,3799,2792xm3806,2785l3799,2792,3811,2799,3806,2785xm3803,2789l3792,2789,3799,2792,3803,2789xm2482,2781l2474,2783,2472,2785,2467,2785,2477,2787,2479,2785,2472,2785,2472,2783,2480,2783,2482,2781xm2309,2781l2299,2781,2304,2785,2309,2781xm2474,2783l2472,2783,2472,2785,2474,2783xm2527,2772l2525,2775,2530,2785,2534,2775,2527,2772xm2561,2771l2530,2771,2527,2772,2534,2775,2530,2785,2550,2785,2561,2771xm2776,2775l2774,2775,2770,2785,2774,2785,2776,2775xm2780,2757l2774,2785,2789,2775,2779,2775,2784,2771,2791,2771,2780,2757xm2791,2771l2784,2771,2789,2775,2774,2785,2784,2785,2794,2775,2791,2771xm2832,2483l2780,2757,2794,2775,2784,2785,2799,2785,2854,2521,2837,2497,2842,2497,2846,2487,2832,2487,2832,2483xm2472,2771l2472,2783,2474,2783,2477,2781,2482,2781,2472,2771xm2482,2781l2477,2781,2474,2783,2482,2781xm2253,2720l2252,2722,2251,2723,2294,2781,2314,2781,2318,2775,2320,2771,2290,2771,2294,2761,2296,2759,2301,2743,2287,2723,2256,2723,2253,2720xm2523,2771l2520,2775,2526,2772,2523,2771xm2526,2772l2520,2775,2525,2775,2527,2772,2526,2772xm2784,2771l2779,2775,2789,2775,2784,2771xm2582,2713l2573,2713,2568,2719,2523,2771,2526,2772,2530,2771,2561,2771,2573,2754,2563,2733,2572,2733,2578,2727,2589,2727,2587,2723,2587,2719,2582,2713xm2296,2759l2294,2761,2290,2771,2304,2771,2310,2765,2294,2765,2296,2759xm2376,2565l2357,2565,2352,2575,2301,2743,2314,2761,2304,2771,2320,2771,2362,2638,2352,2579,2362,2579,2366,2575,2381,2575,2376,2565xm2309,2757l2299,2757,2296,2759,2294,2765,2309,2757xm2311,2757l2309,2757,2294,2765,2310,2765,2314,2761,2311,2757xm2301,2743l2296,2759,2299,2757,2311,2757,2301,2743xm2563,2733l2573,2754,2584,2741,2578,2741,2573,2737,2568,2737,2570,2734,2563,2733xm2736,2737l2731,2737,2743,2753,2747,2741,2741,2741,2736,2737xm2570,2734l2568,2737,2573,2737,2578,2741,2582,2737,2570,2734xm2578,2727l2570,2734,2582,2737,2578,2741,2584,2741,2587,2737,2578,2727xm2741,2727l2736,2737,2741,2741,2746,2737,2749,2737,2750,2733,2741,2727xm2749,2737l2746,2737,2741,2741,2747,2741,2749,2737xm3586,2737l3576,2737,3581,2741,3586,2737xm4118,2727l4123,2737,4128,2737,4123,2741,4131,2738,4133,2733,4118,2727xm4131,2738l4123,2741,4129,2741,4131,2738xm4161,2727l4118,2727,4133,2733,4131,2738,4161,2727xm3593,2713l3586,2713,3590,2719,3569,2722,3566,2727,3571,2737,3590,2737,3590,2733,3593,2727,3581,2727,3594,2723,3595,2721,3593,2713xm2572,2733l2563,2733,2570,2734,2572,2733xm3536,2528l3527,2534,3566,2727,3569,2723,3566,2723,3586,2675,3556,2531,3538,2531,3536,2528xm3594,2723l3581,2727,3593,2727,3594,2723xm3709,2720l3701,2727,3710,2723,3709,2720xm3710,2719l3709,2720,3710,2723,3701,2727,3715,2727,3710,2719xm4153,2701l4114,2713,4109,2719,4104,2727,4109,2723,4171,2723,4176,2719,4181,2709,4166,2709,4152,2703,4153,2701xm3595,2721l3594,2723,3595,2723,3595,2721xm2261,2709l2253,2720,2256,2723,2261,2709xm2277,2709l2261,2709,2256,2723,2287,2723,2277,2709xm3586,2675l3566,2723,3569,2722,3571,2719,3576,2713,3593,2713,3586,2675xm3569,2722l3566,2723,3569,2723,3569,2722xm3586,2713l3576,2713,3571,2719,3569,2722,3590,2719,3586,2713xm3653,2569l3629,2569,3586,2675,3595,2721,3640,2609,3632,2586,3629,2583,3630,2582,3629,2579,3634,2579,3638,2575,3655,2575,3653,2569xm2203,2651l2198,2661,2194,2661,2253,2720,2261,2709,2277,2709,2270,2699,2236,2665,2203,2665,2203,2651xm4162,2699l4153,2701,4152,2703,4166,2709,4162,2699xm4185,2699l4162,2699,4166,2709,4181,2709,4185,2699xm4258,2525l4214,2569,4153,2701,4162,2699,4185,2699,4236,2589,4234,2589,4224,2575,4248,2575,4282,2541,4282,2535,4283,2531,4272,2531,4258,2525xm2208,2637l2160,2637,2160,2665,2198,2665,2194,2661,2198,2661,2203,2651,2222,2651,2208,2637xm2222,2651l2203,2651,2203,2665,2236,2665,2222,2651xm2352,2579l2362,2638,2378,2589,2362,2589,2357,2583,2360,2580,2352,2579xm3632,2586l3640,2609,3649,2589,3634,2589,3632,2586xm2360,2580l2357,2583,2362,2589,2371,2589,2376,2583,2360,2580xm2366,2575l2360,2580,2376,2583,2371,2589,2378,2589,2381,2579,2366,2575xm3633,2579l3630,2582,3632,2586,3634,2589,3643,2589,3648,2583,3633,2579xm3638,2575l3633,2579,3648,2583,3643,2589,3649,2589,3653,2579,3638,2575xm4224,2575l4234,2589,4237,2585,4238,2583,4224,2575xm4237,2585l4234,2589,4236,2589,4237,2585xm3630,2582l3629,2583,3632,2586,3630,2582xm4248,2575l4224,2575,4238,2583,4237,2585,4248,2575xm3629,2579l3630,2582,3633,2579,3629,2579xm2362,2579l2352,2579,2360,2580,2362,2579xm3634,2579l3629,2579,3633,2579,3634,2579xm3361,2437l3418,2569,3422,2569,3427,2575,3437,2575,3480,2559,3432,2559,3432,2549,3427,2549,3432,2547,3432,2545,3437,2545,3392,2439,3365,2439,3361,2437xm3648,2565l3629,2565,3624,2575,3629,2569,3653,2569,3648,2565xm2366,2559l2362,2565,2371,2565,2366,2559xm3638,2559l3634,2565,3643,2565,3638,2559xm2851,2473l2842,2473,2837,2479,2832,2487,2861,2487,2854,2521,2880,2559,2957,2559,3000,2545,2890,2545,2894,2535,2890,2531,2896,2531,2856,2479,2851,2473xm3434,2546l3432,2547,3432,2559,3442,2555,3439,2549,3437,2549,3434,2546xm3470,2535l3438,2545,3442,2555,3432,2559,3485,2559,3509,2545,3475,2545,3470,2535xm3432,2547l3427,2549,3432,2549,3432,2547xm3438,2545l3434,2546,3437,2549,3439,2549,3438,2545xm3432,2545l3432,2547,3434,2546,3432,2545xm3437,2545l3432,2545,3434,2546,3438,2545,3437,2545xm2896,2531l2890,2531,2894,2535,2890,2545,2899,2535,2896,2531xm2952,2531l2896,2531,2899,2535,2890,2545,2952,2545,2947,2535,2952,2533,2952,2531xm2952,2533l2947,2535,2952,2545,2952,2533xm2988,2518l2952,2533,2952,2545,3000,2545,3000,2541,3005,2541,3013,2531,2995,2531,2986,2521,2988,2518xm3542,2501l3528,2501,3470,2535,3475,2545,3509,2545,3527,2534,3523,2517,3553,2517,3552,2511,3542,2501xm3523,2517l3527,2534,3536,2528,3533,2525,3528,2525,3533,2521,3523,2517xm2990,2517l2988,2518,2986,2521,2995,2531,2990,2517xm3026,2517l2990,2517,2995,2531,3013,2531,3026,2517xm3542,2525l3536,2528,3538,2531,3542,2525xm3553,2517l3538,2517,3542,2525,3538,2531,3556,2531,3553,2517xm4262,2521l4258,2525,4272,2531,4262,2521xm4288,2521l4262,2521,4272,2531,4283,2531,4288,2521xm3533,2521l3528,2525,3533,2525,3536,2528,3542,2525,3533,2521xm4334,2381l4325,2381,4320,2387,4320,2391,4258,2525,4258,2525,4262,2521,4288,2521,4334,2422,4320,2405,4325,2405,4330,2397,4348,2397,4339,2387,4334,2381xm3538,2517l3533,2521,3542,2525,3538,2517xm2842,2497l2837,2497,2854,2521,2858,2501,2846,2501,2842,2497xm3538,2517l3523,2517,3533,2521,3538,2517xm3151,2397l3110,2397,3048,2445,2988,2518,2990,2517,3026,2517,3067,2469,3058,2455,3084,2455,3120,2425,3115,2425,3115,2411,3158,2411,3149,2401,3151,2397xm2861,2487l2846,2487,2842,2497,2846,2501,2851,2497,2859,2497,2861,2487xm2859,2497l2851,2497,2846,2501,2858,2501,2859,2497xm4348,2397l4330,2397,4344,2401,4334,2422,4382,2483,4402,2483,4411,2469,4392,2469,4387,2459,4382,2459,4391,2447,4348,2397xm3084,2455l3058,2455,3067,2469,3084,2455xm4398,2455l4392,2455,4397,2459,4387,2459,4392,2469,4402,2459,4397,2459,4392,2455,4398,2455xm4492,2397l4430,2397,4426,2401,4391,2447,4402,2459,4392,2469,4411,2469,4442,2425,4435,2425,4435,2411,4498,2411,4494,2401,4488,2401,4492,2397xm4391,2447l4382,2459,4387,2459,4392,2455,4398,2455,4391,2447xm3370,2425l3360,2435,3361,2437,3365,2439,3370,2425xm3386,2425l3370,2425,3365,2439,3392,2439,3386,2425xm3238,2291l3221,2291,3230,2295,3221,2314,3254,2363,3259,2363,3317,2421,3322,2421,3322,2425,3361,2437,3360,2435,3370,2425,3386,2425,3384,2421,3379,2415,3374,2415,3365,2411,3326,2411,3331,2397,3332,2397,3284,2349,3264,2349,3274,2339,3238,2291xm3115,2411l3115,2425,3120,2421,3125,2421,3115,2411xm3125,2421l3120,2421,3115,2425,3120,2425,3125,2421xm3181,2397l3158,2397,3158,2411,3115,2411,3125,2421,3120,2425,3158,2425,3163,2421,3168,2421,3173,2415,3181,2397xm4435,2411l4435,2425,4440,2421,4445,2421,4435,2411xm4445,2421l4440,2421,4435,2425,4442,2425,4445,2421xm4531,2397l4498,2397,4498,2411,4435,2411,4445,2421,4442,2425,4498,2425,4502,2421,4507,2421,4531,2397xm4325,2405l4320,2405,4334,2422,4339,2411,4330,2411,4325,2405xm3158,2397l3149,2401,3158,2411,3158,2397xm3331,2397l3326,2411,3336,2401,3333,2397,3331,2397xm3333,2397l3336,2401,3326,2411,3365,2411,3333,2397xm4330,2397l4325,2405,4330,2411,4334,2405,4342,2405,4344,2401,4330,2397xm4342,2405l4334,2405,4330,2411,4339,2411,4342,2405xm4498,2397l4493,2398,4498,2411,4498,2397xm3226,2277l3216,2277,3211,2281,3149,2401,3154,2397,3181,2397,3221,2314,3211,2301,3216,2301,3221,2291,3238,2291,3230,2281,3226,2277xm3158,2397l3154,2397,3149,2401,3158,2397xm4591,2340l4536,2353,4488,2401,4493,2398,4493,2397,4531,2397,4546,2381,4546,2381,4541,2367,4590,2367,4603,2363,4608,2363,4619,2349,4598,2349,4591,2340xm4493,2398l4488,2401,4494,2401,4493,2398xm4498,2397l4493,2397,4493,2398,4498,2397xm3332,2397l3331,2397,3333,2397,3332,2397xm4541,2367l4546,2381,4547,2380,4550,2377,4541,2367xm4547,2380l4546,2381,4546,2381,4547,2380xm4590,2367l4541,2367,4550,2377,4547,2380,4590,2367xm3274,2339l3264,2349,3284,2349,3274,2339xm4598,2339l4591,2340,4598,2349,4598,2339xm4627,2339l4598,2339,4598,2349,4619,2349,4627,2339xm4651,2277l4642,2277,4637,2281,4589,2339,4591,2340,4598,2339,4627,2339,4651,2307,4642,2305,4646,2303,4646,2291,4696,2291,4651,2277xm4696,2291l4646,2291,4656,2301,4651,2307,4704,2319,4709,2319,4718,2309,4720,2305,4690,2305,4694,2295,4697,2295,4698,2291,4696,2291xm3216,2301l3211,2301,3221,2314,3226,2305,3221,2305,3216,2301xm4656,2301l4651,2301,4646,2305,4642,2305,4651,2307,4653,2305,4646,2305,4646,2303,4654,2303,4656,2301xm3221,2291l3216,2301,3221,2305,3226,2301,3228,2301,3230,2295,3221,2291xm3228,2301l3226,2301,3221,2305,3226,2305,3228,2301xm4651,2301l4646,2303,4646,2305,4651,2301xm4697,2295l4694,2295,4690,2305,4694,2305,4697,2295xm4698,2291l4694,2305,4701,2295,4699,2295,4702,2292,4698,2291xm4703,2293l4694,2305,4704,2305,4709,2295,4703,2293xm4724,2291l4704,2291,4703,2293,4709,2295,4704,2305,4720,2305,4724,2291xm4646,2291l4646,2303,4651,2301,4656,2301,4646,2291xm4702,2292l4699,2295,4701,2295,4703,2293,4702,2292xm4704,2291l4702,2292,4703,2293,4704,2291xm4738,2151l4698,2291,4702,2292,4704,2291,4724,2291,4763,2171,4757,2171,4762,2165,4757,2165,4752,2157,4738,2157,4738,2151xm4752,2157l4757,2165,4762,2165,4757,2171,4764,2169,4766,2161,4752,2157xm4764,2169l4757,2171,4763,2171,4764,2169xm4803,2128l4747,2141,4742,2147,4738,2157,4752,2157,4766,2161,4764,2169,4814,2157,4814,2151,4824,2151,4830,2141,4810,2141,4800,2133,4803,2128xm4810,2127l4803,2128,4800,2133,4810,2141,4810,2127xm4838,2127l4810,2127,4810,2141,4830,2141,4838,2127xm4963,1968l4910,2007,4848,2055,4803,2128,4810,2127,4838,2127,4866,2077,4858,2065,4884,2065,4925,2031,4987,1989,4987,1979,4989,1975,4978,1975,4963,1969,4963,1968xm4884,2065l4858,2065,4867,2075,4866,2077,4867,2079,4884,2065xm4858,2065l4866,2077,4867,2075,4858,2065xm4968,1965l4963,1968,4963,1969,4978,1975,4968,1965xm4993,1965l4968,1965,4978,1975,4989,1975,4993,1965xm5006,1863l4963,1968,4968,1965,4993,1965,5029,1877,5021,1869,5006,1869,5006,1863xm5070,1817l5011,1859,5006,1869,5021,1869,5030,1873,5029,1877,5030,1879,5030,1883,5088,1839,5088,1835,5093,1829,5094,1825,5078,1825,5069,1821,5070,1817xm5021,1869l5029,1877,5030,1873,5021,1869xm5074,1815l5070,1817,5069,1821,5078,1825,5074,1815xm5098,1815l5074,1815,5078,1825,5094,1825,5098,1815xm5112,1701l5070,1817,5074,1815,5098,1815,5132,1719,5131,1719,5126,1705,5112,1705,5112,1701xm5126,1705l5131,1719,5133,1717,5136,1709,5126,1705xm5133,1717l5131,1719,5133,1718,5133,1717xm5133,1718l5131,1719,5132,1719,5133,1718xm5148,1715l5136,1715,5133,1717,5133,1718,5148,1715xm5175,1679l5122,1695,5117,1695,5112,1705,5126,1705,5136,1709,5133,1717,5136,1715,5148,1715,5189,1705,5189,1701,5198,1701,5204,1691,5184,1691,5174,1681,5175,1679xm5184,1677l5175,1679,5174,1681,5184,1691,5184,1677xm5212,1677l5184,1677,5184,1691,5204,1691,5212,1677xm5285,1590l5227,1605,5222,1605,5175,1679,5184,1677,5212,1677,5238,1629,5237,1629,5232,1615,5299,1615,5322,1599,5290,1599,5285,1590xm5232,1615l5237,1629,5239,1628,5242,1623,5232,1615xm5239,1628l5237,1629,5238,1629,5239,1628xm5294,1615l5232,1615,5242,1623,5239,1628,5294,1615xm5290,1589l5285,1590,5290,1599,5290,1589xm5336,1589l5290,1589,5290,1599,5322,1599,5336,1589xm5388,1528l5333,1557,5328,1557,5285,1589,5285,1590,5290,1589,5336,1589,5342,1584,5338,1571,5374,1571,5405,1557,5405,1551,5410,1551,5415,1541,5395,1541,5386,1533,5388,1528xm5374,1571l5338,1571,5347,1581,5342,1584,5342,1585,5374,1571xm5338,1571l5342,1584,5347,1581,5338,1571xm5390,1527l5388,1528,5386,1533,5395,1541,5390,1527xm5423,1527l5390,1527,5395,1541,5415,1541,5423,1527xm5489,1439l5438,1455,5429,1455,5388,1528,5390,1527,5423,1527,5451,1479,5443,1479,5438,1465,5506,1465,5506,1461,5510,1461,5510,1455,5512,1451,5501,1451,5486,1445,5489,1439xm5438,1465l5443,1479,5452,1477,5453,1475,5438,1465xm5452,1477l5443,1479,5451,1479,5452,1477xm5506,1465l5438,1465,5453,1475,5452,1477,5506,1465xm5496,1437l5489,1439,5486,1445,5501,1451,5496,1437xm5519,1437l5496,1437,5501,1451,5512,1451,5519,1437xm5597,1273l5554,1301,5549,1307,5549,1311,5489,1439,5496,1437,5519,1437,5571,1325,5568,1325,5558,1317,5580,1317,5611,1297,5616,1297,5630,1287,5606,1287,5597,1273xm5558,1317l5568,1325,5572,1322,5573,1321,5558,1317xm5572,1322l5568,1325,5571,1325,5572,1322xm5580,1317l5558,1317,5573,1321,5572,1322,5580,1317xm5703,1216l5659,1229,5597,1273,5606,1287,5630,1287,5674,1255,5669,1255,5664,1239,5717,1239,5742,1225,5712,1225,5703,1216xm5664,1239l5669,1255,5673,1253,5664,1239xm5673,1253l5669,1255,5674,1255,5673,1253xm5717,1239l5664,1239,5673,1253,5717,1239xm5707,1215l5703,1216,5712,1225,5707,1215xm5761,1215l5707,1215,5712,1225,5742,1225,5761,1215xm5765,1181l5702,1215,5703,1216,5707,1215,5761,1215,5779,1205,5765,1181xe" filled="true" fillcolor="#000080" stroked="false">
              <v:path arrowok="t"/>
              <v:fill type="solid"/>
            </v:shape>
            <v:shape style="position:absolute;left:2150;top:606;width:3624;height:2580" coordorigin="2150,607" coordsize="3624,2580" path="m5712,3167l5659,3167,5702,3187,5712,3187,5712,3167xm5616,3047l5554,3047,5597,3067,5654,3167,5712,3167,5712,3187,5717,3167,5674,3147,5616,3047xm5770,3167l5717,3167,5712,3187,5774,3187,5770,3167xm5515,2787l5501,2787,5496,2807,5486,2807,5549,3047,5611,3047,5568,3027,5573,3027,5515,2787xm5492,2806l5491,2807,5496,2807,5492,2806xm5501,2787l5492,2806,5496,2807,5501,2787xm5451,2769l5438,2787,5492,2806,5501,2787,5506,2787,5451,2769xm5410,2607l5395,2607,5386,2627,5429,2787,5438,2787,5443,2767,5453,2767,5410,2607xm5443,2767l5438,2787,5451,2769,5443,2767xm5453,2767l5443,2767,5451,2769,5453,2767xm5347,2467l5338,2467,5328,2487,5323,2487,5386,2627,5395,2607,5410,2607,5356,2487,5328,2487,5325,2484,5355,2484,5347,2467xm5338,2467l5325,2484,5328,2487,5338,2467xm5299,2407l5227,2407,5227,2427,5280,2427,5325,2484,5338,2467,5347,2467,5299,2407xm5198,2267l5184,2267,5178,2279,5218,2407,5232,2407,5236,2389,5198,2267xm5236,2389l5232,2407,5242,2407,5236,2389xm5237,2387l5236,2389,5242,2407,5294,2407,5237,2387xm5136,2147l5132,2156,5136,2167,5117,2167,5174,2287,5178,2279,5174,2267,5198,2267,5136,2147xm5184,2267l5174,2267,5178,2279,5184,2267xm4970,1802l4969,1804,5006,1907,5069,2047,5112,2167,5126,2167,5132,2156,5093,2047,5030,1907,4994,1807,4973,1807,4970,1802xm5132,2156l5126,2167,5136,2167,5132,2156xm4867,1707l4858,1707,4853,1727,4848,1727,4906,1807,4968,1807,4969,1804,4963,1787,4915,1787,4918,1777,4882,1727,4853,1727,4849,1725,4880,1725,4867,1707xm4969,1804l4968,1807,4970,1807,4969,1804xm4978,1787l4970,1802,4973,1807,4978,1807,4978,1787xm4982,1767l4920,1767,4918,1777,4925,1787,4978,1787,4978,1807,4994,1807,4987,1787,4982,1767xm4963,1787l4969,1804,4970,1802,4963,1787xm4978,1787l4963,1787,4970,1802,4978,1787xm4918,1777l4915,1787,4925,1787,4918,1777xm4858,1707l4849,1725,4853,1727,4858,1707xm4858,1707l4805,1707,4849,1725,4858,1707xm4699,1445l4742,1627,4800,1707,4810,1707,4814,1687,4819,1687,4762,1607,4766,1607,4724,1447,4704,1447,4699,1445xm4814,1687l4810,1707,4818,1689,4814,1687xm4818,1689l4810,1707,4862,1707,4818,1689xm4819,1687l4814,1687,4818,1689,4819,1687xm2798,1367l2784,1367,2798,1387,2782,1407,2832,1667,2837,1687,2856,1687,2868,1667,2837,1667,2842,1647,2848,1647,2854,1635,2798,1367xm2848,1647l2842,1647,2837,1667,2848,1647xm2854,1635l2837,1667,2856,1667,2851,1647,2857,1647,2854,1635xm2857,1647l2851,1647,2856,1667,2861,1667,2857,1647xm2890,1587l2880,1587,2854,1635,2861,1667,2868,1667,2904,1607,2890,1607,2890,1587xm2890,1587l2890,1607,2904,1607,2890,1587xm2995,1467l2986,1467,2938,1587,2890,1587,2904,1607,2962,1607,3010,1487,2995,1487,2995,1467xm3125,1487l3115,1487,3115,1507,3110,1507,3154,1547,3211,1607,3230,1607,3240,1587,3211,1587,3218,1575,3168,1527,3146,1507,3115,1507,3111,1506,3145,1506,3125,1487xm3218,1575l3211,1587,3230,1587,3218,1575xm3326,1387l3317,1387,3254,1507,3218,1575,3230,1587,3240,1587,3278,1507,3336,1407,3331,1407,3326,1387xm3115,1487l3111,1506,3115,1507,3115,1487xm3058,1467l3053,1487,3111,1506,3115,1487,3058,1487,3058,1467xm2995,1467l2995,1487,3010,1487,2995,1467xm3058,1467l2995,1467,3010,1487,3053,1487,3058,1467xm3062,1467l3058,1467,3058,1487,3120,1487,3062,1467xm2746,1447l2736,1447,2741,1467,2746,1447xm4402,1347l4392,1347,4402,1367,4383,1379,4426,1467,4435,1467,4430,1447,4426,1447,4440,1428,4402,1347xm4440,1428l4426,1447,4430,1447,4435,1467,4450,1447,4440,1428xm4507,1367l4488,1367,4440,1428,4450,1447,4435,1467,4445,1467,4496,1402,4488,1387,4518,1387,4507,1367xm4518,1387l4507,1387,4496,1402,4531,1467,4541,1467,4536,1447,4531,1447,4544,1435,4518,1387xm4544,1435l4531,1447,4536,1447,4541,1467,4550,1447,4544,1435xm4598,1387l4544,1435,4550,1447,4541,1467,4550,1467,4604,1411,4594,1407,4598,1407,4598,1387xm2693,1267l2678,1267,2674,1287,2669,1287,2726,1447,2741,1447,2731,1427,2740,1415,2699,1287,2674,1287,2670,1285,2699,1285,2693,1267xm2740,1415l2731,1427,2741,1447,2750,1447,2740,1415xm2774,1367l2740,1415,2750,1447,2782,1407,2778,1387,2774,1387,2777,1381,2774,1367xm4696,1444l4694,1447,4699,1447,4699,1445,4696,1444xm4704,1427l4698,1440,4699,1445,4704,1447,4704,1427xm4718,1427l4704,1427,4704,1447,4724,1447,4718,1427xm4698,1440l4696,1444,4699,1445,4698,1440xm4603,1387l4598,1387,4608,1407,4604,1411,4642,1427,4696,1444,4698,1440,4694,1427,4718,1427,4709,1407,4651,1407,4603,1387xm4704,1427l4694,1427,4698,1440,4704,1427xm4598,1387l4598,1407,4594,1407,4604,1411,4608,1407,4598,1387xm2781,1374l2777,1381,2782,1407,2798,1387,2794,1387,2781,1374xm3326,1387l3331,1407,3335,1405,3326,1387xm3335,1405l3331,1407,3336,1407,3335,1405xm4258,1207l4320,1407,4339,1407,4370,1387,4325,1387,4341,1376,4293,1227,4272,1227,4258,1207xm3374,1387l3326,1387,3335,1405,3374,1387xm4507,1387l4488,1387,4496,1402,4507,1387xm2424,1147l2410,1147,2424,1167,2416,1205,2458,1307,2462,1307,2525,1347,2568,1387,2573,1377,2568,1367,2578,1367,2580,1361,2539,1327,2482,1287,2424,1147xm2573,1377l2568,1387,2574,1379,2573,1377xm2574,1379l2568,1387,2578,1387,2574,1379xm2587,1367l2582,1367,2574,1379,2578,1387,2587,1367xm2640,1247l2626,1247,2626,1267,2580,1361,2587,1367,2578,1387,2587,1387,2646,1274,2630,1267,2683,1267,2640,1247xm2777,1381l2774,1387,2778,1387,2777,1381xm2784,1367l2781,1374,2794,1387,2798,1387,2784,1367xm3359,1369l3322,1387,3355,1387,3359,1369xm3365,1367l3359,1369,3355,1387,3360,1387,3365,1367xm3365,1367l3360,1387,3365,1370,3365,1367xm3365,1370l3360,1387,3370,1387,3365,1370xm3418,1207l3365,1370,3370,1387,3384,1387,3442,1227,3418,1227,3418,1207xm4341,1376l4325,1387,4344,1387,4341,1376xm4392,1347l4382,1347,4341,1376,4344,1387,4370,1387,4383,1379,4378,1367,4382,1367,4392,1347xm2774,1367l2777,1381,2781,1374,2774,1367xm2580,1361l2573,1377,2574,1379,2582,1367,2587,1367,2580,1361xm4392,1347l4382,1367,4378,1367,4383,1379,4402,1367,4392,1347xm2578,1367l2568,1367,2573,1377,2578,1367xm2784,1367l2774,1367,2781,1374,2784,1367xm3365,1367l3360,1367,3359,1369,3365,1367xm2304,1227l2294,1247,2357,1367,2381,1367,2385,1347,2352,1347,2360,1314,2328,1247,2304,1247,2304,1227xm2784,1347l2779,1367,2789,1367,2784,1347xm2360,1314l2352,1347,2376,1347,2360,1314xm2410,1147l2400,1147,2360,1314,2376,1347,2385,1347,2416,1205,2400,1167,2410,1147xm2170,1247l2150,1267,2194,1307,2213,1307,2232,1287,2194,1287,2203,1278,2170,1247xm2203,1278l2194,1287,2213,1287,2203,1278xm2261,1227l2203,1278,2213,1287,2232,1287,2270,1247,2261,1247,2261,1227xm2678,1267l2670,1285,2674,1287,2678,1267xm2678,1267l2650,1267,2646,1274,2670,1285,2678,1267xm2650,1267l2630,1267,2646,1274,2650,1267xm3485,1187l3470,1187,3427,1207,3475,1207,3477,1214,3528,1267,3542,1267,3552,1247,3523,1247,3526,1227,3485,1187xm2261,1227l2261,1247,2270,1247,2261,1227xm2304,1227l2261,1227,2270,1247,2294,1247,2304,1227xm2318,1227l2304,1227,2304,1247,2328,1247,2318,1227xm3526,1227l3523,1247,3533,1247,3535,1236,3526,1227xm3535,1236l3533,1247,3542,1247,3541,1241,3535,1236xm3541,1241l3542,1247,3547,1247,3541,1241xm3555,1227l3538,1227,3541,1241,3547,1247,3552,1247,3555,1227xm3538,1227l3535,1236,3541,1241,3538,1227xm3629,727l3566,927,3526,1227,3535,1236,3538,1227,3555,1227,3593,944,3581,927,3601,927,3653,747,3624,747,3629,727xm3470,1207l3422,1207,3418,1227,3475,1227,3470,1207xm3470,1207l3475,1227,3480,1227,3477,1214,3470,1207xm4158,1025l4157,1026,4214,1227,4224,1227,4224,1207,4219,1207,4236,1200,4187,1027,4162,1027,4158,1025xm4236,1200l4219,1207,4224,1207,4224,1227,4238,1207,4236,1200xm4277,1187l4267,1187,4236,1200,4238,1207,4224,1227,4264,1227,4258,1207,4286,1207,4277,1187xm4267,1207l4258,1207,4272,1227,4267,1207xm4272,1207l4267,1207,4272,1227,4277,1227,4272,1207xm4286,1207l4272,1207,4277,1227,4293,1227,4286,1207xm3475,1207l3470,1207,3477,1214,3475,1207xm2410,1147l2400,1167,2416,1205,2424,1167,2410,1147xm4157,1026l4157,1027,4158,1027,4157,1026xm4159,1022l4158,1025,4162,1027,4159,1022xm4166,1007l4159,1022,4162,1027,4166,1007xm4181,1007l4166,1007,4162,1027,4187,1027,4181,1007xm4157,1025l4157,1026,4158,1025,4157,1025xm4152,1007l4157,1025,4158,1025,4159,1022,4152,1007xm4152,1007l4114,1007,4157,1025,4152,1007xm4166,1007l4152,1007,4159,1022,4166,1007xm4075,747l4061,747,4070,767,4056,806,4109,1007,4171,1007,4123,987,4133,987,4075,747xm3601,927l3595,927,3593,944,3595,947,3601,927xm3595,927l3581,927,3593,944,3595,927xm3970,667l3965,667,3951,687,4003,887,4027,887,4034,867,4003,867,4019,824,3970,667xm4019,824l4003,867,4032,867,4019,824xm4061,747l4046,747,4019,824,4032,867,4034,867,4056,806,4046,767,4051,767,4061,747xm4061,747l4051,767,4046,767,4056,806,4070,767,4061,747xm3696,727l3629,727,3624,747,3648,747,3700,729,3696,727xm3749,707l3701,707,3706,727,3700,729,3739,747,3792,747,3797,727,3744,727,3749,707xm3794,722l3792,727,3797,727,3792,747,3806,747,3811,727,3794,722xm3840,607l3794,722,3811,727,3806,747,3816,747,3855,650,3840,627,3835,627,3840,607xm3701,707l3701,727,3696,727,3700,729,3706,727,3701,707xm3706,687l3696,687,3634,727,3701,727,3701,707,3749,707,3706,687xm3749,707l3744,727,3792,727,3794,722,3749,707xm3859,607l3840,607,3835,627,3864,627,3855,650,3902,727,3922,727,3936,707,3902,707,3910,698,3907,687,3909,687,3859,607xm3910,698l3902,707,3912,707,3910,698xm3914,694l3910,698,3912,707,3922,707,3914,694xm3917,690l3914,694,3922,707,3917,690xm3965,647l3955,647,3917,690,3922,707,3936,707,3951,687,3946,667,3970,667,3965,647xm3909,687l3907,687,3910,698,3914,694,3909,687xm3917,687l3909,687,3914,694,3917,690,3917,687xm3965,667l3946,667,3951,687,3965,667xm3864,627l3840,627,3855,650,3864,627xe" filled="true" fillcolor="#008000" stroked="false">
              <v:path arrowok="t"/>
              <v:fill type="solid"/>
            </v:shape>
            <v:shape style="position:absolute;left:2160;top:1732;width:3610;height:2" coordorigin="2160,1733" coordsize="3610,0" path="m2160,1733l3581,1733,3638,1733,5770,1733e" filled="false" stroked="true" strokeweight=".72pt" strokecolor="#000000">
              <v:path arrowok="t"/>
              <v:stroke dashstyle="solid"/>
            </v:shape>
            <v:shape style="position:absolute;left:2592;top:634;width:915;height:179" type="#_x0000_t202" filled="false" stroked="false">
              <v:textbox inset="0,0,0,0">
                <w:txbxContent>
                  <w:p>
                    <w:pPr>
                      <w:spacing w:line="178" w:lineRule="exact" w:before="0"/>
                      <w:ind w:left="0" w:right="0" w:firstLine="0"/>
                      <w:jc w:val="left"/>
                      <w:rPr>
                        <w:sz w:val="16"/>
                      </w:rPr>
                    </w:pPr>
                    <w:r>
                      <w:rPr>
                        <w:sz w:val="16"/>
                      </w:rPr>
                      <w:t>Private Sector</w:t>
                    </w:r>
                  </w:p>
                </w:txbxContent>
              </v:textbox>
              <w10:wrap type="none"/>
            </v:shape>
            <v:shape style="position:absolute;left:3312;top:2074;width:1083;height:179" type="#_x0000_t202" filled="false" stroked="false">
              <v:textbox inset="0,0,0,0">
                <w:txbxContent>
                  <w:p>
                    <w:pPr>
                      <w:spacing w:line="178" w:lineRule="exact" w:before="0"/>
                      <w:ind w:left="0" w:right="0" w:firstLine="0"/>
                      <w:jc w:val="left"/>
                      <w:rPr>
                        <w:sz w:val="16"/>
                      </w:rPr>
                    </w:pPr>
                    <w:r>
                      <w:rPr>
                        <w:sz w:val="16"/>
                      </w:rPr>
                      <w:t>Current Account</w:t>
                    </w:r>
                  </w:p>
                </w:txbxContent>
              </v:textbox>
              <w10:wrap type="none"/>
            </v:shape>
            <v:shape style="position:absolute;left:3038;top:2942;width:876;height:179" type="#_x0000_t202" filled="false" stroked="false">
              <v:textbox inset="0,0,0,0">
                <w:txbxContent>
                  <w:p>
                    <w:pPr>
                      <w:spacing w:line="178" w:lineRule="exact" w:before="0"/>
                      <w:ind w:left="0" w:right="0" w:firstLine="0"/>
                      <w:jc w:val="left"/>
                      <w:rPr>
                        <w:sz w:val="16"/>
                      </w:rPr>
                    </w:pPr>
                    <w:r>
                      <w:rPr>
                        <w:sz w:val="16"/>
                      </w:rPr>
                      <w:t>Public Sector</w:t>
                    </w:r>
                  </w:p>
                </w:txbxContent>
              </v:textbox>
              <w10:wrap type="none"/>
            </v:shape>
            <w10:wrap type="none"/>
          </v:group>
        </w:pict>
      </w:r>
      <w:r>
        <w:rPr>
          <w:w w:val="100"/>
          <w:sz w:val="16"/>
        </w:rPr>
        <w:t>8</w:t>
      </w:r>
    </w:p>
    <w:p>
      <w:pPr>
        <w:pStyle w:val="BodyText"/>
        <w:spacing w:before="10"/>
        <w:rPr>
          <w:sz w:val="10"/>
        </w:rPr>
      </w:pPr>
    </w:p>
    <w:p>
      <w:pPr>
        <w:spacing w:before="94"/>
        <w:ind w:left="113" w:right="0" w:firstLine="0"/>
        <w:jc w:val="center"/>
        <w:rPr>
          <w:sz w:val="16"/>
        </w:rPr>
      </w:pPr>
      <w:r>
        <w:rPr>
          <w:w w:val="100"/>
          <w:sz w:val="16"/>
        </w:rPr>
        <w:t>6</w:t>
      </w:r>
    </w:p>
    <w:p>
      <w:pPr>
        <w:pStyle w:val="BodyText"/>
        <w:spacing w:before="3"/>
        <w:rPr>
          <w:sz w:val="11"/>
        </w:rPr>
      </w:pPr>
    </w:p>
    <w:p>
      <w:pPr>
        <w:spacing w:before="94"/>
        <w:ind w:left="113" w:right="0" w:firstLine="0"/>
        <w:jc w:val="center"/>
        <w:rPr>
          <w:sz w:val="16"/>
        </w:rPr>
      </w:pPr>
      <w:r>
        <w:rPr>
          <w:w w:val="100"/>
          <w:sz w:val="16"/>
        </w:rPr>
        <w:t>4</w:t>
      </w:r>
    </w:p>
    <w:p>
      <w:pPr>
        <w:pStyle w:val="BodyText"/>
        <w:spacing w:before="10"/>
        <w:rPr>
          <w:sz w:val="10"/>
        </w:rPr>
      </w:pPr>
    </w:p>
    <w:p>
      <w:pPr>
        <w:spacing w:before="95"/>
        <w:ind w:left="113" w:right="0" w:firstLine="0"/>
        <w:jc w:val="center"/>
        <w:rPr>
          <w:sz w:val="16"/>
        </w:rPr>
      </w:pPr>
      <w:r>
        <w:rPr>
          <w:w w:val="100"/>
          <w:sz w:val="16"/>
        </w:rPr>
        <w:t>2</w:t>
      </w:r>
    </w:p>
    <w:p>
      <w:pPr>
        <w:pStyle w:val="BodyText"/>
        <w:spacing w:before="6"/>
        <w:rPr>
          <w:sz w:val="12"/>
        </w:rPr>
      </w:pPr>
    </w:p>
    <w:p>
      <w:pPr>
        <w:spacing w:before="94"/>
        <w:ind w:left="113" w:right="0" w:firstLine="0"/>
        <w:jc w:val="center"/>
        <w:rPr>
          <w:sz w:val="16"/>
        </w:rPr>
      </w:pPr>
      <w:r>
        <w:rPr>
          <w:w w:val="100"/>
          <w:sz w:val="16"/>
        </w:rPr>
        <w:t>0</w:t>
      </w:r>
    </w:p>
    <w:p>
      <w:pPr>
        <w:pStyle w:val="BodyText"/>
        <w:spacing w:before="10"/>
        <w:rPr>
          <w:sz w:val="10"/>
        </w:rPr>
      </w:pPr>
    </w:p>
    <w:p>
      <w:pPr>
        <w:spacing w:before="94"/>
        <w:ind w:left="3963" w:right="3796" w:firstLine="0"/>
        <w:jc w:val="center"/>
        <w:rPr>
          <w:sz w:val="16"/>
        </w:rPr>
      </w:pPr>
      <w:r>
        <w:rPr>
          <w:sz w:val="16"/>
        </w:rPr>
        <w:t>-2</w:t>
      </w:r>
    </w:p>
    <w:p>
      <w:pPr>
        <w:pStyle w:val="BodyText"/>
        <w:spacing w:before="10"/>
        <w:rPr>
          <w:sz w:val="10"/>
        </w:rPr>
      </w:pPr>
    </w:p>
    <w:p>
      <w:pPr>
        <w:spacing w:before="95"/>
        <w:ind w:left="3963" w:right="3796" w:firstLine="0"/>
        <w:jc w:val="center"/>
        <w:rPr>
          <w:sz w:val="16"/>
        </w:rPr>
      </w:pPr>
      <w:r>
        <w:rPr>
          <w:sz w:val="16"/>
        </w:rPr>
        <w:t>-4</w:t>
      </w:r>
    </w:p>
    <w:p>
      <w:pPr>
        <w:pStyle w:val="BodyText"/>
        <w:spacing w:before="5"/>
        <w:rPr>
          <w:sz w:val="19"/>
        </w:rPr>
      </w:pPr>
    </w:p>
    <w:p>
      <w:pPr>
        <w:spacing w:before="0"/>
        <w:ind w:left="3963" w:right="3796" w:firstLine="0"/>
        <w:jc w:val="center"/>
        <w:rPr>
          <w:sz w:val="16"/>
        </w:rPr>
      </w:pPr>
      <w:r>
        <w:rPr>
          <w:sz w:val="16"/>
        </w:rPr>
        <w:t>-6</w:t>
      </w:r>
    </w:p>
    <w:p>
      <w:pPr>
        <w:pStyle w:val="BodyText"/>
        <w:spacing w:before="1"/>
        <w:rPr>
          <w:sz w:val="19"/>
        </w:rPr>
      </w:pPr>
    </w:p>
    <w:p>
      <w:pPr>
        <w:spacing w:before="0"/>
        <w:ind w:left="3963" w:right="3796" w:firstLine="0"/>
        <w:jc w:val="center"/>
        <w:rPr>
          <w:sz w:val="16"/>
        </w:rPr>
      </w:pPr>
      <w:r>
        <w:rPr>
          <w:sz w:val="16"/>
        </w:rPr>
        <w:t>-8</w:t>
      </w:r>
    </w:p>
    <w:p>
      <w:pPr>
        <w:tabs>
          <w:tab w:pos="825" w:val="left" w:leader="none"/>
          <w:tab w:pos="1679" w:val="left" w:leader="none"/>
          <w:tab w:pos="2534" w:val="left" w:leader="none"/>
          <w:tab w:pos="3388" w:val="left" w:leader="none"/>
        </w:tabs>
        <w:spacing w:before="56"/>
        <w:ind w:left="0" w:right="4203" w:firstLine="0"/>
        <w:jc w:val="center"/>
        <w:rPr>
          <w:sz w:val="16"/>
        </w:rPr>
      </w:pPr>
      <w:r>
        <w:rPr>
          <w:sz w:val="16"/>
        </w:rPr>
        <w:t>1984</w:t>
        <w:tab/>
        <w:t>1988</w:t>
        <w:tab/>
        <w:t>1992</w:t>
        <w:tab/>
        <w:t>1996</w:t>
        <w:tab/>
        <w:t>2000</w:t>
      </w:r>
    </w:p>
    <w:p>
      <w:pPr>
        <w:pStyle w:val="BodyText"/>
        <w:spacing w:before="1"/>
        <w:rPr>
          <w:sz w:val="11"/>
        </w:rPr>
      </w:pPr>
    </w:p>
    <w:p>
      <w:pPr>
        <w:spacing w:before="93"/>
        <w:ind w:left="231" w:right="630" w:firstLine="0"/>
        <w:jc w:val="left"/>
        <w:rPr>
          <w:sz w:val="20"/>
        </w:rPr>
      </w:pPr>
      <w:r>
        <w:rPr>
          <w:sz w:val="20"/>
        </w:rPr>
        <w:t>Note: Private sector balance series are those prior to the recent US national accounts revisions. Sources: Bureau of Economic Analysis, Bank of England.</w:t>
      </w:r>
    </w:p>
    <w:p>
      <w:pPr>
        <w:spacing w:after="0"/>
        <w:jc w:val="left"/>
        <w:rPr>
          <w:sz w:val="20"/>
        </w:rPr>
        <w:sectPr>
          <w:pgSz w:w="11900" w:h="16840"/>
          <w:pgMar w:header="0" w:footer="1237" w:top="1600" w:bottom="1420" w:left="1400" w:right="1400"/>
        </w:sectPr>
      </w:pPr>
    </w:p>
    <w:p>
      <w:pPr>
        <w:pStyle w:val="BodyText"/>
        <w:spacing w:before="6"/>
        <w:rPr>
          <w:sz w:val="21"/>
        </w:rPr>
      </w:pPr>
    </w:p>
    <w:p>
      <w:pPr>
        <w:pStyle w:val="Heading1"/>
        <w:spacing w:before="90"/>
      </w:pPr>
      <w:r>
        <w:rPr/>
        <w:t>Chart 2: US household and corporate sector balances</w:t>
      </w:r>
    </w:p>
    <w:p>
      <w:pPr>
        <w:pStyle w:val="BodyText"/>
        <w:spacing w:before="9"/>
        <w:rPr>
          <w:b/>
        </w:rPr>
      </w:pPr>
    </w:p>
    <w:p>
      <w:pPr>
        <w:spacing w:before="94"/>
        <w:ind w:left="0" w:right="4571" w:firstLine="0"/>
        <w:jc w:val="right"/>
        <w:rPr>
          <w:sz w:val="16"/>
        </w:rPr>
      </w:pPr>
      <w:r>
        <w:rPr>
          <w:sz w:val="16"/>
        </w:rPr>
        <w:t>Percentage of GDP</w:t>
      </w:r>
    </w:p>
    <w:p>
      <w:pPr>
        <w:spacing w:before="71"/>
        <w:ind w:left="0" w:right="4494" w:firstLine="0"/>
        <w:jc w:val="right"/>
        <w:rPr>
          <w:sz w:val="16"/>
        </w:rPr>
      </w:pPr>
      <w:r>
        <w:rPr/>
        <w:pict>
          <v:group style="position:absolute;margin-left:107.879997pt;margin-top:8.978724pt;width:184.6pt;height:156.25pt;mso-position-horizontal-relative:page;mso-position-vertical-relative:paragraph;z-index:251667456" coordorigin="2158,180" coordsize="3692,3125">
            <v:shape style="position:absolute;left:2160;top:181;width:3687;height:3120" coordorigin="2160,182" coordsize="3687,3120" path="m5803,182l5803,3302,5846,3302m5803,2779l5846,2779m5803,2270l5846,2270m5803,1742l5846,1742m5803,1219l5846,1219m5803,710l5846,710m5803,182l5846,182m2160,2270l5803,2270m2160,2270l2160,2222m3029,2270l3029,2222m3883,2270l3883,2222m4752,2270l4752,2222e" filled="false" stroked="true" strokeweight=".24pt" strokecolor="#000000">
              <v:path arrowok="t"/>
              <v:stroke dashstyle="solid"/>
            </v:shape>
            <v:line style="position:absolute" from="5623,2220" to="5623,2272" stroked="true" strokeweight=".48pt" strokecolor="#000000">
              <v:stroke dashstyle="solid"/>
            </v:line>
            <v:shape style="position:absolute;left:2164;top:470;width:3629;height:2740" coordorigin="2165,471" coordsize="3629,2740" path="m5701,3031l5693,3031,5686,3041,5683,3051,5702,3091,5731,3191,5736,3191,5779,3211,5794,3191,5750,3171,5755,3171,5726,3091,5701,3031xm5515,2491l5501,2491,5491,2511,5520,2651,5549,2751,5554,2751,5597,2811,5626,3071,5635,3091,5650,3091,5664,3071,5630,3071,5637,3062,5640,3051,5646,3051,5651,3045,5621,2811,5616,2791,5573,2731,5578,2731,5549,2651,5515,2491xm5637,3062l5630,3071,5635,3071,5637,3062xm5641,3057l5637,3062,5635,3071,5645,3071,5641,3057xm5651,3045l5641,3057,5645,3071,5654,3071,5651,3045xm5693,3011l5678,3011,5651,3045,5654,3071,5664,3071,5681,3047,5674,3031,5701,3031,5693,3011xm5640,3051l5637,3062,5641,3057,5640,3051xm5646,3051l5640,3051,5641,3057,5646,3051xm5682,3046l5681,3047,5683,3051,5682,3046xm5686,3041l5682,3046,5683,3051,5686,3041xm5678,3031l5674,3031,5681,3047,5682,3046,5678,3031xm5688,3031l5678,3031,5682,3046,5686,3041,5688,3031xm5693,3031l5688,3031,5686,3041,5693,3031xm5438,2291l5429,2291,5420,2308,5448,2391,5491,2511,5501,2491,5515,2491,5472,2371,5438,2291xm5366,2151l5352,2151,5362,2171,5347,2181,5371,2231,5371,2251,5419,2311,5420,2308,5414,2291,5438,2291,5390,2231,5395,2231,5366,2151xm5429,2291l5414,2291,5420,2308,5429,2291xm5261,2131l5256,2131,5242,2151,5266,2251,5280,2251,5275,2231,5270,2231,5284,2212,5261,2131xm5284,2212l5270,2231,5275,2231,5280,2251,5290,2251,5293,2246,5284,2212xm5293,2246l5290,2251,5294,2251,5293,2246xm5352,2151l5347,2151,5314,2171,5284,2212,5293,2246,5333,2191,5347,2181,5342,2171,5352,2151xm5136,2011l5126,2011,5141,2031,5133,2051,5165,2091,5160,2091,5189,2171,5194,2191,5213,2191,5227,2171,5194,2171,5201,2162,5198,2151,5211,2151,5212,2150,5189,2071,5184,2071,5136,2011xm5352,2151l5342,2171,5347,2181,5362,2171,5352,2151xm5201,2162l5194,2171,5203,2171,5201,2162xm5209,2154l5201,2162,5203,2171,5213,2171,5209,2154xm5212,2150l5209,2154,5213,2171,5218,2171,5212,2150xm5256,2111l5246,2111,5212,2150,5218,2171,5227,2171,5242,2151,5237,2131,5261,2131,5256,2111xm5208,2151l5198,2151,5201,2162,5209,2154,5208,2151xm5211,2151l5208,2151,5209,2154,5211,2151xm5256,2131l5237,2131,5242,2151,5256,2131xm5102,2062l5088,2111,5088,2131,5102,2131,5112,2111,5093,2111,5098,2091,5108,2091,5102,2062xm5083,1971l5069,1971,5059,1991,5054,1991,5088,2111,5102,2062,5087,1991,5059,1991,5057,1988,5087,1988,5083,1971xm5098,2091l5093,2111,5102,2111,5098,2091xm5108,2091l5098,2091,5102,2111,5112,2111,5108,2091xm5126,2011l5117,2011,5102,2062,5112,2111,5133,2051,5117,2031,5122,2031,5126,2011xm5126,2011l5122,2031,5117,2031,5133,2051,5141,2031,5126,2011xm5069,1971l5057,1988,5059,1991,5069,1971xm4961,1834l4949,1851,4939,1851,4982,1911,5021,1911,5016,1931,5011,1931,5057,1988,5069,1971,5078,1971,5046,1931,5016,1931,5012,1928,5044,1928,5030,1911,5002,1891,4961,1834xm3797,1951l3787,1951,3792,1971,3797,1951xm3778,1531l3763,1531,3778,1551,3758,1684,3778,1951,3782,1931,3787,1931,3801,1866,3778,1531xm3787,1931l3782,1931,3778,1951,3782,1951,3787,1931xm3801,1866l3782,1951,3802,1931,3805,1931,3801,1866xm3805,1931l3802,1931,3782,1951,3806,1951,3805,1931xm3869,1551l3854,1551,3826,1751,3801,1866,3806,1951,3854,1751,3877,1595,3859,1571,3864,1571,3869,1551xm5021,1911l5012,1928,5016,1931,5021,1911xm5021,1911l4987,1911,5012,1928,5021,1911xm4736,1606l4726,1620,4752,1911,4781,1911,4792,1891,4757,1891,4777,1856,4754,1611,4738,1611,4736,1606xm4777,1856l4757,1891,4781,1891,4777,1856xm4925,1691l4910,1691,4877,1751,4882,1751,4805,1811,4777,1856,4781,1891,4792,1891,4824,1831,4896,1771,4912,1742,4906,1711,4934,1711,4925,1691xm4920,1729l4912,1742,4934,1851,4949,1851,4958,1831,4963,1831,4939,1731,4920,1731,4920,1729xm4958,1831l4949,1851,4961,1834,4958,1831xm4963,1831l4958,1831,4961,1834,4963,1831xm2239,1329l2266,1531,2309,1751,2318,1771,2342,1771,2347,1761,2342,1751,2338,1751,2294,1531,2264,1331,2242,1331,2239,1329xm2347,1761l2342,1771,2348,1763,2347,1761xm2348,1763l2342,1771,2352,1771,2348,1763xm2362,1751l2357,1751,2348,1763,2352,1771,2362,1751xm2377,1751l2362,1751,2352,1771,2366,1771,2377,1751xm2448,1531l2414,1631,2419,1631,2390,1671,2347,1761,2348,1763,2357,1751,2377,1751,2410,1691,2400,1671,2424,1671,2438,1651,2443,1631,2458,1578,2448,1531xm2352,1751l2342,1751,2347,1761,2352,1751xm3624,1291l3614,1291,3619,1311,3610,1317,3648,1371,3677,1631,3720,1751,3749,1751,3752,1731,3720,1731,3727,1683,3701,1611,3672,1371,3667,1351,3624,1291xm4915,1711l4906,1711,4912,1742,4920,1729,4915,1711xm2472,1531l2458,1578,2491,1731,2501,1731,2496,1711,2511,1695,2472,1531xm2511,1695l2496,1711,2501,1731,2515,1711,2511,1695xm2571,1633l2511,1695,2515,1711,2501,1731,2510,1731,2544,1711,2587,1651,2568,1651,2571,1633xm3727,1683l3720,1731,3744,1731,3727,1683xm3763,1531l3749,1531,3727,1683,3744,1731,3752,1731,3758,1684,3749,1551,3754,1551,3763,1531xm4921,1726l4920,1729,4920,1731,4921,1726xm4934,1711l4930,1711,4921,1726,4920,1731,4939,1731,4934,1711xm4925,1711l4915,1711,4920,1729,4921,1726,4925,1711xm4930,1711l4925,1711,4921,1726,4930,1711xm2424,1671l2400,1671,2410,1691,2424,1671xm3763,1531l3754,1551,3749,1551,3758,1684,3778,1551,3763,1531xm2573,1631l2571,1633,2568,1651,2578,1651,2573,1631xm2596,1631l2573,1631,2578,1651,2592,1651,2596,1631xm4109,1531l4080,1531,4109,1651,4123,1651,4118,1631,4114,1631,4128,1611,4109,1531xm4128,1611l4114,1631,4118,1631,4123,1651,4133,1651,4136,1646,4128,1611xm4136,1646l4133,1651,4138,1651,4136,1646xm4157,1571l4128,1611,4136,1646,4176,1591,4157,1591,4160,1578,4157,1571xm2616,1471l2597,1471,2571,1633,2573,1631,2596,1631,2619,1503,2602,1491,2645,1491,2616,1471xm3882,1556l3877,1595,3902,1631,3922,1631,3936,1611,3907,1611,3914,1601,3882,1556xm4675,1431l4661,1431,4675,1451,4663,1501,4694,1631,4718,1631,4726,1620,4725,1611,4699,1611,4717,1589,4675,1431xm4733,1591l4723,1591,4726,1620,4736,1606,4733,1591xm3914,1601l3907,1611,3922,1611,3914,1601xm4012,1551l3984,1551,3936,1571,3914,1601,3922,1611,3936,1611,3943,1601,3941,1591,3989,1591,3989,1571,4008,1571,4012,1551xm3989,1571l3989,1591,3950,1591,3943,1601,3946,1611,3994,1591,3989,1571xm4717,1589l4699,1611,4723,1611,4717,1589xm4747,1571l4733,1571,4717,1589,4723,1611,4725,1611,4723,1591,4752,1591,4747,1571xm4740,1601l4736,1606,4738,1611,4740,1601xm4752,1591l4747,1591,4740,1601,4738,1611,4754,1611,4752,1591xm4742,1591l4733,1591,4736,1606,4740,1601,4742,1591xm3950,1591l3941,1591,3943,1601,3950,1591xm4747,1591l4742,1591,4740,1601,4747,1591xm3878,1551l3869,1551,3864,1571,3859,1571,3877,1595,3882,1556,3878,1551xm4036,1551l4018,1551,4018,1571,3989,1571,3994,1591,4027,1591,4032,1571,4036,1551xm4160,1578l4157,1591,4166,1591,4160,1578xm4229,1411l4214,1411,4186,1491,4160,1578,4166,1591,4181,1591,4238,1431,4234,1431,4229,1411xm2467,1511l2448,1511,2443,1531,2448,1531,2458,1578,2472,1531,2467,1511xm2650,1491l2640,1491,2630,1511,2674,1571,2693,1571,2698,1551,2669,1551,2675,1526,2650,1491xm4046,1431l4037,1431,4008,1571,4013,1551,4036,1551,4052,1475,4037,1451,4046,1431xm4018,1551l4013,1551,4008,1571,4018,1551xm4018,1551l4008,1571,4018,1571,4018,1551xm4639,1481l4622,1551,4622,1571,4646,1571,4651,1551,4646,1551,4639,1481xm3883,1551l3878,1551,3882,1556,3883,1551xm2675,1526l2669,1551,2693,1551,2675,1526xm2789,931l2774,931,2746,1231,2675,1526,2693,1551,2698,1551,2774,1231,2801,969,2779,951,2784,951,2789,931xm4603,1131l4589,1131,4598,1151,4579,1191,4622,1551,4639,1481,4603,1131xm4661,1431l4651,1431,4639,1481,4646,1551,4651,1551,4663,1501,4651,1451,4661,1431xm4061,1431l4052,1475,4085,1531,4104,1531,4061,1431xm2640,1491l2621,1491,2619,1503,2630,1511,2640,1491xm2621,1491l2602,1491,2619,1503,2621,1491xm4661,1431l4651,1451,4663,1501,4675,1451,4661,1431xm4061,1431l4046,1431,4037,1451,4052,1475,4061,1431xm3523,971l3506,1099,3538,1431,3566,1431,3572,1411,3542,1411,3560,1349,3523,971xm4229,1411l4234,1431,4238,1429,4229,1411xm4238,1429l4234,1431,4238,1431,4238,1429xm4277,1411l4229,1411,4238,1429,4277,1411xm3107,568l3134,851,3182,1051,3178,1051,3206,1331,3211,1351,3245,1411,3264,1411,3274,1391,3245,1391,3254,1370,3235,1331,3206,1051,3163,851,3136,571,3110,571,3107,568xm3560,1349l3542,1411,3566,1411,3560,1349xm3581,1311l3571,1311,3560,1349,3566,1411,3572,1411,3595,1331,3590,1331,3581,1311xm4262,1393l4224,1411,4258,1411,4262,1393xm4267,1391l4262,1393,4258,1411,4262,1411,4267,1391xm4267,1391l4262,1411,4272,1411,4267,1391xm4349,1171l4334,1171,4291,1291,4267,1391,4272,1411,4286,1411,4315,1291,4358,1191,4354,1191,4349,1171xm4267,1391l4262,1391,4262,1393,4267,1391xm3254,1370l3245,1391,3250,1391,3254,1371,3254,1370xm3254,1371l3250,1391,3259,1391,3254,1371xm3254,1371l3259,1391,3264,1391,3254,1371xm3403,831l3389,831,3360,1011,3317,1131,3288,1291,3254,1370,3264,1391,3274,1391,3312,1311,3341,1151,3326,1131,3348,1131,3384,1031,3389,1031,3408,897,3389,851,3394,851,3403,831xm2237,1327l2237,1331,2238,1328,2237,1327xm2246,1311l2239,1326,2239,1329,2242,1331,2246,1311xm2261,1311l2246,1311,2242,1331,2264,1331,2261,1311xm3581,1311l3590,1331,3594,1329,3581,1311xm3594,1329l3590,1331,3595,1331,3594,1329xm2239,1326l2238,1328,2239,1329,2239,1326xm3605,1311l3581,1311,3594,1329,3610,1317,3605,1311xm2179,1271l2165,1291,2213,1311,2237,1327,2237,1311,2256,1311,2227,1291,2179,1271xm2246,1311l2237,1311,2239,1326,2246,1311xm3614,1291l3610,1311,3605,1311,3610,1317,3619,1311,3614,1291xm3614,1291l3605,1291,3576,1311,3610,1311,3614,1291xm4392,1151l4373,1151,4344,1171,4387,1171,4372,1180,4397,1231,4421,1231,4432,1211,4397,1211,4402,1191,4409,1191,4410,1189,4392,1151xm4409,1191l4402,1191,4397,1211,4409,1191xm4410,1189l4397,1211,4416,1211,4411,1191,4410,1189xm4411,1191l4416,1211,4421,1211,4411,1191xm4454,1131l4445,1131,4410,1189,4421,1211,4432,1211,4464,1151,4454,1151,4454,1131xm4541,1111l4522,1111,4478,1131,4531,1131,4519,1136,4546,1211,4570,1211,4579,1191,4546,1191,4559,1162,4541,1111xm3416,841l3408,897,3422,931,3466,1191,3494,1191,3497,1171,3466,1171,3478,1087,3446,931,3416,841xm4349,1171l4354,1191,4357,1189,4349,1171xm4357,1189l4354,1191,4358,1191,4357,1189xm4559,1162l4546,1191,4570,1191,4559,1162xm4589,1131l4574,1131,4559,1162,4570,1191,4579,1191,4574,1151,4579,1151,4589,1131xm4589,1131l4579,1151,4574,1151,4579,1191,4598,1151,4589,1131xm4368,1171l4349,1171,4357,1189,4372,1180,4368,1171xm4387,1171l4368,1171,4372,1180,4387,1171xm3478,1087l3466,1171,3494,1171,3478,1087xm3494,971l3478,1087,3494,1171,3497,1171,3506,1099,3494,971xm3348,1131l3326,1131,3341,1151,3348,1131xm4454,1131l4454,1151,4464,1151,4454,1131xm4517,1131l4454,1131,4464,1151,4488,1151,4519,1136,4517,1131xm4531,1131l4517,1131,4519,1136,4531,1131xm3494,971l3506,1099,3521,991,3499,991,3505,979,3494,971xm2875,931l2861,931,2875,951,2859,973,2880,1031,2885,1031,2933,1071,2952,1071,2954,1051,2923,1051,2925,1030,2904,1011,2875,931xm2925,1030l2923,1051,2947,1051,2925,1030xm2966,691l2952,691,2925,1030,2947,1051,2954,1051,2981,711,2966,691xm2798,931l2789,931,2803,951,2801,969,2827,991,2832,1011,2837,991,2832,991,2822,971,2830,960,2798,931xm2830,960l2822,971,2832,991,2842,971,2830,960xm2861,931l2851,931,2830,960,2842,971,2832,991,2846,991,2859,973,2851,951,2861,931xm3505,979l3499,991,3518,991,3505,979xm3523,971l3509,971,3505,979,3518,991,3521,991,3523,971xm3509,971l3494,971,3505,979,3509,971xm2861,931l2851,951,2859,973,2875,951,2861,931xm3514,951l3504,951,3499,971,3518,971,3514,951xm2789,931l2784,951,2779,951,2801,969,2803,951,2789,931xm3413,831l3403,831,3394,851,3389,851,3408,897,3416,841,3413,831xm3418,831l3413,831,3416,841,3418,831xm3000,471l2957,691,2966,691,2981,711,3013,551,3000,471xm3029,471l3013,551,3029,651,3034,631,3029,631,3046,568,3029,471xm3046,568l3029,631,3034,631,3029,651,3043,651,3058,631,3046,568xm3062,511l3046,568,3058,631,3043,651,3058,651,3083,545,3067,531,3058,531,3062,511xm3120,551l3106,551,3107,568,3110,571,3120,551xm3134,551l3120,551,3110,571,3136,571,3134,551xm3082,511l3062,511,3058,531,3086,531,3083,545,3107,568,3106,551,3130,551,3082,511xm3000,471l3013,551,3025,491,3005,491,3010,479,3000,471xm3086,531l3067,531,3083,545,3086,531xm3010,479l3005,491,3024,491,3010,479xm3029,471l3014,471,3010,479,3024,491,3025,491,3029,471xm3014,471l3000,471,3010,479,3014,471xe" filled="true" fillcolor="#000080" stroked="false">
              <v:path arrowok="t"/>
              <v:fill type="solid"/>
            </v:shape>
            <v:shape style="position:absolute;left:2160;top:1998;width:3644;height:886" type="#_x0000_t75" stroked="false">
              <v:imagedata r:id="rId8" o:title=""/>
            </v:shape>
            <v:shape style="position:absolute;left:3163;top:365;width:768;height:179" type="#_x0000_t202" filled="false" stroked="false">
              <v:textbox inset="0,0,0,0">
                <w:txbxContent>
                  <w:p>
                    <w:pPr>
                      <w:spacing w:line="178" w:lineRule="exact" w:before="0"/>
                      <w:ind w:left="0" w:right="0" w:firstLine="0"/>
                      <w:jc w:val="left"/>
                      <w:rPr>
                        <w:sz w:val="16"/>
                      </w:rPr>
                    </w:pPr>
                    <w:r>
                      <w:rPr>
                        <w:sz w:val="16"/>
                      </w:rPr>
                      <w:t>Households</w:t>
                    </w:r>
                  </w:p>
                </w:txbxContent>
              </v:textbox>
              <w10:wrap type="none"/>
            </v:shape>
            <v:shape style="position:absolute;left:3600;top:2448;width:650;height:179" type="#_x0000_t202" filled="false" stroked="false">
              <v:textbox inset="0,0,0,0">
                <w:txbxContent>
                  <w:p>
                    <w:pPr>
                      <w:spacing w:line="178" w:lineRule="exact" w:before="0"/>
                      <w:ind w:left="0" w:right="0" w:firstLine="0"/>
                      <w:jc w:val="left"/>
                      <w:rPr>
                        <w:sz w:val="16"/>
                      </w:rPr>
                    </w:pPr>
                    <w:r>
                      <w:rPr>
                        <w:sz w:val="16"/>
                      </w:rPr>
                      <w:t>Corporate</w:t>
                    </w:r>
                  </w:p>
                </w:txbxContent>
              </v:textbox>
              <w10:wrap type="none"/>
            </v:shape>
            <w10:wrap type="none"/>
          </v:group>
        </w:pict>
      </w:r>
      <w:r>
        <w:rPr>
          <w:w w:val="100"/>
          <w:sz w:val="16"/>
        </w:rPr>
        <w:t>8</w:t>
      </w:r>
    </w:p>
    <w:p>
      <w:pPr>
        <w:pStyle w:val="BodyText"/>
        <w:spacing w:before="8"/>
        <w:rPr>
          <w:sz w:val="21"/>
        </w:rPr>
      </w:pPr>
    </w:p>
    <w:p>
      <w:pPr>
        <w:spacing w:before="94"/>
        <w:ind w:left="26" w:right="0" w:firstLine="0"/>
        <w:jc w:val="center"/>
        <w:rPr>
          <w:sz w:val="16"/>
        </w:rPr>
      </w:pPr>
      <w:r>
        <w:rPr>
          <w:w w:val="100"/>
          <w:sz w:val="16"/>
        </w:rPr>
        <w:t>6</w:t>
      </w:r>
    </w:p>
    <w:p>
      <w:pPr>
        <w:pStyle w:val="BodyText"/>
        <w:spacing w:before="1"/>
        <w:rPr>
          <w:sz w:val="20"/>
        </w:rPr>
      </w:pPr>
    </w:p>
    <w:p>
      <w:pPr>
        <w:spacing w:before="94"/>
        <w:ind w:left="26" w:right="0" w:firstLine="0"/>
        <w:jc w:val="center"/>
        <w:rPr>
          <w:sz w:val="16"/>
        </w:rPr>
      </w:pPr>
      <w:r>
        <w:rPr>
          <w:w w:val="100"/>
          <w:sz w:val="16"/>
        </w:rPr>
        <w:t>4</w:t>
      </w:r>
    </w:p>
    <w:p>
      <w:pPr>
        <w:pStyle w:val="BodyText"/>
        <w:spacing w:before="4"/>
        <w:rPr>
          <w:sz w:val="21"/>
        </w:rPr>
      </w:pPr>
    </w:p>
    <w:p>
      <w:pPr>
        <w:spacing w:before="94"/>
        <w:ind w:left="26" w:right="0" w:firstLine="0"/>
        <w:jc w:val="center"/>
        <w:rPr>
          <w:sz w:val="16"/>
        </w:rPr>
      </w:pPr>
      <w:r>
        <w:rPr>
          <w:w w:val="100"/>
          <w:sz w:val="16"/>
        </w:rPr>
        <w:t>2</w:t>
      </w:r>
    </w:p>
    <w:p>
      <w:pPr>
        <w:pStyle w:val="BodyText"/>
        <w:spacing w:before="8"/>
        <w:rPr>
          <w:sz w:val="21"/>
        </w:rPr>
      </w:pPr>
    </w:p>
    <w:p>
      <w:pPr>
        <w:spacing w:before="94"/>
        <w:ind w:left="26" w:right="0" w:firstLine="0"/>
        <w:jc w:val="center"/>
        <w:rPr>
          <w:sz w:val="16"/>
        </w:rPr>
      </w:pPr>
      <w:r>
        <w:rPr>
          <w:w w:val="100"/>
          <w:sz w:val="16"/>
        </w:rPr>
        <w:t>0</w:t>
      </w:r>
    </w:p>
    <w:p>
      <w:pPr>
        <w:pStyle w:val="BodyText"/>
        <w:spacing w:before="1"/>
        <w:rPr>
          <w:sz w:val="20"/>
        </w:rPr>
      </w:pPr>
    </w:p>
    <w:p>
      <w:pPr>
        <w:spacing w:before="94"/>
        <w:ind w:left="3963" w:right="3883" w:firstLine="0"/>
        <w:jc w:val="center"/>
        <w:rPr>
          <w:sz w:val="16"/>
        </w:rPr>
      </w:pPr>
      <w:r>
        <w:rPr>
          <w:sz w:val="16"/>
        </w:rPr>
        <w:t>-2</w:t>
      </w:r>
    </w:p>
    <w:p>
      <w:pPr>
        <w:pStyle w:val="BodyText"/>
        <w:spacing w:before="4"/>
        <w:rPr>
          <w:sz w:val="21"/>
        </w:rPr>
      </w:pPr>
    </w:p>
    <w:p>
      <w:pPr>
        <w:spacing w:before="94"/>
        <w:ind w:left="3963" w:right="3883" w:firstLine="0"/>
        <w:jc w:val="center"/>
        <w:rPr>
          <w:sz w:val="16"/>
        </w:rPr>
      </w:pPr>
      <w:r>
        <w:rPr>
          <w:sz w:val="16"/>
        </w:rPr>
        <w:t>-4</w:t>
      </w:r>
    </w:p>
    <w:p>
      <w:pPr>
        <w:tabs>
          <w:tab w:pos="873" w:val="left" w:leader="none"/>
          <w:tab w:pos="1742" w:val="left" w:leader="none"/>
          <w:tab w:pos="2596" w:val="left" w:leader="none"/>
          <w:tab w:pos="3465" w:val="left" w:leader="none"/>
        </w:tabs>
        <w:spacing w:before="56"/>
        <w:ind w:left="0" w:right="4126" w:firstLine="0"/>
        <w:jc w:val="center"/>
        <w:rPr>
          <w:sz w:val="16"/>
        </w:rPr>
      </w:pPr>
      <w:r>
        <w:rPr>
          <w:sz w:val="16"/>
        </w:rPr>
        <w:t>1976</w:t>
        <w:tab/>
        <w:t>1982</w:t>
        <w:tab/>
        <w:t>1988</w:t>
        <w:tab/>
        <w:t>1994</w:t>
        <w:tab/>
        <w:t>2000</w:t>
      </w:r>
    </w:p>
    <w:p>
      <w:pPr>
        <w:pStyle w:val="BodyText"/>
        <w:spacing w:before="2"/>
        <w:rPr>
          <w:sz w:val="28"/>
        </w:rPr>
      </w:pPr>
    </w:p>
    <w:p>
      <w:pPr>
        <w:spacing w:before="93"/>
        <w:ind w:left="231" w:right="0" w:firstLine="0"/>
        <w:jc w:val="left"/>
        <w:rPr>
          <w:sz w:val="20"/>
        </w:rPr>
      </w:pPr>
      <w:r>
        <w:rPr>
          <w:sz w:val="20"/>
        </w:rPr>
        <w:t>Source: Federal Reserve Board</w:t>
      </w:r>
    </w:p>
    <w:p>
      <w:pPr>
        <w:pStyle w:val="BodyText"/>
        <w:rPr>
          <w:sz w:val="22"/>
        </w:rPr>
      </w:pPr>
    </w:p>
    <w:p>
      <w:pPr>
        <w:pStyle w:val="BodyText"/>
        <w:spacing w:line="360" w:lineRule="auto" w:before="161"/>
        <w:ind w:left="231" w:right="306"/>
      </w:pPr>
      <w:r>
        <w:rPr/>
        <w:t>As the extent of the US and world slowdowns has become manifest, monetary policy has reacted in an offsetting way. Starting in January, the Fed has cut US short-term interest rates by 3.50 percentage points— and there may be more to come. Here, interest rates have been cut by 1.25 percentage points. In the euro area, interest rates so far have been cut by three quarters of a percentage point. In Japan, the zero interest rate strategy, briefly abandoned, has been reinstated.</w:t>
      </w:r>
    </w:p>
    <w:p>
      <w:pPr>
        <w:pStyle w:val="BodyText"/>
        <w:spacing w:before="6"/>
        <w:rPr>
          <w:sz w:val="31"/>
        </w:rPr>
      </w:pPr>
    </w:p>
    <w:p>
      <w:pPr>
        <w:pStyle w:val="BodyText"/>
        <w:spacing w:line="360" w:lineRule="auto"/>
        <w:ind w:left="232" w:right="177"/>
      </w:pPr>
      <w:r>
        <w:rPr/>
        <w:t>Prospects remain, however, extremely uncertain. Consensus forecasts have tended to suggest a moderate recovery in the US in the second half of this year, and a resumption of moderate growth in the US and trend growth in the world economy in 2002, but the risks are obviously great. Monetary policy needs to be set on the basis of forecasts which are highly uncertain: that is, on the basis of an assessment of the balance of risks.</w:t>
      </w:r>
    </w:p>
    <w:p>
      <w:pPr>
        <w:pStyle w:val="BodyText"/>
        <w:spacing w:before="8"/>
        <w:rPr>
          <w:sz w:val="31"/>
        </w:rPr>
      </w:pPr>
    </w:p>
    <w:p>
      <w:pPr>
        <w:pStyle w:val="Heading2"/>
        <w:ind w:left="232"/>
        <w:rPr>
          <w:i/>
        </w:rPr>
      </w:pPr>
      <w:r>
        <w:rPr>
          <w:i/>
        </w:rPr>
        <w:t>The impact on the UK</w:t>
      </w:r>
    </w:p>
    <w:p>
      <w:pPr>
        <w:pStyle w:val="BodyText"/>
        <w:rPr>
          <w:b/>
          <w:i/>
          <w:sz w:val="26"/>
        </w:rPr>
      </w:pPr>
    </w:p>
    <w:p>
      <w:pPr>
        <w:pStyle w:val="BodyText"/>
        <w:spacing w:line="360" w:lineRule="auto" w:before="193"/>
        <w:ind w:left="232" w:right="304"/>
      </w:pPr>
      <w:r>
        <w:rPr/>
        <w:t>How should monetary policy in the UK react </w:t>
      </w:r>
      <w:r>
        <w:rPr>
          <w:spacing w:val="3"/>
        </w:rPr>
        <w:t>to </w:t>
      </w:r>
      <w:r>
        <w:rPr/>
        <w:t>shocks from the world economy? To clarify thinking, it is useful </w:t>
      </w:r>
      <w:r>
        <w:rPr>
          <w:spacing w:val="3"/>
        </w:rPr>
        <w:t>to </w:t>
      </w:r>
      <w:r>
        <w:rPr/>
        <w:t>put aside problems </w:t>
      </w:r>
      <w:r>
        <w:rPr>
          <w:spacing w:val="2"/>
        </w:rPr>
        <w:t>regarding </w:t>
      </w:r>
      <w:r>
        <w:rPr/>
        <w:t>the composition </w:t>
      </w:r>
      <w:r>
        <w:rPr>
          <w:spacing w:val="3"/>
        </w:rPr>
        <w:t>of </w:t>
      </w:r>
      <w:r>
        <w:rPr/>
        <w:t>UK demand</w:t>
      </w:r>
      <w:r>
        <w:rPr>
          <w:spacing w:val="-20"/>
        </w:rPr>
        <w:t> </w:t>
      </w:r>
      <w:r>
        <w:rPr/>
        <w:t>and</w:t>
      </w:r>
      <w:r>
        <w:rPr>
          <w:spacing w:val="-19"/>
        </w:rPr>
        <w:t> </w:t>
      </w:r>
      <w:r>
        <w:rPr/>
        <w:t>output—</w:t>
      </w:r>
      <w:r>
        <w:rPr>
          <w:spacing w:val="9"/>
        </w:rPr>
        <w:t> </w:t>
      </w:r>
      <w:r>
        <w:rPr/>
        <w:t>such</w:t>
      </w:r>
      <w:r>
        <w:rPr>
          <w:spacing w:val="-19"/>
        </w:rPr>
        <w:t> </w:t>
      </w:r>
      <w:r>
        <w:rPr/>
        <w:t>as</w:t>
      </w:r>
      <w:r>
        <w:rPr>
          <w:spacing w:val="-18"/>
        </w:rPr>
        <w:t> </w:t>
      </w:r>
      <w:r>
        <w:rPr/>
        <w:t>those</w:t>
      </w:r>
      <w:r>
        <w:rPr>
          <w:spacing w:val="-19"/>
        </w:rPr>
        <w:t> </w:t>
      </w:r>
      <w:r>
        <w:rPr/>
        <w:t>emanating</w:t>
      </w:r>
      <w:r>
        <w:rPr>
          <w:spacing w:val="-18"/>
        </w:rPr>
        <w:t> </w:t>
      </w:r>
      <w:r>
        <w:rPr/>
        <w:t>from</w:t>
      </w:r>
      <w:r>
        <w:rPr>
          <w:spacing w:val="-18"/>
        </w:rPr>
        <w:t> </w:t>
      </w:r>
      <w:r>
        <w:rPr/>
        <w:t>the</w:t>
      </w:r>
      <w:r>
        <w:rPr>
          <w:spacing w:val="-19"/>
        </w:rPr>
        <w:t> </w:t>
      </w:r>
      <w:r>
        <w:rPr/>
        <w:t>exchange</w:t>
      </w:r>
      <w:r>
        <w:rPr>
          <w:spacing w:val="-19"/>
        </w:rPr>
        <w:t> </w:t>
      </w:r>
      <w:r>
        <w:rPr/>
        <w:t>rate—</w:t>
      </w:r>
      <w:r>
        <w:rPr>
          <w:spacing w:val="9"/>
        </w:rPr>
        <w:t> </w:t>
      </w:r>
      <w:r>
        <w:rPr/>
        <w:t>and</w:t>
      </w:r>
      <w:r>
        <w:rPr>
          <w:spacing w:val="-17"/>
        </w:rPr>
        <w:t> </w:t>
      </w:r>
      <w:r>
        <w:rPr/>
        <w:t>imagine</w:t>
      </w:r>
      <w:r>
        <w:rPr>
          <w:spacing w:val="-16"/>
        </w:rPr>
        <w:t> </w:t>
      </w:r>
      <w:r>
        <w:rPr/>
        <w:t>that</w:t>
      </w:r>
    </w:p>
    <w:p>
      <w:pPr>
        <w:spacing w:after="0" w:line="360" w:lineRule="auto"/>
        <w:sectPr>
          <w:pgSz w:w="11900" w:h="16840"/>
          <w:pgMar w:header="0" w:footer="1237" w:top="1600" w:bottom="1420" w:left="1400" w:right="1400"/>
        </w:sectPr>
      </w:pPr>
    </w:p>
    <w:p>
      <w:pPr>
        <w:pStyle w:val="BodyText"/>
        <w:spacing w:before="1"/>
        <w:rPr>
          <w:sz w:val="21"/>
        </w:rPr>
      </w:pPr>
    </w:p>
    <w:p>
      <w:pPr>
        <w:pStyle w:val="BodyText"/>
        <w:spacing w:line="360" w:lineRule="auto" w:before="90"/>
        <w:ind w:left="231" w:right="304"/>
      </w:pPr>
      <w:r>
        <w:rPr/>
        <w:t>UK policy makers simply have to react to shocks from abroad in a situation which is otherwise benign— with inflation close to target and output growing at potential.</w:t>
      </w:r>
    </w:p>
    <w:p>
      <w:pPr>
        <w:pStyle w:val="BodyText"/>
        <w:spacing w:before="1"/>
        <w:rPr>
          <w:sz w:val="36"/>
        </w:rPr>
      </w:pPr>
    </w:p>
    <w:p>
      <w:pPr>
        <w:pStyle w:val="BodyText"/>
        <w:spacing w:line="360" w:lineRule="auto"/>
        <w:ind w:left="231" w:right="336"/>
      </w:pPr>
      <w:r>
        <w:rPr/>
        <w:t>We are concerned mainly with two types </w:t>
      </w:r>
      <w:r>
        <w:rPr>
          <w:spacing w:val="2"/>
        </w:rPr>
        <w:t>of </w:t>
      </w:r>
      <w:r>
        <w:rPr/>
        <w:t>impact </w:t>
      </w:r>
      <w:r>
        <w:rPr>
          <w:spacing w:val="2"/>
        </w:rPr>
        <w:t>or </w:t>
      </w:r>
      <w:r>
        <w:rPr/>
        <w:t>shock. The first is a (substantial) fall in world demand (weighted towards particular sectors, especially ICT)— </w:t>
      </w:r>
      <w:r>
        <w:rPr>
          <w:spacing w:val="2"/>
        </w:rPr>
        <w:t>impacting, </w:t>
      </w:r>
      <w:r>
        <w:rPr/>
        <w:t>in the first instance, </w:t>
      </w:r>
      <w:r>
        <w:rPr>
          <w:spacing w:val="2"/>
        </w:rPr>
        <w:t>on </w:t>
      </w:r>
      <w:r>
        <w:rPr/>
        <w:t>exports. The second, </w:t>
      </w:r>
      <w:r>
        <w:rPr>
          <w:spacing w:val="3"/>
        </w:rPr>
        <w:t>to </w:t>
      </w:r>
      <w:r>
        <w:rPr/>
        <w:t>be discussed </w:t>
      </w:r>
      <w:r>
        <w:rPr>
          <w:spacing w:val="3"/>
        </w:rPr>
        <w:t>only </w:t>
      </w:r>
      <w:r>
        <w:rPr/>
        <w:t>briefly, is a shock </w:t>
      </w:r>
      <w:r>
        <w:rPr>
          <w:spacing w:val="3"/>
        </w:rPr>
        <w:t>to </w:t>
      </w:r>
      <w:r>
        <w:rPr/>
        <w:t>world exchange rates and, in particular, a fall in the dollar relative </w:t>
      </w:r>
      <w:r>
        <w:rPr>
          <w:spacing w:val="3"/>
        </w:rPr>
        <w:t>to </w:t>
      </w:r>
      <w:r>
        <w:rPr/>
        <w:t>the euro. (Here, we assume</w:t>
      </w:r>
      <w:r>
        <w:rPr>
          <w:spacing w:val="-11"/>
        </w:rPr>
        <w:t> </w:t>
      </w:r>
      <w:r>
        <w:rPr/>
        <w:t>that</w:t>
      </w:r>
      <w:r>
        <w:rPr>
          <w:spacing w:val="-8"/>
        </w:rPr>
        <w:t> </w:t>
      </w:r>
      <w:r>
        <w:rPr/>
        <w:t>this</w:t>
      </w:r>
      <w:r>
        <w:rPr>
          <w:spacing w:val="-11"/>
        </w:rPr>
        <w:t> </w:t>
      </w:r>
      <w:r>
        <w:rPr/>
        <w:t>change</w:t>
      </w:r>
      <w:r>
        <w:rPr>
          <w:spacing w:val="-10"/>
        </w:rPr>
        <w:t> </w:t>
      </w:r>
      <w:r>
        <w:rPr/>
        <w:t>leaves</w:t>
      </w:r>
      <w:r>
        <w:rPr>
          <w:spacing w:val="-11"/>
        </w:rPr>
        <w:t> </w:t>
      </w:r>
      <w:r>
        <w:rPr/>
        <w:t>the</w:t>
      </w:r>
      <w:r>
        <w:rPr>
          <w:spacing w:val="-11"/>
        </w:rPr>
        <w:t> </w:t>
      </w:r>
      <w:r>
        <w:rPr/>
        <w:t>UK</w:t>
      </w:r>
      <w:r>
        <w:rPr>
          <w:spacing w:val="-11"/>
        </w:rPr>
        <w:t> </w:t>
      </w:r>
      <w:r>
        <w:rPr/>
        <w:t>effective</w:t>
      </w:r>
      <w:r>
        <w:rPr>
          <w:spacing w:val="-11"/>
        </w:rPr>
        <w:t> </w:t>
      </w:r>
      <w:r>
        <w:rPr/>
        <w:t>exchange</w:t>
      </w:r>
      <w:r>
        <w:rPr>
          <w:spacing w:val="-11"/>
        </w:rPr>
        <w:t> </w:t>
      </w:r>
      <w:r>
        <w:rPr>
          <w:spacing w:val="2"/>
        </w:rPr>
        <w:t>rate</w:t>
      </w:r>
      <w:r>
        <w:rPr>
          <w:spacing w:val="-10"/>
        </w:rPr>
        <w:t> </w:t>
      </w:r>
      <w:r>
        <w:rPr/>
        <w:t>more</w:t>
      </w:r>
      <w:r>
        <w:rPr>
          <w:spacing w:val="-11"/>
        </w:rPr>
        <w:t> </w:t>
      </w:r>
      <w:r>
        <w:rPr>
          <w:spacing w:val="3"/>
        </w:rPr>
        <w:t>or</w:t>
      </w:r>
      <w:r>
        <w:rPr>
          <w:spacing w:val="-7"/>
        </w:rPr>
        <w:t> </w:t>
      </w:r>
      <w:r>
        <w:rPr/>
        <w:t>less</w:t>
      </w:r>
      <w:r>
        <w:rPr>
          <w:spacing w:val="-11"/>
        </w:rPr>
        <w:t> </w:t>
      </w:r>
      <w:r>
        <w:rPr/>
        <w:t>unchanged— a change in the effective rate for sterling, which might also be triggered by international developments, is discussed in the next section,</w:t>
      </w:r>
      <w:r>
        <w:rPr>
          <w:spacing w:val="30"/>
        </w:rPr>
        <w:t> </w:t>
      </w:r>
      <w:r>
        <w:rPr/>
        <w:t>below).</w:t>
      </w:r>
    </w:p>
    <w:p>
      <w:pPr>
        <w:pStyle w:val="BodyText"/>
        <w:rPr>
          <w:sz w:val="36"/>
        </w:rPr>
      </w:pPr>
    </w:p>
    <w:p>
      <w:pPr>
        <w:pStyle w:val="BodyText"/>
        <w:spacing w:line="360" w:lineRule="auto" w:before="1"/>
        <w:ind w:left="231" w:right="255"/>
      </w:pPr>
      <w:r>
        <w:rPr/>
        <w:t>Taking the downward impact from international demand first, the impact on the UK would be a fall in demand and output as net trade worsened, with excess supply and an output gap likely to be created, tending to increase unemployment. In turn, this would indicate reduced inflationary pressure looking forward so that, if uncorrected, inflation would tend to fall below target. The policy response via the MPC’s </w:t>
      </w:r>
      <w:r>
        <w:rPr>
          <w:i/>
        </w:rPr>
        <w:t>reaction function </w:t>
      </w:r>
      <w:r>
        <w:rPr/>
        <w:t>is entirely predictable: interest rates would be set lower than otherwise. Broadly speaking, the MPC would be trying to stimulate other components of demand to compensate for the reduced demand from net trade and the negative impact on domestic demand of the global slowdown,</w:t>
      </w:r>
      <w:r>
        <w:rPr>
          <w:vertAlign w:val="superscript"/>
        </w:rPr>
        <w:t>3</w:t>
      </w:r>
      <w:r>
        <w:rPr>
          <w:vertAlign w:val="baseline"/>
        </w:rPr>
        <w:t> so as to keep prospective inflation in line with the government’s target of 2.5%. That is what the symmetrical set-up of the monetary arrangements in the UK implies.</w:t>
      </w:r>
    </w:p>
    <w:p>
      <w:pPr>
        <w:pStyle w:val="BodyText"/>
        <w:rPr>
          <w:sz w:val="36"/>
        </w:rPr>
      </w:pPr>
    </w:p>
    <w:p>
      <w:pPr>
        <w:pStyle w:val="BodyText"/>
        <w:spacing w:line="360" w:lineRule="auto"/>
        <w:ind w:left="231" w:right="277"/>
      </w:pPr>
      <w:r>
        <w:rPr/>
        <w:t>Of course, things are unlikely to be so simple in practice, due to major uncertainties, not just about the shocks that are occurring and will occur, but also about how the economies respond to those shocks and to policy changes such as movements in short-term interest rates. But some important points follow.</w:t>
      </w:r>
    </w:p>
    <w:p>
      <w:pPr>
        <w:pStyle w:val="BodyText"/>
        <w:rPr>
          <w:sz w:val="20"/>
        </w:rPr>
      </w:pPr>
    </w:p>
    <w:p>
      <w:pPr>
        <w:pStyle w:val="BodyText"/>
        <w:rPr>
          <w:sz w:val="20"/>
        </w:rPr>
      </w:pPr>
    </w:p>
    <w:p>
      <w:pPr>
        <w:pStyle w:val="BodyText"/>
        <w:spacing w:before="9"/>
        <w:rPr>
          <w:sz w:val="22"/>
        </w:rPr>
      </w:pPr>
      <w:r>
        <w:rPr/>
        <w:pict>
          <v:group style="position:absolute;margin-left:81.599998pt;margin-top:15.105439pt;width:432pt;height:.5pt;mso-position-horizontal-relative:page;mso-position-vertical-relative:paragraph;z-index:-251648000;mso-wrap-distance-left:0;mso-wrap-distance-right:0" coordorigin="1632,302" coordsize="8640,10">
            <v:line style="position:absolute" from="1632,307" to="4512,307" stroked="true" strokeweight=".48pt" strokecolor="#000000">
              <v:stroke dashstyle="solid"/>
            </v:line>
            <v:line style="position:absolute" from="4512,307" to="7392,307" stroked="true" strokeweight=".48pt" strokecolor="#000000">
              <v:stroke dashstyle="solid"/>
            </v:line>
            <v:line style="position:absolute" from="7392,307" to="10272,307" stroked="true" strokeweight=".48pt" strokecolor="#000000">
              <v:stroke dashstyle="solid"/>
            </v:line>
            <w10:wrap type="topAndBottom"/>
          </v:group>
        </w:pict>
      </w:r>
    </w:p>
    <w:p>
      <w:pPr>
        <w:spacing w:before="33"/>
        <w:ind w:left="231" w:right="252" w:firstLine="0"/>
        <w:jc w:val="left"/>
        <w:rPr>
          <w:sz w:val="20"/>
        </w:rPr>
      </w:pPr>
      <w:r>
        <w:rPr>
          <w:position w:val="9"/>
          <w:sz w:val="13"/>
        </w:rPr>
        <w:t>3 </w:t>
      </w:r>
      <w:r>
        <w:rPr>
          <w:sz w:val="20"/>
        </w:rPr>
        <w:t>As the MPC has discussed, net exports are only one potential channel through which international shocks are transmitted to the UK economy. From paragraph 7 of the February 2001 MPC Minutes: ‘ some members thought that there could be an impact on foreign direct investment in the United Kingdom by the many US firms with affiliates here whose home profitability and cash flows would be under pressure.’</w:t>
      </w:r>
    </w:p>
    <w:p>
      <w:pPr>
        <w:spacing w:after="0"/>
        <w:jc w:val="left"/>
        <w:rPr>
          <w:sz w:val="20"/>
        </w:rPr>
        <w:sectPr>
          <w:pgSz w:w="11900" w:h="16840"/>
          <w:pgMar w:header="0" w:footer="1237" w:top="1600" w:bottom="1420" w:left="1400" w:right="1400"/>
        </w:sectPr>
      </w:pPr>
    </w:p>
    <w:p>
      <w:pPr>
        <w:pStyle w:val="BodyText"/>
        <w:spacing w:before="1"/>
        <w:rPr>
          <w:sz w:val="21"/>
        </w:rPr>
      </w:pPr>
    </w:p>
    <w:p>
      <w:pPr>
        <w:pStyle w:val="BodyText"/>
        <w:spacing w:line="360" w:lineRule="auto" w:before="90"/>
        <w:ind w:left="232" w:right="250"/>
      </w:pPr>
      <w:r>
        <w:rPr/>
        <w:t>The first, and most important, is that the system is intended to be </w:t>
      </w:r>
      <w:r>
        <w:rPr>
          <w:i/>
        </w:rPr>
        <w:t>stabilising </w:t>
      </w:r>
      <w:r>
        <w:rPr/>
        <w:t>and </w:t>
      </w:r>
      <w:r>
        <w:rPr>
          <w:i/>
        </w:rPr>
        <w:t>offsetting</w:t>
      </w:r>
      <w:r>
        <w:rPr/>
        <w:t>. Over the medium term, policy is meant to undertake the adjustments needed to meet the inflation target and— since meeting the inflation target implies running the economy at productive potential— the economy should grow at about its potential rate. If the system is credible and transparent, then not only should inflation expectations be stabilised around the target rate set by the government, but also it should be expected that large deviations of output from potential will not be permitted. It is also the case that if the objective is understood, then the policy actions taken to achieve the objective should be reasonably predictable.</w:t>
      </w:r>
      <w:r>
        <w:rPr>
          <w:vertAlign w:val="superscript"/>
        </w:rPr>
        <w:t>4</w:t>
      </w:r>
      <w:r>
        <w:rPr>
          <w:vertAlign w:val="baseline"/>
        </w:rPr>
        <w:t> Such a set of beliefs by the private sector in the efficacy of policy over the medium term would itself be a major contribution to macroeconomic stability even if— as is now the case— individual sectors are suffering major adverse impacts.</w:t>
      </w:r>
    </w:p>
    <w:p>
      <w:pPr>
        <w:pStyle w:val="BodyText"/>
        <w:spacing w:before="11"/>
        <w:rPr>
          <w:sz w:val="35"/>
        </w:rPr>
      </w:pPr>
    </w:p>
    <w:p>
      <w:pPr>
        <w:pStyle w:val="BodyText"/>
        <w:spacing w:line="360" w:lineRule="auto"/>
        <w:ind w:left="232" w:right="265"/>
      </w:pPr>
      <w:r>
        <w:rPr/>
        <w:t>The second point is that, in the face </w:t>
      </w:r>
      <w:r>
        <w:rPr>
          <w:spacing w:val="2"/>
        </w:rPr>
        <w:t>of </w:t>
      </w:r>
      <w:r>
        <w:rPr/>
        <w:t>the sort </w:t>
      </w:r>
      <w:r>
        <w:rPr>
          <w:spacing w:val="2"/>
        </w:rPr>
        <w:t>of </w:t>
      </w:r>
      <w:r>
        <w:rPr/>
        <w:t>shocks that have arisen from the international environment, such a policy is almost bound </w:t>
      </w:r>
      <w:r>
        <w:rPr>
          <w:spacing w:val="3"/>
        </w:rPr>
        <w:t>to </w:t>
      </w:r>
      <w:r>
        <w:rPr/>
        <w:t>appear </w:t>
      </w:r>
      <w:r>
        <w:rPr>
          <w:i/>
        </w:rPr>
        <w:t>unbalanced</w:t>
      </w:r>
      <w:r>
        <w:rPr/>
        <w:t>. In the UK</w:t>
      </w:r>
      <w:r>
        <w:rPr>
          <w:spacing w:val="-9"/>
        </w:rPr>
        <w:t> </w:t>
      </w:r>
      <w:r>
        <w:rPr/>
        <w:t>context,</w:t>
      </w:r>
      <w:r>
        <w:rPr>
          <w:spacing w:val="-3"/>
        </w:rPr>
        <w:t> </w:t>
      </w:r>
      <w:r>
        <w:rPr/>
        <w:t>supporting</w:t>
      </w:r>
      <w:r>
        <w:rPr>
          <w:spacing w:val="-8"/>
        </w:rPr>
        <w:t> </w:t>
      </w:r>
      <w:r>
        <w:rPr/>
        <w:t>demand</w:t>
      </w:r>
      <w:r>
        <w:rPr>
          <w:spacing w:val="-8"/>
        </w:rPr>
        <w:t> </w:t>
      </w:r>
      <w:r>
        <w:rPr>
          <w:spacing w:val="3"/>
        </w:rPr>
        <w:t>to</w:t>
      </w:r>
      <w:r>
        <w:rPr>
          <w:spacing w:val="-4"/>
        </w:rPr>
        <w:t> </w:t>
      </w:r>
      <w:r>
        <w:rPr>
          <w:spacing w:val="4"/>
        </w:rPr>
        <w:t>offset</w:t>
      </w:r>
      <w:r>
        <w:rPr>
          <w:spacing w:val="-5"/>
        </w:rPr>
        <w:t> </w:t>
      </w:r>
      <w:r>
        <w:rPr/>
        <w:t>negative</w:t>
      </w:r>
      <w:r>
        <w:rPr>
          <w:spacing w:val="-8"/>
        </w:rPr>
        <w:t> </w:t>
      </w:r>
      <w:r>
        <w:rPr/>
        <w:t>impacts</w:t>
      </w:r>
      <w:r>
        <w:rPr>
          <w:spacing w:val="-8"/>
        </w:rPr>
        <w:t> </w:t>
      </w:r>
      <w:r>
        <w:rPr/>
        <w:t>from</w:t>
      </w:r>
      <w:r>
        <w:rPr>
          <w:spacing w:val="-8"/>
        </w:rPr>
        <w:t> </w:t>
      </w:r>
      <w:r>
        <w:rPr/>
        <w:t>net</w:t>
      </w:r>
      <w:r>
        <w:rPr>
          <w:spacing w:val="-4"/>
        </w:rPr>
        <w:t> </w:t>
      </w:r>
      <w:r>
        <w:rPr/>
        <w:t>trade</w:t>
      </w:r>
      <w:r>
        <w:rPr>
          <w:spacing w:val="-8"/>
        </w:rPr>
        <w:t> </w:t>
      </w:r>
      <w:r>
        <w:rPr/>
        <w:t>and</w:t>
      </w:r>
      <w:r>
        <w:rPr>
          <w:spacing w:val="-8"/>
        </w:rPr>
        <w:t> </w:t>
      </w:r>
      <w:r>
        <w:rPr/>
        <w:t>investment, means supporting consumption (and the housing market, due </w:t>
      </w:r>
      <w:r>
        <w:rPr>
          <w:spacing w:val="2"/>
        </w:rPr>
        <w:t>to </w:t>
      </w:r>
      <w:r>
        <w:rPr/>
        <w:t>the effect </w:t>
      </w:r>
      <w:r>
        <w:rPr>
          <w:spacing w:val="2"/>
        </w:rPr>
        <w:t>of </w:t>
      </w:r>
      <w:r>
        <w:rPr/>
        <w:t>interest rate cuts </w:t>
      </w:r>
      <w:r>
        <w:rPr>
          <w:spacing w:val="2"/>
        </w:rPr>
        <w:t>on </w:t>
      </w:r>
      <w:r>
        <w:rPr/>
        <w:t>the cost </w:t>
      </w:r>
      <w:r>
        <w:rPr>
          <w:spacing w:val="2"/>
        </w:rPr>
        <w:t>of </w:t>
      </w:r>
      <w:r>
        <w:rPr/>
        <w:t>housing finance). To an extent the </w:t>
      </w:r>
      <w:r>
        <w:rPr>
          <w:spacing w:val="-4"/>
        </w:rPr>
        <w:t>‘two-speed </w:t>
      </w:r>
      <w:r>
        <w:rPr/>
        <w:t>economy’ is just what </w:t>
      </w:r>
      <w:r>
        <w:rPr>
          <w:spacing w:val="3"/>
        </w:rPr>
        <w:t>one </w:t>
      </w:r>
      <w:r>
        <w:rPr/>
        <w:t>would expect </w:t>
      </w:r>
      <w:r>
        <w:rPr>
          <w:spacing w:val="2"/>
        </w:rPr>
        <w:t>to </w:t>
      </w:r>
      <w:r>
        <w:rPr>
          <w:spacing w:val="4"/>
        </w:rPr>
        <w:t>observe </w:t>
      </w:r>
      <w:r>
        <w:rPr/>
        <w:t>from the </w:t>
      </w:r>
      <w:r>
        <w:rPr>
          <w:spacing w:val="4"/>
        </w:rPr>
        <w:t>offsetting </w:t>
      </w:r>
      <w:r>
        <w:rPr/>
        <w:t>strategy</w:t>
      </w:r>
      <w:r>
        <w:rPr>
          <w:spacing w:val="11"/>
        </w:rPr>
        <w:t> </w:t>
      </w:r>
      <w:r>
        <w:rPr/>
        <w:t>outlined.</w:t>
      </w:r>
    </w:p>
    <w:p>
      <w:pPr>
        <w:pStyle w:val="BodyText"/>
        <w:spacing w:before="6"/>
        <w:rPr>
          <w:sz w:val="31"/>
        </w:rPr>
      </w:pPr>
    </w:p>
    <w:p>
      <w:pPr>
        <w:pStyle w:val="BodyText"/>
        <w:spacing w:line="360" w:lineRule="auto"/>
        <w:ind w:left="232" w:right="252"/>
      </w:pPr>
      <w:r>
        <w:rPr/>
        <w:pict>
          <v:group style="position:absolute;margin-left:81.599998pt;margin-top:151.363113pt;width:432pt;height:.5pt;mso-position-horizontal-relative:page;mso-position-vertical-relative:paragraph;z-index:-251646976;mso-wrap-distance-left:0;mso-wrap-distance-right:0" coordorigin="1632,3027" coordsize="8640,10">
            <v:line style="position:absolute" from="1632,3032" to="4512,3032" stroked="true" strokeweight=".48pt" strokecolor="#000000">
              <v:stroke dashstyle="solid"/>
            </v:line>
            <v:line style="position:absolute" from="4512,3032" to="7392,3032" stroked="true" strokeweight=".48pt" strokecolor="#000000">
              <v:stroke dashstyle="solid"/>
            </v:line>
            <v:line style="position:absolute" from="7392,3032" to="10272,3032" stroked="true" strokeweight=".48pt" strokecolor="#000000">
              <v:stroke dashstyle="solid"/>
            </v:line>
            <w10:wrap type="topAndBottom"/>
          </v:group>
        </w:pict>
      </w:r>
      <w:r>
        <w:rPr/>
        <w:t>Third, there are </w:t>
      </w:r>
      <w:r>
        <w:rPr>
          <w:spacing w:val="2"/>
        </w:rPr>
        <w:t>of </w:t>
      </w:r>
      <w:r>
        <w:rPr/>
        <w:t>course risks which need </w:t>
      </w:r>
      <w:r>
        <w:rPr>
          <w:spacing w:val="3"/>
        </w:rPr>
        <w:t>to </w:t>
      </w:r>
      <w:r>
        <w:rPr/>
        <w:t>be weighed. One, which was referred </w:t>
      </w:r>
      <w:r>
        <w:rPr>
          <w:spacing w:val="3"/>
        </w:rPr>
        <w:t>to </w:t>
      </w:r>
      <w:r>
        <w:rPr/>
        <w:t>by the</w:t>
      </w:r>
      <w:r>
        <w:rPr>
          <w:spacing w:val="-7"/>
        </w:rPr>
        <w:t> </w:t>
      </w:r>
      <w:r>
        <w:rPr/>
        <w:t>Governor</w:t>
      </w:r>
      <w:r>
        <w:rPr>
          <w:spacing w:val="-7"/>
        </w:rPr>
        <w:t> </w:t>
      </w:r>
      <w:r>
        <w:rPr/>
        <w:t>in</w:t>
      </w:r>
      <w:r>
        <w:rPr>
          <w:spacing w:val="-6"/>
        </w:rPr>
        <w:t> </w:t>
      </w:r>
      <w:r>
        <w:rPr/>
        <w:t>his</w:t>
      </w:r>
      <w:r>
        <w:rPr>
          <w:spacing w:val="-7"/>
        </w:rPr>
        <w:t> </w:t>
      </w:r>
      <w:r>
        <w:rPr/>
        <w:t>Mansion</w:t>
      </w:r>
      <w:r>
        <w:rPr>
          <w:spacing w:val="-6"/>
        </w:rPr>
        <w:t> </w:t>
      </w:r>
      <w:r>
        <w:rPr/>
        <w:t>House</w:t>
      </w:r>
      <w:r>
        <w:rPr>
          <w:spacing w:val="-7"/>
        </w:rPr>
        <w:t> </w:t>
      </w:r>
      <w:r>
        <w:rPr/>
        <w:t>speech</w:t>
      </w:r>
      <w:r>
        <w:rPr>
          <w:spacing w:val="-6"/>
        </w:rPr>
        <w:t> </w:t>
      </w:r>
      <w:r>
        <w:rPr>
          <w:spacing w:val="2"/>
        </w:rPr>
        <w:t>on</w:t>
      </w:r>
      <w:r>
        <w:rPr>
          <w:spacing w:val="-2"/>
        </w:rPr>
        <w:t> </w:t>
      </w:r>
      <w:r>
        <w:rPr/>
        <w:t>20</w:t>
      </w:r>
      <w:r>
        <w:rPr>
          <w:spacing w:val="-7"/>
        </w:rPr>
        <w:t> </w:t>
      </w:r>
      <w:r>
        <w:rPr/>
        <w:t>June</w:t>
      </w:r>
      <w:r>
        <w:rPr>
          <w:spacing w:val="-7"/>
        </w:rPr>
        <w:t> </w:t>
      </w:r>
      <w:r>
        <w:rPr/>
        <w:t>2001,</w:t>
      </w:r>
      <w:r>
        <w:rPr>
          <w:spacing w:val="-6"/>
        </w:rPr>
        <w:t> </w:t>
      </w:r>
      <w:r>
        <w:rPr/>
        <w:t>refers</w:t>
      </w:r>
      <w:r>
        <w:rPr>
          <w:spacing w:val="-5"/>
        </w:rPr>
        <w:t> </w:t>
      </w:r>
      <w:r>
        <w:rPr>
          <w:spacing w:val="3"/>
        </w:rPr>
        <w:t>to</w:t>
      </w:r>
      <w:r>
        <w:rPr>
          <w:spacing w:val="-1"/>
        </w:rPr>
        <w:t> </w:t>
      </w:r>
      <w:r>
        <w:rPr/>
        <w:t>the</w:t>
      </w:r>
      <w:r>
        <w:rPr>
          <w:spacing w:val="-7"/>
        </w:rPr>
        <w:t> </w:t>
      </w:r>
      <w:r>
        <w:rPr/>
        <w:t>possibility</w:t>
      </w:r>
      <w:r>
        <w:rPr>
          <w:spacing w:val="-5"/>
        </w:rPr>
        <w:t> </w:t>
      </w:r>
      <w:r>
        <w:rPr/>
        <w:t>that, in the event, the US and world economies might recover rapidly. </w:t>
      </w:r>
      <w:r>
        <w:rPr>
          <w:spacing w:val="2"/>
        </w:rPr>
        <w:t>Then </w:t>
      </w:r>
      <w:r>
        <w:rPr/>
        <w:t>an </w:t>
      </w:r>
      <w:r>
        <w:rPr>
          <w:spacing w:val="3"/>
        </w:rPr>
        <w:t>over-zealous </w:t>
      </w:r>
      <w:r>
        <w:rPr/>
        <w:t>stimulation </w:t>
      </w:r>
      <w:r>
        <w:rPr>
          <w:spacing w:val="2"/>
        </w:rPr>
        <w:t>of </w:t>
      </w:r>
      <w:r>
        <w:rPr/>
        <w:t>domestic consumption by the UK authorities could, if not reversed in a timely manner, lead </w:t>
      </w:r>
      <w:r>
        <w:rPr>
          <w:spacing w:val="3"/>
        </w:rPr>
        <w:t>to </w:t>
      </w:r>
      <w:r>
        <w:rPr/>
        <w:t>inflationary pressure further </w:t>
      </w:r>
      <w:r>
        <w:rPr>
          <w:spacing w:val="4"/>
        </w:rPr>
        <w:t>out, </w:t>
      </w:r>
      <w:r>
        <w:rPr/>
        <w:t>requiring a more painful correction later </w:t>
      </w:r>
      <w:r>
        <w:rPr>
          <w:spacing w:val="3"/>
        </w:rPr>
        <w:t>on. </w:t>
      </w:r>
      <w:r>
        <w:rPr/>
        <w:t>Other risks arise from the possibility that the world recession is prolonged. </w:t>
      </w:r>
      <w:r>
        <w:rPr>
          <w:spacing w:val="2"/>
        </w:rPr>
        <w:t>Then, </w:t>
      </w:r>
      <w:r>
        <w:rPr/>
        <w:t>the cumulative effects </w:t>
      </w:r>
      <w:r>
        <w:rPr>
          <w:spacing w:val="2"/>
        </w:rPr>
        <w:t>of </w:t>
      </w:r>
      <w:r>
        <w:rPr/>
        <w:t>the ‘imbalance’ could lead </w:t>
      </w:r>
      <w:r>
        <w:rPr>
          <w:spacing w:val="2"/>
        </w:rPr>
        <w:t>to </w:t>
      </w:r>
      <w:r>
        <w:rPr/>
        <w:t>a large</w:t>
      </w:r>
      <w:r>
        <w:rPr>
          <w:spacing w:val="-44"/>
        </w:rPr>
        <w:t> </w:t>
      </w:r>
      <w:r>
        <w:rPr/>
        <w:t>current</w:t>
      </w:r>
    </w:p>
    <w:p>
      <w:pPr>
        <w:spacing w:before="33"/>
        <w:ind w:left="231" w:right="425" w:firstLine="0"/>
        <w:jc w:val="left"/>
        <w:rPr>
          <w:sz w:val="20"/>
        </w:rPr>
      </w:pPr>
      <w:r>
        <w:rPr>
          <w:position w:val="9"/>
          <w:sz w:val="13"/>
        </w:rPr>
        <w:t>4 </w:t>
      </w:r>
      <w:r>
        <w:rPr>
          <w:sz w:val="20"/>
        </w:rPr>
        <w:t>Mervyn King, in a lecture at the London School of Economics, famously suggested that if the MPC was doing its job well, then interest rate decisions would become boring as they would be anticipated by the private sector (King, 1997, p. 440). In fact there are bound to be surprises since assessments and judgements are likely </w:t>
      </w:r>
      <w:r>
        <w:rPr>
          <w:spacing w:val="2"/>
          <w:sz w:val="20"/>
        </w:rPr>
        <w:t>to </w:t>
      </w:r>
      <w:r>
        <w:rPr>
          <w:sz w:val="20"/>
        </w:rPr>
        <w:t>vary even </w:t>
      </w:r>
      <w:r>
        <w:rPr>
          <w:spacing w:val="2"/>
          <w:sz w:val="20"/>
        </w:rPr>
        <w:t>on </w:t>
      </w:r>
      <w:r>
        <w:rPr>
          <w:sz w:val="20"/>
        </w:rPr>
        <w:t>the basis </w:t>
      </w:r>
      <w:r>
        <w:rPr>
          <w:spacing w:val="2"/>
          <w:sz w:val="20"/>
        </w:rPr>
        <w:t>of </w:t>
      </w:r>
      <w:r>
        <w:rPr>
          <w:sz w:val="20"/>
        </w:rPr>
        <w:t>similar information. It remains the </w:t>
      </w:r>
      <w:r>
        <w:rPr>
          <w:spacing w:val="2"/>
          <w:sz w:val="20"/>
        </w:rPr>
        <w:t>case, </w:t>
      </w:r>
      <w:r>
        <w:rPr>
          <w:sz w:val="20"/>
        </w:rPr>
        <w:t>however, that there</w:t>
      </w:r>
      <w:r>
        <w:rPr>
          <w:spacing w:val="-5"/>
          <w:sz w:val="20"/>
        </w:rPr>
        <w:t> </w:t>
      </w:r>
      <w:r>
        <w:rPr>
          <w:sz w:val="20"/>
        </w:rPr>
        <w:t>is</w:t>
      </w:r>
      <w:r>
        <w:rPr>
          <w:spacing w:val="-4"/>
          <w:sz w:val="20"/>
        </w:rPr>
        <w:t> </w:t>
      </w:r>
      <w:r>
        <w:rPr>
          <w:sz w:val="20"/>
        </w:rPr>
        <w:t>no</w:t>
      </w:r>
      <w:r>
        <w:rPr>
          <w:spacing w:val="-4"/>
          <w:sz w:val="20"/>
        </w:rPr>
        <w:t> </w:t>
      </w:r>
      <w:r>
        <w:rPr>
          <w:sz w:val="20"/>
        </w:rPr>
        <w:t>virtue</w:t>
      </w:r>
      <w:r>
        <w:rPr>
          <w:spacing w:val="-5"/>
          <w:sz w:val="20"/>
        </w:rPr>
        <w:t> </w:t>
      </w:r>
      <w:r>
        <w:rPr>
          <w:sz w:val="20"/>
        </w:rPr>
        <w:t>in</w:t>
      </w:r>
      <w:r>
        <w:rPr>
          <w:spacing w:val="-4"/>
          <w:sz w:val="20"/>
        </w:rPr>
        <w:t> </w:t>
      </w:r>
      <w:r>
        <w:rPr>
          <w:sz w:val="20"/>
        </w:rPr>
        <w:t>surprising</w:t>
      </w:r>
      <w:r>
        <w:rPr>
          <w:spacing w:val="-4"/>
          <w:sz w:val="20"/>
        </w:rPr>
        <w:t> </w:t>
      </w:r>
      <w:r>
        <w:rPr>
          <w:sz w:val="20"/>
        </w:rPr>
        <w:t>markets</w:t>
      </w:r>
      <w:r>
        <w:rPr>
          <w:spacing w:val="-4"/>
          <w:sz w:val="20"/>
        </w:rPr>
        <w:t> </w:t>
      </w:r>
      <w:r>
        <w:rPr>
          <w:sz w:val="20"/>
        </w:rPr>
        <w:t>though</w:t>
      </w:r>
      <w:r>
        <w:rPr>
          <w:spacing w:val="-4"/>
          <w:sz w:val="20"/>
        </w:rPr>
        <w:t> </w:t>
      </w:r>
      <w:r>
        <w:rPr>
          <w:sz w:val="20"/>
        </w:rPr>
        <w:t>it may</w:t>
      </w:r>
      <w:r>
        <w:rPr>
          <w:spacing w:val="-4"/>
          <w:sz w:val="20"/>
        </w:rPr>
        <w:t> </w:t>
      </w:r>
      <w:r>
        <w:rPr>
          <w:sz w:val="20"/>
        </w:rPr>
        <w:t>be</w:t>
      </w:r>
      <w:r>
        <w:rPr>
          <w:spacing w:val="-5"/>
          <w:sz w:val="20"/>
        </w:rPr>
        <w:t> </w:t>
      </w:r>
      <w:r>
        <w:rPr>
          <w:sz w:val="20"/>
        </w:rPr>
        <w:t>necessary</w:t>
      </w:r>
      <w:r>
        <w:rPr>
          <w:spacing w:val="-4"/>
          <w:sz w:val="20"/>
        </w:rPr>
        <w:t> </w:t>
      </w:r>
      <w:r>
        <w:rPr>
          <w:sz w:val="20"/>
        </w:rPr>
        <w:t>if</w:t>
      </w:r>
      <w:r>
        <w:rPr>
          <w:spacing w:val="-4"/>
          <w:sz w:val="20"/>
        </w:rPr>
        <w:t> </w:t>
      </w:r>
      <w:r>
        <w:rPr>
          <w:sz w:val="20"/>
        </w:rPr>
        <w:t>it is</w:t>
      </w:r>
      <w:r>
        <w:rPr>
          <w:spacing w:val="-4"/>
          <w:sz w:val="20"/>
        </w:rPr>
        <w:t> </w:t>
      </w:r>
      <w:r>
        <w:rPr>
          <w:sz w:val="20"/>
        </w:rPr>
        <w:t>judged</w:t>
      </w:r>
      <w:r>
        <w:rPr>
          <w:spacing w:val="-4"/>
          <w:sz w:val="20"/>
        </w:rPr>
        <w:t> </w:t>
      </w:r>
      <w:r>
        <w:rPr>
          <w:sz w:val="20"/>
        </w:rPr>
        <w:t>that</w:t>
      </w:r>
      <w:r>
        <w:rPr>
          <w:spacing w:val="1"/>
          <w:sz w:val="20"/>
        </w:rPr>
        <w:t> </w:t>
      </w:r>
      <w:r>
        <w:rPr>
          <w:sz w:val="20"/>
        </w:rPr>
        <w:t>markets</w:t>
      </w:r>
      <w:r>
        <w:rPr>
          <w:spacing w:val="-5"/>
          <w:sz w:val="20"/>
        </w:rPr>
        <w:t> </w:t>
      </w:r>
      <w:r>
        <w:rPr>
          <w:sz w:val="20"/>
        </w:rPr>
        <w:t>have</w:t>
      </w:r>
      <w:r>
        <w:rPr>
          <w:spacing w:val="-1"/>
          <w:sz w:val="20"/>
        </w:rPr>
        <w:t> </w:t>
      </w:r>
      <w:r>
        <w:rPr>
          <w:spacing w:val="-8"/>
          <w:sz w:val="20"/>
        </w:rPr>
        <w:t>‘got</w:t>
      </w:r>
      <w:r>
        <w:rPr>
          <w:spacing w:val="-5"/>
          <w:sz w:val="20"/>
        </w:rPr>
        <w:t> </w:t>
      </w:r>
      <w:r>
        <w:rPr>
          <w:sz w:val="20"/>
        </w:rPr>
        <w:t>it</w:t>
      </w:r>
    </w:p>
    <w:p>
      <w:pPr>
        <w:spacing w:after="0"/>
        <w:jc w:val="left"/>
        <w:rPr>
          <w:sz w:val="20"/>
        </w:rPr>
        <w:sectPr>
          <w:pgSz w:w="11900" w:h="16840"/>
          <w:pgMar w:header="0" w:footer="1237" w:top="1600" w:bottom="1420" w:left="1400" w:right="1400"/>
        </w:sectPr>
      </w:pPr>
    </w:p>
    <w:p>
      <w:pPr>
        <w:pStyle w:val="BodyText"/>
        <w:spacing w:before="1"/>
        <w:rPr>
          <w:sz w:val="21"/>
        </w:rPr>
      </w:pPr>
    </w:p>
    <w:p>
      <w:pPr>
        <w:pStyle w:val="BodyText"/>
        <w:spacing w:line="360" w:lineRule="auto" w:before="90"/>
        <w:ind w:left="231" w:right="304"/>
      </w:pPr>
      <w:r>
        <w:rPr/>
        <w:t>account deficit and, possibly, a sharp change in the exchange rate. This issue is further discussed in the context of the domestic imbalances below.</w:t>
      </w:r>
    </w:p>
    <w:p>
      <w:pPr>
        <w:pStyle w:val="BodyText"/>
        <w:spacing w:before="6"/>
        <w:rPr>
          <w:sz w:val="31"/>
        </w:rPr>
      </w:pPr>
    </w:p>
    <w:p>
      <w:pPr>
        <w:pStyle w:val="BodyText"/>
        <w:spacing w:line="360" w:lineRule="auto"/>
        <w:ind w:left="231" w:right="301"/>
      </w:pPr>
      <w:r>
        <w:rPr/>
        <w:t>Clearly, it is likely </w:t>
      </w:r>
      <w:r>
        <w:rPr>
          <w:spacing w:val="2"/>
        </w:rPr>
        <w:t>that </w:t>
      </w:r>
      <w:r>
        <w:rPr/>
        <w:t>policy </w:t>
      </w:r>
      <w:r>
        <w:rPr>
          <w:i/>
        </w:rPr>
        <w:t>will </w:t>
      </w:r>
      <w:r>
        <w:rPr/>
        <w:t>need </w:t>
      </w:r>
      <w:r>
        <w:rPr>
          <w:spacing w:val="2"/>
        </w:rPr>
        <w:t>to </w:t>
      </w:r>
      <w:r>
        <w:rPr/>
        <w:t>adjust as events unfold and as further information becomes available. But this leads </w:t>
      </w:r>
      <w:r>
        <w:rPr>
          <w:spacing w:val="3"/>
        </w:rPr>
        <w:t>to </w:t>
      </w:r>
      <w:r>
        <w:rPr/>
        <w:t>a further important point about the </w:t>
      </w:r>
      <w:r>
        <w:rPr>
          <w:spacing w:val="4"/>
        </w:rPr>
        <w:t>overall </w:t>
      </w:r>
      <w:r>
        <w:rPr/>
        <w:t>context. As is especially </w:t>
      </w:r>
      <w:r>
        <w:rPr>
          <w:spacing w:val="4"/>
        </w:rPr>
        <w:t>obvious </w:t>
      </w:r>
      <w:r>
        <w:rPr/>
        <w:t>in the case </w:t>
      </w:r>
      <w:r>
        <w:rPr>
          <w:spacing w:val="2"/>
        </w:rPr>
        <w:t>of </w:t>
      </w:r>
      <w:r>
        <w:rPr/>
        <w:t>the United States, policy makers in </w:t>
      </w:r>
      <w:r>
        <w:rPr>
          <w:spacing w:val="4"/>
        </w:rPr>
        <w:t>other </w:t>
      </w:r>
      <w:r>
        <w:rPr/>
        <w:t>countries </w:t>
      </w:r>
      <w:r>
        <w:rPr>
          <w:spacing w:val="3"/>
        </w:rPr>
        <w:t>too </w:t>
      </w:r>
      <w:r>
        <w:rPr/>
        <w:t>are trying </w:t>
      </w:r>
      <w:r>
        <w:rPr>
          <w:spacing w:val="2"/>
        </w:rPr>
        <w:t>to </w:t>
      </w:r>
      <w:r>
        <w:rPr/>
        <w:t>mitigate the effects </w:t>
      </w:r>
      <w:r>
        <w:rPr>
          <w:spacing w:val="2"/>
        </w:rPr>
        <w:t>of </w:t>
      </w:r>
      <w:r>
        <w:rPr/>
        <w:t>domestic and international shocks. In the United States, short-term interest rates have been cut aggressively precisely</w:t>
      </w:r>
      <w:r>
        <w:rPr>
          <w:spacing w:val="-9"/>
        </w:rPr>
        <w:t> </w:t>
      </w:r>
      <w:r>
        <w:rPr>
          <w:spacing w:val="3"/>
        </w:rPr>
        <w:t>to</w:t>
      </w:r>
      <w:r>
        <w:rPr>
          <w:spacing w:val="-4"/>
        </w:rPr>
        <w:t> </w:t>
      </w:r>
      <w:r>
        <w:rPr/>
        <w:t>generate</w:t>
      </w:r>
      <w:r>
        <w:rPr>
          <w:spacing w:val="-8"/>
        </w:rPr>
        <w:t> </w:t>
      </w:r>
      <w:r>
        <w:rPr/>
        <w:t>the</w:t>
      </w:r>
      <w:r>
        <w:rPr>
          <w:spacing w:val="-9"/>
        </w:rPr>
        <w:t> </w:t>
      </w:r>
      <w:r>
        <w:rPr/>
        <w:t>anticipation</w:t>
      </w:r>
      <w:r>
        <w:rPr>
          <w:spacing w:val="-9"/>
        </w:rPr>
        <w:t> </w:t>
      </w:r>
      <w:r>
        <w:rPr/>
        <w:t>that</w:t>
      </w:r>
      <w:r>
        <w:rPr>
          <w:spacing w:val="-3"/>
        </w:rPr>
        <w:t> </w:t>
      </w:r>
      <w:r>
        <w:rPr/>
        <w:t>the</w:t>
      </w:r>
      <w:r>
        <w:rPr>
          <w:spacing w:val="-9"/>
        </w:rPr>
        <w:t> </w:t>
      </w:r>
      <w:r>
        <w:rPr/>
        <w:t>slowdown</w:t>
      </w:r>
      <w:r>
        <w:rPr>
          <w:spacing w:val="-9"/>
        </w:rPr>
        <w:t> </w:t>
      </w:r>
      <w:r>
        <w:rPr/>
        <w:t>will</w:t>
      </w:r>
      <w:r>
        <w:rPr>
          <w:spacing w:val="-8"/>
        </w:rPr>
        <w:t> </w:t>
      </w:r>
      <w:r>
        <w:rPr/>
        <w:t>be</w:t>
      </w:r>
      <w:r>
        <w:rPr>
          <w:spacing w:val="-9"/>
        </w:rPr>
        <w:t> </w:t>
      </w:r>
      <w:r>
        <w:rPr>
          <w:spacing w:val="2"/>
        </w:rPr>
        <w:t>relatively</w:t>
      </w:r>
      <w:r>
        <w:rPr>
          <w:spacing w:val="-7"/>
        </w:rPr>
        <w:t> </w:t>
      </w:r>
      <w:r>
        <w:rPr/>
        <w:t>short-lived,</w:t>
      </w:r>
      <w:r>
        <w:rPr>
          <w:spacing w:val="-8"/>
        </w:rPr>
        <w:t> </w:t>
      </w:r>
      <w:r>
        <w:rPr/>
        <w:t>and that the US economy will soon return </w:t>
      </w:r>
      <w:r>
        <w:rPr>
          <w:spacing w:val="3"/>
        </w:rPr>
        <w:t>to </w:t>
      </w:r>
      <w:r>
        <w:rPr/>
        <w:t>full potential with stable inflation. </w:t>
      </w:r>
      <w:r>
        <w:rPr>
          <w:spacing w:val="2"/>
        </w:rPr>
        <w:t>The </w:t>
      </w:r>
      <w:r>
        <w:rPr/>
        <w:t>anticipation </w:t>
      </w:r>
      <w:r>
        <w:rPr>
          <w:spacing w:val="3"/>
        </w:rPr>
        <w:t>of </w:t>
      </w:r>
      <w:r>
        <w:rPr/>
        <w:t>such an </w:t>
      </w:r>
      <w:r>
        <w:rPr>
          <w:spacing w:val="5"/>
        </w:rPr>
        <w:t>outcome </w:t>
      </w:r>
      <w:r>
        <w:rPr/>
        <w:t>makes it more likely that it will be achieved. </w:t>
      </w:r>
      <w:r>
        <w:rPr>
          <w:spacing w:val="2"/>
        </w:rPr>
        <w:t>There </w:t>
      </w:r>
      <w:r>
        <w:rPr/>
        <w:t>has been and there still is considerable uncertainty about how far policy will have </w:t>
      </w:r>
      <w:r>
        <w:rPr>
          <w:spacing w:val="3"/>
        </w:rPr>
        <w:t>to </w:t>
      </w:r>
      <w:r>
        <w:rPr/>
        <w:t>adjust, but little doubt that if the problems appear bigger, then further action will follow. (Thus, bad news about US prospects leads </w:t>
      </w:r>
      <w:r>
        <w:rPr>
          <w:spacing w:val="2"/>
        </w:rPr>
        <w:t>to </w:t>
      </w:r>
      <w:r>
        <w:rPr/>
        <w:t>the market anticipation of lower interest rates.) The</w:t>
      </w:r>
      <w:r>
        <w:rPr>
          <w:spacing w:val="-5"/>
        </w:rPr>
        <w:t> </w:t>
      </w:r>
      <w:r>
        <w:rPr/>
        <w:t>more</w:t>
      </w:r>
      <w:r>
        <w:rPr>
          <w:spacing w:val="-7"/>
        </w:rPr>
        <w:t> </w:t>
      </w:r>
      <w:r>
        <w:rPr>
          <w:spacing w:val="4"/>
        </w:rPr>
        <w:t>other</w:t>
      </w:r>
      <w:r>
        <w:rPr>
          <w:spacing w:val="-3"/>
        </w:rPr>
        <w:t> </w:t>
      </w:r>
      <w:r>
        <w:rPr/>
        <w:t>countries</w:t>
      </w:r>
      <w:r>
        <w:rPr>
          <w:spacing w:val="-8"/>
        </w:rPr>
        <w:t> </w:t>
      </w:r>
      <w:r>
        <w:rPr/>
        <w:t>succeed</w:t>
      </w:r>
      <w:r>
        <w:rPr>
          <w:spacing w:val="-7"/>
        </w:rPr>
        <w:t> </w:t>
      </w:r>
      <w:r>
        <w:rPr/>
        <w:t>in</w:t>
      </w:r>
      <w:r>
        <w:rPr>
          <w:spacing w:val="-7"/>
        </w:rPr>
        <w:t> </w:t>
      </w:r>
      <w:r>
        <w:rPr/>
        <w:t>putting</w:t>
      </w:r>
      <w:r>
        <w:rPr>
          <w:spacing w:val="-7"/>
        </w:rPr>
        <w:t> </w:t>
      </w:r>
      <w:r>
        <w:rPr/>
        <w:t>in</w:t>
      </w:r>
      <w:r>
        <w:rPr>
          <w:spacing w:val="-7"/>
        </w:rPr>
        <w:t> </w:t>
      </w:r>
      <w:r>
        <w:rPr/>
        <w:t>place</w:t>
      </w:r>
      <w:r>
        <w:rPr>
          <w:spacing w:val="-7"/>
        </w:rPr>
        <w:t> </w:t>
      </w:r>
      <w:r>
        <w:rPr>
          <w:spacing w:val="4"/>
        </w:rPr>
        <w:t>offsetting</w:t>
      </w:r>
      <w:r>
        <w:rPr>
          <w:spacing w:val="-3"/>
        </w:rPr>
        <w:t> </w:t>
      </w:r>
      <w:r>
        <w:rPr/>
        <w:t>strategies,</w:t>
      </w:r>
      <w:r>
        <w:rPr>
          <w:spacing w:val="-7"/>
        </w:rPr>
        <w:t> </w:t>
      </w:r>
      <w:r>
        <w:rPr/>
        <w:t>the</w:t>
      </w:r>
      <w:r>
        <w:rPr>
          <w:spacing w:val="-7"/>
        </w:rPr>
        <w:t> </w:t>
      </w:r>
      <w:r>
        <w:rPr/>
        <w:t>smaller</w:t>
      </w:r>
      <w:r>
        <w:rPr>
          <w:spacing w:val="-6"/>
        </w:rPr>
        <w:t> </w:t>
      </w:r>
      <w:r>
        <w:rPr/>
        <w:t>the impact </w:t>
      </w:r>
      <w:r>
        <w:rPr>
          <w:spacing w:val="2"/>
        </w:rPr>
        <w:t>on </w:t>
      </w:r>
      <w:r>
        <w:rPr/>
        <w:t>the UK. The decision </w:t>
      </w:r>
      <w:r>
        <w:rPr>
          <w:spacing w:val="2"/>
        </w:rPr>
        <w:t>of </w:t>
      </w:r>
      <w:r>
        <w:rPr/>
        <w:t>the ECB </w:t>
      </w:r>
      <w:r>
        <w:rPr>
          <w:spacing w:val="2"/>
        </w:rPr>
        <w:t>to </w:t>
      </w:r>
      <w:r>
        <w:rPr/>
        <w:t>lower interest rates in August in the face </w:t>
      </w:r>
      <w:r>
        <w:rPr>
          <w:spacing w:val="2"/>
        </w:rPr>
        <w:t>of</w:t>
      </w:r>
      <w:r>
        <w:rPr>
          <w:spacing w:val="-3"/>
        </w:rPr>
        <w:t> </w:t>
      </w:r>
      <w:r>
        <w:rPr/>
        <w:t>weakening</w:t>
      </w:r>
      <w:r>
        <w:rPr>
          <w:spacing w:val="-7"/>
        </w:rPr>
        <w:t> </w:t>
      </w:r>
      <w:r>
        <w:rPr/>
        <w:t>prospects</w:t>
      </w:r>
      <w:r>
        <w:rPr>
          <w:spacing w:val="-7"/>
        </w:rPr>
        <w:t> </w:t>
      </w:r>
      <w:r>
        <w:rPr/>
        <w:t>in</w:t>
      </w:r>
      <w:r>
        <w:rPr>
          <w:spacing w:val="-7"/>
        </w:rPr>
        <w:t> </w:t>
      </w:r>
      <w:r>
        <w:rPr/>
        <w:t>the</w:t>
      </w:r>
      <w:r>
        <w:rPr>
          <w:spacing w:val="-7"/>
        </w:rPr>
        <w:t> </w:t>
      </w:r>
      <w:r>
        <w:rPr/>
        <w:t>euro</w:t>
      </w:r>
      <w:r>
        <w:rPr>
          <w:spacing w:val="-7"/>
        </w:rPr>
        <w:t> </w:t>
      </w:r>
      <w:r>
        <w:rPr/>
        <w:t>area</w:t>
      </w:r>
      <w:r>
        <w:rPr>
          <w:spacing w:val="-7"/>
        </w:rPr>
        <w:t> </w:t>
      </w:r>
      <w:r>
        <w:rPr/>
        <w:t>is</w:t>
      </w:r>
      <w:r>
        <w:rPr>
          <w:spacing w:val="-7"/>
        </w:rPr>
        <w:t> </w:t>
      </w:r>
      <w:r>
        <w:rPr/>
        <w:t>greatly</w:t>
      </w:r>
      <w:r>
        <w:rPr>
          <w:spacing w:val="-6"/>
        </w:rPr>
        <w:t> </w:t>
      </w:r>
      <w:r>
        <w:rPr>
          <w:spacing w:val="2"/>
        </w:rPr>
        <w:t>to</w:t>
      </w:r>
      <w:r>
        <w:rPr>
          <w:spacing w:val="-2"/>
        </w:rPr>
        <w:t> </w:t>
      </w:r>
      <w:r>
        <w:rPr/>
        <w:t>be</w:t>
      </w:r>
      <w:r>
        <w:rPr>
          <w:spacing w:val="-7"/>
        </w:rPr>
        <w:t> </w:t>
      </w:r>
      <w:r>
        <w:rPr/>
        <w:t>welcomed,</w:t>
      </w:r>
      <w:r>
        <w:rPr>
          <w:spacing w:val="-7"/>
        </w:rPr>
        <w:t> </w:t>
      </w:r>
      <w:r>
        <w:rPr/>
        <w:t>not</w:t>
      </w:r>
      <w:r>
        <w:rPr>
          <w:spacing w:val="-2"/>
        </w:rPr>
        <w:t> </w:t>
      </w:r>
      <w:r>
        <w:rPr/>
        <w:t>just</w:t>
      </w:r>
      <w:r>
        <w:rPr>
          <w:spacing w:val="-2"/>
        </w:rPr>
        <w:t> </w:t>
      </w:r>
      <w:r>
        <w:rPr/>
        <w:t>from</w:t>
      </w:r>
      <w:r>
        <w:rPr>
          <w:spacing w:val="-6"/>
        </w:rPr>
        <w:t> </w:t>
      </w:r>
      <w:r>
        <w:rPr/>
        <w:t>the</w:t>
      </w:r>
      <w:r>
        <w:rPr>
          <w:spacing w:val="-8"/>
        </w:rPr>
        <w:t> </w:t>
      </w:r>
      <w:r>
        <w:rPr/>
        <w:t>point </w:t>
      </w:r>
      <w:r>
        <w:rPr>
          <w:spacing w:val="2"/>
        </w:rPr>
        <w:t>of </w:t>
      </w:r>
      <w:r>
        <w:rPr/>
        <w:t>view </w:t>
      </w:r>
      <w:r>
        <w:rPr>
          <w:spacing w:val="2"/>
        </w:rPr>
        <w:t>of </w:t>
      </w:r>
      <w:r>
        <w:rPr/>
        <w:t>the euro zone itself, but also from the point </w:t>
      </w:r>
      <w:r>
        <w:rPr>
          <w:spacing w:val="2"/>
        </w:rPr>
        <w:t>of </w:t>
      </w:r>
      <w:r>
        <w:rPr/>
        <w:t>view </w:t>
      </w:r>
      <w:r>
        <w:rPr>
          <w:spacing w:val="2"/>
        </w:rPr>
        <w:t>of </w:t>
      </w:r>
      <w:r>
        <w:rPr/>
        <w:t>the</w:t>
      </w:r>
      <w:r>
        <w:rPr>
          <w:spacing w:val="8"/>
        </w:rPr>
        <w:t> </w:t>
      </w:r>
      <w:r>
        <w:rPr/>
        <w:t>UK.</w:t>
      </w:r>
    </w:p>
    <w:p>
      <w:pPr>
        <w:pStyle w:val="BodyText"/>
        <w:rPr>
          <w:sz w:val="31"/>
        </w:rPr>
      </w:pPr>
    </w:p>
    <w:p>
      <w:pPr>
        <w:pStyle w:val="BodyText"/>
        <w:spacing w:line="360" w:lineRule="auto"/>
        <w:ind w:left="231" w:right="252"/>
      </w:pPr>
      <w:r>
        <w:rPr/>
        <w:t>What this indicates is that the biggest risk from the world economy is that policy makers might, in some sense, fail. I would hesitate to put a probability on this. In the US, the main danger arises from the domestic and external imbalances. These pose a risk not just to the looked-for US recovery— in the bleakest scenario, monetary policy might simply be too weak, at least in the short term, to offset a major reaction by consumers— but, as has been suggested in a recent meeting of the Financial Stability Forum, to financial instability in the world economy. One possibility which cannot be ruled out would be a major fall in the exchange rate of the dollar versus the euro.</w:t>
      </w:r>
    </w:p>
    <w:p>
      <w:pPr>
        <w:pStyle w:val="BodyText"/>
        <w:spacing w:before="4"/>
        <w:rPr>
          <w:sz w:val="31"/>
        </w:rPr>
      </w:pPr>
    </w:p>
    <w:p>
      <w:pPr>
        <w:pStyle w:val="BodyText"/>
        <w:spacing w:line="362" w:lineRule="auto"/>
        <w:ind w:left="231"/>
      </w:pPr>
      <w:r>
        <w:rPr/>
        <w:t>No one wants financial instability, and it is profoundly to be hoped that it will be avoided. Clearly, however, one of reasons for the UK’s two-speed economy, and the intense</w:t>
      </w:r>
    </w:p>
    <w:p>
      <w:pPr>
        <w:pStyle w:val="BodyText"/>
        <w:spacing w:before="8"/>
        <w:rPr>
          <w:sz w:val="8"/>
        </w:rPr>
      </w:pPr>
      <w:r>
        <w:rPr/>
        <w:pict>
          <v:shape style="position:absolute;margin-left:81.599998pt;margin-top:7.237051pt;width:432pt;height:.1pt;mso-position-horizontal-relative:page;mso-position-vertical-relative:paragraph;z-index:-251645952;mso-wrap-distance-left:0;mso-wrap-distance-right:0" coordorigin="1632,145" coordsize="8640,0" path="m1632,145l10272,145e" filled="false" stroked="true" strokeweight=".48pt" strokecolor="#000000">
            <v:path arrowok="t"/>
            <v:stroke dashstyle="solid"/>
            <w10:wrap type="topAndBottom"/>
          </v:shape>
        </w:pict>
      </w:r>
    </w:p>
    <w:p>
      <w:pPr>
        <w:spacing w:before="57"/>
        <w:ind w:left="231" w:right="304" w:firstLine="0"/>
        <w:jc w:val="left"/>
        <w:rPr>
          <w:sz w:val="20"/>
        </w:rPr>
      </w:pPr>
      <w:r>
        <w:rPr>
          <w:sz w:val="20"/>
        </w:rPr>
        <w:t>wrong’. A complication is that market commentators are trying not just to assess the situation and the appropriate policy response, but are also trying to predict how the MPC will assess the situation.</w:t>
      </w:r>
    </w:p>
    <w:p>
      <w:pPr>
        <w:spacing w:after="0"/>
        <w:jc w:val="left"/>
        <w:rPr>
          <w:sz w:val="20"/>
        </w:rPr>
        <w:sectPr>
          <w:pgSz w:w="11900" w:h="16840"/>
          <w:pgMar w:header="0" w:footer="1237" w:top="1600" w:bottom="1420" w:left="1400" w:right="1400"/>
        </w:sectPr>
      </w:pPr>
    </w:p>
    <w:p>
      <w:pPr>
        <w:pStyle w:val="BodyText"/>
        <w:spacing w:before="1"/>
        <w:rPr>
          <w:sz w:val="21"/>
        </w:rPr>
      </w:pPr>
    </w:p>
    <w:p>
      <w:pPr>
        <w:pStyle w:val="BodyText"/>
        <w:spacing w:line="360" w:lineRule="auto" w:before="90"/>
        <w:ind w:left="231" w:right="225"/>
      </w:pPr>
      <w:r>
        <w:rPr/>
        <w:t>pressure on large parts of manufacturing industry, has been the weakness of the euro relative to the dollar. A fall in the dollar relative to the euro with sterling somewhere in between, if achieved in an orderly way, would do much to ease some of the imbalances in the UK. So far, however, despite a large cut in interest rates in the US as compared to the euro zone, the recovery of the euro has been fitful and modest. The looked-for revival of the euro still seems some way off.</w:t>
      </w:r>
    </w:p>
    <w:p>
      <w:pPr>
        <w:pStyle w:val="BodyText"/>
        <w:spacing w:before="6"/>
        <w:rPr>
          <w:sz w:val="31"/>
        </w:rPr>
      </w:pPr>
    </w:p>
    <w:p>
      <w:pPr>
        <w:pStyle w:val="BodyText"/>
        <w:ind w:left="231"/>
      </w:pPr>
      <w:r>
        <w:rPr/>
        <w:t>This takes us to the situation in the UK.</w:t>
      </w:r>
    </w:p>
    <w:p>
      <w:pPr>
        <w:pStyle w:val="BodyText"/>
        <w:rPr>
          <w:sz w:val="26"/>
        </w:rPr>
      </w:pPr>
    </w:p>
    <w:p>
      <w:pPr>
        <w:pStyle w:val="Heading1"/>
        <w:numPr>
          <w:ilvl w:val="0"/>
          <w:numId w:val="2"/>
        </w:numPr>
        <w:tabs>
          <w:tab w:pos="592" w:val="left" w:leader="none"/>
        </w:tabs>
        <w:spacing w:line="240" w:lineRule="auto" w:before="203" w:after="0"/>
        <w:ind w:left="592" w:right="0" w:hanging="361"/>
        <w:jc w:val="left"/>
      </w:pPr>
      <w:r>
        <w:rPr/>
        <w:t>DOMESTIC</w:t>
      </w:r>
      <w:r>
        <w:rPr>
          <w:spacing w:val="1"/>
        </w:rPr>
        <w:t> </w:t>
      </w:r>
      <w:r>
        <w:rPr/>
        <w:t>ISSUES</w:t>
      </w:r>
    </w:p>
    <w:p>
      <w:pPr>
        <w:pStyle w:val="BodyText"/>
        <w:rPr>
          <w:b/>
          <w:sz w:val="26"/>
        </w:rPr>
      </w:pPr>
    </w:p>
    <w:p>
      <w:pPr>
        <w:pStyle w:val="BodyText"/>
        <w:spacing w:line="360" w:lineRule="auto" w:before="193"/>
        <w:ind w:left="231" w:right="286"/>
      </w:pPr>
      <w:r>
        <w:rPr/>
        <w:t>One, imperfect, indicator of the ‘two-speed’ economy is the divergent rates of growth of manufacturing and services in the recent past. Over the past year manufacturing output (measured by industrial production, which is available monthly) has fallen by 3%, whilst services (which now account for about two-thirds of GDP) grew by 3.4% from mid-2000 to mid-2001. The comparison is even more dramatic for the first half of this year: manufacturing output in July 2001 was more than 4% below its December 2000 peak, while in 2001 Q2 services output was 1.7% higher than 2000 Q4. (See Table 1.) And as is well known, retail sales, an indicator of what is happening to consumption, have been continuing to grow very fast over the summer— the latest figure (for August) is an increase of 6.3% over a year ago.</w:t>
      </w:r>
    </w:p>
    <w:p>
      <w:pPr>
        <w:pStyle w:val="BodyText"/>
        <w:rPr>
          <w:sz w:val="20"/>
        </w:rPr>
      </w:pPr>
    </w:p>
    <w:p>
      <w:pPr>
        <w:pStyle w:val="BodyText"/>
        <w:spacing w:before="9"/>
        <w:rPr>
          <w:sz w:val="16"/>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8"/>
        <w:gridCol w:w="1478"/>
        <w:gridCol w:w="1473"/>
        <w:gridCol w:w="1478"/>
        <w:gridCol w:w="1473"/>
        <w:gridCol w:w="1478"/>
      </w:tblGrid>
      <w:tr>
        <w:trPr>
          <w:trHeight w:val="412" w:hRule="atLeast"/>
        </w:trPr>
        <w:tc>
          <w:tcPr>
            <w:tcW w:w="8858" w:type="dxa"/>
            <w:gridSpan w:val="6"/>
          </w:tcPr>
          <w:p>
            <w:pPr>
              <w:pStyle w:val="TableParagraph"/>
              <w:spacing w:line="268" w:lineRule="exact"/>
              <w:ind w:left="2457" w:right="2438"/>
              <w:rPr>
                <w:sz w:val="24"/>
              </w:rPr>
            </w:pPr>
            <w:r>
              <w:rPr>
                <w:sz w:val="24"/>
              </w:rPr>
              <w:t>Table 1: Indices of production in the UK</w:t>
            </w:r>
          </w:p>
        </w:tc>
      </w:tr>
      <w:tr>
        <w:trPr>
          <w:trHeight w:val="277" w:hRule="atLeast"/>
        </w:trPr>
        <w:tc>
          <w:tcPr>
            <w:tcW w:w="1478" w:type="dxa"/>
          </w:tcPr>
          <w:p>
            <w:pPr>
              <w:pStyle w:val="TableParagraph"/>
              <w:spacing w:line="240" w:lineRule="auto"/>
              <w:ind w:left="0"/>
              <w:jc w:val="left"/>
              <w:rPr>
                <w:sz w:val="20"/>
              </w:rPr>
            </w:pPr>
          </w:p>
        </w:tc>
        <w:tc>
          <w:tcPr>
            <w:tcW w:w="7380" w:type="dxa"/>
            <w:gridSpan w:val="5"/>
          </w:tcPr>
          <w:p>
            <w:pPr>
              <w:pStyle w:val="TableParagraph"/>
              <w:spacing w:line="258" w:lineRule="exact"/>
              <w:ind w:left="2821" w:right="2807"/>
              <w:rPr>
                <w:sz w:val="24"/>
              </w:rPr>
            </w:pPr>
            <w:r>
              <w:rPr>
                <w:sz w:val="24"/>
              </w:rPr>
              <w:t>Index 1995 = 100</w:t>
            </w:r>
          </w:p>
        </w:tc>
      </w:tr>
      <w:tr>
        <w:trPr>
          <w:trHeight w:val="273" w:hRule="atLeast"/>
        </w:trPr>
        <w:tc>
          <w:tcPr>
            <w:tcW w:w="1478" w:type="dxa"/>
          </w:tcPr>
          <w:p>
            <w:pPr>
              <w:pStyle w:val="TableParagraph"/>
              <w:spacing w:line="240" w:lineRule="auto"/>
              <w:ind w:left="0"/>
              <w:jc w:val="left"/>
              <w:rPr>
                <w:sz w:val="20"/>
              </w:rPr>
            </w:pPr>
          </w:p>
        </w:tc>
        <w:tc>
          <w:tcPr>
            <w:tcW w:w="1478" w:type="dxa"/>
          </w:tcPr>
          <w:p>
            <w:pPr>
              <w:pStyle w:val="TableParagraph"/>
              <w:ind w:left="98" w:right="88"/>
              <w:rPr>
                <w:sz w:val="24"/>
              </w:rPr>
            </w:pPr>
            <w:r>
              <w:rPr>
                <w:sz w:val="24"/>
              </w:rPr>
              <w:t>2000 Q3</w:t>
            </w:r>
          </w:p>
        </w:tc>
        <w:tc>
          <w:tcPr>
            <w:tcW w:w="1473" w:type="dxa"/>
          </w:tcPr>
          <w:p>
            <w:pPr>
              <w:pStyle w:val="TableParagraph"/>
              <w:ind w:left="297" w:right="290"/>
              <w:rPr>
                <w:sz w:val="24"/>
              </w:rPr>
            </w:pPr>
            <w:r>
              <w:rPr>
                <w:sz w:val="24"/>
              </w:rPr>
              <w:t>2000 Q4</w:t>
            </w:r>
          </w:p>
        </w:tc>
        <w:tc>
          <w:tcPr>
            <w:tcW w:w="1478" w:type="dxa"/>
          </w:tcPr>
          <w:p>
            <w:pPr>
              <w:pStyle w:val="TableParagraph"/>
              <w:ind w:left="100" w:right="88"/>
              <w:rPr>
                <w:sz w:val="24"/>
              </w:rPr>
            </w:pPr>
            <w:r>
              <w:rPr>
                <w:sz w:val="24"/>
              </w:rPr>
              <w:t>2001 Q1</w:t>
            </w:r>
          </w:p>
        </w:tc>
        <w:tc>
          <w:tcPr>
            <w:tcW w:w="1473" w:type="dxa"/>
          </w:tcPr>
          <w:p>
            <w:pPr>
              <w:pStyle w:val="TableParagraph"/>
              <w:ind w:left="298" w:right="289"/>
              <w:rPr>
                <w:sz w:val="24"/>
              </w:rPr>
            </w:pPr>
            <w:r>
              <w:rPr>
                <w:sz w:val="24"/>
              </w:rPr>
              <w:t>2001 Q2</w:t>
            </w:r>
          </w:p>
        </w:tc>
        <w:tc>
          <w:tcPr>
            <w:tcW w:w="1478" w:type="dxa"/>
          </w:tcPr>
          <w:p>
            <w:pPr>
              <w:pStyle w:val="TableParagraph"/>
              <w:ind w:left="275"/>
              <w:jc w:val="left"/>
              <w:rPr>
                <w:sz w:val="24"/>
              </w:rPr>
            </w:pPr>
            <w:r>
              <w:rPr>
                <w:sz w:val="24"/>
              </w:rPr>
              <w:t>July 2001</w:t>
            </w:r>
          </w:p>
        </w:tc>
      </w:tr>
      <w:tr>
        <w:trPr>
          <w:trHeight w:val="412" w:hRule="atLeast"/>
        </w:trPr>
        <w:tc>
          <w:tcPr>
            <w:tcW w:w="1478" w:type="dxa"/>
          </w:tcPr>
          <w:p>
            <w:pPr>
              <w:pStyle w:val="TableParagraph"/>
              <w:spacing w:line="225" w:lineRule="exact"/>
              <w:ind w:left="96" w:right="88"/>
              <w:rPr>
                <w:sz w:val="20"/>
              </w:rPr>
            </w:pPr>
            <w:r>
              <w:rPr>
                <w:sz w:val="20"/>
              </w:rPr>
              <w:t>Total GDP</w:t>
            </w:r>
          </w:p>
        </w:tc>
        <w:tc>
          <w:tcPr>
            <w:tcW w:w="1478" w:type="dxa"/>
          </w:tcPr>
          <w:p>
            <w:pPr>
              <w:pStyle w:val="TableParagraph"/>
              <w:spacing w:line="268" w:lineRule="exact"/>
              <w:ind w:left="101" w:right="88"/>
              <w:rPr>
                <w:sz w:val="24"/>
              </w:rPr>
            </w:pPr>
            <w:r>
              <w:rPr>
                <w:sz w:val="24"/>
              </w:rPr>
              <w:t>115.5</w:t>
            </w:r>
          </w:p>
        </w:tc>
        <w:tc>
          <w:tcPr>
            <w:tcW w:w="1473" w:type="dxa"/>
          </w:tcPr>
          <w:p>
            <w:pPr>
              <w:pStyle w:val="TableParagraph"/>
              <w:spacing w:line="268" w:lineRule="exact"/>
              <w:ind w:left="298" w:right="287"/>
              <w:rPr>
                <w:sz w:val="24"/>
              </w:rPr>
            </w:pPr>
            <w:r>
              <w:rPr>
                <w:sz w:val="24"/>
              </w:rPr>
              <w:t>116</w:t>
            </w:r>
          </w:p>
        </w:tc>
        <w:tc>
          <w:tcPr>
            <w:tcW w:w="1478" w:type="dxa"/>
          </w:tcPr>
          <w:p>
            <w:pPr>
              <w:pStyle w:val="TableParagraph"/>
              <w:spacing w:line="268" w:lineRule="exact"/>
              <w:ind w:left="101" w:right="86"/>
              <w:rPr>
                <w:sz w:val="24"/>
              </w:rPr>
            </w:pPr>
            <w:r>
              <w:rPr>
                <w:sz w:val="24"/>
              </w:rPr>
              <w:t>116.5</w:t>
            </w:r>
          </w:p>
        </w:tc>
        <w:tc>
          <w:tcPr>
            <w:tcW w:w="1473" w:type="dxa"/>
          </w:tcPr>
          <w:p>
            <w:pPr>
              <w:pStyle w:val="TableParagraph"/>
              <w:spacing w:line="268" w:lineRule="exact"/>
              <w:ind w:left="298" w:right="287"/>
              <w:rPr>
                <w:sz w:val="24"/>
              </w:rPr>
            </w:pPr>
            <w:r>
              <w:rPr>
                <w:sz w:val="24"/>
              </w:rPr>
              <w:t>116.9</w:t>
            </w:r>
          </w:p>
        </w:tc>
        <w:tc>
          <w:tcPr>
            <w:tcW w:w="1478" w:type="dxa"/>
          </w:tcPr>
          <w:p>
            <w:pPr>
              <w:pStyle w:val="TableParagraph"/>
              <w:spacing w:line="268" w:lineRule="exact"/>
              <w:ind w:left="0" w:right="88"/>
              <w:rPr>
                <w:sz w:val="24"/>
              </w:rPr>
            </w:pPr>
            <w:r>
              <w:rPr>
                <w:w w:val="56"/>
                <w:sz w:val="24"/>
              </w:rPr>
              <w:t>—</w:t>
            </w:r>
          </w:p>
        </w:tc>
      </w:tr>
      <w:tr>
        <w:trPr>
          <w:trHeight w:val="417" w:hRule="atLeast"/>
        </w:trPr>
        <w:tc>
          <w:tcPr>
            <w:tcW w:w="1478" w:type="dxa"/>
          </w:tcPr>
          <w:p>
            <w:pPr>
              <w:pStyle w:val="TableParagraph"/>
              <w:spacing w:line="225" w:lineRule="exact"/>
              <w:ind w:left="99" w:right="88"/>
              <w:rPr>
                <w:sz w:val="20"/>
              </w:rPr>
            </w:pPr>
            <w:r>
              <w:rPr>
                <w:sz w:val="20"/>
              </w:rPr>
              <w:t>Manufacturing</w:t>
            </w:r>
          </w:p>
        </w:tc>
        <w:tc>
          <w:tcPr>
            <w:tcW w:w="1478" w:type="dxa"/>
          </w:tcPr>
          <w:p>
            <w:pPr>
              <w:pStyle w:val="TableParagraph"/>
              <w:spacing w:line="273" w:lineRule="exact"/>
              <w:ind w:left="101" w:right="88"/>
              <w:rPr>
                <w:sz w:val="24"/>
              </w:rPr>
            </w:pPr>
            <w:r>
              <w:rPr>
                <w:sz w:val="24"/>
              </w:rPr>
              <w:t>104.2</w:t>
            </w:r>
          </w:p>
        </w:tc>
        <w:tc>
          <w:tcPr>
            <w:tcW w:w="1473" w:type="dxa"/>
          </w:tcPr>
          <w:p>
            <w:pPr>
              <w:pStyle w:val="TableParagraph"/>
              <w:spacing w:line="273" w:lineRule="exact"/>
              <w:ind w:left="298" w:right="289"/>
              <w:rPr>
                <w:sz w:val="24"/>
              </w:rPr>
            </w:pPr>
            <w:r>
              <w:rPr>
                <w:sz w:val="24"/>
              </w:rPr>
              <w:t>104.8</w:t>
            </w:r>
          </w:p>
        </w:tc>
        <w:tc>
          <w:tcPr>
            <w:tcW w:w="1478" w:type="dxa"/>
          </w:tcPr>
          <w:p>
            <w:pPr>
              <w:pStyle w:val="TableParagraph"/>
              <w:spacing w:line="273" w:lineRule="exact"/>
              <w:ind w:left="101" w:right="86"/>
              <w:rPr>
                <w:sz w:val="24"/>
              </w:rPr>
            </w:pPr>
            <w:r>
              <w:rPr>
                <w:sz w:val="24"/>
              </w:rPr>
              <w:t>104.0</w:t>
            </w:r>
          </w:p>
        </w:tc>
        <w:tc>
          <w:tcPr>
            <w:tcW w:w="1473" w:type="dxa"/>
          </w:tcPr>
          <w:p>
            <w:pPr>
              <w:pStyle w:val="TableParagraph"/>
              <w:spacing w:line="273" w:lineRule="exact"/>
              <w:ind w:left="298" w:right="287"/>
              <w:rPr>
                <w:sz w:val="24"/>
              </w:rPr>
            </w:pPr>
            <w:r>
              <w:rPr>
                <w:sz w:val="24"/>
              </w:rPr>
              <w:t>101.8</w:t>
            </w:r>
          </w:p>
        </w:tc>
        <w:tc>
          <w:tcPr>
            <w:tcW w:w="1478" w:type="dxa"/>
          </w:tcPr>
          <w:p>
            <w:pPr>
              <w:pStyle w:val="TableParagraph"/>
              <w:spacing w:line="273" w:lineRule="exact"/>
              <w:ind w:left="472"/>
              <w:jc w:val="left"/>
              <w:rPr>
                <w:sz w:val="24"/>
              </w:rPr>
            </w:pPr>
            <w:r>
              <w:rPr>
                <w:sz w:val="24"/>
              </w:rPr>
              <w:t>100.7</w:t>
            </w:r>
          </w:p>
        </w:tc>
      </w:tr>
      <w:tr>
        <w:trPr>
          <w:trHeight w:val="412" w:hRule="atLeast"/>
        </w:trPr>
        <w:tc>
          <w:tcPr>
            <w:tcW w:w="1478" w:type="dxa"/>
          </w:tcPr>
          <w:p>
            <w:pPr>
              <w:pStyle w:val="TableParagraph"/>
              <w:spacing w:line="225" w:lineRule="exact"/>
              <w:ind w:left="101" w:right="88"/>
              <w:rPr>
                <w:sz w:val="20"/>
              </w:rPr>
            </w:pPr>
            <w:r>
              <w:rPr>
                <w:sz w:val="20"/>
              </w:rPr>
              <w:t>Services output</w:t>
            </w:r>
          </w:p>
        </w:tc>
        <w:tc>
          <w:tcPr>
            <w:tcW w:w="1478" w:type="dxa"/>
          </w:tcPr>
          <w:p>
            <w:pPr>
              <w:pStyle w:val="TableParagraph"/>
              <w:spacing w:line="268" w:lineRule="exact"/>
              <w:ind w:left="101" w:right="88"/>
              <w:rPr>
                <w:sz w:val="24"/>
              </w:rPr>
            </w:pPr>
            <w:r>
              <w:rPr>
                <w:sz w:val="24"/>
              </w:rPr>
              <w:t>120.3</w:t>
            </w:r>
          </w:p>
        </w:tc>
        <w:tc>
          <w:tcPr>
            <w:tcW w:w="1473" w:type="dxa"/>
          </w:tcPr>
          <w:p>
            <w:pPr>
              <w:pStyle w:val="TableParagraph"/>
              <w:spacing w:line="268" w:lineRule="exact"/>
              <w:ind w:left="298" w:right="289"/>
              <w:rPr>
                <w:sz w:val="24"/>
              </w:rPr>
            </w:pPr>
            <w:r>
              <w:rPr>
                <w:sz w:val="24"/>
              </w:rPr>
              <w:t>121.1</w:t>
            </w:r>
          </w:p>
        </w:tc>
        <w:tc>
          <w:tcPr>
            <w:tcW w:w="1478" w:type="dxa"/>
          </w:tcPr>
          <w:p>
            <w:pPr>
              <w:pStyle w:val="TableParagraph"/>
              <w:spacing w:line="268" w:lineRule="exact"/>
              <w:ind w:left="101" w:right="86"/>
              <w:rPr>
                <w:sz w:val="24"/>
              </w:rPr>
            </w:pPr>
            <w:r>
              <w:rPr>
                <w:sz w:val="24"/>
              </w:rPr>
              <w:t>122.2</w:t>
            </w:r>
          </w:p>
        </w:tc>
        <w:tc>
          <w:tcPr>
            <w:tcW w:w="1473" w:type="dxa"/>
          </w:tcPr>
          <w:p>
            <w:pPr>
              <w:pStyle w:val="TableParagraph"/>
              <w:spacing w:line="268" w:lineRule="exact"/>
              <w:ind w:left="298" w:right="287"/>
              <w:rPr>
                <w:sz w:val="24"/>
              </w:rPr>
            </w:pPr>
            <w:r>
              <w:rPr>
                <w:sz w:val="24"/>
              </w:rPr>
              <w:t>123.1</w:t>
            </w:r>
          </w:p>
        </w:tc>
        <w:tc>
          <w:tcPr>
            <w:tcW w:w="1478" w:type="dxa"/>
          </w:tcPr>
          <w:p>
            <w:pPr>
              <w:pStyle w:val="TableParagraph"/>
              <w:spacing w:line="268" w:lineRule="exact"/>
              <w:ind w:left="0" w:right="88"/>
              <w:rPr>
                <w:sz w:val="24"/>
              </w:rPr>
            </w:pPr>
            <w:r>
              <w:rPr>
                <w:w w:val="56"/>
                <w:sz w:val="24"/>
              </w:rPr>
              <w:t>—</w:t>
            </w:r>
          </w:p>
        </w:tc>
      </w:tr>
      <w:tr>
        <w:trPr>
          <w:trHeight w:val="460" w:hRule="atLeast"/>
        </w:trPr>
        <w:tc>
          <w:tcPr>
            <w:tcW w:w="8858" w:type="dxa"/>
            <w:gridSpan w:val="6"/>
          </w:tcPr>
          <w:p>
            <w:pPr>
              <w:pStyle w:val="TableParagraph"/>
              <w:spacing w:line="225" w:lineRule="exact"/>
              <w:ind w:left="110"/>
              <w:jc w:val="left"/>
              <w:rPr>
                <w:sz w:val="20"/>
              </w:rPr>
            </w:pPr>
            <w:r>
              <w:rPr>
                <w:sz w:val="20"/>
              </w:rPr>
              <w:t>Sources: GDP, ONS series YBEZ; services output, ONS series GDQS; manufacturing output, ONS series</w:t>
            </w:r>
          </w:p>
          <w:p>
            <w:pPr>
              <w:pStyle w:val="TableParagraph"/>
              <w:spacing w:line="215" w:lineRule="exact"/>
              <w:ind w:left="110"/>
              <w:jc w:val="left"/>
              <w:rPr>
                <w:sz w:val="20"/>
              </w:rPr>
            </w:pPr>
            <w:r>
              <w:rPr>
                <w:sz w:val="20"/>
              </w:rPr>
              <w:t>CKYY (quarterly averages except July figure).</w:t>
            </w:r>
          </w:p>
        </w:tc>
      </w:tr>
    </w:tbl>
    <w:p>
      <w:pPr>
        <w:spacing w:after="0" w:line="215" w:lineRule="exact"/>
        <w:jc w:val="left"/>
        <w:rPr>
          <w:sz w:val="20"/>
        </w:rPr>
        <w:sectPr>
          <w:pgSz w:w="11900" w:h="16840"/>
          <w:pgMar w:header="0" w:footer="1237" w:top="1600" w:bottom="1420" w:left="1400" w:right="1400"/>
        </w:sectPr>
      </w:pPr>
    </w:p>
    <w:p>
      <w:pPr>
        <w:pStyle w:val="BodyText"/>
        <w:spacing w:before="1"/>
        <w:rPr>
          <w:sz w:val="21"/>
        </w:rPr>
      </w:pPr>
    </w:p>
    <w:p>
      <w:pPr>
        <w:pStyle w:val="BodyText"/>
        <w:spacing w:line="360" w:lineRule="auto" w:before="90"/>
        <w:ind w:left="231" w:right="517"/>
      </w:pPr>
      <w:r>
        <w:rPr/>
        <w:t>Some of this is due to the US downturn and the ICT shock— and I have argued that an offsetting strategy is desirable. But the imbalance is more long-standing than that, and has a great deal to do with the exchange rate.</w:t>
      </w:r>
    </w:p>
    <w:p>
      <w:pPr>
        <w:pStyle w:val="BodyText"/>
        <w:spacing w:before="9"/>
        <w:rPr>
          <w:sz w:val="31"/>
        </w:rPr>
      </w:pPr>
    </w:p>
    <w:p>
      <w:pPr>
        <w:pStyle w:val="Heading2"/>
        <w:spacing w:before="1"/>
        <w:rPr>
          <w:i/>
        </w:rPr>
      </w:pPr>
      <w:r>
        <w:rPr>
          <w:i/>
        </w:rPr>
        <w:t>The exchange rate</w:t>
      </w:r>
    </w:p>
    <w:p>
      <w:pPr>
        <w:pStyle w:val="BodyText"/>
        <w:rPr>
          <w:b/>
          <w:i/>
          <w:sz w:val="26"/>
        </w:rPr>
      </w:pPr>
    </w:p>
    <w:p>
      <w:pPr>
        <w:pStyle w:val="BodyText"/>
        <w:spacing w:line="360" w:lineRule="auto" w:before="193"/>
        <w:ind w:left="231" w:right="304"/>
      </w:pPr>
      <w:r>
        <w:rPr/>
        <w:t>Chart 3 shows what has happened since 1990 to the UK’s nominal exchange rate— against the dollar and against the Deutschemark (which of course tracks the euro since the beginning of 1999). Chart 4 shows indicators of cost competitiveness. The picture is one of a major shock to competitiveness starting in about 1996 relative to Germany and Europe and a much smaller shock relative to the dollar. The shock to competitiveness, bearing on euro exposed sectors of the economy, has been very large.</w:t>
      </w:r>
    </w:p>
    <w:p>
      <w:pPr>
        <w:pStyle w:val="BodyText"/>
        <w:spacing w:before="6"/>
        <w:rPr>
          <w:sz w:val="31"/>
        </w:rPr>
      </w:pPr>
    </w:p>
    <w:p>
      <w:pPr>
        <w:pStyle w:val="BodyText"/>
        <w:spacing w:line="360" w:lineRule="auto"/>
        <w:ind w:left="231" w:right="252"/>
      </w:pPr>
      <w:r>
        <w:rPr/>
        <w:t>The MPC cannot target both inflation and the exchange rate but, of course, exchange rate developments do have a major bearing on interest rate decisions. The exchange rate has a direct influence on prospects for RPIX inflation via import prices as well as indirect effects on demand, output and unemployment (and hence onto inflation).</w:t>
      </w:r>
    </w:p>
    <w:p>
      <w:pPr>
        <w:pStyle w:val="BodyText"/>
        <w:spacing w:before="10"/>
        <w:rPr>
          <w:sz w:val="35"/>
        </w:rPr>
      </w:pPr>
    </w:p>
    <w:p>
      <w:pPr>
        <w:pStyle w:val="BodyText"/>
        <w:spacing w:line="360" w:lineRule="auto"/>
        <w:ind w:left="231" w:right="245"/>
      </w:pPr>
      <w:r>
        <w:rPr/>
        <w:t>During the period when the exchange rate was rising, overall RPIX inflation was held down by the dampening of import price inflation— as can be seen in Chart 5, which compares RPIX inflation to domestically generated inflation (DGI), as measured by growth in nominal unit labour costs. DGI has tended to be higher than the target rate for the RPIX series, and higher than what is consistent with the long-term maintenance of RPIX inflation on target. Importantly, however, more recently the picture has changed, and indicators of domestically generated inflation have been broadly consistent with the inflation target. In the period when the exchange rate was rising, real household incomes were boosted by the exchange rate rise— the effect on real incomes coming through via a lower cost of living than otherwise due to lower import prices.</w:t>
      </w:r>
    </w:p>
    <w:p>
      <w:pPr>
        <w:pStyle w:val="BodyText"/>
        <w:spacing w:before="2"/>
        <w:rPr>
          <w:sz w:val="36"/>
        </w:rPr>
      </w:pPr>
    </w:p>
    <w:p>
      <w:pPr>
        <w:pStyle w:val="BodyText"/>
        <w:spacing w:line="360" w:lineRule="auto"/>
        <w:ind w:left="231"/>
      </w:pPr>
      <w:r>
        <w:rPr/>
        <w:t>It may be useful to think of the impact of the exchange rate rise in terms of three different channels— though they are all closely interrelated. First, there is a favourable impact on</w:t>
      </w:r>
    </w:p>
    <w:p>
      <w:pPr>
        <w:spacing w:after="0" w:line="360" w:lineRule="auto"/>
        <w:sectPr>
          <w:pgSz w:w="11900" w:h="16840"/>
          <w:pgMar w:header="0" w:footer="1237" w:top="1600" w:bottom="1420" w:left="1400" w:right="1400"/>
        </w:sectPr>
      </w:pPr>
    </w:p>
    <w:p>
      <w:pPr>
        <w:pStyle w:val="BodyText"/>
        <w:spacing w:before="6"/>
        <w:rPr>
          <w:sz w:val="21"/>
        </w:rPr>
      </w:pPr>
    </w:p>
    <w:p>
      <w:pPr>
        <w:pStyle w:val="Heading1"/>
        <w:spacing w:before="90"/>
      </w:pPr>
      <w:r>
        <w:rPr/>
        <w:t>Chart 3: UK nominal exchange rate</w:t>
      </w:r>
    </w:p>
    <w:p>
      <w:pPr>
        <w:pStyle w:val="BodyText"/>
        <w:rPr>
          <w:b/>
          <w:sz w:val="20"/>
        </w:rPr>
      </w:pPr>
    </w:p>
    <w:p>
      <w:pPr>
        <w:pStyle w:val="BodyText"/>
        <w:spacing w:before="8"/>
        <w:rPr>
          <w:b/>
          <w:sz w:val="22"/>
        </w:rPr>
      </w:pPr>
    </w:p>
    <w:p>
      <w:pPr>
        <w:spacing w:before="99"/>
        <w:ind w:left="428" w:right="0" w:firstLine="0"/>
        <w:jc w:val="left"/>
        <w:rPr>
          <w:rFonts w:ascii="Arial"/>
          <w:sz w:val="15"/>
        </w:rPr>
      </w:pPr>
      <w:r>
        <w:rPr>
          <w:rFonts w:ascii="Arial"/>
          <w:w w:val="105"/>
          <w:sz w:val="15"/>
        </w:rPr>
        <w:t>Base 1990 = 100</w:t>
      </w:r>
    </w:p>
    <w:p>
      <w:pPr>
        <w:spacing w:before="91"/>
        <w:ind w:left="390" w:right="0" w:firstLine="0"/>
        <w:jc w:val="left"/>
        <w:rPr>
          <w:rFonts w:ascii="Arial"/>
          <w:sz w:val="15"/>
        </w:rPr>
      </w:pPr>
      <w:r>
        <w:rPr/>
        <w:pict>
          <v:group style="position:absolute;margin-left:107.519997pt;margin-top:8.824887pt;width:330.25pt;height:141.5pt;mso-position-horizontal-relative:page;mso-position-vertical-relative:paragraph;z-index:251677696" coordorigin="2150,176" coordsize="6605,2830">
            <v:shape style="position:absolute;left:2150;top:178;width:6591;height:2828" coordorigin="2150,179" coordsize="6591,2828" path="m2203,179l2203,2963m2150,2963l2203,2963m2150,2651l2203,2651m2150,2344l2203,2344m2150,2032l2203,2032m2150,1724l2203,1724m2150,1412l2203,1412m2150,1105l2203,1105m2150,798l2203,798m2150,486l2203,486m2150,179l2203,179m2203,2963l8741,2963m2203,3006l2203,2963m2856,3006l2856,2963m3514,3006l3514,2963m4166,3006l4166,2963m4819,3006l4819,2963m5472,3006l5472,2963m6125,3006l6125,2963m6782,3006l6782,2963m7435,3006l7435,2963m8088,3006l8088,2963m8741,3006l8741,2963e" filled="false" stroked="true" strokeweight=".24pt" strokecolor="#000000">
              <v:path arrowok="t"/>
              <v:stroke dashstyle="solid"/>
            </v:shape>
            <v:line style="position:absolute" from="2203,1105" to="2856,985" stroked="true" strokeweight="1.44pt" strokecolor="#000080">
              <v:stroke dashstyle="solid"/>
            </v:line>
            <v:shape style="position:absolute;left:2856;top:889;width:5232;height:1532" coordorigin="2856,889" coordsize="5232,1532" path="m2856,985l3514,1384m3514,1384l4166,1940m4166,1940l4819,1936m4819,1936l5472,2420m5472,2420l6125,2233m6125,2233l6782,1177m6782,1177l7435,1014m7435,1014l8088,889e" filled="false" stroked="true" strokeweight="1.44pt" strokecolor="#000080">
              <v:path arrowok="t"/>
              <v:stroke dashstyle="solid"/>
            </v:shape>
            <v:line style="position:absolute" from="8088,889" to="8741,371" stroked="true" strokeweight="1.44pt" strokecolor="#000080">
              <v:stroke dashstyle="solid"/>
            </v:line>
            <v:line style="position:absolute" from="2189,1127" to="2870,1127" stroked="true" strokeweight="3.6pt" strokecolor="#008000">
              <v:stroke dashstyle="solid"/>
            </v:line>
            <v:shape style="position:absolute;left:2856;top:1148;width:5232;height:912" coordorigin="2856,1148" coordsize="5232,912" path="m2856,1148l3514,1182m3514,1182l4166,2060m4166,2060l4819,1960m4819,1960l5472,1796m5472,1796l6125,1859m6125,1859l6782,1590m6782,1590l7435,1528m7435,1528l8088,1657e" filled="false" stroked="true" strokeweight="1.44pt" strokecolor="#008000">
              <v:path arrowok="t"/>
              <v:stroke dashstyle="solid"/>
            </v:shape>
            <v:line style="position:absolute" from="8088,1657" to="8741,2022" stroked="true" strokeweight="1.44pt" strokecolor="#008000">
              <v:stroke dashstyle="solid"/>
            </v:line>
            <v:shape style="position:absolute;left:7348;top:677;width:507;height:173" type="#_x0000_t202" filled="false" stroked="false">
              <v:textbox inset="0,0,0,0">
                <w:txbxContent>
                  <w:p>
                    <w:pPr>
                      <w:spacing w:line="171" w:lineRule="exact" w:before="0"/>
                      <w:ind w:left="0" w:right="0" w:firstLine="0"/>
                      <w:jc w:val="left"/>
                      <w:rPr>
                        <w:rFonts w:ascii="Arial" w:hAnsi="Arial"/>
                        <w:sz w:val="15"/>
                      </w:rPr>
                    </w:pPr>
                    <w:r>
                      <w:rPr>
                        <w:rFonts w:ascii="Arial" w:hAnsi="Arial"/>
                        <w:w w:val="105"/>
                        <w:sz w:val="15"/>
                      </w:rPr>
                      <w:t>DM / £</w:t>
                    </w:r>
                  </w:p>
                </w:txbxContent>
              </v:textbox>
              <w10:wrap type="none"/>
            </v:shape>
            <v:shape style="position:absolute;left:7440;top:1647;width:623;height:173" type="#_x0000_t202" filled="false" stroked="false">
              <v:textbox inset="0,0,0,0">
                <w:txbxContent>
                  <w:p>
                    <w:pPr>
                      <w:spacing w:line="171" w:lineRule="exact" w:before="0"/>
                      <w:ind w:left="0" w:right="0" w:firstLine="0"/>
                      <w:jc w:val="left"/>
                      <w:rPr>
                        <w:rFonts w:ascii="Arial" w:hAnsi="Arial"/>
                        <w:sz w:val="15"/>
                      </w:rPr>
                    </w:pPr>
                    <w:r>
                      <w:rPr>
                        <w:rFonts w:ascii="Arial" w:hAnsi="Arial"/>
                        <w:w w:val="105"/>
                        <w:sz w:val="15"/>
                      </w:rPr>
                      <w:t>$ US / £</w:t>
                    </w:r>
                  </w:p>
                </w:txbxContent>
              </v:textbox>
              <w10:wrap type="none"/>
            </v:shape>
            <w10:wrap type="none"/>
          </v:group>
        </w:pict>
      </w:r>
      <w:r>
        <w:rPr>
          <w:rFonts w:ascii="Arial"/>
          <w:spacing w:val="7"/>
          <w:w w:val="105"/>
          <w:sz w:val="15"/>
        </w:rPr>
        <w:t>115</w:t>
      </w:r>
    </w:p>
    <w:p>
      <w:pPr>
        <w:spacing w:before="135"/>
        <w:ind w:left="390" w:right="0" w:firstLine="0"/>
        <w:jc w:val="left"/>
        <w:rPr>
          <w:rFonts w:ascii="Arial"/>
          <w:sz w:val="15"/>
        </w:rPr>
      </w:pPr>
      <w:r>
        <w:rPr>
          <w:rFonts w:ascii="Arial"/>
          <w:spacing w:val="7"/>
          <w:w w:val="105"/>
          <w:sz w:val="15"/>
        </w:rPr>
        <w:t>110</w:t>
      </w:r>
    </w:p>
    <w:p>
      <w:pPr>
        <w:spacing w:before="139"/>
        <w:ind w:left="390" w:right="0" w:firstLine="0"/>
        <w:jc w:val="left"/>
        <w:rPr>
          <w:rFonts w:ascii="Arial"/>
          <w:sz w:val="15"/>
        </w:rPr>
      </w:pPr>
      <w:r>
        <w:rPr>
          <w:rFonts w:ascii="Arial"/>
          <w:spacing w:val="7"/>
          <w:w w:val="105"/>
          <w:sz w:val="15"/>
        </w:rPr>
        <w:t>105</w:t>
      </w:r>
    </w:p>
    <w:p>
      <w:pPr>
        <w:spacing w:before="135"/>
        <w:ind w:left="390" w:right="0" w:firstLine="0"/>
        <w:jc w:val="left"/>
        <w:rPr>
          <w:rFonts w:ascii="Arial"/>
          <w:sz w:val="15"/>
        </w:rPr>
      </w:pPr>
      <w:r>
        <w:rPr>
          <w:rFonts w:ascii="Arial"/>
          <w:spacing w:val="7"/>
          <w:w w:val="105"/>
          <w:sz w:val="15"/>
        </w:rPr>
        <w:t>100</w:t>
      </w:r>
    </w:p>
    <w:p>
      <w:pPr>
        <w:spacing w:before="135"/>
        <w:ind w:left="486" w:right="0" w:firstLine="0"/>
        <w:jc w:val="left"/>
        <w:rPr>
          <w:rFonts w:ascii="Arial"/>
          <w:sz w:val="15"/>
        </w:rPr>
      </w:pPr>
      <w:r>
        <w:rPr>
          <w:rFonts w:ascii="Arial"/>
          <w:spacing w:val="5"/>
          <w:w w:val="105"/>
          <w:sz w:val="15"/>
        </w:rPr>
        <w:t>95</w:t>
      </w:r>
    </w:p>
    <w:p>
      <w:pPr>
        <w:spacing w:before="139"/>
        <w:ind w:left="486" w:right="0" w:firstLine="0"/>
        <w:jc w:val="left"/>
        <w:rPr>
          <w:rFonts w:ascii="Arial"/>
          <w:sz w:val="15"/>
        </w:rPr>
      </w:pPr>
      <w:r>
        <w:rPr>
          <w:rFonts w:ascii="Arial"/>
          <w:spacing w:val="5"/>
          <w:w w:val="105"/>
          <w:sz w:val="15"/>
        </w:rPr>
        <w:t>90</w:t>
      </w:r>
    </w:p>
    <w:p>
      <w:pPr>
        <w:spacing w:before="135"/>
        <w:ind w:left="486" w:right="0" w:firstLine="0"/>
        <w:jc w:val="left"/>
        <w:rPr>
          <w:rFonts w:ascii="Arial"/>
          <w:sz w:val="15"/>
        </w:rPr>
      </w:pPr>
      <w:r>
        <w:rPr>
          <w:rFonts w:ascii="Arial"/>
          <w:spacing w:val="5"/>
          <w:w w:val="105"/>
          <w:sz w:val="15"/>
        </w:rPr>
        <w:t>85</w:t>
      </w:r>
    </w:p>
    <w:p>
      <w:pPr>
        <w:spacing w:before="135"/>
        <w:ind w:left="486" w:right="0" w:firstLine="0"/>
        <w:jc w:val="left"/>
        <w:rPr>
          <w:rFonts w:ascii="Arial"/>
          <w:sz w:val="15"/>
        </w:rPr>
      </w:pPr>
      <w:r>
        <w:rPr>
          <w:rFonts w:ascii="Arial"/>
          <w:spacing w:val="5"/>
          <w:w w:val="105"/>
          <w:sz w:val="15"/>
        </w:rPr>
        <w:t>80</w:t>
      </w:r>
    </w:p>
    <w:p>
      <w:pPr>
        <w:spacing w:before="139"/>
        <w:ind w:left="486" w:right="0" w:firstLine="0"/>
        <w:jc w:val="left"/>
        <w:rPr>
          <w:rFonts w:ascii="Arial"/>
          <w:sz w:val="15"/>
        </w:rPr>
      </w:pPr>
      <w:r>
        <w:rPr>
          <w:rFonts w:ascii="Arial"/>
          <w:spacing w:val="5"/>
          <w:w w:val="105"/>
          <w:sz w:val="15"/>
        </w:rPr>
        <w:t>75</w:t>
      </w:r>
    </w:p>
    <w:p>
      <w:pPr>
        <w:spacing w:before="135"/>
        <w:ind w:left="486" w:right="0" w:firstLine="0"/>
        <w:jc w:val="left"/>
        <w:rPr>
          <w:rFonts w:ascii="Arial"/>
          <w:sz w:val="15"/>
        </w:rPr>
      </w:pPr>
      <w:r>
        <w:rPr>
          <w:rFonts w:ascii="Arial"/>
          <w:spacing w:val="5"/>
          <w:w w:val="105"/>
          <w:sz w:val="15"/>
        </w:rPr>
        <w:t>70</w:t>
      </w:r>
    </w:p>
    <w:p>
      <w:pPr>
        <w:tabs>
          <w:tab w:pos="1268" w:val="left" w:leader="none"/>
          <w:tab w:pos="1921" w:val="left" w:leader="none"/>
          <w:tab w:pos="2574" w:val="left" w:leader="none"/>
          <w:tab w:pos="3231" w:val="left" w:leader="none"/>
          <w:tab w:pos="3884" w:val="left" w:leader="none"/>
          <w:tab w:pos="4537" w:val="left" w:leader="none"/>
          <w:tab w:pos="5190" w:val="left" w:leader="none"/>
          <w:tab w:pos="5843" w:val="left" w:leader="none"/>
          <w:tab w:pos="6500" w:val="left" w:leader="none"/>
          <w:tab w:pos="7153" w:val="left" w:leader="none"/>
        </w:tabs>
        <w:spacing w:before="48"/>
        <w:ind w:left="615" w:right="0" w:firstLine="0"/>
        <w:jc w:val="left"/>
        <w:rPr>
          <w:rFonts w:ascii="Arial"/>
          <w:sz w:val="15"/>
        </w:rPr>
      </w:pPr>
      <w:r>
        <w:rPr>
          <w:rFonts w:ascii="Arial"/>
          <w:spacing w:val="4"/>
          <w:w w:val="105"/>
          <w:sz w:val="15"/>
        </w:rPr>
        <w:t>1990</w:t>
        <w:tab/>
        <w:t>1991</w:t>
        <w:tab/>
        <w:t>1992</w:t>
        <w:tab/>
      </w:r>
      <w:r>
        <w:rPr>
          <w:rFonts w:ascii="Arial"/>
          <w:spacing w:val="5"/>
          <w:w w:val="105"/>
          <w:sz w:val="15"/>
        </w:rPr>
        <w:t>1993</w:t>
        <w:tab/>
      </w:r>
      <w:r>
        <w:rPr>
          <w:rFonts w:ascii="Arial"/>
          <w:spacing w:val="4"/>
          <w:w w:val="105"/>
          <w:sz w:val="15"/>
        </w:rPr>
        <w:t>1994</w:t>
        <w:tab/>
        <w:t>1995</w:t>
        <w:tab/>
        <w:t>1996</w:t>
        <w:tab/>
      </w:r>
      <w:r>
        <w:rPr>
          <w:rFonts w:ascii="Arial"/>
          <w:spacing w:val="5"/>
          <w:w w:val="105"/>
          <w:sz w:val="15"/>
        </w:rPr>
        <w:t>1997</w:t>
        <w:tab/>
        <w:t>1998</w:t>
        <w:tab/>
      </w:r>
      <w:r>
        <w:rPr>
          <w:rFonts w:ascii="Arial"/>
          <w:spacing w:val="4"/>
          <w:w w:val="105"/>
          <w:sz w:val="15"/>
        </w:rPr>
        <w:t>1999</w:t>
        <w:tab/>
      </w:r>
      <w:r>
        <w:rPr>
          <w:rFonts w:ascii="Arial"/>
          <w:spacing w:val="6"/>
          <w:w w:val="105"/>
          <w:sz w:val="15"/>
        </w:rPr>
        <w:t>2000</w:t>
      </w:r>
    </w:p>
    <w:p>
      <w:pPr>
        <w:pStyle w:val="BodyText"/>
        <w:rPr>
          <w:rFonts w:ascii="Arial"/>
          <w:sz w:val="20"/>
        </w:rPr>
      </w:pPr>
    </w:p>
    <w:p>
      <w:pPr>
        <w:pStyle w:val="BodyText"/>
        <w:rPr>
          <w:rFonts w:ascii="Arial"/>
          <w:sz w:val="20"/>
        </w:rPr>
      </w:pPr>
    </w:p>
    <w:p>
      <w:pPr>
        <w:pStyle w:val="BodyText"/>
        <w:spacing w:before="8"/>
        <w:rPr>
          <w:rFonts w:ascii="Arial"/>
          <w:sz w:val="23"/>
        </w:rPr>
      </w:pPr>
    </w:p>
    <w:p>
      <w:pPr>
        <w:spacing w:before="0"/>
        <w:ind w:left="231" w:right="0" w:firstLine="0"/>
        <w:jc w:val="left"/>
        <w:rPr>
          <w:sz w:val="20"/>
        </w:rPr>
      </w:pPr>
      <w:r>
        <w:rPr>
          <w:sz w:val="20"/>
        </w:rPr>
        <w:t>Source: OECD, average of daily rates</w:t>
      </w:r>
    </w:p>
    <w:p>
      <w:pPr>
        <w:pStyle w:val="BodyText"/>
        <w:rPr>
          <w:sz w:val="22"/>
        </w:rPr>
      </w:pPr>
    </w:p>
    <w:p>
      <w:pPr>
        <w:pStyle w:val="BodyText"/>
        <w:rPr>
          <w:sz w:val="22"/>
        </w:rPr>
      </w:pPr>
    </w:p>
    <w:p>
      <w:pPr>
        <w:pStyle w:val="BodyText"/>
        <w:rPr>
          <w:sz w:val="22"/>
        </w:rPr>
      </w:pPr>
    </w:p>
    <w:p>
      <w:pPr>
        <w:pStyle w:val="Heading1"/>
        <w:spacing w:before="193"/>
      </w:pPr>
      <w:r>
        <w:rPr/>
        <w:t>Chart 4: Competitive positions (relative unit labour costs)</w:t>
      </w:r>
    </w:p>
    <w:p>
      <w:pPr>
        <w:pStyle w:val="BodyText"/>
        <w:rPr>
          <w:b/>
          <w:sz w:val="20"/>
        </w:rPr>
      </w:pPr>
    </w:p>
    <w:p>
      <w:pPr>
        <w:pStyle w:val="BodyText"/>
        <w:rPr>
          <w:b/>
          <w:sz w:val="20"/>
        </w:rPr>
      </w:pPr>
    </w:p>
    <w:p>
      <w:pPr>
        <w:pStyle w:val="BodyText"/>
        <w:spacing w:before="8"/>
        <w:rPr>
          <w:b/>
          <w:sz w:val="17"/>
        </w:rPr>
      </w:pPr>
    </w:p>
    <w:p>
      <w:pPr>
        <w:spacing w:before="95"/>
        <w:ind w:left="596" w:right="0" w:firstLine="0"/>
        <w:jc w:val="left"/>
        <w:rPr>
          <w:rFonts w:ascii="Arial"/>
          <w:sz w:val="18"/>
        </w:rPr>
      </w:pPr>
      <w:r>
        <w:rPr>
          <w:rFonts w:ascii="Arial"/>
          <w:sz w:val="18"/>
        </w:rPr>
        <w:t>Index: 1995 = 100</w:t>
      </w:r>
    </w:p>
    <w:p>
      <w:pPr>
        <w:spacing w:before="105"/>
        <w:ind w:left="395" w:right="0" w:firstLine="0"/>
        <w:jc w:val="left"/>
        <w:rPr>
          <w:rFonts w:ascii="Arial"/>
          <w:sz w:val="20"/>
        </w:rPr>
      </w:pPr>
      <w:r>
        <w:rPr/>
        <w:pict>
          <v:group style="position:absolute;margin-left:109.68pt;margin-top:10.429889pt;width:342.25pt;height:182.4pt;mso-position-horizontal-relative:page;mso-position-vertical-relative:paragraph;z-index:251674624" coordorigin="2194,209" coordsize="6845,3648">
            <v:shape style="position:absolute;left:2193;top:211;width:6836;height:3644" coordorigin="2194,211" coordsize="6836,3644" path="m2256,211l2256,3797m2194,3797l2256,3797m2194,3283l2256,3283m2194,2774l2256,2774m2194,2261l2256,2261m2194,1747l2256,1747m2194,1238l2256,1238m2194,725l2256,725m2194,211l2256,211m2256,3797l9029,3797m2256,3854l2256,3797m2933,3854l2933,3797m3610,3854l3610,3797m4286,3854l4286,3797m4963,3854l4963,3797m5640,3854l5640,3797m6317,3854l6317,3797m6994,3854l6994,3797m7670,3854l7670,3797e" filled="false" stroked="true" strokeweight=".24pt" strokecolor="#000000">
              <v:path arrowok="t"/>
              <v:stroke dashstyle="solid"/>
            </v:shape>
            <v:line style="position:absolute" from="8350,3794" to="8350,3857" stroked="true" strokeweight=".48pt" strokecolor="#000000">
              <v:stroke dashstyle="solid"/>
            </v:line>
            <v:line style="position:absolute" from="9029,3854" to="9029,3797" stroked="true" strokeweight=".24pt" strokecolor="#000000">
              <v:stroke dashstyle="solid"/>
            </v:line>
            <v:shape style="position:absolute;left:2246;top:2236;width:6792;height:1368" coordorigin="2246,2237" coordsize="6792,1368" path="m4291,2707l3614,2376,3609,2387,3605,2376,2934,2557,2261,2237,2246,2265,2923,2592,2932,2572,2938,2592,3605,2407,4277,2736,4291,2707m5640,2789l5635,2760,4964,2884,4291,2707,4282,2736,4958,2918,4962,2907,4963,2918,5640,2789m9038,3576l8357,3144,8349,3159,8352,3139,7675,3072,7673,3090,7670,3077,7001,3219,6326,2721,6319,2731,6317,2717,5640,2755,5640,2789,6314,2751,6984,3249,6996,3232,6998,3249,7674,3106,8343,3172,8342,3173,9019,3605,9038,3576e" filled="true" fillcolor="#000080" stroked="false">
              <v:path arrowok="t"/>
              <v:fill type="solid"/>
            </v:shape>
            <v:shape style="position:absolute;left:2251;top:542;width:6783;height:2324" coordorigin="2251,542" coordsize="6783,2324" path="m7008,1555l6979,1536,6307,2632,5640,2759,5640,2755,4963,2693,4963,2712,4958,2697,4293,2834,3619,2193,3607,2205,3614,2189,2938,1877,2932,1890,2928,1877,2251,2145,2261,2174,2930,1913,3600,2222,3600,2222,4272,2861,4285,2847,4291,2865,4967,2727,5640,2789,6322,2664,6319,2648,6331,2654,7008,1555m9034,571l9019,542,8348,861,8347,859,7670,897,7673,914,7661,902,6984,1531,7008,1555,7680,931,8352,893,8350,879,8357,893,9034,571e" filled="true" fillcolor="#ff00ff" stroked="false">
              <v:path arrowok="t"/>
              <v:fill type="solid"/>
            </v:shape>
            <v:shape style="position:absolute;left:2251;top:2035;width:6101;height:754" coordorigin="2251,2035" coordsize="6101,754" path="m2933,2131l2256,2035,2251,2069,2928,2165,2933,2131m8352,2141l7675,2064,7673,2082,7666,2069,6989,2467,6312,2712,6312,2712,5640,2755,5640,2758,4968,2453,4963,2462,4963,2448,4286,2400,3614,2338,3614,2337,2938,2131,2928,2165,3605,2371,3610,2354,3610,2371,4286,2433,4954,2481,4954,2481,5630,2789,5640,2769,5640,2789,6322,2745,6319,2729,6326,2745,7003,2496,7678,2098,8347,2174,8352,2141e" filled="true" fillcolor="#339966" stroked="false">
              <v:path arrowok="t"/>
              <v:fill type="solid"/>
            </v:shape>
            <v:line style="position:absolute" from="8347,2145" to="9029,2145" stroked="true" strokeweight="2.88pt" strokecolor="#339966">
              <v:stroke dashstyle="solid"/>
            </v:line>
            <v:shape style="position:absolute;left:2256;top:2774;width:6773;height:2" coordorigin="2256,2774" coordsize="6773,0" path="m2256,2774l2933,2774m2933,2774l3610,2774m3610,2774l4286,2774m4286,2774l4963,2774m4963,2774l5640,2774m5640,2774l6317,2774m6317,2774l6994,2774m6994,2774l7670,2774m7670,2774l8347,2774m8347,2774l9029,2774e" filled="false" stroked="true" strokeweight=".48pt" strokecolor="#000000">
              <v:path arrowok="t"/>
              <v:stroke dashstyle="solid"/>
            </v:shape>
            <v:shape style="position:absolute;left:6772;top:624;width:271;height:202" type="#_x0000_t202" filled="false" stroked="false">
              <v:textbox inset="0,0,0,0">
                <w:txbxContent>
                  <w:p>
                    <w:pPr>
                      <w:spacing w:line="201" w:lineRule="exact" w:before="0"/>
                      <w:ind w:left="0" w:right="0" w:firstLine="0"/>
                      <w:jc w:val="left"/>
                      <w:rPr>
                        <w:rFonts w:ascii="Arial"/>
                        <w:sz w:val="18"/>
                      </w:rPr>
                    </w:pPr>
                    <w:r>
                      <w:rPr>
                        <w:rFonts w:ascii="Arial"/>
                        <w:sz w:val="18"/>
                      </w:rPr>
                      <w:t>UK</w:t>
                    </w:r>
                  </w:p>
                </w:txbxContent>
              </v:textbox>
              <w10:wrap type="none"/>
            </v:shape>
            <v:shape style="position:absolute;left:7785;top:1665;width:392;height:202" type="#_x0000_t202" filled="false" stroked="false">
              <v:textbox inset="0,0,0,0">
                <w:txbxContent>
                  <w:p>
                    <w:pPr>
                      <w:spacing w:line="201" w:lineRule="exact" w:before="0"/>
                      <w:ind w:left="0" w:right="0" w:firstLine="0"/>
                      <w:jc w:val="left"/>
                      <w:rPr>
                        <w:rFonts w:ascii="Arial"/>
                        <w:sz w:val="18"/>
                      </w:rPr>
                    </w:pPr>
                    <w:r>
                      <w:rPr>
                        <w:rFonts w:ascii="Arial"/>
                        <w:sz w:val="18"/>
                      </w:rPr>
                      <w:t>USA</w:t>
                    </w:r>
                  </w:p>
                </w:txbxContent>
              </v:textbox>
              <w10:wrap type="none"/>
            </v:shape>
            <v:shape style="position:absolute;left:7454;top:3168;width:796;height:202" type="#_x0000_t202" filled="false" stroked="false">
              <v:textbox inset="0,0,0,0">
                <w:txbxContent>
                  <w:p>
                    <w:pPr>
                      <w:spacing w:line="201" w:lineRule="exact" w:before="0"/>
                      <w:ind w:left="0" w:right="0" w:firstLine="0"/>
                      <w:jc w:val="left"/>
                      <w:rPr>
                        <w:rFonts w:ascii="Arial"/>
                        <w:sz w:val="18"/>
                      </w:rPr>
                    </w:pPr>
                    <w:r>
                      <w:rPr>
                        <w:rFonts w:ascii="Arial"/>
                        <w:sz w:val="18"/>
                      </w:rPr>
                      <w:t>Euro area</w:t>
                    </w:r>
                  </w:p>
                </w:txbxContent>
              </v:textbox>
              <w10:wrap type="none"/>
            </v:shape>
            <w10:wrap type="none"/>
          </v:group>
        </w:pict>
      </w:r>
      <w:r>
        <w:rPr>
          <w:rFonts w:ascii="Arial"/>
          <w:sz w:val="20"/>
        </w:rPr>
        <w:t>150</w:t>
      </w:r>
    </w:p>
    <w:p>
      <w:pPr>
        <w:pStyle w:val="BodyText"/>
        <w:spacing w:before="2"/>
        <w:rPr>
          <w:rFonts w:ascii="Arial"/>
          <w:sz w:val="16"/>
        </w:rPr>
      </w:pPr>
    </w:p>
    <w:p>
      <w:pPr>
        <w:spacing w:before="93"/>
        <w:ind w:left="395" w:right="0" w:firstLine="0"/>
        <w:jc w:val="left"/>
        <w:rPr>
          <w:rFonts w:ascii="Arial"/>
          <w:sz w:val="20"/>
        </w:rPr>
      </w:pPr>
      <w:r>
        <w:rPr>
          <w:rFonts w:ascii="Arial"/>
          <w:sz w:val="20"/>
        </w:rPr>
        <w:t>140</w:t>
      </w:r>
    </w:p>
    <w:p>
      <w:pPr>
        <w:pStyle w:val="BodyText"/>
        <w:spacing w:before="7"/>
        <w:rPr>
          <w:rFonts w:ascii="Arial"/>
          <w:sz w:val="16"/>
        </w:rPr>
      </w:pPr>
    </w:p>
    <w:p>
      <w:pPr>
        <w:spacing w:before="93"/>
        <w:ind w:left="395" w:right="0" w:firstLine="0"/>
        <w:jc w:val="left"/>
        <w:rPr>
          <w:rFonts w:ascii="Arial"/>
          <w:sz w:val="20"/>
        </w:rPr>
      </w:pPr>
      <w:r>
        <w:rPr>
          <w:rFonts w:ascii="Arial"/>
          <w:sz w:val="20"/>
        </w:rPr>
        <w:t>130</w:t>
      </w:r>
    </w:p>
    <w:p>
      <w:pPr>
        <w:pStyle w:val="BodyText"/>
        <w:spacing w:before="6"/>
        <w:rPr>
          <w:rFonts w:ascii="Arial"/>
          <w:sz w:val="16"/>
        </w:rPr>
      </w:pPr>
    </w:p>
    <w:p>
      <w:pPr>
        <w:spacing w:before="93"/>
        <w:ind w:left="395" w:right="0" w:firstLine="0"/>
        <w:jc w:val="left"/>
        <w:rPr>
          <w:rFonts w:ascii="Arial"/>
          <w:sz w:val="20"/>
        </w:rPr>
      </w:pPr>
      <w:r>
        <w:rPr>
          <w:rFonts w:ascii="Arial"/>
          <w:sz w:val="20"/>
        </w:rPr>
        <w:t>120</w:t>
      </w:r>
    </w:p>
    <w:p>
      <w:pPr>
        <w:pStyle w:val="BodyText"/>
        <w:spacing w:before="7"/>
        <w:rPr>
          <w:rFonts w:ascii="Arial"/>
          <w:sz w:val="16"/>
        </w:rPr>
      </w:pPr>
    </w:p>
    <w:p>
      <w:pPr>
        <w:spacing w:before="93"/>
        <w:ind w:left="395" w:right="0" w:firstLine="0"/>
        <w:jc w:val="left"/>
        <w:rPr>
          <w:rFonts w:ascii="Arial"/>
          <w:sz w:val="20"/>
        </w:rPr>
      </w:pPr>
      <w:r>
        <w:rPr>
          <w:rFonts w:ascii="Arial"/>
          <w:sz w:val="20"/>
        </w:rPr>
        <w:t>110</w:t>
      </w:r>
    </w:p>
    <w:p>
      <w:pPr>
        <w:pStyle w:val="BodyText"/>
        <w:spacing w:before="2"/>
        <w:rPr>
          <w:rFonts w:ascii="Arial"/>
          <w:sz w:val="16"/>
        </w:rPr>
      </w:pPr>
    </w:p>
    <w:p>
      <w:pPr>
        <w:spacing w:before="93"/>
        <w:ind w:left="395" w:right="0" w:firstLine="0"/>
        <w:jc w:val="left"/>
        <w:rPr>
          <w:rFonts w:ascii="Arial"/>
          <w:sz w:val="20"/>
        </w:rPr>
      </w:pPr>
      <w:r>
        <w:rPr>
          <w:rFonts w:ascii="Arial"/>
          <w:sz w:val="20"/>
        </w:rPr>
        <w:t>100</w:t>
      </w:r>
    </w:p>
    <w:p>
      <w:pPr>
        <w:pStyle w:val="BodyText"/>
        <w:spacing w:before="6"/>
        <w:rPr>
          <w:rFonts w:ascii="Arial"/>
          <w:sz w:val="16"/>
        </w:rPr>
      </w:pPr>
    </w:p>
    <w:p>
      <w:pPr>
        <w:spacing w:before="93"/>
        <w:ind w:left="500" w:right="0" w:firstLine="0"/>
        <w:jc w:val="left"/>
        <w:rPr>
          <w:rFonts w:ascii="Arial"/>
          <w:sz w:val="20"/>
        </w:rPr>
      </w:pPr>
      <w:r>
        <w:rPr>
          <w:rFonts w:ascii="Arial"/>
          <w:sz w:val="20"/>
        </w:rPr>
        <w:t>90</w:t>
      </w:r>
    </w:p>
    <w:p>
      <w:pPr>
        <w:pStyle w:val="BodyText"/>
        <w:spacing w:before="7"/>
        <w:rPr>
          <w:rFonts w:ascii="Arial"/>
          <w:sz w:val="16"/>
        </w:rPr>
      </w:pPr>
    </w:p>
    <w:p>
      <w:pPr>
        <w:spacing w:before="93"/>
        <w:ind w:left="500" w:right="0" w:firstLine="0"/>
        <w:jc w:val="left"/>
        <w:rPr>
          <w:rFonts w:ascii="Arial"/>
          <w:sz w:val="20"/>
        </w:rPr>
      </w:pPr>
      <w:r>
        <w:rPr>
          <w:rFonts w:ascii="Arial"/>
          <w:sz w:val="20"/>
        </w:rPr>
        <w:t>80</w:t>
      </w:r>
    </w:p>
    <w:p>
      <w:pPr>
        <w:tabs>
          <w:tab w:pos="1321" w:val="left" w:leader="none"/>
          <w:tab w:pos="1998" w:val="left" w:leader="none"/>
          <w:tab w:pos="2675" w:val="left" w:leader="none"/>
          <w:tab w:pos="3351" w:val="left" w:leader="none"/>
          <w:tab w:pos="4028" w:val="left" w:leader="none"/>
          <w:tab w:pos="4705" w:val="left" w:leader="none"/>
          <w:tab w:pos="5382" w:val="left" w:leader="none"/>
          <w:tab w:pos="6059" w:val="left" w:leader="none"/>
          <w:tab w:pos="6735" w:val="left" w:leader="none"/>
          <w:tab w:pos="7417" w:val="left" w:leader="none"/>
        </w:tabs>
        <w:spacing w:before="39"/>
        <w:ind w:left="644" w:right="0" w:firstLine="0"/>
        <w:jc w:val="left"/>
        <w:rPr>
          <w:rFonts w:ascii="Arial"/>
          <w:sz w:val="20"/>
        </w:rPr>
      </w:pPr>
      <w:r>
        <w:rPr>
          <w:rFonts w:ascii="Arial"/>
          <w:sz w:val="20"/>
        </w:rPr>
        <w:t>1990</w:t>
        <w:tab/>
        <w:t>1991</w:t>
        <w:tab/>
        <w:t>1992</w:t>
        <w:tab/>
        <w:t>1993</w:t>
        <w:tab/>
        <w:t>1994</w:t>
        <w:tab/>
        <w:t>1995</w:t>
        <w:tab/>
        <w:t>1996</w:t>
        <w:tab/>
        <w:t>1997</w:t>
        <w:tab/>
        <w:t>1998</w:t>
        <w:tab/>
        <w:t>1999</w:t>
        <w:tab/>
        <w:t>2000</w:t>
      </w:r>
    </w:p>
    <w:p>
      <w:pPr>
        <w:pStyle w:val="BodyText"/>
        <w:spacing w:before="1"/>
        <w:rPr>
          <w:rFonts w:ascii="Arial"/>
          <w:sz w:val="22"/>
        </w:rPr>
      </w:pPr>
    </w:p>
    <w:p>
      <w:pPr>
        <w:spacing w:before="93"/>
        <w:ind w:left="231" w:right="0" w:firstLine="0"/>
        <w:jc w:val="left"/>
        <w:rPr>
          <w:sz w:val="20"/>
        </w:rPr>
      </w:pPr>
      <w:r>
        <w:rPr>
          <w:sz w:val="20"/>
        </w:rPr>
        <w:t>Source: OECD</w:t>
      </w:r>
    </w:p>
    <w:p>
      <w:pPr>
        <w:spacing w:after="0"/>
        <w:jc w:val="left"/>
        <w:rPr>
          <w:sz w:val="20"/>
        </w:rPr>
        <w:sectPr>
          <w:pgSz w:w="11900" w:h="16840"/>
          <w:pgMar w:header="0" w:footer="1237" w:top="1600" w:bottom="1420" w:left="1400" w:right="1400"/>
        </w:sectPr>
      </w:pPr>
    </w:p>
    <w:p>
      <w:pPr>
        <w:pStyle w:val="BodyText"/>
        <w:spacing w:before="6"/>
        <w:rPr>
          <w:sz w:val="21"/>
        </w:rPr>
      </w:pPr>
    </w:p>
    <w:p>
      <w:pPr>
        <w:pStyle w:val="Heading1"/>
        <w:spacing w:before="90"/>
      </w:pPr>
      <w:r>
        <w:rPr/>
        <w:t>Chart 5: UK RPIX inflation and domestically generated inflation</w:t>
      </w:r>
    </w:p>
    <w:p>
      <w:pPr>
        <w:pStyle w:val="BodyText"/>
        <w:spacing w:before="8"/>
        <w:rPr>
          <w:b/>
          <w:sz w:val="12"/>
        </w:rPr>
      </w:pPr>
    </w:p>
    <w:p>
      <w:pPr>
        <w:spacing w:line="412" w:lineRule="auto" w:before="94"/>
        <w:ind w:left="390" w:right="8433" w:firstLine="96"/>
        <w:jc w:val="left"/>
        <w:rPr>
          <w:rFonts w:ascii="Arial"/>
          <w:sz w:val="18"/>
        </w:rPr>
      </w:pPr>
      <w:r>
        <w:rPr/>
        <w:pict>
          <v:group style="position:absolute;margin-left:97.800003pt;margin-top:27.4219pt;width:381.25pt;height:203.9pt;mso-position-horizontal-relative:page;mso-position-vertical-relative:paragraph;z-index:-252679168" coordorigin="1956,548" coordsize="7625,4078">
            <v:shape style="position:absolute;left:1963;top:550;width:53;height:4028" coordorigin="1963,551" coordsize="53,4028" path="m2016,551l2016,4578m1963,4578l2016,4578m1963,4074l2016,4074m1963,3570l2016,3570m1963,3066l2016,3066m1963,2562l2016,2562e" filled="false" stroked="true" strokeweight=".24pt" strokecolor="#000000">
              <v:path arrowok="t"/>
              <v:stroke dashstyle="solid"/>
            </v:shape>
            <v:shape style="position:absolute;left:1956;top:1556;width:58;height:504" coordorigin="1956,1556" coordsize="58,504" path="m1956,2060l2014,2060m1956,1556l2014,1556e" filled="false" stroked="true" strokeweight=".48pt" strokecolor="#000000">
              <v:path arrowok="t"/>
              <v:stroke dashstyle="solid"/>
            </v:shape>
            <v:shape style="position:absolute;left:1963;top:550;width:7604;height:4076" coordorigin="1963,551" coordsize="7604,4076" path="m1963,1055l2016,1055m1963,551l2016,551m2016,4578l9566,4578m2016,4626l2016,4578m2827,4626l2827,4578m3648,4626l3648,4578m4464,4626l4464,4578m5280,4626l5280,4578m6096,4626l6096,4578m6912,4626l6912,4578m7733,4626l7733,4578m8549,4626l8549,4578m9365,4626l9365,4578e" filled="false" stroked="true" strokeweight=".24pt" strokecolor="#000000">
              <v:path arrowok="t"/>
              <v:stroke dashstyle="solid"/>
            </v:shape>
            <v:line style="position:absolute" from="2016,1204" to="2218,1204" stroked="true" strokeweight="2.4pt" strokecolor="#000080">
              <v:stroke dashstyle="solid"/>
            </v:line>
            <v:shape style="position:absolute;left:2198;top:1189;width:850;height:2871" coordorigin="2198,1189" coordsize="850,2871" path="m2640,2740l2438,1592,2418,1595,2434,1588,2227,1189,2198,1204,2405,1602,2406,1602,2606,2744,2640,2740m3048,4045l2846,3508,2640,2740,2611,2744,2813,3517,3019,4060,3048,4045e" filled="true" fillcolor="#000080" stroked="false">
              <v:path arrowok="t"/>
              <v:fill type="solid"/>
            </v:shape>
            <v:shape style="position:absolute;left:3019;top:3464;width:437;height:600" type="#_x0000_t75" stroked="false">
              <v:imagedata r:id="rId9" o:title=""/>
            </v:shape>
            <v:shape style="position:absolute;left:3427;top:1798;width:5746;height:2002" coordorigin="3427,1799" coordsize="5746,2002" path="m5702,2519l5674,2509,5470,3091,5270,3234,5280,3248,5266,3234,5068,3436,4867,3460,4870,3476,4858,3464,4659,3677,4469,3613,4464,3630,4459,3613,4253,3671,4065,3763,3869,3296,3858,3301,3864,3296,3662,3023,3650,3031,3634,3023,3427,3464,3456,3479,3650,3064,3836,3310,3835,3311,4042,3791,4053,3785,4061,3800,4267,3700,4267,3699,4464,3648,4661,3709,4667,3691,4680,3704,4878,3493,5078,3469,5076,3452,5088,3464,5288,3260,5290,3263,5491,3119,5481,3104,5501,3109,5702,2519m7747,2413l7541,2144,7523,2156,7531,2140,7333,2040,7334,2039,7128,1852,7119,1863,7109,1847,6913,1959,6715,1885,6509,1832,6302,1799,6299,1821,6288,1804,6086,1952,6088,1955,5885,2082,5892,2093,5880,2087,5674,2504,5702,2519,5904,2111,6106,1981,6305,1834,6504,1866,6706,1919,6907,1996,6915,1978,6922,1991,7116,1882,7310,2063,7325,2048,7315,2068,7515,2168,7718,2432,7747,2413m9173,3560l8966,3354,8958,3363,8962,3349,8759,3312,8760,3311,8558,3172,8556,3175,8352,3013,8147,2913,7949,2677,7747,2413,7718,2437,7925,2701,8126,2941,8138,2929,8131,2946,8334,3040,8333,3042,8539,3200,8741,3340,8754,3320,8750,3340,8946,3382,9149,3584,9173,3560e" filled="true" fillcolor="#000080" stroked="false">
              <v:path arrowok="t"/>
              <v:fill type="solid"/>
            </v:shape>
            <v:line style="position:absolute" from="9158,3565" to="9365,3565" stroked="true" strokeweight="2.4pt" strokecolor="#000080">
              <v:stroke dashstyle="solid"/>
            </v:line>
            <v:shape style="position:absolute;left:9360;top:3459;width:216;height:116" coordorigin="9360,3460" coordsize="216,116" path="m9562,3460l9360,3541,9370,3575,9576,3493,9562,3460xe" filled="true" fillcolor="#000080" stroked="false">
              <v:path arrowok="t"/>
              <v:fill type="solid"/>
            </v:shape>
            <v:shape style="position:absolute;left:2001;top:1693;width:1450;height:1536" coordorigin="2002,1693" coordsize="1450,1536" path="m3451,3205l3250,3004,3236,3017,3226,3004,3040,3145,2842,2855,2824,2869,2837,2850,2637,2703,2640,2701,2437,2409,2438,2408,2232,1904,2212,1910,2227,1895,2026,1693,2002,1717,2198,1914,2405,2418,2422,2413,2410,2423,2611,2720,2630,2708,2616,2725,2818,2879,2819,2876,3019,3176,3032,3168,3043,3181,3234,3036,3427,3229,3451,3205e" filled="true" fillcolor="#008000" stroked="false">
              <v:path arrowok="t"/>
              <v:fill type="solid"/>
            </v:shape>
            <v:line style="position:absolute" from="3442,3217" to="3648,3217" stroked="true" strokeweight="1.68pt" strokecolor="#008000">
              <v:stroke dashstyle="solid"/>
            </v:line>
            <v:shape style="position:absolute;left:3638;top:3205;width:836;height:279" coordorigin="3638,3205" coordsize="836,279" path="m3859,3354l3658,3205,3638,3229,3840,3383,3859,3354m4474,3229l4450,3205,4251,3404,4058,3453,3859,3354,3845,3383,4046,3484,4055,3466,4061,3484,4262,3436,4260,3419,4272,3431,4474,3229e" filled="true" fillcolor="#008000" stroked="false">
              <v:path arrowok="t"/>
              <v:fill type="solid"/>
            </v:shape>
            <v:line style="position:absolute" from="4464,3217" to="4666,3217" stroked="true" strokeweight="1.68pt" strokecolor="#008000">
              <v:stroke dashstyle="solid"/>
            </v:line>
            <v:shape style="position:absolute;left:4660;top:3104;width:216;height:130" coordorigin="4661,3104" coordsize="216,130" path="m4862,3104l4661,3200,4675,3234,4877,3133,4862,3104xe" filled="true" fillcolor="#008000" stroked="false">
              <v:path arrowok="t"/>
              <v:fill type="solid"/>
            </v:shape>
            <v:shape style="position:absolute;left:4872;top:3116;width:408;height:2" coordorigin="4872,3116" coordsize="408,0" path="m4872,3116l5074,3116m5074,3116l5280,3116e" filled="false" stroked="true" strokeweight="1.68pt" strokecolor="#008000">
              <v:path arrowok="t"/>
              <v:stroke dashstyle="solid"/>
            </v:shape>
            <v:shape style="position:absolute;left:5275;top:2950;width:1239;height:336" coordorigin="5275,2951" coordsize="1239,336" path="m6514,3186l6499,3152,6298,3251,6106,3104,5904,2951,5894,2965,5885,2951,5678,3104,5679,3105,5484,3152,5285,3104,5275,3133,5482,3186,5484,3169,5486,3186,5693,3133,5688,3119,5698,3133,5894,2987,6086,3133,6288,3282,6299,3268,6307,3287,6514,3186e" filled="true" fillcolor="#008000" stroked="false">
              <v:path arrowok="t"/>
              <v:fill type="solid"/>
            </v:shape>
            <v:line style="position:absolute" from="6504,3169" to="6710,3169" stroked="true" strokeweight="1.68pt" strokecolor="#008000">
              <v:stroke dashstyle="solid"/>
            </v:line>
            <v:shape style="position:absolute;left:6700;top:3104;width:634;height:226" coordorigin="6701,3104" coordsize="634,226" path="m7334,3306l7128,3104,7116,3116,7109,3104,6914,3249,6715,3152,6701,3181,6907,3282,6913,3271,6922,3282,7117,3141,7310,3330,7334,3306e" filled="true" fillcolor="#008000" stroked="false">
              <v:path arrowok="t"/>
              <v:fill type="solid"/>
            </v:shape>
            <v:shape style="position:absolute;left:7320;top:3318;width:413;height:2" coordorigin="7320,3318" coordsize="413,0" path="m7320,3318l7526,3318m7526,3318l7733,3318e" filled="false" stroked="true" strokeweight="1.68pt" strokecolor="#008000">
              <v:path arrowok="t"/>
              <v:stroke dashstyle="solid"/>
            </v:shape>
            <v:shape style="position:absolute;left:7723;top:3306;width:423;height:178" coordorigin="7723,3306" coordsize="423,178" path="m8146,3455l7944,3403,7944,3402,7738,3306,7723,3335,7930,3436,7937,3419,7934,3436,8136,3484,8146,3455e" filled="true" fillcolor="#008000" stroked="false">
              <v:path arrowok="t"/>
              <v:fill type="solid"/>
            </v:shape>
            <v:line style="position:absolute" from="8141,3469" to="8342,3469" stroked="true" strokeweight="1.92pt" strokecolor="#008000">
              <v:stroke dashstyle="solid"/>
            </v:line>
            <v:shape style="position:absolute;left:8342;top:3454;width:212;height:82" coordorigin="8342,3455" coordsize="212,82" path="m8347,3455l8342,3484,8544,3536,8554,3503,8347,3455xe" filled="true" fillcolor="#008000" stroked="false">
              <v:path arrowok="t"/>
              <v:fill type="solid"/>
            </v:shape>
            <v:shape style="position:absolute;left:8548;top:3519;width:610;height:2" coordorigin="8549,3520" coordsize="610,0" path="m8549,3520l8750,3520m8750,3520l8957,3520m8957,3520l9158,3520e" filled="false" stroked="true" strokeweight="1.68pt" strokecolor="#008000">
              <v:path arrowok="t"/>
              <v:stroke dashstyle="solid"/>
            </v:shape>
            <v:shape style="position:absolute;left:9153;top:3406;width:428;height:226" coordorigin="9154,3407" coordsize="428,226" path="m9581,3431l9557,3407,9360,3599,9168,3503,9154,3532,9355,3632,9362,3620,9374,3632,9581,3431e" filled="true" fillcolor="#008000" stroked="false">
              <v:path arrowok="t"/>
              <v:fill type="solid"/>
            </v:shape>
            <v:shape style="position:absolute;left:5760;top:1136;width:2982;height:418" type="#_x0000_t202" filled="false" stroked="false">
              <v:textbox inset="0,0,0,0">
                <w:txbxContent>
                  <w:p>
                    <w:pPr>
                      <w:spacing w:line="249" w:lineRule="auto" w:before="0"/>
                      <w:ind w:left="0" w:right="10" w:firstLine="0"/>
                      <w:jc w:val="left"/>
                      <w:rPr>
                        <w:rFonts w:ascii="Arial"/>
                        <w:sz w:val="18"/>
                      </w:rPr>
                    </w:pPr>
                    <w:r>
                      <w:rPr>
                        <w:rFonts w:ascii="Arial"/>
                        <w:sz w:val="18"/>
                      </w:rPr>
                      <w:t>Domestically generated inflation (unit labour cost based measure)</w:t>
                    </w:r>
                  </w:p>
                </w:txbxContent>
              </v:textbox>
              <w10:wrap type="none"/>
            </v:shape>
            <v:shape style="position:absolute;left:6374;top:3450;width:1110;height:202" type="#_x0000_t202" filled="false" stroked="false">
              <v:textbox inset="0,0,0,0">
                <w:txbxContent>
                  <w:p>
                    <w:pPr>
                      <w:spacing w:line="201" w:lineRule="exact" w:before="0"/>
                      <w:ind w:left="0" w:right="0" w:firstLine="0"/>
                      <w:jc w:val="left"/>
                      <w:rPr>
                        <w:rFonts w:ascii="Arial"/>
                        <w:sz w:val="18"/>
                      </w:rPr>
                    </w:pPr>
                    <w:r>
                      <w:rPr>
                        <w:rFonts w:ascii="Arial"/>
                        <w:sz w:val="18"/>
                      </w:rPr>
                      <w:t>RPIX inflation</w:t>
                    </w:r>
                  </w:p>
                </w:txbxContent>
              </v:textbox>
              <w10:wrap type="none"/>
            </v:shape>
            <w10:wrap type="none"/>
          </v:group>
        </w:pict>
      </w:r>
      <w:r>
        <w:rPr>
          <w:rFonts w:ascii="Arial"/>
          <w:sz w:val="18"/>
        </w:rPr>
        <w:t>% 8</w:t>
      </w:r>
    </w:p>
    <w:p>
      <w:pPr>
        <w:spacing w:before="147"/>
        <w:ind w:left="390" w:right="0" w:firstLine="0"/>
        <w:jc w:val="left"/>
        <w:rPr>
          <w:rFonts w:ascii="Arial"/>
          <w:sz w:val="18"/>
        </w:rPr>
      </w:pPr>
      <w:r>
        <w:rPr>
          <w:rFonts w:ascii="Arial"/>
          <w:w w:val="99"/>
          <w:sz w:val="18"/>
        </w:rPr>
        <w:t>7</w:t>
      </w:r>
    </w:p>
    <w:p>
      <w:pPr>
        <w:pStyle w:val="BodyText"/>
        <w:spacing w:before="9"/>
        <w:rPr>
          <w:rFonts w:ascii="Arial"/>
          <w:sz w:val="25"/>
        </w:rPr>
      </w:pPr>
    </w:p>
    <w:p>
      <w:pPr>
        <w:spacing w:before="1"/>
        <w:ind w:left="390" w:right="0" w:firstLine="0"/>
        <w:jc w:val="left"/>
        <w:rPr>
          <w:rFonts w:ascii="Arial"/>
          <w:sz w:val="18"/>
        </w:rPr>
      </w:pPr>
      <w:r>
        <w:rPr>
          <w:rFonts w:ascii="Arial"/>
          <w:w w:val="99"/>
          <w:sz w:val="18"/>
        </w:rPr>
        <w:t>6</w:t>
      </w:r>
    </w:p>
    <w:p>
      <w:pPr>
        <w:pStyle w:val="BodyText"/>
        <w:spacing w:before="7"/>
        <w:rPr>
          <w:rFonts w:ascii="Arial"/>
          <w:sz w:val="17"/>
        </w:rPr>
      </w:pPr>
    </w:p>
    <w:p>
      <w:pPr>
        <w:spacing w:before="94"/>
        <w:ind w:left="390" w:right="0" w:firstLine="0"/>
        <w:jc w:val="left"/>
        <w:rPr>
          <w:rFonts w:ascii="Arial"/>
          <w:sz w:val="18"/>
        </w:rPr>
      </w:pPr>
      <w:r>
        <w:rPr>
          <w:rFonts w:ascii="Arial"/>
          <w:w w:val="99"/>
          <w:sz w:val="18"/>
        </w:rPr>
        <w:t>5</w:t>
      </w:r>
    </w:p>
    <w:p>
      <w:pPr>
        <w:pStyle w:val="BodyText"/>
        <w:spacing w:before="3"/>
        <w:rPr>
          <w:rFonts w:ascii="Arial"/>
          <w:sz w:val="17"/>
        </w:rPr>
      </w:pPr>
    </w:p>
    <w:p>
      <w:pPr>
        <w:spacing w:before="94"/>
        <w:ind w:left="390" w:right="0" w:firstLine="0"/>
        <w:jc w:val="left"/>
        <w:rPr>
          <w:rFonts w:ascii="Arial"/>
          <w:sz w:val="18"/>
        </w:rPr>
      </w:pPr>
      <w:r>
        <w:rPr>
          <w:rFonts w:ascii="Arial"/>
          <w:w w:val="99"/>
          <w:sz w:val="18"/>
        </w:rPr>
        <w:t>4</w:t>
      </w:r>
    </w:p>
    <w:p>
      <w:pPr>
        <w:pStyle w:val="BodyText"/>
        <w:spacing w:before="7"/>
        <w:rPr>
          <w:rFonts w:ascii="Arial"/>
          <w:sz w:val="17"/>
        </w:rPr>
      </w:pPr>
    </w:p>
    <w:p>
      <w:pPr>
        <w:spacing w:before="94"/>
        <w:ind w:left="390" w:right="0" w:firstLine="0"/>
        <w:jc w:val="left"/>
        <w:rPr>
          <w:rFonts w:ascii="Arial"/>
          <w:sz w:val="18"/>
        </w:rPr>
      </w:pPr>
      <w:r>
        <w:rPr>
          <w:rFonts w:ascii="Arial"/>
          <w:w w:val="99"/>
          <w:sz w:val="18"/>
        </w:rPr>
        <w:t>3</w:t>
      </w:r>
    </w:p>
    <w:p>
      <w:pPr>
        <w:pStyle w:val="BodyText"/>
        <w:spacing w:before="8"/>
        <w:rPr>
          <w:rFonts w:ascii="Arial"/>
          <w:sz w:val="17"/>
        </w:rPr>
      </w:pPr>
    </w:p>
    <w:p>
      <w:pPr>
        <w:spacing w:before="94"/>
        <w:ind w:left="390" w:right="0" w:firstLine="0"/>
        <w:jc w:val="left"/>
        <w:rPr>
          <w:rFonts w:ascii="Arial"/>
          <w:sz w:val="18"/>
        </w:rPr>
      </w:pPr>
      <w:r>
        <w:rPr>
          <w:rFonts w:ascii="Arial"/>
          <w:w w:val="99"/>
          <w:sz w:val="18"/>
        </w:rPr>
        <w:t>2</w:t>
      </w:r>
    </w:p>
    <w:p>
      <w:pPr>
        <w:pStyle w:val="BodyText"/>
        <w:spacing w:before="7"/>
        <w:rPr>
          <w:rFonts w:ascii="Arial"/>
          <w:sz w:val="17"/>
        </w:rPr>
      </w:pPr>
    </w:p>
    <w:p>
      <w:pPr>
        <w:spacing w:before="94"/>
        <w:ind w:left="390" w:right="0" w:firstLine="0"/>
        <w:jc w:val="left"/>
        <w:rPr>
          <w:rFonts w:ascii="Arial"/>
          <w:sz w:val="18"/>
        </w:rPr>
      </w:pPr>
      <w:r>
        <w:rPr>
          <w:rFonts w:ascii="Arial"/>
          <w:w w:val="99"/>
          <w:sz w:val="18"/>
        </w:rPr>
        <w:t>1</w:t>
      </w:r>
    </w:p>
    <w:p>
      <w:pPr>
        <w:pStyle w:val="BodyText"/>
        <w:spacing w:before="8"/>
        <w:rPr>
          <w:rFonts w:ascii="Arial"/>
          <w:sz w:val="17"/>
        </w:rPr>
      </w:pPr>
    </w:p>
    <w:p>
      <w:pPr>
        <w:spacing w:before="94"/>
        <w:ind w:left="390" w:right="0" w:firstLine="0"/>
        <w:jc w:val="left"/>
        <w:rPr>
          <w:rFonts w:ascii="Arial"/>
          <w:sz w:val="18"/>
        </w:rPr>
      </w:pPr>
      <w:r>
        <w:rPr>
          <w:rFonts w:ascii="Arial"/>
          <w:w w:val="99"/>
          <w:sz w:val="18"/>
        </w:rPr>
        <w:t>0</w:t>
      </w:r>
    </w:p>
    <w:p>
      <w:pPr>
        <w:tabs>
          <w:tab w:pos="1239" w:val="left" w:leader="none"/>
          <w:tab w:pos="2055" w:val="left" w:leader="none"/>
          <w:tab w:pos="2871" w:val="left" w:leader="none"/>
          <w:tab w:pos="3687" w:val="left" w:leader="none"/>
          <w:tab w:pos="4503" w:val="left" w:leader="none"/>
          <w:tab w:pos="5324" w:val="left" w:leader="none"/>
          <w:tab w:pos="6140" w:val="left" w:leader="none"/>
          <w:tab w:pos="6956" w:val="left" w:leader="none"/>
          <w:tab w:pos="7777" w:val="left" w:leader="none"/>
        </w:tabs>
        <w:spacing w:before="33"/>
        <w:ind w:left="424" w:right="0" w:firstLine="0"/>
        <w:jc w:val="left"/>
        <w:rPr>
          <w:rFonts w:ascii="Arial"/>
          <w:sz w:val="18"/>
        </w:rPr>
      </w:pPr>
      <w:r>
        <w:rPr>
          <w:rFonts w:ascii="Arial"/>
          <w:sz w:val="18"/>
        </w:rPr>
        <w:t>1992</w:t>
        <w:tab/>
        <w:t>1993</w:t>
        <w:tab/>
        <w:t>1994</w:t>
        <w:tab/>
        <w:t>1995</w:t>
        <w:tab/>
        <w:t>1996</w:t>
        <w:tab/>
        <w:t>1997</w:t>
        <w:tab/>
        <w:t>1998</w:t>
        <w:tab/>
        <w:t>1999</w:t>
        <w:tab/>
        <w:t>2000</w:t>
        <w:tab/>
        <w:t>2001</w:t>
      </w:r>
    </w:p>
    <w:p>
      <w:pPr>
        <w:spacing w:before="159"/>
        <w:ind w:left="231" w:right="0" w:firstLine="0"/>
        <w:jc w:val="left"/>
        <w:rPr>
          <w:sz w:val="20"/>
        </w:rPr>
      </w:pPr>
      <w:r>
        <w:rPr>
          <w:sz w:val="20"/>
        </w:rPr>
        <w:t>Sources: ONS, Bank of England.</w:t>
      </w:r>
    </w:p>
    <w:p>
      <w:pPr>
        <w:pStyle w:val="BodyText"/>
        <w:rPr>
          <w:sz w:val="22"/>
        </w:rPr>
      </w:pPr>
    </w:p>
    <w:p>
      <w:pPr>
        <w:pStyle w:val="BodyText"/>
        <w:spacing w:before="10"/>
      </w:pPr>
    </w:p>
    <w:p>
      <w:pPr>
        <w:pStyle w:val="Heading1"/>
      </w:pPr>
      <w:r>
        <w:rPr/>
        <w:t>Chart 6: UK import prices relative to world export prices</w:t>
      </w:r>
    </w:p>
    <w:p>
      <w:pPr>
        <w:pStyle w:val="BodyText"/>
        <w:rPr>
          <w:b/>
          <w:sz w:val="20"/>
        </w:rPr>
      </w:pPr>
    </w:p>
    <w:p>
      <w:pPr>
        <w:pStyle w:val="BodyText"/>
        <w:spacing w:before="6"/>
        <w:rPr>
          <w:b/>
          <w:sz w:val="15"/>
        </w:rPr>
      </w:pPr>
      <w:r>
        <w:rPr/>
        <w:drawing>
          <wp:anchor distT="0" distB="0" distL="0" distR="0" allowOverlap="1" layoutInCell="1" locked="0" behindDoc="0" simplePos="0" relativeHeight="20">
            <wp:simplePos x="0" y="0"/>
            <wp:positionH relativeFrom="page">
              <wp:posOffset>1085088</wp:posOffset>
            </wp:positionH>
            <wp:positionV relativeFrom="paragraph">
              <wp:posOffset>138319</wp:posOffset>
            </wp:positionV>
            <wp:extent cx="4984527" cy="2924175"/>
            <wp:effectExtent l="0" t="0" r="0" b="0"/>
            <wp:wrapTopAndBottom/>
            <wp:docPr id="3" name="image4.jpeg"/>
            <wp:cNvGraphicFramePr>
              <a:graphicFrameLocks noChangeAspect="1"/>
            </wp:cNvGraphicFramePr>
            <a:graphic>
              <a:graphicData uri="http://schemas.openxmlformats.org/drawingml/2006/picture">
                <pic:pic>
                  <pic:nvPicPr>
                    <pic:cNvPr id="4" name="image4.jpeg"/>
                    <pic:cNvPicPr/>
                  </pic:nvPicPr>
                  <pic:blipFill>
                    <a:blip r:embed="rId10" cstate="print"/>
                    <a:stretch>
                      <a:fillRect/>
                    </a:stretch>
                  </pic:blipFill>
                  <pic:spPr>
                    <a:xfrm>
                      <a:off x="0" y="0"/>
                      <a:ext cx="4984527" cy="2924175"/>
                    </a:xfrm>
                    <a:prstGeom prst="rect">
                      <a:avLst/>
                    </a:prstGeom>
                  </pic:spPr>
                </pic:pic>
              </a:graphicData>
            </a:graphic>
          </wp:anchor>
        </w:drawing>
      </w:r>
    </w:p>
    <w:p>
      <w:pPr>
        <w:pStyle w:val="BodyText"/>
        <w:spacing w:before="9"/>
        <w:rPr>
          <w:b/>
          <w:sz w:val="27"/>
        </w:rPr>
      </w:pPr>
    </w:p>
    <w:p>
      <w:pPr>
        <w:spacing w:before="0"/>
        <w:ind w:left="231" w:right="0" w:firstLine="0"/>
        <w:jc w:val="left"/>
        <w:rPr>
          <w:sz w:val="20"/>
        </w:rPr>
      </w:pPr>
      <w:r>
        <w:rPr>
          <w:sz w:val="20"/>
        </w:rPr>
        <w:t>Sources: ONS, Bank of England</w:t>
      </w:r>
    </w:p>
    <w:p>
      <w:pPr>
        <w:spacing w:after="0"/>
        <w:jc w:val="left"/>
        <w:rPr>
          <w:sz w:val="20"/>
        </w:rPr>
        <w:sectPr>
          <w:pgSz w:w="11900" w:h="16840"/>
          <w:pgMar w:header="0" w:footer="1237" w:top="1600" w:bottom="1420" w:left="1400" w:right="1400"/>
        </w:sectPr>
      </w:pPr>
    </w:p>
    <w:p>
      <w:pPr>
        <w:pStyle w:val="BodyText"/>
        <w:spacing w:before="1"/>
        <w:rPr>
          <w:sz w:val="21"/>
        </w:rPr>
      </w:pPr>
    </w:p>
    <w:p>
      <w:pPr>
        <w:pStyle w:val="BodyText"/>
        <w:spacing w:line="360" w:lineRule="auto" w:before="90"/>
        <w:ind w:left="231" w:right="336"/>
      </w:pPr>
      <w:r>
        <w:rPr/>
        <w:t>prices, because import prices, measured in sterling will be lower. Second, because </w:t>
      </w:r>
      <w:r>
        <w:rPr>
          <w:spacing w:val="3"/>
        </w:rPr>
        <w:t>of </w:t>
      </w:r>
      <w:r>
        <w:rPr/>
        <w:t>this, households’ living standards improve. (The weight </w:t>
      </w:r>
      <w:r>
        <w:rPr>
          <w:spacing w:val="3"/>
        </w:rPr>
        <w:t>of </w:t>
      </w:r>
      <w:r>
        <w:rPr/>
        <w:t>import prices in the Retail Price Index and in RPIX is about </w:t>
      </w:r>
      <w:r>
        <w:rPr>
          <w:spacing w:val="3"/>
        </w:rPr>
        <w:t>one </w:t>
      </w:r>
      <w:r>
        <w:rPr/>
        <w:t>quarter). Other things equal, real personal disposable income will be higher, supporting consumption. But, third, consumers and businesses</w:t>
      </w:r>
      <w:r>
        <w:rPr>
          <w:spacing w:val="-18"/>
        </w:rPr>
        <w:t> </w:t>
      </w:r>
      <w:r>
        <w:rPr/>
        <w:t>will</w:t>
      </w:r>
      <w:r>
        <w:rPr>
          <w:spacing w:val="-17"/>
        </w:rPr>
        <w:t> </w:t>
      </w:r>
      <w:r>
        <w:rPr/>
        <w:t>substitute</w:t>
      </w:r>
      <w:r>
        <w:rPr>
          <w:spacing w:val="-17"/>
        </w:rPr>
        <w:t> </w:t>
      </w:r>
      <w:r>
        <w:rPr/>
        <w:t>cheaper</w:t>
      </w:r>
      <w:r>
        <w:rPr>
          <w:spacing w:val="-17"/>
        </w:rPr>
        <w:t> </w:t>
      </w:r>
      <w:r>
        <w:rPr/>
        <w:t>imports</w:t>
      </w:r>
      <w:r>
        <w:rPr>
          <w:spacing w:val="-17"/>
        </w:rPr>
        <w:t> </w:t>
      </w:r>
      <w:r>
        <w:rPr/>
        <w:t>for</w:t>
      </w:r>
      <w:r>
        <w:rPr>
          <w:spacing w:val="-17"/>
        </w:rPr>
        <w:t> </w:t>
      </w:r>
      <w:r>
        <w:rPr/>
        <w:t>home</w:t>
      </w:r>
      <w:r>
        <w:rPr>
          <w:spacing w:val="-17"/>
        </w:rPr>
        <w:t> </w:t>
      </w:r>
      <w:r>
        <w:rPr/>
        <w:t>produced</w:t>
      </w:r>
      <w:r>
        <w:rPr>
          <w:spacing w:val="-18"/>
        </w:rPr>
        <w:t> </w:t>
      </w:r>
      <w:r>
        <w:rPr/>
        <w:t>goods—</w:t>
      </w:r>
      <w:r>
        <w:rPr>
          <w:spacing w:val="12"/>
        </w:rPr>
        <w:t> </w:t>
      </w:r>
      <w:r>
        <w:rPr/>
        <w:t>putting</w:t>
      </w:r>
      <w:r>
        <w:rPr>
          <w:spacing w:val="-18"/>
        </w:rPr>
        <w:t> </w:t>
      </w:r>
      <w:r>
        <w:rPr/>
        <w:t>downward pressure</w:t>
      </w:r>
      <w:r>
        <w:rPr>
          <w:spacing w:val="-15"/>
        </w:rPr>
        <w:t> </w:t>
      </w:r>
      <w:r>
        <w:rPr>
          <w:spacing w:val="2"/>
        </w:rPr>
        <w:t>on</w:t>
      </w:r>
      <w:r>
        <w:rPr>
          <w:spacing w:val="-10"/>
        </w:rPr>
        <w:t> </w:t>
      </w:r>
      <w:r>
        <w:rPr/>
        <w:t>volumes</w:t>
      </w:r>
      <w:r>
        <w:rPr>
          <w:spacing w:val="-15"/>
        </w:rPr>
        <w:t> </w:t>
      </w:r>
      <w:r>
        <w:rPr/>
        <w:t>and</w:t>
      </w:r>
      <w:r>
        <w:rPr>
          <w:spacing w:val="-14"/>
        </w:rPr>
        <w:t> </w:t>
      </w:r>
      <w:r>
        <w:rPr/>
        <w:t>margins</w:t>
      </w:r>
      <w:r>
        <w:rPr>
          <w:spacing w:val="-14"/>
        </w:rPr>
        <w:t> </w:t>
      </w:r>
      <w:r>
        <w:rPr/>
        <w:t>in</w:t>
      </w:r>
      <w:r>
        <w:rPr>
          <w:spacing w:val="-13"/>
        </w:rPr>
        <w:t> </w:t>
      </w:r>
      <w:r>
        <w:rPr/>
        <w:t>the</w:t>
      </w:r>
      <w:r>
        <w:rPr>
          <w:spacing w:val="-15"/>
        </w:rPr>
        <w:t> </w:t>
      </w:r>
      <w:r>
        <w:rPr/>
        <w:t>import</w:t>
      </w:r>
      <w:r>
        <w:rPr>
          <w:spacing w:val="-9"/>
        </w:rPr>
        <w:t> </w:t>
      </w:r>
      <w:r>
        <w:rPr/>
        <w:t>competing</w:t>
      </w:r>
      <w:r>
        <w:rPr>
          <w:spacing w:val="-15"/>
        </w:rPr>
        <w:t> </w:t>
      </w:r>
      <w:r>
        <w:rPr/>
        <w:t>sectors—</w:t>
      </w:r>
      <w:r>
        <w:rPr>
          <w:spacing w:val="15"/>
        </w:rPr>
        <w:t> </w:t>
      </w:r>
      <w:r>
        <w:rPr/>
        <w:t>and</w:t>
      </w:r>
      <w:r>
        <w:rPr>
          <w:spacing w:val="-14"/>
        </w:rPr>
        <w:t> </w:t>
      </w:r>
      <w:r>
        <w:rPr/>
        <w:t>exporters</w:t>
      </w:r>
      <w:r>
        <w:rPr>
          <w:spacing w:val="-14"/>
        </w:rPr>
        <w:t> </w:t>
      </w:r>
      <w:r>
        <w:rPr/>
        <w:t>will</w:t>
      </w:r>
      <w:r>
        <w:rPr>
          <w:spacing w:val="-14"/>
        </w:rPr>
        <w:t> </w:t>
      </w:r>
      <w:r>
        <w:rPr/>
        <w:t>be under similar pressure, affecting volumes and margins, since their costs, </w:t>
      </w:r>
      <w:r>
        <w:rPr>
          <w:spacing w:val="2"/>
        </w:rPr>
        <w:t>relative </w:t>
      </w:r>
      <w:r>
        <w:rPr>
          <w:spacing w:val="4"/>
        </w:rPr>
        <w:t>to overseas </w:t>
      </w:r>
      <w:r>
        <w:rPr/>
        <w:t>competitors, will have increased. In short, the traded goods sectors will come under severe pressure. The volume effects </w:t>
      </w:r>
      <w:r>
        <w:rPr>
          <w:spacing w:val="2"/>
        </w:rPr>
        <w:t>on </w:t>
      </w:r>
      <w:r>
        <w:rPr/>
        <w:t>exports and </w:t>
      </w:r>
      <w:r>
        <w:rPr>
          <w:spacing w:val="2"/>
        </w:rPr>
        <w:t>on </w:t>
      </w:r>
      <w:r>
        <w:rPr/>
        <w:t>production in the import- competing sectors, and hence on net trade, feed through </w:t>
      </w:r>
      <w:r>
        <w:rPr>
          <w:spacing w:val="2"/>
        </w:rPr>
        <w:t>to </w:t>
      </w:r>
      <w:r>
        <w:rPr/>
        <w:t>lower demand and </w:t>
      </w:r>
      <w:r>
        <w:rPr>
          <w:spacing w:val="3"/>
        </w:rPr>
        <w:t>output </w:t>
      </w:r>
      <w:r>
        <w:rPr/>
        <w:t>in the domestic economy. If we think </w:t>
      </w:r>
      <w:r>
        <w:rPr>
          <w:spacing w:val="2"/>
        </w:rPr>
        <w:t>of </w:t>
      </w:r>
      <w:r>
        <w:rPr/>
        <w:t>the (real) exchange rate change as happening suddenly and then being maintained for some time, then </w:t>
      </w:r>
      <w:r>
        <w:rPr>
          <w:spacing w:val="4"/>
        </w:rPr>
        <w:t>one </w:t>
      </w:r>
      <w:r>
        <w:rPr/>
        <w:t>can summarise the impacts as involving a step fall in </w:t>
      </w:r>
      <w:r>
        <w:rPr>
          <w:spacing w:val="2"/>
        </w:rPr>
        <w:t>the </w:t>
      </w:r>
      <w:r>
        <w:rPr/>
        <w:t>price level </w:t>
      </w:r>
      <w:r>
        <w:rPr>
          <w:spacing w:val="2"/>
        </w:rPr>
        <w:t>(which raises real </w:t>
      </w:r>
      <w:r>
        <w:rPr/>
        <w:t>income and demand in </w:t>
      </w:r>
      <w:r>
        <w:rPr>
          <w:spacing w:val="2"/>
        </w:rPr>
        <w:t>the </w:t>
      </w:r>
      <w:r>
        <w:rPr/>
        <w:t>short</w:t>
      </w:r>
      <w:r>
        <w:rPr>
          <w:spacing w:val="-3"/>
        </w:rPr>
        <w:t> </w:t>
      </w:r>
      <w:r>
        <w:rPr/>
        <w:t>term)</w:t>
      </w:r>
      <w:r>
        <w:rPr>
          <w:spacing w:val="-8"/>
        </w:rPr>
        <w:t> </w:t>
      </w:r>
      <w:r>
        <w:rPr/>
        <w:t>which</w:t>
      </w:r>
      <w:r>
        <w:rPr>
          <w:spacing w:val="-8"/>
        </w:rPr>
        <w:t> </w:t>
      </w:r>
      <w:r>
        <w:rPr/>
        <w:t>is</w:t>
      </w:r>
      <w:r>
        <w:rPr>
          <w:spacing w:val="-8"/>
        </w:rPr>
        <w:t> </w:t>
      </w:r>
      <w:r>
        <w:rPr/>
        <w:t>then</w:t>
      </w:r>
      <w:r>
        <w:rPr>
          <w:spacing w:val="-8"/>
        </w:rPr>
        <w:t> </w:t>
      </w:r>
      <w:r>
        <w:rPr/>
        <w:t>followed</w:t>
      </w:r>
      <w:r>
        <w:rPr>
          <w:spacing w:val="-8"/>
        </w:rPr>
        <w:t> </w:t>
      </w:r>
      <w:r>
        <w:rPr/>
        <w:t>by</w:t>
      </w:r>
      <w:r>
        <w:rPr>
          <w:spacing w:val="-8"/>
        </w:rPr>
        <w:t> </w:t>
      </w:r>
      <w:r>
        <w:rPr/>
        <w:t>lower</w:t>
      </w:r>
      <w:r>
        <w:rPr>
          <w:spacing w:val="-8"/>
        </w:rPr>
        <w:t> </w:t>
      </w:r>
      <w:r>
        <w:rPr/>
        <w:t>demand</w:t>
      </w:r>
      <w:r>
        <w:rPr>
          <w:spacing w:val="-7"/>
        </w:rPr>
        <w:t> </w:t>
      </w:r>
      <w:r>
        <w:rPr/>
        <w:t>and</w:t>
      </w:r>
      <w:r>
        <w:rPr>
          <w:spacing w:val="-8"/>
        </w:rPr>
        <w:t> </w:t>
      </w:r>
      <w:r>
        <w:rPr>
          <w:spacing w:val="4"/>
        </w:rPr>
        <w:t>output</w:t>
      </w:r>
      <w:r>
        <w:rPr>
          <w:spacing w:val="-4"/>
        </w:rPr>
        <w:t> </w:t>
      </w:r>
      <w:r>
        <w:rPr/>
        <w:t>and</w:t>
      </w:r>
      <w:r>
        <w:rPr>
          <w:spacing w:val="-8"/>
        </w:rPr>
        <w:t> </w:t>
      </w:r>
      <w:r>
        <w:rPr/>
        <w:t>reduced</w:t>
      </w:r>
      <w:r>
        <w:rPr>
          <w:spacing w:val="-6"/>
        </w:rPr>
        <w:t> </w:t>
      </w:r>
      <w:r>
        <w:rPr/>
        <w:t>inflationary pressure as the volume effects come</w:t>
      </w:r>
      <w:r>
        <w:rPr>
          <w:spacing w:val="12"/>
        </w:rPr>
        <w:t> </w:t>
      </w:r>
      <w:r>
        <w:rPr/>
        <w:t>through.</w:t>
      </w:r>
    </w:p>
    <w:p>
      <w:pPr>
        <w:pStyle w:val="BodyText"/>
        <w:rPr>
          <w:sz w:val="36"/>
        </w:rPr>
      </w:pPr>
    </w:p>
    <w:p>
      <w:pPr>
        <w:pStyle w:val="BodyText"/>
        <w:spacing w:line="360" w:lineRule="auto" w:before="1"/>
        <w:ind w:left="231" w:right="177"/>
      </w:pPr>
      <w:r>
        <w:rPr/>
        <w:t>Broadly speaking, this is the picture of the recent past since 1996. One important detail is that import prices have not reacted to the exchange rate change as much as might be expected on the basis of such simple figuring— see Chart 6, which suggests import prices are still about 6% higher than might be expected on the basis of sterling-adjusted world export prices. This suggests that, in some sectors at least, foreign suppliers have raised profitability and margins in the UK. At present exchange rates, this could lead to further downward pressure on import prices as these margins are eroded by competition: it also suggests that a (moderate) fall in the exchange rate from the present level might have relatively limited consequences on inflation in the short term, as some of the impact will be absorbed by foreign suppliers.</w:t>
      </w:r>
      <w:r>
        <w:rPr>
          <w:vertAlign w:val="superscript"/>
        </w:rPr>
        <w:t>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r>
        <w:rPr/>
        <w:pict>
          <v:group style="position:absolute;margin-left:81.599998pt;margin-top:12.897588pt;width:432pt;height:.5pt;mso-position-horizontal-relative:page;mso-position-vertical-relative:paragraph;z-index:-251633664;mso-wrap-distance-left:0;mso-wrap-distance-right:0" coordorigin="1632,258" coordsize="8640,10">
            <v:line style="position:absolute" from="1632,263" to="4512,263" stroked="true" strokeweight=".48pt" strokecolor="#000000">
              <v:stroke dashstyle="solid"/>
            </v:line>
            <v:line style="position:absolute" from="4512,263" to="7392,263" stroked="true" strokeweight=".48pt" strokecolor="#000000">
              <v:stroke dashstyle="solid"/>
            </v:line>
            <v:line style="position:absolute" from="7392,263" to="10272,263" stroked="true" strokeweight=".48pt" strokecolor="#000000">
              <v:stroke dashstyle="solid"/>
            </v:line>
            <w10:wrap type="topAndBottom"/>
          </v:group>
        </w:pict>
      </w:r>
    </w:p>
    <w:p>
      <w:pPr>
        <w:spacing w:before="33"/>
        <w:ind w:left="232" w:right="304" w:hanging="1"/>
        <w:jc w:val="left"/>
        <w:rPr>
          <w:sz w:val="20"/>
        </w:rPr>
      </w:pPr>
      <w:r>
        <w:rPr>
          <w:position w:val="9"/>
          <w:sz w:val="13"/>
        </w:rPr>
        <w:t>5 </w:t>
      </w:r>
      <w:r>
        <w:rPr>
          <w:sz w:val="20"/>
        </w:rPr>
        <w:t>Consistent with this, work in the External MPC Unit of the Bank of England finds ‘threshold’ patterns in the degree of pass-through of exchange rate movements to import prices in the UK.</w:t>
      </w:r>
    </w:p>
    <w:p>
      <w:pPr>
        <w:spacing w:after="0"/>
        <w:jc w:val="left"/>
        <w:rPr>
          <w:sz w:val="20"/>
        </w:rPr>
        <w:sectPr>
          <w:pgSz w:w="11900" w:h="16840"/>
          <w:pgMar w:header="0" w:footer="1237" w:top="1600" w:bottom="1420" w:left="1400" w:right="1400"/>
        </w:sectPr>
      </w:pPr>
    </w:p>
    <w:p>
      <w:pPr>
        <w:pStyle w:val="BodyText"/>
        <w:spacing w:before="6"/>
        <w:rPr>
          <w:sz w:val="21"/>
        </w:rPr>
      </w:pPr>
    </w:p>
    <w:p>
      <w:pPr>
        <w:pStyle w:val="Heading2"/>
        <w:spacing w:before="90"/>
        <w:rPr>
          <w:i/>
        </w:rPr>
      </w:pPr>
      <w:r>
        <w:rPr>
          <w:i/>
        </w:rPr>
        <w:t>An exchange rate fall</w:t>
      </w:r>
    </w:p>
    <w:p>
      <w:pPr>
        <w:pStyle w:val="BodyText"/>
        <w:rPr>
          <w:b/>
          <w:i/>
          <w:sz w:val="26"/>
        </w:rPr>
      </w:pPr>
    </w:p>
    <w:p>
      <w:pPr>
        <w:pStyle w:val="BodyText"/>
        <w:spacing w:line="360" w:lineRule="auto" w:before="193"/>
        <w:ind w:left="231" w:right="258"/>
      </w:pPr>
      <w:r>
        <w:rPr/>
        <w:t>I have already referred to the possibility that there could be a move down of the dollar relative to the euro, with the UK effective rate somewhere in the middle and relatively little affected. Most analysts would welcome such a change in the dollar/euro rate as a move towards the ‘economic fundamentals’— though forecasts based on the ‘fundamentals’ have had a poor record in recent years, as most economists know to their cost.</w:t>
      </w:r>
      <w:r>
        <w:rPr>
          <w:vertAlign w:val="superscript"/>
        </w:rPr>
        <w:t>6</w:t>
      </w:r>
      <w:r>
        <w:rPr>
          <w:vertAlign w:val="baseline"/>
        </w:rPr>
        <w:t> I do not want to say much about this except to say that, taken by itself, a moderate move would be extremely welcome: some of the pressure would be taken off the sectors most exposed to competition from the euro area— with, of course, a downside for those exposed to the dollar area. Within much of the export sector, there would be a move in relative profitability in favour of exports to the euro area and against exports to the dollar area and, since it is the euro exposed sectors that are most under pressure, this would be a move towards ‘balance’.</w:t>
      </w:r>
    </w:p>
    <w:p>
      <w:pPr>
        <w:pStyle w:val="BodyText"/>
        <w:spacing w:before="4"/>
        <w:rPr>
          <w:sz w:val="36"/>
        </w:rPr>
      </w:pPr>
    </w:p>
    <w:p>
      <w:pPr>
        <w:pStyle w:val="BodyText"/>
        <w:spacing w:line="360" w:lineRule="auto"/>
        <w:ind w:left="231" w:right="304"/>
      </w:pPr>
      <w:r>
        <w:rPr/>
        <w:t>Here,</w:t>
      </w:r>
      <w:r>
        <w:rPr>
          <w:spacing w:val="-10"/>
        </w:rPr>
        <w:t> </w:t>
      </w:r>
      <w:r>
        <w:rPr/>
        <w:t>I</w:t>
      </w:r>
      <w:r>
        <w:rPr>
          <w:spacing w:val="-8"/>
        </w:rPr>
        <w:t> </w:t>
      </w:r>
      <w:r>
        <w:rPr/>
        <w:t>am</w:t>
      </w:r>
      <w:r>
        <w:rPr>
          <w:spacing w:val="-9"/>
        </w:rPr>
        <w:t> </w:t>
      </w:r>
      <w:r>
        <w:rPr/>
        <w:t>concerned</w:t>
      </w:r>
      <w:r>
        <w:rPr>
          <w:spacing w:val="-9"/>
        </w:rPr>
        <w:t> </w:t>
      </w:r>
      <w:r>
        <w:rPr/>
        <w:t>with</w:t>
      </w:r>
      <w:r>
        <w:rPr>
          <w:spacing w:val="-9"/>
        </w:rPr>
        <w:t> </w:t>
      </w:r>
      <w:r>
        <w:rPr/>
        <w:t>a</w:t>
      </w:r>
      <w:r>
        <w:rPr>
          <w:spacing w:val="-9"/>
        </w:rPr>
        <w:t> </w:t>
      </w:r>
      <w:r>
        <w:rPr/>
        <w:t>fall</w:t>
      </w:r>
      <w:r>
        <w:rPr>
          <w:spacing w:val="-9"/>
        </w:rPr>
        <w:t> </w:t>
      </w:r>
      <w:r>
        <w:rPr/>
        <w:t>in</w:t>
      </w:r>
      <w:r>
        <w:rPr>
          <w:spacing w:val="-9"/>
        </w:rPr>
        <w:t> </w:t>
      </w:r>
      <w:r>
        <w:rPr/>
        <w:t>the</w:t>
      </w:r>
      <w:r>
        <w:rPr>
          <w:spacing w:val="-10"/>
        </w:rPr>
        <w:t> </w:t>
      </w:r>
      <w:r>
        <w:rPr/>
        <w:t>effective</w:t>
      </w:r>
      <w:r>
        <w:rPr>
          <w:spacing w:val="-9"/>
        </w:rPr>
        <w:t> </w:t>
      </w:r>
      <w:r>
        <w:rPr/>
        <w:t>rate—</w:t>
      </w:r>
      <w:r>
        <w:rPr>
          <w:spacing w:val="24"/>
        </w:rPr>
        <w:t> </w:t>
      </w:r>
      <w:r>
        <w:rPr/>
        <w:t>say</w:t>
      </w:r>
      <w:r>
        <w:rPr>
          <w:spacing w:val="-10"/>
        </w:rPr>
        <w:t> </w:t>
      </w:r>
      <w:r>
        <w:rPr/>
        <w:t>by</w:t>
      </w:r>
      <w:r>
        <w:rPr>
          <w:spacing w:val="-10"/>
        </w:rPr>
        <w:t> </w:t>
      </w:r>
      <w:r>
        <w:rPr/>
        <w:t>10%</w:t>
      </w:r>
      <w:r>
        <w:rPr>
          <w:spacing w:val="-10"/>
        </w:rPr>
        <w:t> </w:t>
      </w:r>
      <w:r>
        <w:rPr/>
        <w:t>from</w:t>
      </w:r>
      <w:r>
        <w:rPr>
          <w:spacing w:val="-9"/>
        </w:rPr>
        <w:t> </w:t>
      </w:r>
      <w:r>
        <w:rPr/>
        <w:t>the</w:t>
      </w:r>
      <w:r>
        <w:rPr>
          <w:spacing w:val="-10"/>
        </w:rPr>
        <w:t> </w:t>
      </w:r>
      <w:r>
        <w:rPr/>
        <w:t>rate</w:t>
      </w:r>
      <w:r>
        <w:rPr>
          <w:spacing w:val="-8"/>
        </w:rPr>
        <w:t> </w:t>
      </w:r>
      <w:r>
        <w:rPr/>
        <w:t>assumed in the August </w:t>
      </w:r>
      <w:r>
        <w:rPr>
          <w:i/>
        </w:rPr>
        <w:t>Inflation Report </w:t>
      </w:r>
      <w:r>
        <w:rPr/>
        <w:t>(which was 106.7). Another way </w:t>
      </w:r>
      <w:r>
        <w:rPr>
          <w:spacing w:val="2"/>
        </w:rPr>
        <w:t>of </w:t>
      </w:r>
      <w:r>
        <w:rPr/>
        <w:t>getting a feel </w:t>
      </w:r>
      <w:r>
        <w:rPr>
          <w:spacing w:val="2"/>
        </w:rPr>
        <w:t>of </w:t>
      </w:r>
      <w:r>
        <w:rPr/>
        <w:t>the magnitude is that the present rate against the DM— which is about 3.2— would fall </w:t>
      </w:r>
      <w:r>
        <w:rPr>
          <w:spacing w:val="3"/>
        </w:rPr>
        <w:t>to </w:t>
      </w:r>
      <w:r>
        <w:rPr/>
        <w:t>about</w:t>
      </w:r>
      <w:r>
        <w:rPr>
          <w:spacing w:val="-5"/>
        </w:rPr>
        <w:t> </w:t>
      </w:r>
      <w:r>
        <w:rPr/>
        <w:t>2.9.</w:t>
      </w:r>
      <w:r>
        <w:rPr>
          <w:spacing w:val="42"/>
        </w:rPr>
        <w:t> </w:t>
      </w:r>
      <w:r>
        <w:rPr/>
        <w:t>It</w:t>
      </w:r>
      <w:r>
        <w:rPr>
          <w:spacing w:val="-8"/>
        </w:rPr>
        <w:t> </w:t>
      </w:r>
      <w:r>
        <w:rPr/>
        <w:t>goes</w:t>
      </w:r>
      <w:r>
        <w:rPr>
          <w:spacing w:val="-9"/>
        </w:rPr>
        <w:t> </w:t>
      </w:r>
      <w:r>
        <w:rPr/>
        <w:t>without</w:t>
      </w:r>
      <w:r>
        <w:rPr>
          <w:spacing w:val="-4"/>
        </w:rPr>
        <w:t> </w:t>
      </w:r>
      <w:r>
        <w:rPr/>
        <w:t>saying</w:t>
      </w:r>
      <w:r>
        <w:rPr>
          <w:spacing w:val="-9"/>
        </w:rPr>
        <w:t> </w:t>
      </w:r>
      <w:r>
        <w:rPr/>
        <w:t>that</w:t>
      </w:r>
      <w:r>
        <w:rPr>
          <w:spacing w:val="-5"/>
        </w:rPr>
        <w:t> </w:t>
      </w:r>
      <w:r>
        <w:rPr/>
        <w:t>the</w:t>
      </w:r>
      <w:r>
        <w:rPr>
          <w:spacing w:val="-8"/>
        </w:rPr>
        <w:t> </w:t>
      </w:r>
      <w:r>
        <w:rPr/>
        <w:t>implications</w:t>
      </w:r>
      <w:r>
        <w:rPr>
          <w:spacing w:val="-9"/>
        </w:rPr>
        <w:t> </w:t>
      </w:r>
      <w:r>
        <w:rPr/>
        <w:t>for</w:t>
      </w:r>
      <w:r>
        <w:rPr>
          <w:spacing w:val="-9"/>
        </w:rPr>
        <w:t> </w:t>
      </w:r>
      <w:r>
        <w:rPr/>
        <w:t>monetary</w:t>
      </w:r>
      <w:r>
        <w:rPr>
          <w:spacing w:val="-9"/>
        </w:rPr>
        <w:t> </w:t>
      </w:r>
      <w:r>
        <w:rPr/>
        <w:t>policy</w:t>
      </w:r>
      <w:r>
        <w:rPr>
          <w:spacing w:val="-8"/>
        </w:rPr>
        <w:t> </w:t>
      </w:r>
      <w:r>
        <w:rPr/>
        <w:t>would</w:t>
      </w:r>
      <w:r>
        <w:rPr>
          <w:spacing w:val="-9"/>
        </w:rPr>
        <w:t> </w:t>
      </w:r>
      <w:r>
        <w:rPr/>
        <w:t>depend on the context— all the </w:t>
      </w:r>
      <w:r>
        <w:rPr>
          <w:spacing w:val="4"/>
        </w:rPr>
        <w:t>other </w:t>
      </w:r>
      <w:r>
        <w:rPr/>
        <w:t>things that were going </w:t>
      </w:r>
      <w:r>
        <w:rPr>
          <w:spacing w:val="2"/>
        </w:rPr>
        <w:t>on </w:t>
      </w:r>
      <w:r>
        <w:rPr/>
        <w:t>at the same</w:t>
      </w:r>
      <w:r>
        <w:rPr>
          <w:spacing w:val="6"/>
        </w:rPr>
        <w:t> </w:t>
      </w:r>
      <w:r>
        <w:rPr/>
        <w:t>time.</w:t>
      </w:r>
    </w:p>
    <w:p>
      <w:pPr>
        <w:pStyle w:val="BodyText"/>
        <w:spacing w:before="9"/>
        <w:rPr>
          <w:sz w:val="35"/>
        </w:rPr>
      </w:pPr>
    </w:p>
    <w:p>
      <w:pPr>
        <w:pStyle w:val="BodyText"/>
        <w:spacing w:line="360" w:lineRule="auto"/>
        <w:ind w:left="231" w:right="443"/>
      </w:pPr>
      <w:r>
        <w:rPr/>
        <w:t>Taken by itself, the implications of such an exchange rate fall would, broadly speaking, be the reverse of the effects discussed above. The impact effect, assuming full pass- through to import prices, would be a rise in import prices of 10%, implying a rise in the price </w:t>
      </w:r>
      <w:r>
        <w:rPr>
          <w:i/>
        </w:rPr>
        <w:t>level </w:t>
      </w:r>
      <w:r>
        <w:rPr/>
        <w:t>of about 2</w:t>
      </w:r>
      <w:r>
        <w:rPr>
          <w:rFonts w:ascii="Arial" w:hAnsi="Arial"/>
        </w:rPr>
        <w:t>½</w:t>
      </w:r>
      <w:r>
        <w:rPr/>
        <w:t>%.</w:t>
      </w:r>
      <w:r>
        <w:rPr>
          <w:vertAlign w:val="superscript"/>
        </w:rPr>
        <w:t>7</w:t>
      </w:r>
      <w:r>
        <w:rPr>
          <w:vertAlign w:val="baseline"/>
        </w:rPr>
        <w:t> There is an analogy here, as far as the private sector is concerned, with the effects of a rise in indirect taxes (such as a rise in VAT of about 2</w:t>
      </w:r>
      <w:r>
        <w:rPr>
          <w:rFonts w:ascii="Arial" w:hAnsi="Arial"/>
          <w:vertAlign w:val="baseline"/>
        </w:rPr>
        <w:t>½</w:t>
      </w:r>
      <w:r>
        <w:rPr>
          <w:vertAlign w:val="baseline"/>
        </w:rPr>
        <w:t>% of GDP). Measured inflation would rise as the impact came through, but then fall back. With an unchanged nominal wage path, real wages would fall— by 2</w:t>
      </w:r>
      <w:r>
        <w:rPr>
          <w:rFonts w:ascii="Arial" w:hAnsi="Arial"/>
          <w:vertAlign w:val="baseline"/>
        </w:rPr>
        <w:t>½</w:t>
      </w:r>
      <w:r>
        <w:rPr>
          <w:vertAlign w:val="baseline"/>
        </w:rPr>
        <w:t>% relative</w:t>
      </w:r>
    </w:p>
    <w:p>
      <w:pPr>
        <w:pStyle w:val="BodyText"/>
        <w:rPr>
          <w:sz w:val="20"/>
        </w:rPr>
      </w:pPr>
    </w:p>
    <w:p>
      <w:pPr>
        <w:pStyle w:val="BodyText"/>
        <w:spacing w:before="4"/>
        <w:rPr>
          <w:sz w:val="11"/>
        </w:rPr>
      </w:pPr>
      <w:r>
        <w:rPr/>
        <w:pict>
          <v:group style="position:absolute;margin-left:81.599998pt;margin-top:8.521894pt;width:432pt;height:.5pt;mso-position-horizontal-relative:page;mso-position-vertical-relative:paragraph;z-index:-251632640;mso-wrap-distance-left:0;mso-wrap-distance-right:0" coordorigin="1632,170" coordsize="8640,10">
            <v:line style="position:absolute" from="1632,175" to="4512,175" stroked="true" strokeweight=".48pt" strokecolor="#000000">
              <v:stroke dashstyle="solid"/>
            </v:line>
            <v:line style="position:absolute" from="4512,175" to="7392,175" stroked="true" strokeweight=".48pt" strokecolor="#000000">
              <v:stroke dashstyle="solid"/>
            </v:line>
            <v:line style="position:absolute" from="7392,175" to="10272,175" stroked="true" strokeweight=".48pt" strokecolor="#000000">
              <v:stroke dashstyle="solid"/>
            </v:line>
            <w10:wrap type="topAndBottom"/>
          </v:group>
        </w:pict>
      </w:r>
    </w:p>
    <w:p>
      <w:pPr>
        <w:spacing w:before="33"/>
        <w:ind w:left="231" w:right="304" w:firstLine="0"/>
        <w:jc w:val="left"/>
        <w:rPr>
          <w:sz w:val="20"/>
        </w:rPr>
      </w:pPr>
      <w:r>
        <w:rPr>
          <w:position w:val="9"/>
          <w:sz w:val="13"/>
        </w:rPr>
        <w:t>6 </w:t>
      </w:r>
      <w:r>
        <w:rPr>
          <w:sz w:val="20"/>
        </w:rPr>
        <w:t>The Bank routinely calculates how much of a change in the sterling exchange rate and of a change in the dollar euro rate can be explained by changes in fundamentals, such as interest rate differentials. The answer, unfortunately, is ‘not much’.</w:t>
      </w:r>
    </w:p>
    <w:p>
      <w:pPr>
        <w:spacing w:line="231" w:lineRule="exact" w:before="0"/>
        <w:ind w:left="231" w:right="0" w:firstLine="0"/>
        <w:jc w:val="left"/>
        <w:rPr>
          <w:sz w:val="20"/>
        </w:rPr>
      </w:pPr>
      <w:r>
        <w:rPr>
          <w:position w:val="9"/>
          <w:sz w:val="13"/>
        </w:rPr>
        <w:t>7 </w:t>
      </w:r>
      <w:r>
        <w:rPr>
          <w:sz w:val="20"/>
        </w:rPr>
        <w:t>Of course, in practice, there would be substantial lags in the responses, complicating the picture.</w:t>
      </w:r>
    </w:p>
    <w:p>
      <w:pPr>
        <w:spacing w:after="0" w:line="231" w:lineRule="exact"/>
        <w:jc w:val="left"/>
        <w:rPr>
          <w:sz w:val="20"/>
        </w:rPr>
        <w:sectPr>
          <w:pgSz w:w="11900" w:h="16840"/>
          <w:pgMar w:header="0" w:footer="1237" w:top="1600" w:bottom="1420" w:left="1400" w:right="1400"/>
        </w:sectPr>
      </w:pPr>
    </w:p>
    <w:p>
      <w:pPr>
        <w:pStyle w:val="BodyText"/>
        <w:spacing w:before="1"/>
        <w:rPr>
          <w:sz w:val="21"/>
        </w:rPr>
      </w:pPr>
    </w:p>
    <w:p>
      <w:pPr>
        <w:pStyle w:val="BodyText"/>
        <w:spacing w:line="360" w:lineRule="auto" w:before="90"/>
        <w:ind w:left="231" w:right="333"/>
      </w:pPr>
      <w:r>
        <w:rPr/>
        <w:t>to what they would have been otherwise. The effect on the labour cost competitiveness of exporters would, however, be the full 10%, allowing a reconstitution of margins of up to 10% of the selling price, or lower selling prices in foreign currency. </w:t>
      </w:r>
      <w:r>
        <w:rPr>
          <w:vertAlign w:val="superscript"/>
        </w:rPr>
        <w:t>8</w:t>
      </w:r>
      <w:r>
        <w:rPr>
          <w:vertAlign w:val="baseline"/>
        </w:rPr>
        <w:t> This sort of figuring makes it clear that a depreciation of sterling, by, say, 10%, would make a major difference to hard pressed exporters— especially those exposed to euro area competition</w:t>
      </w:r>
    </w:p>
    <w:p>
      <w:pPr>
        <w:pStyle w:val="BodyText"/>
        <w:spacing w:before="2"/>
        <w:rPr>
          <w:sz w:val="36"/>
        </w:rPr>
      </w:pPr>
    </w:p>
    <w:p>
      <w:pPr>
        <w:pStyle w:val="BodyText"/>
        <w:spacing w:line="360" w:lineRule="auto" w:before="1"/>
        <w:ind w:left="231" w:right="247"/>
      </w:pPr>
      <w:r>
        <w:rPr/>
        <w:t>From a monetary policy point </w:t>
      </w:r>
      <w:r>
        <w:rPr>
          <w:spacing w:val="2"/>
        </w:rPr>
        <w:t>of </w:t>
      </w:r>
      <w:r>
        <w:rPr/>
        <w:t>view, however, the situation is more complex and the impact effects are far from the end </w:t>
      </w:r>
      <w:r>
        <w:rPr>
          <w:spacing w:val="2"/>
        </w:rPr>
        <w:t>of </w:t>
      </w:r>
      <w:r>
        <w:rPr/>
        <w:t>the story. First, although the impact effect </w:t>
      </w:r>
      <w:r>
        <w:rPr>
          <w:spacing w:val="2"/>
        </w:rPr>
        <w:t>on </w:t>
      </w:r>
      <w:r>
        <w:rPr/>
        <w:t>real demand</w:t>
      </w:r>
      <w:r>
        <w:rPr>
          <w:spacing w:val="-5"/>
        </w:rPr>
        <w:t> </w:t>
      </w:r>
      <w:r>
        <w:rPr/>
        <w:t>could</w:t>
      </w:r>
      <w:r>
        <w:rPr>
          <w:spacing w:val="-5"/>
        </w:rPr>
        <w:t> </w:t>
      </w:r>
      <w:r>
        <w:rPr/>
        <w:t>well</w:t>
      </w:r>
      <w:r>
        <w:rPr>
          <w:spacing w:val="-5"/>
        </w:rPr>
        <w:t> </w:t>
      </w:r>
      <w:r>
        <w:rPr/>
        <w:t>be</w:t>
      </w:r>
      <w:r>
        <w:rPr>
          <w:spacing w:val="-4"/>
        </w:rPr>
        <w:t> </w:t>
      </w:r>
      <w:r>
        <w:rPr/>
        <w:t>negative</w:t>
      </w:r>
      <w:r>
        <w:rPr>
          <w:spacing w:val="-5"/>
        </w:rPr>
        <w:t> </w:t>
      </w:r>
      <w:r>
        <w:rPr/>
        <w:t>(due</w:t>
      </w:r>
      <w:r>
        <w:rPr>
          <w:spacing w:val="-3"/>
        </w:rPr>
        <w:t> </w:t>
      </w:r>
      <w:r>
        <w:rPr>
          <w:spacing w:val="3"/>
        </w:rPr>
        <w:t>to</w:t>
      </w:r>
      <w:r>
        <w:rPr>
          <w:spacing w:val="1"/>
        </w:rPr>
        <w:t> </w:t>
      </w:r>
      <w:r>
        <w:rPr/>
        <w:t>the</w:t>
      </w:r>
      <w:r>
        <w:rPr>
          <w:spacing w:val="-5"/>
        </w:rPr>
        <w:t> </w:t>
      </w:r>
      <w:r>
        <w:rPr/>
        <w:t>effect</w:t>
      </w:r>
      <w:r>
        <w:rPr>
          <w:spacing w:val="1"/>
        </w:rPr>
        <w:t> </w:t>
      </w:r>
      <w:r>
        <w:rPr>
          <w:spacing w:val="2"/>
        </w:rPr>
        <w:t>on</w:t>
      </w:r>
      <w:r>
        <w:rPr>
          <w:spacing w:val="-1"/>
        </w:rPr>
        <w:t> </w:t>
      </w:r>
      <w:r>
        <w:rPr/>
        <w:t>real</w:t>
      </w:r>
      <w:r>
        <w:rPr>
          <w:spacing w:val="-3"/>
        </w:rPr>
        <w:t> </w:t>
      </w:r>
      <w:r>
        <w:rPr/>
        <w:t>incomes</w:t>
      </w:r>
      <w:r>
        <w:rPr>
          <w:vertAlign w:val="superscript"/>
        </w:rPr>
        <w:t>9</w:t>
      </w:r>
      <w:r>
        <w:rPr>
          <w:vertAlign w:val="baseline"/>
        </w:rPr>
        <w:t>),</w:t>
      </w:r>
      <w:r>
        <w:rPr>
          <w:spacing w:val="-2"/>
          <w:vertAlign w:val="baseline"/>
        </w:rPr>
        <w:t> </w:t>
      </w:r>
      <w:r>
        <w:rPr>
          <w:vertAlign w:val="baseline"/>
        </w:rPr>
        <w:t>volume</w:t>
      </w:r>
      <w:r>
        <w:rPr>
          <w:spacing w:val="-5"/>
          <w:vertAlign w:val="baseline"/>
        </w:rPr>
        <w:t> </w:t>
      </w:r>
      <w:r>
        <w:rPr>
          <w:vertAlign w:val="baseline"/>
        </w:rPr>
        <w:t>effects</w:t>
      </w:r>
      <w:r>
        <w:rPr>
          <w:spacing w:val="-5"/>
          <w:vertAlign w:val="baseline"/>
        </w:rPr>
        <w:t> </w:t>
      </w:r>
      <w:r>
        <w:rPr>
          <w:spacing w:val="3"/>
          <w:vertAlign w:val="baseline"/>
        </w:rPr>
        <w:t>on</w:t>
      </w:r>
      <w:r>
        <w:rPr>
          <w:vertAlign w:val="baseline"/>
        </w:rPr>
        <w:t> net trade would soon come through, which would need </w:t>
      </w:r>
      <w:r>
        <w:rPr>
          <w:spacing w:val="2"/>
          <w:vertAlign w:val="baseline"/>
        </w:rPr>
        <w:t>to </w:t>
      </w:r>
      <w:r>
        <w:rPr>
          <w:vertAlign w:val="baseline"/>
        </w:rPr>
        <w:t>be </w:t>
      </w:r>
      <w:r>
        <w:rPr>
          <w:spacing w:val="4"/>
          <w:vertAlign w:val="baseline"/>
        </w:rPr>
        <w:t>offset </w:t>
      </w:r>
      <w:r>
        <w:rPr>
          <w:vertAlign w:val="baseline"/>
        </w:rPr>
        <w:t>by higher interest rates than </w:t>
      </w:r>
      <w:r>
        <w:rPr>
          <w:spacing w:val="4"/>
          <w:vertAlign w:val="baseline"/>
        </w:rPr>
        <w:t>otherwise </w:t>
      </w:r>
      <w:r>
        <w:rPr>
          <w:spacing w:val="2"/>
          <w:vertAlign w:val="baseline"/>
        </w:rPr>
        <w:t>to </w:t>
      </w:r>
      <w:r>
        <w:rPr>
          <w:vertAlign w:val="baseline"/>
        </w:rPr>
        <w:t>maintain a given </w:t>
      </w:r>
      <w:r>
        <w:rPr>
          <w:spacing w:val="4"/>
          <w:vertAlign w:val="baseline"/>
        </w:rPr>
        <w:t>output </w:t>
      </w:r>
      <w:r>
        <w:rPr>
          <w:vertAlign w:val="baseline"/>
        </w:rPr>
        <w:t>gap. Second, the assumption that prices rise and real incomes fall without an effect </w:t>
      </w:r>
      <w:r>
        <w:rPr>
          <w:spacing w:val="3"/>
          <w:vertAlign w:val="baseline"/>
        </w:rPr>
        <w:t>on </w:t>
      </w:r>
      <w:r>
        <w:rPr>
          <w:vertAlign w:val="baseline"/>
        </w:rPr>
        <w:t>inflation further </w:t>
      </w:r>
      <w:r>
        <w:rPr>
          <w:spacing w:val="4"/>
          <w:vertAlign w:val="baseline"/>
        </w:rPr>
        <w:t>out </w:t>
      </w:r>
      <w:r>
        <w:rPr>
          <w:vertAlign w:val="baseline"/>
        </w:rPr>
        <w:t>is extreme. </w:t>
      </w:r>
      <w:r>
        <w:rPr>
          <w:spacing w:val="2"/>
          <w:vertAlign w:val="baseline"/>
        </w:rPr>
        <w:t>There </w:t>
      </w:r>
      <w:r>
        <w:rPr>
          <w:vertAlign w:val="baseline"/>
        </w:rPr>
        <w:t>are a number </w:t>
      </w:r>
      <w:r>
        <w:rPr>
          <w:spacing w:val="3"/>
          <w:vertAlign w:val="baseline"/>
        </w:rPr>
        <w:t>of </w:t>
      </w:r>
      <w:r>
        <w:rPr>
          <w:vertAlign w:val="baseline"/>
        </w:rPr>
        <w:t>ways </w:t>
      </w:r>
      <w:r>
        <w:rPr>
          <w:spacing w:val="3"/>
          <w:vertAlign w:val="baseline"/>
        </w:rPr>
        <w:t>of </w:t>
      </w:r>
      <w:r>
        <w:rPr>
          <w:vertAlign w:val="baseline"/>
        </w:rPr>
        <w:t>putting the general point. Measured inflation would rise during the pass through period, and if this affected inflation expectations and wage settlements then an inflationary spiral could </w:t>
      </w:r>
      <w:r>
        <w:rPr>
          <w:spacing w:val="2"/>
          <w:vertAlign w:val="baseline"/>
        </w:rPr>
        <w:t>result. </w:t>
      </w:r>
      <w:r>
        <w:rPr>
          <w:vertAlign w:val="baseline"/>
        </w:rPr>
        <w:t>Alternatively, the implied squeeze </w:t>
      </w:r>
      <w:r>
        <w:rPr>
          <w:spacing w:val="3"/>
          <w:vertAlign w:val="baseline"/>
        </w:rPr>
        <w:t>on </w:t>
      </w:r>
      <w:r>
        <w:rPr>
          <w:spacing w:val="2"/>
          <w:vertAlign w:val="baseline"/>
        </w:rPr>
        <w:t>real </w:t>
      </w:r>
      <w:r>
        <w:rPr>
          <w:vertAlign w:val="baseline"/>
        </w:rPr>
        <w:t>incomes could be resisted, leading directly </w:t>
      </w:r>
      <w:r>
        <w:rPr>
          <w:spacing w:val="3"/>
          <w:vertAlign w:val="baseline"/>
        </w:rPr>
        <w:t>to </w:t>
      </w:r>
      <w:r>
        <w:rPr>
          <w:vertAlign w:val="baseline"/>
        </w:rPr>
        <w:t>wage and price inflation. In either case the inflationary pressure would need </w:t>
      </w:r>
      <w:r>
        <w:rPr>
          <w:spacing w:val="3"/>
          <w:vertAlign w:val="baseline"/>
        </w:rPr>
        <w:t>to </w:t>
      </w:r>
      <w:r>
        <w:rPr>
          <w:vertAlign w:val="baseline"/>
        </w:rPr>
        <w:t>be checked for a time by higher interest rates (and a larger </w:t>
      </w:r>
      <w:r>
        <w:rPr>
          <w:spacing w:val="3"/>
          <w:vertAlign w:val="baseline"/>
        </w:rPr>
        <w:t>output </w:t>
      </w:r>
      <w:r>
        <w:rPr>
          <w:vertAlign w:val="baseline"/>
        </w:rPr>
        <w:t>gap) than </w:t>
      </w:r>
      <w:r>
        <w:rPr>
          <w:spacing w:val="3"/>
          <w:vertAlign w:val="baseline"/>
        </w:rPr>
        <w:t>otherwise. </w:t>
      </w:r>
      <w:r>
        <w:rPr>
          <w:vertAlign w:val="baseline"/>
        </w:rPr>
        <w:t>The MPC has, however, some ‘constrained discretion’ about how quickly </w:t>
      </w:r>
      <w:r>
        <w:rPr>
          <w:spacing w:val="3"/>
          <w:vertAlign w:val="baseline"/>
        </w:rPr>
        <w:t>to </w:t>
      </w:r>
      <w:r>
        <w:rPr>
          <w:vertAlign w:val="baseline"/>
        </w:rPr>
        <w:t>bring inflation back </w:t>
      </w:r>
      <w:r>
        <w:rPr>
          <w:spacing w:val="3"/>
          <w:vertAlign w:val="baseline"/>
        </w:rPr>
        <w:t>to </w:t>
      </w:r>
      <w:r>
        <w:rPr>
          <w:vertAlign w:val="baseline"/>
        </w:rPr>
        <w:t>target in the face </w:t>
      </w:r>
      <w:r>
        <w:rPr>
          <w:spacing w:val="2"/>
          <w:vertAlign w:val="baseline"/>
        </w:rPr>
        <w:t>of </w:t>
      </w:r>
      <w:r>
        <w:rPr>
          <w:vertAlign w:val="baseline"/>
        </w:rPr>
        <w:t>such shocks. Clearly, the</w:t>
      </w:r>
      <w:r>
        <w:rPr>
          <w:spacing w:val="-4"/>
          <w:vertAlign w:val="baseline"/>
        </w:rPr>
        <w:t> </w:t>
      </w:r>
      <w:r>
        <w:rPr>
          <w:vertAlign w:val="baseline"/>
        </w:rPr>
        <w:t>task</w:t>
      </w:r>
      <w:r>
        <w:rPr>
          <w:spacing w:val="-3"/>
          <w:vertAlign w:val="baseline"/>
        </w:rPr>
        <w:t> </w:t>
      </w:r>
      <w:r>
        <w:rPr>
          <w:spacing w:val="2"/>
          <w:vertAlign w:val="baseline"/>
        </w:rPr>
        <w:t>of</w:t>
      </w:r>
      <w:r>
        <w:rPr>
          <w:spacing w:val="1"/>
          <w:vertAlign w:val="baseline"/>
        </w:rPr>
        <w:t> </w:t>
      </w:r>
      <w:r>
        <w:rPr>
          <w:vertAlign w:val="baseline"/>
        </w:rPr>
        <w:t>the</w:t>
      </w:r>
      <w:r>
        <w:rPr>
          <w:spacing w:val="-4"/>
          <w:vertAlign w:val="baseline"/>
        </w:rPr>
        <w:t> </w:t>
      </w:r>
      <w:r>
        <w:rPr>
          <w:vertAlign w:val="baseline"/>
        </w:rPr>
        <w:t>MPC</w:t>
      </w:r>
      <w:r>
        <w:rPr>
          <w:spacing w:val="-3"/>
          <w:vertAlign w:val="baseline"/>
        </w:rPr>
        <w:t> </w:t>
      </w:r>
      <w:r>
        <w:rPr>
          <w:vertAlign w:val="baseline"/>
        </w:rPr>
        <w:t>would</w:t>
      </w:r>
      <w:r>
        <w:rPr>
          <w:spacing w:val="-4"/>
          <w:vertAlign w:val="baseline"/>
        </w:rPr>
        <w:t> </w:t>
      </w:r>
      <w:r>
        <w:rPr>
          <w:vertAlign w:val="baseline"/>
        </w:rPr>
        <w:t>be</w:t>
      </w:r>
      <w:r>
        <w:rPr>
          <w:spacing w:val="-3"/>
          <w:vertAlign w:val="baseline"/>
        </w:rPr>
        <w:t> </w:t>
      </w:r>
      <w:r>
        <w:rPr>
          <w:vertAlign w:val="baseline"/>
        </w:rPr>
        <w:t>the</w:t>
      </w:r>
      <w:r>
        <w:rPr>
          <w:spacing w:val="-4"/>
          <w:vertAlign w:val="baseline"/>
        </w:rPr>
        <w:t> </w:t>
      </w:r>
      <w:r>
        <w:rPr>
          <w:vertAlign w:val="baseline"/>
        </w:rPr>
        <w:t>easier</w:t>
      </w:r>
      <w:r>
        <w:rPr>
          <w:spacing w:val="-3"/>
          <w:vertAlign w:val="baseline"/>
        </w:rPr>
        <w:t> </w:t>
      </w:r>
      <w:r>
        <w:rPr>
          <w:vertAlign w:val="baseline"/>
        </w:rPr>
        <w:t>the</w:t>
      </w:r>
      <w:r>
        <w:rPr>
          <w:spacing w:val="-4"/>
          <w:vertAlign w:val="baseline"/>
        </w:rPr>
        <w:t> </w:t>
      </w:r>
      <w:r>
        <w:rPr>
          <w:vertAlign w:val="baseline"/>
        </w:rPr>
        <w:t>less</w:t>
      </w:r>
      <w:r>
        <w:rPr>
          <w:spacing w:val="-3"/>
          <w:vertAlign w:val="baseline"/>
        </w:rPr>
        <w:t> </w:t>
      </w:r>
      <w:r>
        <w:rPr>
          <w:vertAlign w:val="baseline"/>
        </w:rPr>
        <w:t>the</w:t>
      </w:r>
      <w:r>
        <w:rPr>
          <w:spacing w:val="-3"/>
          <w:vertAlign w:val="baseline"/>
        </w:rPr>
        <w:t> </w:t>
      </w:r>
      <w:r>
        <w:rPr>
          <w:vertAlign w:val="baseline"/>
        </w:rPr>
        <w:t>extent</w:t>
      </w:r>
      <w:r>
        <w:rPr>
          <w:spacing w:val="1"/>
          <w:vertAlign w:val="baseline"/>
        </w:rPr>
        <w:t> </w:t>
      </w:r>
      <w:r>
        <w:rPr>
          <w:spacing w:val="2"/>
          <w:vertAlign w:val="baseline"/>
        </w:rPr>
        <w:t>of</w:t>
      </w:r>
      <w:r>
        <w:rPr>
          <w:spacing w:val="1"/>
          <w:vertAlign w:val="baseline"/>
        </w:rPr>
        <w:t> </w:t>
      </w:r>
      <w:r>
        <w:rPr>
          <w:vertAlign w:val="baseline"/>
        </w:rPr>
        <w:t>real</w:t>
      </w:r>
      <w:r>
        <w:rPr>
          <w:spacing w:val="-2"/>
          <w:vertAlign w:val="baseline"/>
        </w:rPr>
        <w:t> </w:t>
      </w:r>
      <w:r>
        <w:rPr>
          <w:vertAlign w:val="baseline"/>
        </w:rPr>
        <w:t>wage</w:t>
      </w:r>
      <w:r>
        <w:rPr>
          <w:spacing w:val="-3"/>
          <w:vertAlign w:val="baseline"/>
        </w:rPr>
        <w:t> </w:t>
      </w:r>
      <w:r>
        <w:rPr>
          <w:vertAlign w:val="baseline"/>
        </w:rPr>
        <w:t>resistance</w:t>
      </w:r>
      <w:r>
        <w:rPr>
          <w:spacing w:val="-2"/>
          <w:vertAlign w:val="baseline"/>
        </w:rPr>
        <w:t> </w:t>
      </w:r>
      <w:r>
        <w:rPr>
          <w:vertAlign w:val="baseline"/>
        </w:rPr>
        <w:t>and</w:t>
      </w:r>
      <w:r>
        <w:rPr>
          <w:spacing w:val="-3"/>
          <w:vertAlign w:val="baseline"/>
        </w:rPr>
        <w:t> </w:t>
      </w:r>
      <w:r>
        <w:rPr>
          <w:vertAlign w:val="baseline"/>
        </w:rPr>
        <w:t>the smaller the effect </w:t>
      </w:r>
      <w:r>
        <w:rPr>
          <w:spacing w:val="3"/>
          <w:vertAlign w:val="baseline"/>
        </w:rPr>
        <w:t>on </w:t>
      </w:r>
      <w:r>
        <w:rPr>
          <w:vertAlign w:val="baseline"/>
        </w:rPr>
        <w:t>inflation</w:t>
      </w:r>
      <w:r>
        <w:rPr>
          <w:spacing w:val="21"/>
          <w:vertAlign w:val="baseline"/>
        </w:rPr>
        <w:t> </w:t>
      </w:r>
      <w:r>
        <w:rPr>
          <w:vertAlign w:val="baseline"/>
        </w:rPr>
        <w:t>expectations.</w:t>
      </w:r>
    </w:p>
    <w:p>
      <w:pPr>
        <w:pStyle w:val="BodyText"/>
        <w:rPr>
          <w:sz w:val="36"/>
        </w:rPr>
      </w:pPr>
    </w:p>
    <w:p>
      <w:pPr>
        <w:pStyle w:val="BodyText"/>
        <w:spacing w:line="360" w:lineRule="auto"/>
        <w:ind w:left="231" w:right="249"/>
      </w:pPr>
      <w:r>
        <w:rPr/>
        <w:pict>
          <v:group style="position:absolute;margin-left:81.599998pt;margin-top:109.84314pt;width:432pt;height:.5pt;mso-position-horizontal-relative:page;mso-position-vertical-relative:paragraph;z-index:-251631616;mso-wrap-distance-left:0;mso-wrap-distance-right:0" coordorigin="1632,2197" coordsize="8640,10">
            <v:line style="position:absolute" from="1632,2202" to="4512,2202" stroked="true" strokeweight=".48pt" strokecolor="#000000">
              <v:stroke dashstyle="solid"/>
            </v:line>
            <v:line style="position:absolute" from="4512,2202" to="7392,2202" stroked="true" strokeweight=".48pt" strokecolor="#000000">
              <v:stroke dashstyle="solid"/>
            </v:line>
            <v:line style="position:absolute" from="7392,2202" to="10272,2202" stroked="true" strokeweight=".48pt" strokecolor="#000000">
              <v:stroke dashstyle="solid"/>
            </v:line>
            <w10:wrap type="topAndBottom"/>
          </v:group>
        </w:pict>
      </w:r>
      <w:r>
        <w:rPr/>
        <w:t>I expect that you will have noticed that what I have just said dodges what many will see as the most interesting question. Should a price level change arising from an assumed permanent change in the real exchange rate (or, for that matter, an indirect tax change) be accommodated or resisted? (There is general agreement, of course, that a non- accommodative policy should be taken to the second round effects.) If it were possible to</w:t>
      </w:r>
    </w:p>
    <w:p>
      <w:pPr>
        <w:spacing w:before="33"/>
        <w:ind w:left="231" w:right="177" w:firstLine="0"/>
        <w:jc w:val="left"/>
        <w:rPr>
          <w:sz w:val="20"/>
        </w:rPr>
      </w:pPr>
      <w:r>
        <w:rPr>
          <w:position w:val="9"/>
          <w:sz w:val="13"/>
        </w:rPr>
        <w:t>8 </w:t>
      </w:r>
      <w:r>
        <w:rPr>
          <w:sz w:val="20"/>
        </w:rPr>
        <w:t>For a seller all of whose costs are UK costs, the margin on sales could, if the price were unchanged in foreign currency, increase by the full 10 percentage points. Typically, however, exports have an imported component, and the cost advantage applies only to UK value added. Whether the cost advantage would lead to higher margins or lower prices would depend on conditions in the industry and on the competitive situation.</w:t>
      </w:r>
    </w:p>
    <w:p>
      <w:pPr>
        <w:spacing w:after="0"/>
        <w:jc w:val="left"/>
        <w:rPr>
          <w:sz w:val="20"/>
        </w:rPr>
        <w:sectPr>
          <w:pgSz w:w="11900" w:h="16840"/>
          <w:pgMar w:header="0" w:footer="1237" w:top="1600" w:bottom="1420" w:left="1400" w:right="1400"/>
        </w:sectPr>
      </w:pPr>
    </w:p>
    <w:p>
      <w:pPr>
        <w:pStyle w:val="BodyText"/>
        <w:spacing w:before="1"/>
        <w:rPr>
          <w:sz w:val="21"/>
        </w:rPr>
      </w:pPr>
    </w:p>
    <w:p>
      <w:pPr>
        <w:pStyle w:val="BodyText"/>
        <w:spacing w:line="360" w:lineRule="auto" w:before="90"/>
        <w:ind w:left="231" w:right="304"/>
      </w:pPr>
      <w:r>
        <w:rPr/>
        <w:t>distinguish clearly between the real impact (affecting some, but not other price level measures</w:t>
      </w:r>
      <w:r>
        <w:rPr>
          <w:vertAlign w:val="superscript"/>
        </w:rPr>
        <w:t>10</w:t>
      </w:r>
      <w:r>
        <w:rPr>
          <w:vertAlign w:val="baseline"/>
        </w:rPr>
        <w:t>) then it seems clear that under an inflation target regime— as opposed to a price level target regime where the price level includes import prices— the level effect should be allowed to come through.</w:t>
      </w:r>
      <w:r>
        <w:rPr>
          <w:vertAlign w:val="superscript"/>
        </w:rPr>
        <w:t>11</w:t>
      </w:r>
      <w:r>
        <w:rPr>
          <w:vertAlign w:val="baseline"/>
        </w:rPr>
        <w:t> In practice, however, it is not easy to distinguish between level effects and inflation effects, and the key issues are likely to centre on the reaction of expectations and of real wage resistance. All this argues for a high degree of transparency and explanation on the part of policy makers if such impacts occur.</w:t>
      </w:r>
    </w:p>
    <w:p>
      <w:pPr>
        <w:pStyle w:val="BodyText"/>
        <w:rPr>
          <w:sz w:val="36"/>
        </w:rPr>
      </w:pPr>
    </w:p>
    <w:p>
      <w:pPr>
        <w:pStyle w:val="BodyText"/>
        <w:spacing w:line="360" w:lineRule="auto"/>
        <w:ind w:left="232" w:right="348"/>
      </w:pPr>
      <w:r>
        <w:rPr/>
        <w:t>The above account of the effects of an exchange rate fall is clearly oversimplified and lots of qualifications could be made. (For example, the exchange rate would depend on the monetary policy response and on market anticipations of the MPC’s reaction function.) Nevertheless, an exchange rate move could quite easily present itself as an exogenous (and possibly unexplained) shift at (say) the beginning of an MPC inflation- forecasting round, in which case questions such as the extent of pass-through to import prices, the reaction of wages and the effect on expectations would be at the centre of discussion.</w:t>
      </w:r>
    </w:p>
    <w:p>
      <w:pPr>
        <w:pStyle w:val="BodyText"/>
        <w:spacing w:before="11"/>
        <w:rPr>
          <w:sz w:val="35"/>
        </w:rPr>
      </w:pPr>
    </w:p>
    <w:p>
      <w:pPr>
        <w:pStyle w:val="BodyText"/>
        <w:spacing w:line="360" w:lineRule="auto"/>
        <w:ind w:left="232" w:right="304"/>
      </w:pPr>
      <w:r>
        <w:rPr/>
        <w:t>Were an exchange rate fall to occur under conditions something like the present, one question that would certainly be in my mind would be the likely effect on import prices. As we have seen, there are some indicators that suggest they are presently ‘out of equilibrium’ in the sense of being abnormally high in relation to world export prices. A depreciation of about 5–6% would bring them back in line with historical averages— suggesting that, at least for a relatively small depreciation the pass-through to inflation</w:t>
      </w:r>
    </w:p>
    <w:p>
      <w:pPr>
        <w:pStyle w:val="BodyText"/>
        <w:rPr>
          <w:sz w:val="20"/>
        </w:rPr>
      </w:pPr>
    </w:p>
    <w:p>
      <w:pPr>
        <w:pStyle w:val="BodyText"/>
        <w:rPr>
          <w:sz w:val="20"/>
        </w:rPr>
      </w:pPr>
    </w:p>
    <w:p>
      <w:pPr>
        <w:pStyle w:val="BodyText"/>
        <w:spacing w:before="2"/>
        <w:rPr>
          <w:sz w:val="27"/>
        </w:rPr>
      </w:pPr>
      <w:r>
        <w:rPr/>
        <w:pict>
          <v:shape style="position:absolute;margin-left:81.599998pt;margin-top:17.863359pt;width:432pt;height:.1pt;mso-position-horizontal-relative:page;mso-position-vertical-relative:paragraph;z-index:-251630592;mso-wrap-distance-left:0;mso-wrap-distance-right:0" coordorigin="1632,357" coordsize="8640,0" path="m1632,357l10272,357e" filled="false" stroked="true" strokeweight=".48pt" strokecolor="#000000">
            <v:path arrowok="t"/>
            <v:stroke dashstyle="solid"/>
            <w10:wrap type="topAndBottom"/>
          </v:shape>
        </w:pict>
      </w:r>
    </w:p>
    <w:p>
      <w:pPr>
        <w:spacing w:before="33"/>
        <w:ind w:left="231" w:right="252" w:firstLine="0"/>
        <w:jc w:val="left"/>
        <w:rPr>
          <w:sz w:val="20"/>
        </w:rPr>
      </w:pPr>
      <w:r>
        <w:rPr>
          <w:position w:val="9"/>
          <w:sz w:val="13"/>
        </w:rPr>
        <w:t>9 </w:t>
      </w:r>
      <w:r>
        <w:rPr>
          <w:sz w:val="20"/>
        </w:rPr>
        <w:t>The depressing impact of euro depreciation on real incomes (together with higher food and energy prices) is one of the explanations commonly heard for the slowdown in domestic demand in the euro area.</w:t>
      </w:r>
    </w:p>
    <w:p>
      <w:pPr>
        <w:spacing w:line="230" w:lineRule="exact" w:before="3"/>
        <w:ind w:left="231" w:right="304" w:firstLine="0"/>
        <w:jc w:val="left"/>
        <w:rPr>
          <w:sz w:val="20"/>
        </w:rPr>
      </w:pPr>
      <w:r>
        <w:rPr>
          <w:position w:val="9"/>
          <w:sz w:val="13"/>
        </w:rPr>
        <w:t>10 </w:t>
      </w:r>
      <w:r>
        <w:rPr>
          <w:sz w:val="20"/>
        </w:rPr>
        <w:t>Clearly, consumer price indices would be affected but the GDP deflator (the price of domestic value added or production) would not be. RPIY, which excludes tax effects, would also be unaffected. There is</w:t>
      </w:r>
    </w:p>
    <w:p>
      <w:pPr>
        <w:spacing w:line="235" w:lineRule="auto" w:before="2"/>
        <w:ind w:left="231" w:right="304" w:firstLine="0"/>
        <w:jc w:val="left"/>
        <w:rPr>
          <w:sz w:val="20"/>
        </w:rPr>
      </w:pPr>
      <w:r>
        <w:rPr>
          <w:sz w:val="20"/>
        </w:rPr>
        <w:t>no mechanical impact on nominal wage inflation either. In the indirect-tax increase case, the GDP deflator at market prices would be affected whilst that at factor cost would not.</w:t>
      </w:r>
    </w:p>
    <w:p>
      <w:pPr>
        <w:spacing w:line="230" w:lineRule="exact" w:before="4"/>
        <w:ind w:left="231" w:right="252" w:firstLine="0"/>
        <w:jc w:val="left"/>
        <w:rPr>
          <w:sz w:val="20"/>
        </w:rPr>
      </w:pPr>
      <w:r>
        <w:rPr>
          <w:position w:val="9"/>
          <w:sz w:val="13"/>
        </w:rPr>
        <w:t>11 </w:t>
      </w:r>
      <w:r>
        <w:rPr>
          <w:sz w:val="20"/>
        </w:rPr>
        <w:t>Meltzer (1977, p. 183) observes that ‘a one-time change in tastes, the degree of monopoly, or other real variables changes the price level… [W]e require a theory that distinguishes between once-and-for-all price changes and maintained rates of price change.’ Meltzer argues that Friedman’s proposition that ‘inflation</w:t>
      </w:r>
    </w:p>
    <w:p>
      <w:pPr>
        <w:spacing w:before="0"/>
        <w:ind w:left="232" w:right="324" w:hanging="1"/>
        <w:jc w:val="left"/>
        <w:rPr>
          <w:sz w:val="20"/>
        </w:rPr>
      </w:pPr>
      <w:r>
        <w:rPr>
          <w:sz w:val="20"/>
        </w:rPr>
        <w:t>is always and everywhere a monetary phenomenon’ does not refer to the movements in measured inflation that are due to once and for all price level changes.</w:t>
      </w:r>
    </w:p>
    <w:p>
      <w:pPr>
        <w:spacing w:after="0"/>
        <w:jc w:val="left"/>
        <w:rPr>
          <w:sz w:val="20"/>
        </w:rPr>
        <w:sectPr>
          <w:pgSz w:w="11900" w:h="16840"/>
          <w:pgMar w:header="0" w:footer="1237" w:top="1600" w:bottom="1420" w:left="1400" w:right="1400"/>
        </w:sectPr>
      </w:pPr>
    </w:p>
    <w:p>
      <w:pPr>
        <w:pStyle w:val="BodyText"/>
        <w:spacing w:before="1"/>
        <w:rPr>
          <w:sz w:val="21"/>
        </w:rPr>
      </w:pPr>
    </w:p>
    <w:p>
      <w:pPr>
        <w:pStyle w:val="BodyText"/>
        <w:spacing w:line="360" w:lineRule="auto" w:before="90"/>
        <w:ind w:left="232" w:hanging="1"/>
      </w:pPr>
      <w:r>
        <w:rPr/>
        <w:t>and the implied downward effect on living standards might be attenuated. This is an issue that requires more research.</w:t>
      </w:r>
    </w:p>
    <w:p>
      <w:pPr>
        <w:pStyle w:val="BodyText"/>
        <w:spacing w:line="360" w:lineRule="auto" w:before="2"/>
        <w:ind w:left="231" w:right="319"/>
      </w:pPr>
      <w:r>
        <w:rPr/>
        <w:t>Finally, before moving on to look at other aspects of the UK imbalances, let me stress that I have been discussing the potential effects of an exchange rate fall, were it to occur. It is certainly not a forecast. (Since I am concerned about the imbalances in the UK, I would, in fact, certainly welcome such a fall if it occurred in an orderly way.) But it has been argued, by those who argue that sterling is fundamentally overvalued that a sharp fall will occur— say, sometime over the next couple of years— though the timing is extremely uncertain. Should monetary policy now react to that future possibility— and the possible upward effects on inflation when it happened? I for one would be content to wait to assess the situation if and when it happened.</w:t>
      </w:r>
      <w:r>
        <w:rPr>
          <w:vertAlign w:val="superscript"/>
        </w:rPr>
        <w:t>12</w:t>
      </w:r>
    </w:p>
    <w:p>
      <w:pPr>
        <w:pStyle w:val="BodyText"/>
        <w:spacing w:before="8"/>
        <w:rPr>
          <w:sz w:val="31"/>
        </w:rPr>
      </w:pPr>
    </w:p>
    <w:p>
      <w:pPr>
        <w:pStyle w:val="Heading1"/>
      </w:pPr>
      <w:r>
        <w:rPr/>
        <w:t>3.2 Consumer demand and savings</w:t>
      </w:r>
    </w:p>
    <w:p>
      <w:pPr>
        <w:pStyle w:val="BodyText"/>
        <w:rPr>
          <w:b/>
          <w:sz w:val="26"/>
        </w:rPr>
      </w:pPr>
    </w:p>
    <w:p>
      <w:pPr>
        <w:pStyle w:val="BodyText"/>
        <w:spacing w:line="360" w:lineRule="auto" w:before="193"/>
        <w:ind w:left="231" w:right="304"/>
      </w:pPr>
      <w:r>
        <w:rPr/>
        <w:t>I turn now to my third major topic— what is happening in the UK to consumer spending and savings, and the question of whether the buoyancy of consumer spending poses threats to the future. The view that it might is easily understandable, given some of the similarities to the situation in the late 1980s, when savings fell dramatically before rising equally dramatically as boom turned to bust.</w:t>
      </w:r>
    </w:p>
    <w:p>
      <w:pPr>
        <w:pStyle w:val="BodyText"/>
        <w:spacing w:before="2"/>
        <w:rPr>
          <w:sz w:val="31"/>
        </w:rPr>
      </w:pPr>
    </w:p>
    <w:p>
      <w:pPr>
        <w:pStyle w:val="BodyText"/>
        <w:spacing w:line="360" w:lineRule="auto"/>
        <w:ind w:left="231" w:right="304"/>
      </w:pPr>
      <w:r>
        <w:rPr/>
        <w:pict>
          <v:group style="position:absolute;margin-left:81.599998pt;margin-top:172.243134pt;width:432pt;height:.5pt;mso-position-horizontal-relative:page;mso-position-vertical-relative:paragraph;z-index:-251629568;mso-wrap-distance-left:0;mso-wrap-distance-right:0" coordorigin="1632,3445" coordsize="8640,10">
            <v:line style="position:absolute" from="1632,3450" to="4512,3450" stroked="true" strokeweight=".48pt" strokecolor="#000000">
              <v:stroke dashstyle="solid"/>
            </v:line>
            <v:line style="position:absolute" from="4512,3450" to="7392,3450" stroked="true" strokeweight=".48pt" strokecolor="#000000">
              <v:stroke dashstyle="solid"/>
            </v:line>
            <v:line style="position:absolute" from="7392,3450" to="10272,3450" stroked="true" strokeweight=".48pt" strokecolor="#000000">
              <v:stroke dashstyle="solid"/>
            </v:line>
            <w10:wrap type="topAndBottom"/>
          </v:group>
        </w:pict>
      </w:r>
      <w:r>
        <w:rPr/>
        <w:t>In fact though there are similarities (Chart 7), there are equally important differences. (See Table 2.) For example, house price rises have been much less dramatic and debt servicing— as stressed in the August </w:t>
      </w:r>
      <w:r>
        <w:rPr>
          <w:i/>
        </w:rPr>
        <w:t>Inflation Report</w:t>
      </w:r>
      <w:r>
        <w:rPr/>
        <w:t>— is much smaller than in the late 1980s (reflecting, amongst other factors, considerably lower interest rates). But the main difference that I would stress is that, whereas the late 1980s were clearly a situation of excess demand, and the deterioration in net trade was largely a consequence of that, the situation now is one where domestic demand is being kept up to compensate for the deterioration in net trade. From a policy point of view, it is fully recognised that</w:t>
      </w:r>
    </w:p>
    <w:p>
      <w:pPr>
        <w:spacing w:before="33"/>
        <w:ind w:left="231" w:right="252" w:firstLine="0"/>
        <w:jc w:val="left"/>
        <w:rPr>
          <w:sz w:val="20"/>
        </w:rPr>
      </w:pPr>
      <w:r>
        <w:rPr>
          <w:position w:val="9"/>
          <w:sz w:val="13"/>
        </w:rPr>
        <w:t>12 </w:t>
      </w:r>
      <w:r>
        <w:rPr>
          <w:sz w:val="20"/>
        </w:rPr>
        <w:t>In the MPC forecasting process, exchange rates are projected forward on the basis of a simple average of two forecasting assumptions. The first is that exchange rates will evolve according to the predictions of uncovered interest parity (UIP), and the second assumes the exchange rate is a random walk— i.e. that the best predictor of the exchange rate is the present exchange rate. The assumption of an asymmetric</w:t>
      </w:r>
    </w:p>
    <w:p>
      <w:pPr>
        <w:spacing w:after="0"/>
        <w:jc w:val="left"/>
        <w:rPr>
          <w:sz w:val="20"/>
        </w:rPr>
        <w:sectPr>
          <w:pgSz w:w="11900" w:h="16840"/>
          <w:pgMar w:header="0" w:footer="1237" w:top="1600" w:bottom="1420" w:left="1400" w:right="1400"/>
        </w:sectPr>
      </w:pPr>
    </w:p>
    <w:p>
      <w:pPr>
        <w:pStyle w:val="BodyText"/>
        <w:spacing w:before="1"/>
        <w:rPr>
          <w:sz w:val="21"/>
        </w:rPr>
      </w:pPr>
    </w:p>
    <w:p>
      <w:pPr>
        <w:pStyle w:val="BodyText"/>
        <w:spacing w:line="360" w:lineRule="auto" w:before="90"/>
        <w:ind w:left="231" w:right="277"/>
      </w:pPr>
      <w:r>
        <w:rPr/>
        <w:t>consumption growth would have to slow if the external situation were to improve or if other components of demand, such as public expenditure, were to expand faster than envisaged. The focus of policy is on meeting the inflation target.  Putting it at its simplest, this implies aiming to keep overall demand rising broadly in line with potential, which in turn implies that there will be imbalances if some parts of the economy are adversely affected by the exchange rate and by shocks to the world economy.</w:t>
      </w:r>
    </w:p>
    <w:p>
      <w:pPr>
        <w:pStyle w:val="BodyText"/>
        <w:spacing w:before="6"/>
        <w:rPr>
          <w:sz w:val="31"/>
        </w:rPr>
      </w:pPr>
    </w:p>
    <w:p>
      <w:pPr>
        <w:pStyle w:val="BodyText"/>
        <w:spacing w:line="360" w:lineRule="auto"/>
        <w:ind w:left="231" w:right="283"/>
      </w:pPr>
      <w:r>
        <w:rPr/>
        <w:t>But this certainly does not mean that there are no risks in the present situation. One, which</w:t>
      </w:r>
      <w:r>
        <w:rPr>
          <w:spacing w:val="-8"/>
        </w:rPr>
        <w:t> </w:t>
      </w:r>
      <w:r>
        <w:rPr/>
        <w:t>is</w:t>
      </w:r>
      <w:r>
        <w:rPr>
          <w:spacing w:val="-8"/>
        </w:rPr>
        <w:t> </w:t>
      </w:r>
      <w:r>
        <w:rPr/>
        <w:t>frequently</w:t>
      </w:r>
      <w:r>
        <w:rPr>
          <w:spacing w:val="-8"/>
        </w:rPr>
        <w:t> </w:t>
      </w:r>
      <w:r>
        <w:rPr/>
        <w:t>mentioned,</w:t>
      </w:r>
      <w:r>
        <w:rPr>
          <w:spacing w:val="-8"/>
        </w:rPr>
        <w:t> </w:t>
      </w:r>
      <w:r>
        <w:rPr/>
        <w:t>is</w:t>
      </w:r>
      <w:r>
        <w:rPr>
          <w:spacing w:val="-7"/>
        </w:rPr>
        <w:t> </w:t>
      </w:r>
      <w:r>
        <w:rPr/>
        <w:t>that</w:t>
      </w:r>
      <w:r>
        <w:rPr>
          <w:spacing w:val="-4"/>
        </w:rPr>
        <w:t> </w:t>
      </w:r>
      <w:r>
        <w:rPr/>
        <w:t>a</w:t>
      </w:r>
      <w:r>
        <w:rPr>
          <w:spacing w:val="-8"/>
        </w:rPr>
        <w:t> </w:t>
      </w:r>
      <w:r>
        <w:rPr/>
        <w:t>continuation</w:t>
      </w:r>
      <w:r>
        <w:rPr>
          <w:spacing w:val="-8"/>
        </w:rPr>
        <w:t> </w:t>
      </w:r>
      <w:r>
        <w:rPr>
          <w:spacing w:val="3"/>
        </w:rPr>
        <w:t>of</w:t>
      </w:r>
      <w:r>
        <w:rPr>
          <w:spacing w:val="-4"/>
        </w:rPr>
        <w:t> </w:t>
      </w:r>
      <w:r>
        <w:rPr>
          <w:spacing w:val="2"/>
        </w:rPr>
        <w:t>strong</w:t>
      </w:r>
      <w:r>
        <w:rPr>
          <w:spacing w:val="-7"/>
        </w:rPr>
        <w:t> </w:t>
      </w:r>
      <w:r>
        <w:rPr/>
        <w:t>consumer</w:t>
      </w:r>
      <w:r>
        <w:rPr>
          <w:spacing w:val="-8"/>
        </w:rPr>
        <w:t> </w:t>
      </w:r>
      <w:r>
        <w:rPr/>
        <w:t>demand,</w:t>
      </w:r>
      <w:r>
        <w:rPr>
          <w:spacing w:val="-8"/>
        </w:rPr>
        <w:t> </w:t>
      </w:r>
      <w:r>
        <w:rPr/>
        <w:t>spilling </w:t>
      </w:r>
      <w:r>
        <w:rPr>
          <w:spacing w:val="3"/>
        </w:rPr>
        <w:t>over </w:t>
      </w:r>
      <w:r>
        <w:rPr/>
        <w:t>into a deterioration in the external current account deficit, could trigger a sharp fall in the exchange rate. Were that </w:t>
      </w:r>
      <w:r>
        <w:rPr>
          <w:spacing w:val="2"/>
        </w:rPr>
        <w:t>to </w:t>
      </w:r>
      <w:r>
        <w:rPr/>
        <w:t>happen, monetary policy would need </w:t>
      </w:r>
      <w:r>
        <w:rPr>
          <w:spacing w:val="2"/>
        </w:rPr>
        <w:t>to </w:t>
      </w:r>
      <w:r>
        <w:rPr/>
        <w:t>adjust— and I will say more about this in my closing remarks. But the main risks, I would argue, concern the course </w:t>
      </w:r>
      <w:r>
        <w:rPr>
          <w:spacing w:val="2"/>
        </w:rPr>
        <w:t>of </w:t>
      </w:r>
      <w:r>
        <w:rPr/>
        <w:t>consumer demand itself. Forecasting the likely path </w:t>
      </w:r>
      <w:r>
        <w:rPr>
          <w:spacing w:val="3"/>
        </w:rPr>
        <w:t>of </w:t>
      </w:r>
      <w:r>
        <w:rPr/>
        <w:t>consumption is difficult in present circumstances and it is worth </w:t>
      </w:r>
      <w:r>
        <w:rPr>
          <w:spacing w:val="2"/>
        </w:rPr>
        <w:t>recalling </w:t>
      </w:r>
      <w:r>
        <w:rPr/>
        <w:t>that some </w:t>
      </w:r>
      <w:r>
        <w:rPr>
          <w:spacing w:val="3"/>
        </w:rPr>
        <w:t>of </w:t>
      </w:r>
      <w:r>
        <w:rPr/>
        <w:t>the largest policy errors in the past (notably during the late 1980s) have been due in large part </w:t>
      </w:r>
      <w:r>
        <w:rPr>
          <w:spacing w:val="3"/>
        </w:rPr>
        <w:t>to </w:t>
      </w:r>
      <w:r>
        <w:rPr/>
        <w:t>misforecasting the behaviour </w:t>
      </w:r>
      <w:r>
        <w:rPr>
          <w:spacing w:val="2"/>
        </w:rPr>
        <w:t>of</w:t>
      </w:r>
      <w:r>
        <w:rPr>
          <w:spacing w:val="15"/>
        </w:rPr>
        <w:t> </w:t>
      </w:r>
      <w:r>
        <w:rPr/>
        <w:t>consumers.</w:t>
      </w:r>
    </w:p>
    <w:p>
      <w:pPr>
        <w:pStyle w:val="BodyText"/>
        <w:spacing w:before="3"/>
        <w:rPr>
          <w:sz w:val="31"/>
        </w:rPr>
      </w:pPr>
    </w:p>
    <w:p>
      <w:pPr>
        <w:pStyle w:val="BodyText"/>
        <w:spacing w:line="360" w:lineRule="auto"/>
        <w:ind w:left="231" w:right="244"/>
      </w:pPr>
      <w:r>
        <w:rPr/>
        <w:t>So one possibility is that the strength of consumer demand looking forward is being underestimated. Given what is happening elsewhere in the economy, this would involve stepped-up borrowing and show itself as a continuation or further fall in household savings. If the buoyancy of consumer demand were great enough (and other things did not change enough to compensate), this would be a situation of excess demand, a tightening labour market, and rising inflationary pressure. It would need to be checked by a rise in interest rates. It is important to be clear that the problem would not be the continuing or increasing ‘imbalance’ itself, but the excess spending leading through to inflationary pressure.</w:t>
      </w:r>
    </w:p>
    <w:p>
      <w:pPr>
        <w:pStyle w:val="BodyText"/>
        <w:spacing w:before="2"/>
        <w:rPr>
          <w:sz w:val="31"/>
        </w:rPr>
      </w:pPr>
    </w:p>
    <w:p>
      <w:pPr>
        <w:pStyle w:val="BodyText"/>
        <w:spacing w:line="360" w:lineRule="auto"/>
        <w:ind w:left="231"/>
      </w:pPr>
      <w:r>
        <w:rPr/>
        <w:t>Given that savings are already low and borrowing has been high, such a scenario may not appear very likely. But consumer behaviour has surprised in the past, and the example of</w:t>
      </w:r>
    </w:p>
    <w:p>
      <w:pPr>
        <w:pStyle w:val="BodyText"/>
        <w:rPr>
          <w:sz w:val="20"/>
        </w:rPr>
      </w:pPr>
    </w:p>
    <w:p>
      <w:pPr>
        <w:pStyle w:val="BodyText"/>
        <w:spacing w:before="1"/>
        <w:rPr>
          <w:sz w:val="25"/>
        </w:rPr>
      </w:pPr>
      <w:r>
        <w:rPr/>
        <w:pict>
          <v:shape style="position:absolute;margin-left:81.599998pt;margin-top:16.662247pt;width:432pt;height:.1pt;mso-position-horizontal-relative:page;mso-position-vertical-relative:paragraph;z-index:-251628544;mso-wrap-distance-left:0;mso-wrap-distance-right:0" coordorigin="1632,333" coordsize="8640,0" path="m1632,333l10272,333e" filled="false" stroked="true" strokeweight=".48pt" strokecolor="#000000">
            <v:path arrowok="t"/>
            <v:stroke dashstyle="solid"/>
            <w10:wrap type="topAndBottom"/>
          </v:shape>
        </w:pict>
      </w:r>
    </w:p>
    <w:p>
      <w:pPr>
        <w:spacing w:before="57"/>
        <w:ind w:left="231" w:right="0" w:firstLine="0"/>
        <w:jc w:val="left"/>
        <w:rPr>
          <w:sz w:val="20"/>
        </w:rPr>
      </w:pPr>
      <w:r>
        <w:rPr>
          <w:sz w:val="20"/>
        </w:rPr>
        <w:t>downside risk of the type described would result in an upside skew to the inflation forecast arising from the exchange rate— an assumption that has been adopted from time to time.</w:t>
      </w:r>
    </w:p>
    <w:p>
      <w:pPr>
        <w:spacing w:after="0"/>
        <w:jc w:val="left"/>
        <w:rPr>
          <w:sz w:val="20"/>
        </w:rPr>
        <w:sectPr>
          <w:pgSz w:w="11900" w:h="16840"/>
          <w:pgMar w:header="0" w:footer="1237" w:top="1600" w:bottom="1420" w:left="1400" w:right="1400"/>
        </w:sectPr>
      </w:pPr>
    </w:p>
    <w:p>
      <w:pPr>
        <w:pStyle w:val="BodyText"/>
        <w:spacing w:before="1"/>
        <w:rPr>
          <w:sz w:val="21"/>
        </w:rPr>
      </w:pPr>
    </w:p>
    <w:p>
      <w:pPr>
        <w:pStyle w:val="BodyText"/>
        <w:spacing w:line="360" w:lineRule="auto" w:before="90"/>
        <w:ind w:left="232" w:right="304"/>
      </w:pPr>
      <w:r>
        <w:rPr/>
        <w:t>the US does suggest that imbalances can go on, and can go on getting worse, for a long time.</w:t>
      </w:r>
    </w:p>
    <w:p>
      <w:pPr>
        <w:pStyle w:val="Heading1"/>
        <w:spacing w:before="7"/>
      </w:pPr>
      <w:r>
        <w:rPr/>
        <w:t>Chart 7: UK net financial balances of households and companies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9"/>
        </w:rPr>
      </w:pPr>
      <w:r>
        <w:rPr/>
        <w:pict>
          <v:group style="position:absolute;margin-left:165.839996pt;margin-top:18.874619pt;width:263.55pt;height:236.65pt;mso-position-horizontal-relative:page;mso-position-vertical-relative:paragraph;z-index:-251627520;mso-wrap-distance-left:0;mso-wrap-distance-right:0" coordorigin="3317,377" coordsize="5271,4733">
            <v:shape style="position:absolute;left:3316;top:377;width:5271;height:4733" type="#_x0000_t75" stroked="false">
              <v:imagedata r:id="rId11" o:title=""/>
            </v:shape>
            <v:rect style="position:absolute;left:6480;top:4265;width:226;height:298" filled="true" fillcolor="#ffffff" stroked="false">
              <v:fill type="solid"/>
            </v:rect>
            <w10:wrap type="topAndBottom"/>
          </v:group>
        </w:pict>
      </w:r>
    </w:p>
    <w:p>
      <w:pPr>
        <w:spacing w:before="149"/>
        <w:ind w:left="231" w:right="0" w:firstLine="0"/>
        <w:jc w:val="left"/>
        <w:rPr>
          <w:sz w:val="22"/>
        </w:rPr>
      </w:pPr>
      <w:r>
        <w:rPr>
          <w:sz w:val="22"/>
        </w:rPr>
        <w:t>Source: </w:t>
      </w:r>
      <w:r>
        <w:rPr>
          <w:i/>
          <w:sz w:val="22"/>
        </w:rPr>
        <w:t>Inflation Report</w:t>
      </w:r>
      <w:r>
        <w:rPr>
          <w:sz w:val="22"/>
        </w:rPr>
        <w:t>, August 2001</w:t>
      </w:r>
    </w:p>
    <w:p>
      <w:pPr>
        <w:pStyle w:val="BodyText"/>
      </w:pPr>
    </w:p>
    <w:p>
      <w:pPr>
        <w:pStyle w:val="BodyText"/>
        <w:spacing w:before="11"/>
        <w:rPr>
          <w:sz w:val="32"/>
        </w:rPr>
      </w:pPr>
    </w:p>
    <w:p>
      <w:pPr>
        <w:pStyle w:val="Heading1"/>
      </w:pPr>
      <w:r>
        <w:rPr/>
        <w:t>Chart 8: UK household saving ratio</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9"/>
        </w:rPr>
      </w:pPr>
    </w:p>
    <w:p>
      <w:pPr>
        <w:spacing w:before="1"/>
        <w:ind w:left="3963" w:right="1799" w:firstLine="0"/>
        <w:jc w:val="center"/>
        <w:rPr>
          <w:sz w:val="17"/>
        </w:rPr>
      </w:pPr>
      <w:r>
        <w:rPr>
          <w:sz w:val="17"/>
        </w:rPr>
        <w:t>P e r   c e n t</w:t>
      </w:r>
    </w:p>
    <w:p>
      <w:pPr>
        <w:pStyle w:val="BodyText"/>
        <w:rPr>
          <w:sz w:val="9"/>
        </w:rPr>
      </w:pPr>
    </w:p>
    <w:p>
      <w:pPr>
        <w:spacing w:before="94"/>
        <w:ind w:left="6433" w:right="0" w:firstLine="0"/>
        <w:jc w:val="left"/>
        <w:rPr>
          <w:sz w:val="17"/>
        </w:rPr>
      </w:pPr>
      <w:r>
        <w:rPr/>
        <w:pict>
          <v:group style="position:absolute;margin-left:89.760002pt;margin-top:9.875549pt;width:295.8pt;height:83.8pt;mso-position-horizontal-relative:page;mso-position-vertical-relative:paragraph;z-index:251691008" coordorigin="1795,198" coordsize="5916,1676">
            <v:shape style="position:absolute;left:1809;top:199;width:5900;height:1671" coordorigin="1810,200" coordsize="5900,1671" path="m7622,200l7622,1870,7709,1870m7622,1592l7709,1592m7622,1318l7709,1318m7622,1035l7709,1035m7622,757l7709,757m7622,483l7709,483m7622,200l7709,200m1810,1870l7622,1870m2117,1870l2117,1832m2726,1870l2726,1832m3341,1870l3341,1832m3950,1870l3950,1832m4560,1870l4560,1832m5179,1870l5179,1832m5789,1870l5789,1832m6398,1870l6398,1832m7013,1870l7013,1832m7622,1870l7622,1832m1810,1870l1810,1818m2424,1870l2424,1818m3034,1870l3034,1818m3643,1870l3643,1818m4258,1870l4258,1818m4872,1870l4872,1818m5482,1870l5482,1818m6096,1870l6096,1818m6706,1870l6706,1818m7320,1870l7320,1818e" filled="false" stroked="true" strokeweight=".24pt" strokecolor="#000000">
              <v:path arrowok="t"/>
              <v:stroke dashstyle="solid"/>
            </v:shape>
            <v:line style="position:absolute" from="1810,646" to="1886,536" stroked="true" strokeweight="1.44pt" strokecolor="#000080">
              <v:stroke dashstyle="solid"/>
            </v:line>
            <v:line style="position:absolute" from="1886,536" to="1963,800" stroked="true" strokeweight="1.44pt" strokecolor="#000080">
              <v:stroke dashstyle="solid"/>
            </v:line>
            <v:line style="position:absolute" from="1963,800" to="2040,925" stroked="true" strokeweight="1.44pt" strokecolor="#000080">
              <v:stroke dashstyle="solid"/>
            </v:line>
            <v:line style="position:absolute" from="2040,925" to="2117,982" stroked="true" strokeweight="1.44pt" strokecolor="#000080">
              <v:stroke dashstyle="solid"/>
            </v:line>
            <v:line style="position:absolute" from="2117,982" to="2194,910" stroked="true" strokeweight="1.44pt" strokecolor="#000080">
              <v:stroke dashstyle="solid"/>
            </v:line>
            <v:shape style="position:absolute;left:2193;top:579;width:994;height:596" coordorigin="2194,579" coordsize="994,596" path="m2194,910l2270,1165m2270,1165l2342,954m2342,954l2424,882m2424,882l2501,982m2501,982l2578,786m2578,786l2650,579m2650,579l2726,925m2726,925l2803,675m2803,675l2880,982m2880,982l2957,925m2957,925l3034,1093m3034,1093l3110,1006m3110,1006l3187,1174e" filled="false" stroked="true" strokeweight="1.44pt" strokecolor="#000080">
              <v:path arrowok="t"/>
              <v:stroke dashstyle="solid"/>
            </v:shape>
            <v:line style="position:absolute" from="3173,1170" to="3278,1170" stroked="true" strokeweight="1.92pt" strokecolor="#000080">
              <v:stroke dashstyle="solid"/>
            </v:line>
            <v:shape style="position:absolute;left:3264;top:1164;width:456;height:471" coordorigin="3264,1165" coordsize="456,471" path="m3264,1165l3341,1386m3341,1386l3418,1290m3418,1290l3494,1453m3494,1453l3571,1386m3571,1386l3643,1635m3643,1635l3720,1482e" filled="false" stroked="true" strokeweight="1.44pt" strokecolor="#000080">
              <v:path arrowok="t"/>
              <v:stroke dashstyle="solid"/>
            </v:shape>
            <v:line style="position:absolute" from="3720,1482" to="3802,1736" stroked="true" strokeweight="1.44pt" strokecolor="#000080">
              <v:stroke dashstyle="solid"/>
            </v:line>
            <v:line style="position:absolute" from="3802,1736" to="3878,1563" stroked="true" strokeweight="1.44pt" strokecolor="#000080">
              <v:stroke dashstyle="solid"/>
            </v:line>
            <v:shape style="position:absolute;left:3878;top:483;width:3360;height:1109" coordorigin="3878,483" coordsize="3360,1109" path="m3878,1563l3950,1592m3950,1592l4027,1563m4027,1563l4104,1174m4104,1174l4181,1189m4181,1189l4258,1165m4258,1165l4334,1218m4334,1218l4411,1093m4411,1093l4488,1026m4488,1026l4560,872m4560,872l4642,925m4642,925l4718,771m4718,771l4795,829m4795,829l4872,704m4872,704l4944,550m4944,550l5021,483m5021,483l5102,507m5102,507l5179,646m5179,646l5251,579m5251,579l5328,704m5328,704l5405,608m5405,608l5482,872m5482,872l5558,939m5558,939l5635,814m5635,814l5712,757m5712,757l5789,661m5789,661l5861,771m5861,771l5938,718m5938,718l6019,718m6019,718l6096,661m6096,661l6173,814m6173,814l6245,910m6245,910l6322,954m6322,954l6398,814m6398,814l6480,675m6480,675l6552,843m6552,843l6629,1064m6629,1064l6706,1078m6706,1078l6782,1424m6782,1424l6859,1453m6859,1453l6936,1414m6936,1414l7013,1554m7013,1554l7090,1203m7090,1203l7162,1525m7162,1525l7238,1443e" filled="false" stroked="true" strokeweight="1.44pt" strokecolor="#000080">
              <v:path arrowok="t"/>
              <v:stroke dashstyle="solid"/>
            </v:shape>
            <v:line style="position:absolute" from="7238,1443" to="7320,1414" stroked="true" strokeweight="1.44pt" strokecolor="#000080">
              <v:stroke dashstyle="solid"/>
            </v:line>
            <v:line style="position:absolute" from="7320,1414" to="7397,1592" stroked="true" strokeweight="1.44pt" strokecolor="#000080">
              <v:stroke dashstyle="solid"/>
            </v:line>
            <v:line style="position:absolute" from="7397,1592" to="7469,1688" stroked="true" strokeweight="1.44pt" strokecolor="#000080">
              <v:stroke dashstyle="solid"/>
            </v:line>
            <v:line style="position:absolute" from="7469,1688" to="7546,1400" stroked="true" strokeweight="1.44pt" strokecolor="#000080">
              <v:stroke dashstyle="solid"/>
            </v:line>
            <v:line style="position:absolute" from="7546,1400" to="7622,1582" stroked="true" strokeweight="1.44pt" strokecolor="#000080">
              <v:stroke dashstyle="solid"/>
            </v:line>
            <v:shape style="position:absolute;left:4209;top:1534;width:1298;height:191" type="#_x0000_t202" filled="false" stroked="false">
              <v:textbox inset="0,0,0,0">
                <w:txbxContent>
                  <w:p>
                    <w:pPr>
                      <w:spacing w:line="190" w:lineRule="exact" w:before="0"/>
                      <w:ind w:left="0" w:right="0" w:firstLine="0"/>
                      <w:jc w:val="left"/>
                      <w:rPr>
                        <w:sz w:val="17"/>
                      </w:rPr>
                    </w:pPr>
                    <w:r>
                      <w:rPr>
                        <w:sz w:val="17"/>
                      </w:rPr>
                      <w:t>S a v i n g r a t i o</w:t>
                    </w:r>
                  </w:p>
                </w:txbxContent>
              </v:textbox>
              <w10:wrap type="none"/>
            </v:shape>
            <w10:wrap type="none"/>
          </v:group>
        </w:pict>
      </w:r>
      <w:r>
        <w:rPr>
          <w:sz w:val="17"/>
        </w:rPr>
        <w:t>1</w:t>
      </w:r>
      <w:r>
        <w:rPr>
          <w:spacing w:val="7"/>
          <w:sz w:val="17"/>
        </w:rPr>
        <w:t> </w:t>
      </w:r>
      <w:r>
        <w:rPr>
          <w:sz w:val="17"/>
        </w:rPr>
        <w:t>4</w:t>
      </w:r>
    </w:p>
    <w:p>
      <w:pPr>
        <w:spacing w:before="83"/>
        <w:ind w:left="6433" w:right="0" w:firstLine="0"/>
        <w:jc w:val="left"/>
        <w:rPr>
          <w:sz w:val="17"/>
        </w:rPr>
      </w:pPr>
      <w:r>
        <w:rPr>
          <w:sz w:val="17"/>
        </w:rPr>
        <w:t>1</w:t>
      </w:r>
      <w:r>
        <w:rPr>
          <w:spacing w:val="7"/>
          <w:sz w:val="17"/>
        </w:rPr>
        <w:t> </w:t>
      </w:r>
      <w:r>
        <w:rPr>
          <w:sz w:val="17"/>
        </w:rPr>
        <w:t>2</w:t>
      </w:r>
    </w:p>
    <w:p>
      <w:pPr>
        <w:spacing w:before="83"/>
        <w:ind w:left="6433" w:right="0" w:firstLine="0"/>
        <w:jc w:val="left"/>
        <w:rPr>
          <w:sz w:val="17"/>
        </w:rPr>
      </w:pPr>
      <w:r>
        <w:rPr>
          <w:sz w:val="17"/>
        </w:rPr>
        <w:t>1</w:t>
      </w:r>
      <w:r>
        <w:rPr>
          <w:spacing w:val="7"/>
          <w:sz w:val="17"/>
        </w:rPr>
        <w:t> </w:t>
      </w:r>
      <w:r>
        <w:rPr>
          <w:sz w:val="17"/>
        </w:rPr>
        <w:t>0</w:t>
      </w:r>
    </w:p>
    <w:p>
      <w:pPr>
        <w:spacing w:before="83"/>
        <w:ind w:left="6433" w:right="0" w:firstLine="0"/>
        <w:jc w:val="left"/>
        <w:rPr>
          <w:sz w:val="17"/>
        </w:rPr>
      </w:pPr>
      <w:r>
        <w:rPr>
          <w:w w:val="100"/>
          <w:sz w:val="17"/>
        </w:rPr>
        <w:t>8</w:t>
      </w:r>
    </w:p>
    <w:p>
      <w:pPr>
        <w:spacing w:before="83"/>
        <w:ind w:left="6433" w:right="0" w:firstLine="0"/>
        <w:jc w:val="left"/>
        <w:rPr>
          <w:sz w:val="17"/>
        </w:rPr>
      </w:pPr>
      <w:r>
        <w:rPr>
          <w:w w:val="100"/>
          <w:sz w:val="17"/>
        </w:rPr>
        <w:t>6</w:t>
      </w:r>
    </w:p>
    <w:p>
      <w:pPr>
        <w:spacing w:before="83"/>
        <w:ind w:left="6433" w:right="0" w:firstLine="0"/>
        <w:jc w:val="left"/>
        <w:rPr>
          <w:sz w:val="17"/>
        </w:rPr>
      </w:pPr>
      <w:r>
        <w:rPr>
          <w:w w:val="100"/>
          <w:sz w:val="17"/>
        </w:rPr>
        <w:t>4</w:t>
      </w:r>
    </w:p>
    <w:p>
      <w:pPr>
        <w:spacing w:before="83"/>
        <w:ind w:left="6433" w:right="0" w:firstLine="0"/>
        <w:jc w:val="left"/>
        <w:rPr>
          <w:sz w:val="17"/>
        </w:rPr>
      </w:pPr>
      <w:r>
        <w:rPr>
          <w:w w:val="100"/>
          <w:sz w:val="17"/>
        </w:rPr>
        <w:t>2</w:t>
      </w:r>
    </w:p>
    <w:p>
      <w:pPr>
        <w:tabs>
          <w:tab w:pos="884" w:val="left" w:leader="none"/>
          <w:tab w:pos="1494" w:val="left" w:leader="none"/>
          <w:tab w:pos="2103" w:val="left" w:leader="none"/>
          <w:tab w:pos="2718" w:val="left" w:leader="none"/>
          <w:tab w:pos="3332" w:val="left" w:leader="none"/>
          <w:tab w:pos="3942" w:val="left" w:leader="none"/>
          <w:tab w:pos="4556" w:val="left" w:leader="none"/>
          <w:tab w:pos="5166" w:val="left" w:leader="none"/>
          <w:tab w:pos="5780" w:val="left" w:leader="none"/>
        </w:tabs>
        <w:spacing w:before="64"/>
        <w:ind w:left="270" w:right="0" w:firstLine="0"/>
        <w:jc w:val="left"/>
        <w:rPr>
          <w:sz w:val="17"/>
        </w:rPr>
      </w:pPr>
      <w:r>
        <w:rPr>
          <w:sz w:val="17"/>
        </w:rPr>
        <w:t>8</w:t>
      </w:r>
      <w:r>
        <w:rPr>
          <w:spacing w:val="10"/>
          <w:sz w:val="17"/>
        </w:rPr>
        <w:t> </w:t>
      </w:r>
      <w:r>
        <w:rPr>
          <w:sz w:val="17"/>
        </w:rPr>
        <w:t>2</w:t>
        <w:tab/>
        <w:t>8</w:t>
      </w:r>
      <w:r>
        <w:rPr>
          <w:spacing w:val="11"/>
          <w:sz w:val="17"/>
        </w:rPr>
        <w:t> </w:t>
      </w:r>
      <w:r>
        <w:rPr>
          <w:sz w:val="17"/>
        </w:rPr>
        <w:t>4</w:t>
        <w:tab/>
        <w:t>8</w:t>
      </w:r>
      <w:r>
        <w:rPr>
          <w:spacing w:val="10"/>
          <w:sz w:val="17"/>
        </w:rPr>
        <w:t> </w:t>
      </w:r>
      <w:r>
        <w:rPr>
          <w:sz w:val="17"/>
        </w:rPr>
        <w:t>6</w:t>
        <w:tab/>
        <w:t>8</w:t>
      </w:r>
      <w:r>
        <w:rPr>
          <w:spacing w:val="11"/>
          <w:sz w:val="17"/>
        </w:rPr>
        <w:t> </w:t>
      </w:r>
      <w:r>
        <w:rPr>
          <w:sz w:val="17"/>
        </w:rPr>
        <w:t>8</w:t>
        <w:tab/>
        <w:t>9</w:t>
      </w:r>
      <w:r>
        <w:rPr>
          <w:spacing w:val="10"/>
          <w:sz w:val="17"/>
        </w:rPr>
        <w:t> </w:t>
      </w:r>
      <w:r>
        <w:rPr>
          <w:sz w:val="17"/>
        </w:rPr>
        <w:t>0</w:t>
        <w:tab/>
        <w:t>9</w:t>
      </w:r>
      <w:r>
        <w:rPr>
          <w:spacing w:val="11"/>
          <w:sz w:val="17"/>
        </w:rPr>
        <w:t> </w:t>
      </w:r>
      <w:r>
        <w:rPr>
          <w:sz w:val="17"/>
        </w:rPr>
        <w:t>2</w:t>
        <w:tab/>
        <w:t>9</w:t>
      </w:r>
      <w:r>
        <w:rPr>
          <w:spacing w:val="11"/>
          <w:sz w:val="17"/>
        </w:rPr>
        <w:t> </w:t>
      </w:r>
      <w:r>
        <w:rPr>
          <w:sz w:val="17"/>
        </w:rPr>
        <w:t>4</w:t>
        <w:tab/>
        <w:t>9</w:t>
      </w:r>
      <w:r>
        <w:rPr>
          <w:spacing w:val="10"/>
          <w:sz w:val="17"/>
        </w:rPr>
        <w:t> </w:t>
      </w:r>
      <w:r>
        <w:rPr>
          <w:sz w:val="17"/>
        </w:rPr>
        <w:t>6</w:t>
        <w:tab/>
        <w:t>9</w:t>
      </w:r>
      <w:r>
        <w:rPr>
          <w:spacing w:val="11"/>
          <w:sz w:val="17"/>
        </w:rPr>
        <w:t> </w:t>
      </w:r>
      <w:r>
        <w:rPr>
          <w:sz w:val="17"/>
        </w:rPr>
        <w:t>8</w:t>
        <w:tab/>
        <w:t>0</w:t>
      </w:r>
      <w:r>
        <w:rPr>
          <w:spacing w:val="10"/>
          <w:sz w:val="17"/>
        </w:rPr>
        <w:t> </w:t>
      </w:r>
      <w:r>
        <w:rPr>
          <w:sz w:val="17"/>
        </w:rPr>
        <w:t>0</w:t>
      </w:r>
    </w:p>
    <w:p>
      <w:pPr>
        <w:spacing w:after="0"/>
        <w:jc w:val="left"/>
        <w:rPr>
          <w:sz w:val="17"/>
        </w:rPr>
        <w:sectPr>
          <w:pgSz w:w="11900" w:h="16840"/>
          <w:pgMar w:header="0" w:footer="1237" w:top="1600" w:bottom="1420" w:left="1400" w:right="1400"/>
        </w:sectPr>
      </w:pPr>
    </w:p>
    <w:p>
      <w:pPr>
        <w:pStyle w:val="BodyText"/>
        <w:spacing w:before="10"/>
        <w:rPr>
          <w:sz w:val="20"/>
        </w:rPr>
      </w:pPr>
    </w:p>
    <w:p>
      <w:pPr>
        <w:spacing w:before="92"/>
        <w:ind w:left="231" w:right="0" w:firstLine="0"/>
        <w:jc w:val="left"/>
        <w:rPr>
          <w:sz w:val="22"/>
        </w:rPr>
      </w:pPr>
      <w:r>
        <w:rPr>
          <w:sz w:val="22"/>
        </w:rPr>
        <w:t>Source: </w:t>
      </w:r>
      <w:r>
        <w:rPr>
          <w:i/>
          <w:sz w:val="22"/>
        </w:rPr>
        <w:t>Inflation Report</w:t>
      </w:r>
      <w:r>
        <w:rPr>
          <w:sz w:val="22"/>
        </w:rPr>
        <w:t>, May 2001</w:t>
      </w:r>
    </w:p>
    <w:p>
      <w:pPr>
        <w:pStyle w:val="BodyText"/>
        <w:spacing w:before="10"/>
        <w:rPr>
          <w:sz w:val="20"/>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0"/>
        <w:gridCol w:w="2452"/>
        <w:gridCol w:w="2841"/>
      </w:tblGrid>
      <w:tr>
        <w:trPr>
          <w:trHeight w:val="412" w:hRule="atLeast"/>
        </w:trPr>
        <w:tc>
          <w:tcPr>
            <w:tcW w:w="8523" w:type="dxa"/>
            <w:gridSpan w:val="3"/>
            <w:tcBorders>
              <w:bottom w:val="single" w:sz="6" w:space="0" w:color="000000"/>
            </w:tcBorders>
          </w:tcPr>
          <w:p>
            <w:pPr>
              <w:pStyle w:val="TableParagraph"/>
              <w:spacing w:line="268" w:lineRule="exact"/>
              <w:ind w:left="2450" w:right="2443"/>
              <w:rPr>
                <w:sz w:val="24"/>
              </w:rPr>
            </w:pPr>
            <w:r>
              <w:rPr>
                <w:sz w:val="24"/>
              </w:rPr>
              <w:t>Table 2: The Lawson boom vs. today</w:t>
            </w:r>
          </w:p>
        </w:tc>
      </w:tr>
      <w:tr>
        <w:trPr>
          <w:trHeight w:val="277" w:hRule="atLeast"/>
        </w:trPr>
        <w:tc>
          <w:tcPr>
            <w:tcW w:w="3230" w:type="dxa"/>
            <w:tcBorders>
              <w:top w:val="single" w:sz="6" w:space="0" w:color="000000"/>
              <w:bottom w:val="single" w:sz="6" w:space="0" w:color="000000"/>
              <w:right w:val="single" w:sz="6" w:space="0" w:color="000000"/>
            </w:tcBorders>
          </w:tcPr>
          <w:p>
            <w:pPr>
              <w:pStyle w:val="TableParagraph"/>
              <w:spacing w:line="240" w:lineRule="auto"/>
              <w:ind w:left="0"/>
              <w:jc w:val="left"/>
              <w:rPr>
                <w:sz w:val="20"/>
              </w:rPr>
            </w:pPr>
          </w:p>
        </w:tc>
        <w:tc>
          <w:tcPr>
            <w:tcW w:w="5293" w:type="dxa"/>
            <w:gridSpan w:val="2"/>
            <w:tcBorders>
              <w:top w:val="single" w:sz="6" w:space="0" w:color="000000"/>
              <w:left w:val="single" w:sz="6" w:space="0" w:color="000000"/>
              <w:bottom w:val="single" w:sz="6" w:space="0" w:color="000000"/>
            </w:tcBorders>
          </w:tcPr>
          <w:p>
            <w:pPr>
              <w:pStyle w:val="TableParagraph"/>
              <w:spacing w:line="258" w:lineRule="exact"/>
              <w:ind w:left="1610"/>
              <w:jc w:val="left"/>
              <w:rPr>
                <w:b/>
                <w:sz w:val="24"/>
              </w:rPr>
            </w:pPr>
            <w:r>
              <w:rPr>
                <w:sz w:val="24"/>
              </w:rPr>
              <w:t>Average per year for</w:t>
            </w:r>
            <w:r>
              <w:rPr>
                <w:b/>
                <w:sz w:val="24"/>
              </w:rPr>
              <w:t>:</w:t>
            </w:r>
          </w:p>
        </w:tc>
      </w:tr>
      <w:tr>
        <w:trPr>
          <w:trHeight w:val="272" w:hRule="atLeast"/>
        </w:trPr>
        <w:tc>
          <w:tcPr>
            <w:tcW w:w="3230" w:type="dxa"/>
            <w:tcBorders>
              <w:top w:val="single" w:sz="6" w:space="0" w:color="000000"/>
              <w:bottom w:val="single" w:sz="6" w:space="0" w:color="000000"/>
              <w:right w:val="single" w:sz="6" w:space="0" w:color="000000"/>
            </w:tcBorders>
          </w:tcPr>
          <w:p>
            <w:pPr>
              <w:pStyle w:val="TableParagraph"/>
              <w:spacing w:line="240" w:lineRule="auto"/>
              <w:ind w:left="0"/>
              <w:jc w:val="left"/>
              <w:rPr>
                <w:sz w:val="20"/>
              </w:rPr>
            </w:pPr>
          </w:p>
        </w:tc>
        <w:tc>
          <w:tcPr>
            <w:tcW w:w="2452" w:type="dxa"/>
            <w:tcBorders>
              <w:top w:val="single" w:sz="6" w:space="0" w:color="000000"/>
              <w:left w:val="single" w:sz="6" w:space="0" w:color="000000"/>
              <w:bottom w:val="single" w:sz="6" w:space="0" w:color="000000"/>
              <w:right w:val="single" w:sz="6" w:space="0" w:color="000000"/>
            </w:tcBorders>
          </w:tcPr>
          <w:p>
            <w:pPr>
              <w:pStyle w:val="TableParagraph"/>
              <w:ind w:right="656"/>
              <w:rPr>
                <w:sz w:val="24"/>
              </w:rPr>
            </w:pPr>
            <w:r>
              <w:rPr>
                <w:sz w:val="24"/>
              </w:rPr>
              <w:t>1986–1989</w:t>
            </w:r>
          </w:p>
        </w:tc>
        <w:tc>
          <w:tcPr>
            <w:tcW w:w="2841" w:type="dxa"/>
            <w:tcBorders>
              <w:top w:val="single" w:sz="6" w:space="0" w:color="000000"/>
              <w:left w:val="single" w:sz="6" w:space="0" w:color="000000"/>
              <w:bottom w:val="single" w:sz="6" w:space="0" w:color="000000"/>
            </w:tcBorders>
          </w:tcPr>
          <w:p>
            <w:pPr>
              <w:pStyle w:val="TableParagraph"/>
              <w:ind w:left="881"/>
              <w:jc w:val="left"/>
              <w:rPr>
                <w:sz w:val="24"/>
              </w:rPr>
            </w:pPr>
            <w:r>
              <w:rPr>
                <w:sz w:val="24"/>
              </w:rPr>
              <w:t>1997–2001</w:t>
            </w:r>
          </w:p>
        </w:tc>
      </w:tr>
      <w:tr>
        <w:trPr>
          <w:trHeight w:val="277" w:hRule="atLeast"/>
        </w:trPr>
        <w:tc>
          <w:tcPr>
            <w:tcW w:w="3230" w:type="dxa"/>
            <w:tcBorders>
              <w:top w:val="single" w:sz="6" w:space="0" w:color="000000"/>
              <w:bottom w:val="single" w:sz="6" w:space="0" w:color="000000"/>
              <w:right w:val="single" w:sz="6" w:space="0" w:color="000000"/>
            </w:tcBorders>
          </w:tcPr>
          <w:p>
            <w:pPr>
              <w:pStyle w:val="TableParagraph"/>
              <w:spacing w:line="258" w:lineRule="exact"/>
              <w:ind w:left="328" w:right="321"/>
              <w:rPr>
                <w:sz w:val="24"/>
              </w:rPr>
            </w:pPr>
            <w:r>
              <w:rPr>
                <w:sz w:val="24"/>
              </w:rPr>
              <w:t>Real GDP growth</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522"/>
              <w:rPr>
                <w:sz w:val="24"/>
              </w:rPr>
            </w:pPr>
            <w:r>
              <w:rPr>
                <w:sz w:val="24"/>
              </w:rPr>
              <w:t>3.8</w:t>
            </w:r>
          </w:p>
        </w:tc>
        <w:tc>
          <w:tcPr>
            <w:tcW w:w="2841" w:type="dxa"/>
            <w:tcBorders>
              <w:top w:val="single" w:sz="6" w:space="0" w:color="000000"/>
              <w:left w:val="single" w:sz="6" w:space="0" w:color="000000"/>
              <w:bottom w:val="single" w:sz="6" w:space="0" w:color="000000"/>
            </w:tcBorders>
          </w:tcPr>
          <w:p>
            <w:pPr>
              <w:pStyle w:val="TableParagraph"/>
              <w:spacing w:line="258" w:lineRule="exact"/>
              <w:ind w:left="1145" w:right="955"/>
              <w:rPr>
                <w:sz w:val="24"/>
              </w:rPr>
            </w:pPr>
            <w:r>
              <w:rPr>
                <w:sz w:val="24"/>
              </w:rPr>
              <w:t>2.7</w:t>
            </w:r>
            <w:r>
              <w:rPr>
                <w:sz w:val="24"/>
                <w:vertAlign w:val="superscript"/>
              </w:rPr>
              <w:t>1</w:t>
            </w:r>
          </w:p>
        </w:tc>
      </w:tr>
      <w:tr>
        <w:trPr>
          <w:trHeight w:val="273" w:hRule="atLeast"/>
        </w:trPr>
        <w:tc>
          <w:tcPr>
            <w:tcW w:w="3230" w:type="dxa"/>
            <w:tcBorders>
              <w:top w:val="single" w:sz="6" w:space="0" w:color="000000"/>
              <w:bottom w:val="single" w:sz="6" w:space="0" w:color="000000"/>
              <w:right w:val="single" w:sz="6" w:space="0" w:color="000000"/>
            </w:tcBorders>
          </w:tcPr>
          <w:p>
            <w:pPr>
              <w:pStyle w:val="TableParagraph"/>
              <w:ind w:left="319" w:right="321"/>
              <w:rPr>
                <w:sz w:val="24"/>
              </w:rPr>
            </w:pPr>
            <w:r>
              <w:rPr>
                <w:sz w:val="24"/>
              </w:rPr>
              <w:t>Consumption growth</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ind w:right="522"/>
              <w:rPr>
                <w:sz w:val="24"/>
              </w:rPr>
            </w:pPr>
            <w:r>
              <w:rPr>
                <w:sz w:val="24"/>
              </w:rPr>
              <w:t>5.3</w:t>
            </w:r>
          </w:p>
        </w:tc>
        <w:tc>
          <w:tcPr>
            <w:tcW w:w="2841" w:type="dxa"/>
            <w:tcBorders>
              <w:top w:val="single" w:sz="6" w:space="0" w:color="000000"/>
              <w:left w:val="single" w:sz="6" w:space="0" w:color="000000"/>
              <w:bottom w:val="single" w:sz="6" w:space="0" w:color="000000"/>
            </w:tcBorders>
          </w:tcPr>
          <w:p>
            <w:pPr>
              <w:pStyle w:val="TableParagraph"/>
              <w:ind w:left="1145" w:right="955"/>
              <w:rPr>
                <w:sz w:val="24"/>
              </w:rPr>
            </w:pPr>
            <w:r>
              <w:rPr>
                <w:sz w:val="24"/>
              </w:rPr>
              <w:t>3.9</w:t>
            </w:r>
            <w:r>
              <w:rPr>
                <w:sz w:val="24"/>
                <w:vertAlign w:val="superscript"/>
              </w:rPr>
              <w:t>1</w:t>
            </w:r>
          </w:p>
        </w:tc>
      </w:tr>
      <w:tr>
        <w:trPr>
          <w:trHeight w:val="556" w:hRule="atLeast"/>
        </w:trPr>
        <w:tc>
          <w:tcPr>
            <w:tcW w:w="3230" w:type="dxa"/>
            <w:tcBorders>
              <w:top w:val="single" w:sz="6" w:space="0" w:color="000000"/>
              <w:bottom w:val="single" w:sz="6" w:space="0" w:color="000000"/>
              <w:right w:val="single" w:sz="6" w:space="0" w:color="000000"/>
            </w:tcBorders>
          </w:tcPr>
          <w:p>
            <w:pPr>
              <w:pStyle w:val="TableParagraph"/>
              <w:spacing w:line="271" w:lineRule="exact"/>
              <w:ind w:left="328" w:right="321"/>
              <w:rPr>
                <w:sz w:val="24"/>
              </w:rPr>
            </w:pPr>
            <w:r>
              <w:rPr>
                <w:sz w:val="24"/>
              </w:rPr>
              <w:t>Current account balance,</w:t>
            </w:r>
          </w:p>
          <w:p>
            <w:pPr>
              <w:pStyle w:val="TableParagraph"/>
              <w:spacing w:line="265" w:lineRule="exact"/>
              <w:ind w:left="329" w:right="308"/>
              <w:rPr>
                <w:sz w:val="24"/>
              </w:rPr>
            </w:pPr>
            <w:r>
              <w:rPr>
                <w:sz w:val="24"/>
              </w:rPr>
              <w:t>% of GDP</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647"/>
              <w:rPr>
                <w:sz w:val="24"/>
              </w:rPr>
            </w:pPr>
            <w:r>
              <w:rPr>
                <w:rFonts w:ascii="Symbol" w:hAnsi="Symbol"/>
                <w:sz w:val="24"/>
              </w:rPr>
              <w:t></w:t>
            </w:r>
            <w:r>
              <w:rPr>
                <w:sz w:val="24"/>
              </w:rPr>
              <w:t>2.5</w:t>
            </w:r>
          </w:p>
        </w:tc>
        <w:tc>
          <w:tcPr>
            <w:tcW w:w="2841" w:type="dxa"/>
            <w:tcBorders>
              <w:top w:val="single" w:sz="6" w:space="0" w:color="000000"/>
              <w:left w:val="single" w:sz="6" w:space="0" w:color="000000"/>
              <w:bottom w:val="single" w:sz="6" w:space="0" w:color="000000"/>
            </w:tcBorders>
          </w:tcPr>
          <w:p>
            <w:pPr>
              <w:pStyle w:val="TableParagraph"/>
              <w:spacing w:line="292" w:lineRule="exact"/>
              <w:ind w:left="1122" w:right="1110"/>
              <w:rPr>
                <w:sz w:val="24"/>
              </w:rPr>
            </w:pPr>
            <w:r>
              <w:rPr>
                <w:rFonts w:ascii="Symbol" w:hAnsi="Symbol"/>
                <w:sz w:val="24"/>
              </w:rPr>
              <w:t></w:t>
            </w:r>
            <w:r>
              <w:rPr>
                <w:sz w:val="24"/>
              </w:rPr>
              <w:t>0.5</w:t>
            </w:r>
            <w:r>
              <w:rPr>
                <w:sz w:val="24"/>
                <w:vertAlign w:val="superscript"/>
              </w:rPr>
              <w:t>2</w:t>
            </w:r>
          </w:p>
        </w:tc>
      </w:tr>
      <w:tr>
        <w:trPr>
          <w:trHeight w:val="551" w:hRule="atLeast"/>
        </w:trPr>
        <w:tc>
          <w:tcPr>
            <w:tcW w:w="3230" w:type="dxa"/>
            <w:tcBorders>
              <w:top w:val="single" w:sz="6" w:space="0" w:color="000000"/>
              <w:bottom w:val="single" w:sz="6" w:space="0" w:color="000000"/>
              <w:right w:val="single" w:sz="6" w:space="0" w:color="000000"/>
            </w:tcBorders>
          </w:tcPr>
          <w:p>
            <w:pPr>
              <w:pStyle w:val="TableParagraph"/>
              <w:spacing w:line="268" w:lineRule="exact"/>
              <w:ind w:left="329" w:right="321"/>
              <w:rPr>
                <w:sz w:val="24"/>
              </w:rPr>
            </w:pPr>
            <w:r>
              <w:rPr>
                <w:sz w:val="24"/>
              </w:rPr>
              <w:t>Change in current account</w:t>
            </w:r>
          </w:p>
          <w:p>
            <w:pPr>
              <w:pStyle w:val="TableParagraph"/>
              <w:spacing w:line="261" w:lineRule="exact" w:before="2"/>
              <w:ind w:left="329" w:right="301"/>
              <w:rPr>
                <w:sz w:val="24"/>
              </w:rPr>
            </w:pPr>
            <w:r>
              <w:rPr>
                <w:sz w:val="24"/>
              </w:rPr>
              <w:t>over period</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647"/>
              <w:rPr>
                <w:sz w:val="24"/>
              </w:rPr>
            </w:pPr>
            <w:r>
              <w:rPr>
                <w:rFonts w:ascii="Symbol" w:hAnsi="Symbol"/>
                <w:sz w:val="24"/>
              </w:rPr>
              <w:t></w:t>
            </w:r>
            <w:r>
              <w:rPr>
                <w:sz w:val="24"/>
              </w:rPr>
              <w:t>3.8</w:t>
            </w:r>
          </w:p>
        </w:tc>
        <w:tc>
          <w:tcPr>
            <w:tcW w:w="2841" w:type="dxa"/>
            <w:tcBorders>
              <w:top w:val="single" w:sz="6" w:space="0" w:color="000000"/>
              <w:left w:val="single" w:sz="6" w:space="0" w:color="000000"/>
              <w:bottom w:val="single" w:sz="6" w:space="0" w:color="000000"/>
            </w:tcBorders>
          </w:tcPr>
          <w:p>
            <w:pPr>
              <w:pStyle w:val="TableParagraph"/>
              <w:spacing w:line="288" w:lineRule="exact"/>
              <w:ind w:left="1122" w:right="1110"/>
              <w:rPr>
                <w:sz w:val="24"/>
              </w:rPr>
            </w:pPr>
            <w:r>
              <w:rPr>
                <w:rFonts w:ascii="Symbol" w:hAnsi="Symbol"/>
                <w:sz w:val="24"/>
              </w:rPr>
              <w:t></w:t>
            </w:r>
            <w:r>
              <w:rPr>
                <w:sz w:val="24"/>
              </w:rPr>
              <w:t>2.3</w:t>
            </w:r>
            <w:r>
              <w:rPr>
                <w:sz w:val="24"/>
                <w:vertAlign w:val="superscript"/>
              </w:rPr>
              <w:t>3</w:t>
            </w:r>
          </w:p>
        </w:tc>
      </w:tr>
      <w:tr>
        <w:trPr>
          <w:trHeight w:val="272" w:hRule="atLeast"/>
        </w:trPr>
        <w:tc>
          <w:tcPr>
            <w:tcW w:w="3230" w:type="dxa"/>
            <w:tcBorders>
              <w:top w:val="single" w:sz="6" w:space="0" w:color="000000"/>
              <w:bottom w:val="single" w:sz="6" w:space="0" w:color="000000"/>
              <w:right w:val="single" w:sz="6" w:space="0" w:color="000000"/>
            </w:tcBorders>
          </w:tcPr>
          <w:p>
            <w:pPr>
              <w:pStyle w:val="TableParagraph"/>
              <w:ind w:left="329" w:right="314"/>
              <w:rPr>
                <w:sz w:val="24"/>
              </w:rPr>
            </w:pPr>
            <w:r>
              <w:rPr>
                <w:sz w:val="24"/>
              </w:rPr>
              <w:t>Savings ratio</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ind w:right="469"/>
              <w:rPr>
                <w:sz w:val="24"/>
              </w:rPr>
            </w:pPr>
            <w:r>
              <w:rPr>
                <w:sz w:val="24"/>
              </w:rPr>
              <w:t>5.6</w:t>
            </w:r>
          </w:p>
        </w:tc>
        <w:tc>
          <w:tcPr>
            <w:tcW w:w="2841" w:type="dxa"/>
            <w:tcBorders>
              <w:top w:val="single" w:sz="6" w:space="0" w:color="000000"/>
              <w:left w:val="single" w:sz="6" w:space="0" w:color="000000"/>
              <w:bottom w:val="single" w:sz="6" w:space="0" w:color="000000"/>
            </w:tcBorders>
          </w:tcPr>
          <w:p>
            <w:pPr>
              <w:pStyle w:val="TableParagraph"/>
              <w:ind w:left="1145" w:right="955"/>
              <w:rPr>
                <w:sz w:val="24"/>
              </w:rPr>
            </w:pPr>
            <w:r>
              <w:rPr>
                <w:sz w:val="24"/>
              </w:rPr>
              <w:t>6.0</w:t>
            </w:r>
            <w:r>
              <w:rPr>
                <w:sz w:val="24"/>
                <w:vertAlign w:val="superscript"/>
              </w:rPr>
              <w:t>4</w:t>
            </w:r>
          </w:p>
        </w:tc>
      </w:tr>
      <w:tr>
        <w:trPr>
          <w:trHeight w:val="551" w:hRule="atLeas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
              <w:ind w:left="1307" w:right="207" w:hanging="1066"/>
              <w:jc w:val="left"/>
              <w:rPr>
                <w:sz w:val="24"/>
              </w:rPr>
            </w:pPr>
            <w:r>
              <w:rPr>
                <w:sz w:val="24"/>
              </w:rPr>
              <w:t>Change in savings ratio over period</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647"/>
              <w:rPr>
                <w:sz w:val="24"/>
              </w:rPr>
            </w:pPr>
            <w:r>
              <w:rPr>
                <w:rFonts w:ascii="Symbol" w:hAnsi="Symbol"/>
                <w:sz w:val="24"/>
              </w:rPr>
              <w:t></w:t>
            </w:r>
            <w:r>
              <w:rPr>
                <w:sz w:val="24"/>
              </w:rPr>
              <w:t>3.5</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1123" w:right="1108"/>
              <w:rPr>
                <w:sz w:val="24"/>
              </w:rPr>
            </w:pPr>
            <w:r>
              <w:rPr>
                <w:rFonts w:ascii="Symbol" w:hAnsi="Symbol"/>
                <w:sz w:val="24"/>
              </w:rPr>
              <w:t></w:t>
            </w:r>
            <w:r>
              <w:rPr>
                <w:sz w:val="24"/>
              </w:rPr>
              <w:t>4.6</w:t>
            </w:r>
            <w:r>
              <w:rPr>
                <w:sz w:val="24"/>
                <w:vertAlign w:val="superscript"/>
              </w:rPr>
              <w:t>4</w:t>
            </w:r>
          </w:p>
        </w:tc>
      </w:tr>
      <w:tr>
        <w:trPr>
          <w:trHeight w:val="556" w:hRule="atLeas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26" w:right="322"/>
              <w:rPr>
                <w:sz w:val="24"/>
              </w:rPr>
            </w:pPr>
            <w:r>
              <w:rPr>
                <w:sz w:val="24"/>
              </w:rPr>
              <w:t>Current account balance,</w:t>
            </w:r>
          </w:p>
          <w:p>
            <w:pPr>
              <w:pStyle w:val="TableParagraph"/>
              <w:spacing w:line="265" w:lineRule="exact"/>
              <w:ind w:left="327" w:right="309"/>
              <w:rPr>
                <w:sz w:val="24"/>
              </w:rPr>
            </w:pPr>
            <w:r>
              <w:rPr>
                <w:sz w:val="24"/>
              </w:rPr>
              <w:t>% of GDP</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647"/>
              <w:rPr>
                <w:sz w:val="24"/>
              </w:rPr>
            </w:pPr>
            <w:r>
              <w:rPr>
                <w:rFonts w:ascii="Symbol" w:hAnsi="Symbol"/>
                <w:sz w:val="24"/>
              </w:rPr>
              <w:t></w:t>
            </w:r>
            <w:r>
              <w:rPr>
                <w:sz w:val="24"/>
              </w:rPr>
              <w:t>2.5</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1123" w:right="1108"/>
              <w:rPr>
                <w:sz w:val="24"/>
              </w:rPr>
            </w:pPr>
            <w:r>
              <w:rPr>
                <w:rFonts w:ascii="Symbol" w:hAnsi="Symbol"/>
                <w:sz w:val="24"/>
              </w:rPr>
              <w:t></w:t>
            </w:r>
            <w:r>
              <w:rPr>
                <w:sz w:val="24"/>
              </w:rPr>
              <w:t>0.5</w:t>
            </w:r>
            <w:r>
              <w:rPr>
                <w:sz w:val="24"/>
                <w:vertAlign w:val="superscript"/>
              </w:rPr>
              <w:t>2</w:t>
            </w:r>
          </w:p>
        </w:tc>
      </w:tr>
      <w:tr>
        <w:trPr>
          <w:trHeight w:val="551" w:hRule="atLeas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327" w:right="322"/>
              <w:rPr>
                <w:sz w:val="24"/>
              </w:rPr>
            </w:pPr>
            <w:r>
              <w:rPr>
                <w:sz w:val="24"/>
              </w:rPr>
              <w:t>Change in current account</w:t>
            </w:r>
          </w:p>
          <w:p>
            <w:pPr>
              <w:pStyle w:val="TableParagraph"/>
              <w:spacing w:line="265" w:lineRule="exact"/>
              <w:ind w:left="327" w:right="302"/>
              <w:rPr>
                <w:sz w:val="24"/>
              </w:rPr>
            </w:pPr>
            <w:r>
              <w:rPr>
                <w:sz w:val="24"/>
              </w:rPr>
              <w:t>over period</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647"/>
              <w:rPr>
                <w:sz w:val="24"/>
              </w:rPr>
            </w:pPr>
            <w:r>
              <w:rPr>
                <w:rFonts w:ascii="Symbol" w:hAnsi="Symbol"/>
                <w:sz w:val="24"/>
              </w:rPr>
              <w:t></w:t>
            </w:r>
            <w:r>
              <w:rPr>
                <w:sz w:val="24"/>
              </w:rPr>
              <w:t>3.8</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1123" w:right="1108"/>
              <w:rPr>
                <w:sz w:val="24"/>
              </w:rPr>
            </w:pPr>
            <w:r>
              <w:rPr>
                <w:rFonts w:ascii="Symbol" w:hAnsi="Symbol"/>
                <w:sz w:val="24"/>
              </w:rPr>
              <w:t></w:t>
            </w:r>
            <w:r>
              <w:rPr>
                <w:sz w:val="24"/>
              </w:rPr>
              <w:t>2.3</w:t>
            </w:r>
            <w:r>
              <w:rPr>
                <w:sz w:val="24"/>
                <w:vertAlign w:val="superscript"/>
              </w:rPr>
              <w:t>3</w:t>
            </w:r>
          </w:p>
        </w:tc>
      </w:tr>
      <w:tr>
        <w:trPr>
          <w:trHeight w:val="272" w:hRule="atLeast"/>
        </w:trPr>
        <w:tc>
          <w:tcPr>
            <w:tcW w:w="3230" w:type="dxa"/>
            <w:tcBorders>
              <w:top w:val="single" w:sz="6" w:space="0" w:color="000000"/>
              <w:left w:val="single" w:sz="6" w:space="0" w:color="000000"/>
              <w:bottom w:val="single" w:sz="6" w:space="0" w:color="000000"/>
              <w:right w:val="single" w:sz="6" w:space="0" w:color="000000"/>
            </w:tcBorders>
          </w:tcPr>
          <w:p>
            <w:pPr>
              <w:pStyle w:val="TableParagraph"/>
              <w:ind w:left="327" w:right="316"/>
              <w:rPr>
                <w:sz w:val="24"/>
              </w:rPr>
            </w:pPr>
            <w:r>
              <w:rPr>
                <w:sz w:val="24"/>
              </w:rPr>
              <w:t>Unemployment rate</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ind w:right="469"/>
              <w:rPr>
                <w:sz w:val="24"/>
              </w:rPr>
            </w:pPr>
            <w:r>
              <w:rPr>
                <w:sz w:val="24"/>
              </w:rPr>
              <w:t>9.6</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ind w:left="1145" w:right="953"/>
              <w:rPr>
                <w:sz w:val="24"/>
              </w:rPr>
            </w:pPr>
            <w:r>
              <w:rPr>
                <w:sz w:val="24"/>
              </w:rPr>
              <w:t>6.3</w:t>
            </w:r>
            <w:r>
              <w:rPr>
                <w:sz w:val="24"/>
                <w:vertAlign w:val="superscript"/>
              </w:rPr>
              <w:t>3</w:t>
            </w:r>
          </w:p>
        </w:tc>
      </w:tr>
      <w:tr>
        <w:trPr>
          <w:trHeight w:val="551" w:hRule="atLeas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
              <w:ind w:left="1067" w:right="131" w:hanging="903"/>
              <w:jc w:val="left"/>
              <w:rPr>
                <w:sz w:val="24"/>
              </w:rPr>
            </w:pPr>
            <w:r>
              <w:rPr>
                <w:sz w:val="24"/>
              </w:rPr>
              <w:t>Change in unemployment rate over period</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647"/>
              <w:rPr>
                <w:sz w:val="24"/>
              </w:rPr>
            </w:pPr>
            <w:r>
              <w:rPr>
                <w:rFonts w:ascii="Symbol" w:hAnsi="Symbol"/>
                <w:sz w:val="24"/>
              </w:rPr>
              <w:t></w:t>
            </w:r>
            <w:r>
              <w:rPr>
                <w:sz w:val="24"/>
              </w:rPr>
              <w:t>4.2</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1123" w:right="1108"/>
              <w:rPr>
                <w:sz w:val="24"/>
              </w:rPr>
            </w:pPr>
            <w:r>
              <w:rPr>
                <w:rFonts w:ascii="Symbol" w:hAnsi="Symbol"/>
                <w:sz w:val="24"/>
              </w:rPr>
              <w:t></w:t>
            </w:r>
            <w:r>
              <w:rPr>
                <w:sz w:val="24"/>
              </w:rPr>
              <w:t>2.7</w:t>
            </w:r>
            <w:r>
              <w:rPr>
                <w:sz w:val="24"/>
                <w:vertAlign w:val="superscript"/>
              </w:rPr>
              <w:t>3</w:t>
            </w:r>
          </w:p>
        </w:tc>
      </w:tr>
      <w:tr>
        <w:trPr>
          <w:trHeight w:val="277" w:hRule="atLeas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327" w:right="318"/>
              <w:rPr>
                <w:sz w:val="24"/>
              </w:rPr>
            </w:pPr>
            <w:r>
              <w:rPr>
                <w:sz w:val="24"/>
              </w:rPr>
              <w:t>RPIX inflation</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469"/>
              <w:rPr>
                <w:sz w:val="24"/>
              </w:rPr>
            </w:pPr>
            <w:r>
              <w:rPr>
                <w:sz w:val="24"/>
              </w:rPr>
              <w:t>4.6</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1145" w:right="953"/>
              <w:rPr>
                <w:sz w:val="24"/>
              </w:rPr>
            </w:pPr>
            <w:r>
              <w:rPr>
                <w:sz w:val="24"/>
              </w:rPr>
              <w:t>2.4</w:t>
            </w:r>
            <w:r>
              <w:rPr>
                <w:sz w:val="24"/>
                <w:vertAlign w:val="superscript"/>
              </w:rPr>
              <w:t>1</w:t>
            </w:r>
          </w:p>
        </w:tc>
      </w:tr>
      <w:tr>
        <w:trPr>
          <w:trHeight w:val="277" w:hRule="atLeas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324" w:right="322"/>
              <w:rPr>
                <w:sz w:val="24"/>
              </w:rPr>
            </w:pPr>
            <w:r>
              <w:rPr>
                <w:sz w:val="24"/>
              </w:rPr>
              <w:t>Nominal wage inflation</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469"/>
              <w:rPr>
                <w:sz w:val="24"/>
              </w:rPr>
            </w:pPr>
            <w:r>
              <w:rPr>
                <w:sz w:val="24"/>
              </w:rPr>
              <w:t>8.3</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1145" w:right="953"/>
              <w:rPr>
                <w:sz w:val="24"/>
              </w:rPr>
            </w:pPr>
            <w:r>
              <w:rPr>
                <w:sz w:val="24"/>
              </w:rPr>
              <w:t>4.6</w:t>
            </w:r>
            <w:r>
              <w:rPr>
                <w:sz w:val="24"/>
                <w:vertAlign w:val="superscript"/>
              </w:rPr>
              <w:t>1</w:t>
            </w:r>
          </w:p>
        </w:tc>
      </w:tr>
      <w:tr>
        <w:trPr>
          <w:trHeight w:val="551" w:hRule="atLeas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327" w:right="322"/>
              <w:rPr>
                <w:sz w:val="24"/>
              </w:rPr>
            </w:pPr>
            <w:r>
              <w:rPr>
                <w:sz w:val="24"/>
              </w:rPr>
              <w:t>House price inflation</w:t>
            </w:r>
          </w:p>
          <w:p>
            <w:pPr>
              <w:pStyle w:val="TableParagraph"/>
              <w:spacing w:line="261" w:lineRule="exact" w:before="2"/>
              <w:ind w:left="327" w:right="309"/>
              <w:rPr>
                <w:sz w:val="24"/>
              </w:rPr>
            </w:pPr>
            <w:r>
              <w:rPr>
                <w:sz w:val="24"/>
              </w:rPr>
              <w:t>(Halifax)</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464"/>
              <w:rPr>
                <w:sz w:val="24"/>
              </w:rPr>
            </w:pPr>
            <w:r>
              <w:rPr>
                <w:sz w:val="24"/>
              </w:rPr>
              <w:t>15.7</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145" w:right="953"/>
              <w:rPr>
                <w:sz w:val="24"/>
              </w:rPr>
            </w:pPr>
            <w:r>
              <w:rPr>
                <w:sz w:val="24"/>
              </w:rPr>
              <w:t>7.1</w:t>
            </w:r>
            <w:r>
              <w:rPr>
                <w:sz w:val="24"/>
                <w:vertAlign w:val="superscript"/>
              </w:rPr>
              <w:t>1</w:t>
            </w:r>
          </w:p>
        </w:tc>
      </w:tr>
      <w:tr>
        <w:trPr>
          <w:trHeight w:val="229" w:hRule="atLeast"/>
        </w:trPr>
        <w:tc>
          <w:tcPr>
            <w:tcW w:w="8523" w:type="dxa"/>
            <w:gridSpan w:val="3"/>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2"/>
              <w:jc w:val="left"/>
              <w:rPr>
                <w:sz w:val="20"/>
              </w:rPr>
            </w:pPr>
            <w:r>
              <w:rPr>
                <w:sz w:val="20"/>
              </w:rPr>
              <w:t>1. To 2001 Q2. 2. To 2001 Q1. 3. 1997–2000. 4. Includes 2001 OECD projection.</w:t>
            </w:r>
          </w:p>
        </w:tc>
      </w:tr>
    </w:tbl>
    <w:p>
      <w:pPr>
        <w:pStyle w:val="BodyText"/>
        <w:spacing w:before="2"/>
        <w:rPr>
          <w:sz w:val="35"/>
        </w:rPr>
      </w:pPr>
    </w:p>
    <w:p>
      <w:pPr>
        <w:pStyle w:val="BodyText"/>
        <w:spacing w:line="360" w:lineRule="auto"/>
        <w:ind w:left="231" w:right="230"/>
      </w:pPr>
      <w:r>
        <w:rPr/>
        <w:t>The downside risk for consumer demand is equally apparent. The savings rate is, as shown in Chart 8, historically low. In the late 1980s, low savings were followed by a major slowdown in consumer demand. The growth rate of private consumption fell from 7.5% in 1988 to minus 1.7% in 1991. I have argued that the situation is </w:t>
      </w:r>
      <w:r>
        <w:rPr>
          <w:i/>
        </w:rPr>
        <w:t>not </w:t>
      </w:r>
      <w:r>
        <w:rPr/>
        <w:t>like the late 1980s; but it is clear that a ‘correction’ of the imbalances— a reversion of saving behaviour towards a longer term norm— could involve a substantial slowdown in consumption spending, perhaps involving an excessive degree of slowdown and implying an undershoot of the inflation target unless corrected by policy action.</w:t>
      </w:r>
    </w:p>
    <w:p>
      <w:pPr>
        <w:pStyle w:val="BodyText"/>
        <w:spacing w:before="4"/>
        <w:rPr>
          <w:sz w:val="36"/>
        </w:rPr>
      </w:pPr>
    </w:p>
    <w:p>
      <w:pPr>
        <w:pStyle w:val="BodyText"/>
        <w:spacing w:line="360" w:lineRule="auto"/>
        <w:ind w:left="232" w:right="304"/>
      </w:pPr>
      <w:r>
        <w:rPr/>
        <w:t>Uncertainty is, of course, always a feature of the policy environment. A complicating factor, however, is that the two risks, of excessive consumption or consumer retrenchment, are not independent. If consumers have some ‘normal’ relationship</w:t>
      </w:r>
    </w:p>
    <w:p>
      <w:pPr>
        <w:spacing w:after="0" w:line="360" w:lineRule="auto"/>
        <w:sectPr>
          <w:pgSz w:w="11900" w:h="16840"/>
          <w:pgMar w:header="0" w:footer="1237" w:top="1600" w:bottom="1420" w:left="1400" w:right="1400"/>
        </w:sectPr>
      </w:pPr>
    </w:p>
    <w:p>
      <w:pPr>
        <w:pStyle w:val="BodyText"/>
        <w:spacing w:before="1"/>
        <w:rPr>
          <w:sz w:val="21"/>
        </w:rPr>
      </w:pPr>
    </w:p>
    <w:p>
      <w:pPr>
        <w:pStyle w:val="BodyText"/>
        <w:spacing w:line="360" w:lineRule="auto" w:before="90"/>
        <w:ind w:left="231" w:right="304"/>
      </w:pPr>
      <w:r>
        <w:rPr/>
        <w:t>between their assets and liabilities on the one hand and their flows of income and expenditure on the other, then a period of balance sheet deterioration (a build-up of debt or run-down of assets) is likely to be followed by retrenchment and the greater the deterioration, the greater the retrenchment subsequently. What this means is that abnormally high consumption in the short-term would increase the risk of abnormally low consumption subsequently.</w:t>
      </w:r>
    </w:p>
    <w:p>
      <w:pPr>
        <w:pStyle w:val="BodyText"/>
        <w:spacing w:before="1"/>
        <w:rPr>
          <w:sz w:val="36"/>
        </w:rPr>
      </w:pPr>
    </w:p>
    <w:p>
      <w:pPr>
        <w:pStyle w:val="BodyText"/>
        <w:spacing w:line="360" w:lineRule="auto"/>
        <w:ind w:left="231" w:right="252"/>
      </w:pPr>
      <w:r>
        <w:rPr/>
        <w:t>At present, consumer demand appears to be strong, but is expected to slow. A continuation of high spending carries the risk of a greater fall in demand later. This poses awkward questions of timing for interest rate policy.</w:t>
      </w:r>
    </w:p>
    <w:p>
      <w:pPr>
        <w:pStyle w:val="BodyText"/>
        <w:spacing w:before="5"/>
        <w:rPr>
          <w:sz w:val="36"/>
        </w:rPr>
      </w:pPr>
    </w:p>
    <w:p>
      <w:pPr>
        <w:pStyle w:val="Heading1"/>
        <w:numPr>
          <w:ilvl w:val="0"/>
          <w:numId w:val="2"/>
        </w:numPr>
        <w:tabs>
          <w:tab w:pos="475" w:val="left" w:leader="none"/>
        </w:tabs>
        <w:spacing w:line="240" w:lineRule="auto" w:before="0" w:after="0"/>
        <w:ind w:left="474" w:right="0" w:hanging="244"/>
        <w:jc w:val="left"/>
      </w:pPr>
      <w:r>
        <w:rPr/>
        <w:t>THE OVERALL</w:t>
      </w:r>
      <w:r>
        <w:rPr>
          <w:spacing w:val="4"/>
        </w:rPr>
        <w:t> </w:t>
      </w:r>
      <w:r>
        <w:rPr/>
        <w:t>PICTURE</w:t>
      </w:r>
    </w:p>
    <w:p>
      <w:pPr>
        <w:pStyle w:val="BodyText"/>
        <w:rPr>
          <w:b/>
          <w:sz w:val="26"/>
        </w:rPr>
      </w:pPr>
    </w:p>
    <w:p>
      <w:pPr>
        <w:pStyle w:val="BodyText"/>
        <w:spacing w:before="5"/>
        <w:rPr>
          <w:b/>
          <w:sz w:val="21"/>
        </w:rPr>
      </w:pPr>
    </w:p>
    <w:p>
      <w:pPr>
        <w:pStyle w:val="BodyText"/>
        <w:spacing w:line="360" w:lineRule="auto"/>
        <w:ind w:left="231" w:right="222"/>
      </w:pPr>
      <w:r>
        <w:rPr/>
        <w:t>My discussion so far has focussed </w:t>
      </w:r>
      <w:r>
        <w:rPr>
          <w:spacing w:val="2"/>
        </w:rPr>
        <w:t>on </w:t>
      </w:r>
      <w:r>
        <w:rPr/>
        <w:t>three rather different issues that bear </w:t>
      </w:r>
      <w:r>
        <w:rPr>
          <w:spacing w:val="2"/>
        </w:rPr>
        <w:t>on </w:t>
      </w:r>
      <w:r>
        <w:rPr/>
        <w:t>UK monetary policy at the moment— namely, the international impacts from the world economy, issues surrounding the exchange </w:t>
      </w:r>
      <w:r>
        <w:rPr>
          <w:spacing w:val="2"/>
        </w:rPr>
        <w:t>rate </w:t>
      </w:r>
      <w:r>
        <w:rPr/>
        <w:t>and the effects </w:t>
      </w:r>
      <w:r>
        <w:rPr>
          <w:spacing w:val="3"/>
        </w:rPr>
        <w:t>of </w:t>
      </w:r>
      <w:r>
        <w:rPr/>
        <w:t>a possible future fall in the sterling exchange rate, and the buoyancy </w:t>
      </w:r>
      <w:r>
        <w:rPr>
          <w:spacing w:val="2"/>
        </w:rPr>
        <w:t>of </w:t>
      </w:r>
      <w:r>
        <w:rPr/>
        <w:t>consumer demand in the face </w:t>
      </w:r>
      <w:r>
        <w:rPr>
          <w:spacing w:val="2"/>
        </w:rPr>
        <w:t>of </w:t>
      </w:r>
      <w:r>
        <w:rPr/>
        <w:t>the adverse developments in those parts </w:t>
      </w:r>
      <w:r>
        <w:rPr>
          <w:spacing w:val="2"/>
        </w:rPr>
        <w:t>of </w:t>
      </w:r>
      <w:r>
        <w:rPr/>
        <w:t>the economy most exposed </w:t>
      </w:r>
      <w:r>
        <w:rPr>
          <w:spacing w:val="2"/>
        </w:rPr>
        <w:t>to </w:t>
      </w:r>
      <w:r>
        <w:rPr/>
        <w:t>international shocks and the high exchange rate. Monetary policy needs </w:t>
      </w:r>
      <w:r>
        <w:rPr>
          <w:spacing w:val="3"/>
        </w:rPr>
        <w:t>to </w:t>
      </w:r>
      <w:r>
        <w:rPr/>
        <w:t>take all </w:t>
      </w:r>
      <w:r>
        <w:rPr>
          <w:spacing w:val="2"/>
        </w:rPr>
        <w:t>of </w:t>
      </w:r>
      <w:r>
        <w:rPr/>
        <w:t>them— as well as many </w:t>
      </w:r>
      <w:r>
        <w:rPr>
          <w:spacing w:val="4"/>
        </w:rPr>
        <w:t>other </w:t>
      </w:r>
      <w:r>
        <w:rPr/>
        <w:t>things— into account. I have purposely tried </w:t>
      </w:r>
      <w:r>
        <w:rPr>
          <w:spacing w:val="2"/>
        </w:rPr>
        <w:t>to </w:t>
      </w:r>
      <w:r>
        <w:rPr/>
        <w:t>separate the issues. Now it is time </w:t>
      </w:r>
      <w:r>
        <w:rPr>
          <w:spacing w:val="2"/>
        </w:rPr>
        <w:t>to </w:t>
      </w:r>
      <w:r>
        <w:rPr/>
        <w:t>put them together. Evidently, there are major uncertainties— but that is not is not a very helpful remark. I want </w:t>
      </w:r>
      <w:r>
        <w:rPr>
          <w:spacing w:val="2"/>
        </w:rPr>
        <w:t>to </w:t>
      </w:r>
      <w:r>
        <w:rPr/>
        <w:t>argue that there is some structure </w:t>
      </w:r>
      <w:r>
        <w:rPr>
          <w:spacing w:val="2"/>
        </w:rPr>
        <w:t>to </w:t>
      </w:r>
      <w:r>
        <w:rPr/>
        <w:t>the </w:t>
      </w:r>
      <w:r>
        <w:rPr>
          <w:spacing w:val="4"/>
        </w:rPr>
        <w:t>overall </w:t>
      </w:r>
      <w:r>
        <w:rPr/>
        <w:t>picture and it is possible </w:t>
      </w:r>
      <w:r>
        <w:rPr>
          <w:spacing w:val="3"/>
        </w:rPr>
        <w:t>to </w:t>
      </w:r>
      <w:r>
        <w:rPr/>
        <w:t>get a feel for what might go with what. The main reason for this is that policy is not passive in the face </w:t>
      </w:r>
      <w:r>
        <w:rPr>
          <w:spacing w:val="2"/>
        </w:rPr>
        <w:t>of </w:t>
      </w:r>
      <w:r>
        <w:rPr/>
        <w:t>the shocks that might eventuate, and so reaction functions are, </w:t>
      </w:r>
      <w:r>
        <w:rPr>
          <w:spacing w:val="2"/>
        </w:rPr>
        <w:t>to </w:t>
      </w:r>
      <w:r>
        <w:rPr/>
        <w:t>an extent,</w:t>
      </w:r>
      <w:r>
        <w:rPr>
          <w:spacing w:val="12"/>
        </w:rPr>
        <w:t> </w:t>
      </w:r>
      <w:r>
        <w:rPr/>
        <w:t>predictable.</w:t>
      </w:r>
    </w:p>
    <w:p>
      <w:pPr>
        <w:pStyle w:val="BodyText"/>
        <w:spacing w:before="4"/>
        <w:rPr>
          <w:sz w:val="36"/>
        </w:rPr>
      </w:pPr>
    </w:p>
    <w:p>
      <w:pPr>
        <w:pStyle w:val="BodyText"/>
        <w:spacing w:line="360" w:lineRule="auto"/>
        <w:ind w:left="232" w:right="177"/>
      </w:pPr>
      <w:r>
        <w:rPr/>
        <w:t>Let me illustrate this in the simplest possible case. In the August </w:t>
      </w:r>
      <w:r>
        <w:rPr>
          <w:i/>
        </w:rPr>
        <w:t>Inflation Report</w:t>
      </w:r>
      <w:r>
        <w:rPr/>
        <w:t>, the forecast for inflation is presented (as always) as a fan chart indicating the assessed probabilities of different outcomes. For the rate of inflation in the year to 2003 Quarter 3 the range of possibilities displayed is from 1% to 3.6% per annum— which is intended to indicate that there is a 90% probability that inflation at that horizon will be in that range.</w:t>
      </w:r>
    </w:p>
    <w:p>
      <w:pPr>
        <w:spacing w:after="0" w:line="360" w:lineRule="auto"/>
        <w:sectPr>
          <w:pgSz w:w="11900" w:h="16840"/>
          <w:pgMar w:header="0" w:footer="1237" w:top="1600" w:bottom="1420" w:left="1400" w:right="1400"/>
        </w:sectPr>
      </w:pPr>
    </w:p>
    <w:p>
      <w:pPr>
        <w:pStyle w:val="BodyText"/>
        <w:spacing w:before="1"/>
        <w:rPr>
          <w:sz w:val="21"/>
        </w:rPr>
      </w:pPr>
    </w:p>
    <w:p>
      <w:pPr>
        <w:pStyle w:val="BodyText"/>
        <w:spacing w:line="360" w:lineRule="auto" w:before="90"/>
        <w:ind w:left="231" w:right="220"/>
      </w:pPr>
      <w:r>
        <w:rPr/>
        <w:t>The most probable outcome is, however, close to the 2.5% target. All this is conditional on a particular assumption about interest rates— that they will remain at 5%. But what is the best expectation about inflation in Q3 2002? Clearly, if the MPC is doing its job, the best expectation is that it should be close to 2.5%. And, I am happy to say , there is now a lot of evidence that the expectations of the public about future inflation are in fact converging on 2.5%. There is, it is to be hoped, much less uncertainty about future inflation than is displayed in the fan chart, and that is because the likely reactions to shocks that would push inflation up or down would be for the MPC to move interest rates up or down to bring it back in line with the target. And, since meeting the inflation target implies that output should grow broadly in line with productive potential, expectations of growth should also be stabilised.</w:t>
      </w:r>
    </w:p>
    <w:p>
      <w:pPr>
        <w:pStyle w:val="BodyText"/>
        <w:rPr>
          <w:sz w:val="36"/>
        </w:rPr>
      </w:pPr>
    </w:p>
    <w:p>
      <w:pPr>
        <w:pStyle w:val="BodyText"/>
        <w:ind w:left="231"/>
      </w:pPr>
      <w:r>
        <w:rPr/>
        <w:t>Let me apply this line of reasoning to some of the uncertainties I have discussed.</w:t>
      </w:r>
    </w:p>
    <w:p>
      <w:pPr>
        <w:pStyle w:val="BodyText"/>
        <w:rPr>
          <w:sz w:val="26"/>
        </w:rPr>
      </w:pPr>
    </w:p>
    <w:p>
      <w:pPr>
        <w:pStyle w:val="BodyText"/>
        <w:spacing w:before="3"/>
        <w:rPr>
          <w:sz w:val="22"/>
        </w:rPr>
      </w:pPr>
    </w:p>
    <w:p>
      <w:pPr>
        <w:pStyle w:val="BodyText"/>
        <w:spacing w:line="360" w:lineRule="auto"/>
        <w:ind w:left="231" w:right="252"/>
      </w:pPr>
      <w:r>
        <w:rPr/>
        <w:t>I have already mentioned the importance </w:t>
      </w:r>
      <w:r>
        <w:rPr>
          <w:spacing w:val="2"/>
        </w:rPr>
        <w:t>of </w:t>
      </w:r>
      <w:r>
        <w:rPr/>
        <w:t>policy responses </w:t>
      </w:r>
      <w:r>
        <w:rPr>
          <w:spacing w:val="3"/>
        </w:rPr>
        <w:t>to </w:t>
      </w:r>
      <w:r>
        <w:rPr/>
        <w:t>the slowdown in the US and in the world economy. Although I have concentrated in this talk largely </w:t>
      </w:r>
      <w:r>
        <w:rPr>
          <w:spacing w:val="2"/>
        </w:rPr>
        <w:t>on </w:t>
      </w:r>
      <w:r>
        <w:rPr/>
        <w:t>the underlying situation as it existed around the time </w:t>
      </w:r>
      <w:r>
        <w:rPr>
          <w:spacing w:val="3"/>
        </w:rPr>
        <w:t>of </w:t>
      </w:r>
      <w:r>
        <w:rPr/>
        <w:t>the last </w:t>
      </w:r>
      <w:r>
        <w:rPr>
          <w:i/>
        </w:rPr>
        <w:t>Inflation Report</w:t>
      </w:r>
      <w:r>
        <w:rPr/>
        <w:t>, we are all aware </w:t>
      </w:r>
      <w:r>
        <w:rPr>
          <w:spacing w:val="2"/>
        </w:rPr>
        <w:t>of </w:t>
      </w:r>
      <w:r>
        <w:rPr/>
        <w:t>the appalling events </w:t>
      </w:r>
      <w:r>
        <w:rPr>
          <w:spacing w:val="2"/>
        </w:rPr>
        <w:t>of Tuesday </w:t>
      </w:r>
      <w:r>
        <w:rPr/>
        <w:t>last week and </w:t>
      </w:r>
      <w:r>
        <w:rPr>
          <w:spacing w:val="2"/>
        </w:rPr>
        <w:t>of </w:t>
      </w:r>
      <w:r>
        <w:rPr/>
        <w:t>the huge shock </w:t>
      </w:r>
      <w:r>
        <w:rPr>
          <w:spacing w:val="3"/>
        </w:rPr>
        <w:t>to </w:t>
      </w:r>
      <w:r>
        <w:rPr/>
        <w:t>confidence and expectations that is reverberating round the world economy. This serves </w:t>
      </w:r>
      <w:r>
        <w:rPr>
          <w:spacing w:val="3"/>
        </w:rPr>
        <w:t>to </w:t>
      </w:r>
      <w:r>
        <w:rPr/>
        <w:t>reinforce the point about policy responses and, whilst it is still far </w:t>
      </w:r>
      <w:r>
        <w:rPr>
          <w:spacing w:val="4"/>
        </w:rPr>
        <w:t>too </w:t>
      </w:r>
      <w:r>
        <w:rPr/>
        <w:t>early </w:t>
      </w:r>
      <w:r>
        <w:rPr>
          <w:spacing w:val="3"/>
        </w:rPr>
        <w:t>to </w:t>
      </w:r>
      <w:r>
        <w:rPr/>
        <w:t>make a balanced assessment, it is notable that interest </w:t>
      </w:r>
      <w:r>
        <w:rPr>
          <w:spacing w:val="2"/>
        </w:rPr>
        <w:t>rate </w:t>
      </w:r>
      <w:r>
        <w:rPr/>
        <w:t>declines are already priced into financial markets. The threat </w:t>
      </w:r>
      <w:r>
        <w:rPr>
          <w:spacing w:val="2"/>
        </w:rPr>
        <w:t>to </w:t>
      </w:r>
      <w:r>
        <w:rPr/>
        <w:t>US consumer confidence and </w:t>
      </w:r>
      <w:r>
        <w:rPr>
          <w:spacing w:val="2"/>
        </w:rPr>
        <w:t>to </w:t>
      </w:r>
      <w:r>
        <w:rPr/>
        <w:t>demand that was already present has been much intensified. The fact that policy can be expected </w:t>
      </w:r>
      <w:r>
        <w:rPr>
          <w:spacing w:val="3"/>
        </w:rPr>
        <w:t>to </w:t>
      </w:r>
      <w:r>
        <w:rPr/>
        <w:t>respond— in the US and</w:t>
      </w:r>
      <w:r>
        <w:rPr>
          <w:spacing w:val="-12"/>
        </w:rPr>
        <w:t> </w:t>
      </w:r>
      <w:r>
        <w:rPr/>
        <w:t>elsewhere—</w:t>
      </w:r>
      <w:r>
        <w:rPr>
          <w:spacing w:val="21"/>
        </w:rPr>
        <w:t> </w:t>
      </w:r>
      <w:r>
        <w:rPr/>
        <w:t>does</w:t>
      </w:r>
      <w:r>
        <w:rPr>
          <w:spacing w:val="-12"/>
        </w:rPr>
        <w:t> </w:t>
      </w:r>
      <w:r>
        <w:rPr/>
        <w:t>not</w:t>
      </w:r>
      <w:r>
        <w:rPr>
          <w:spacing w:val="-8"/>
        </w:rPr>
        <w:t> </w:t>
      </w:r>
      <w:r>
        <w:rPr>
          <w:spacing w:val="2"/>
        </w:rPr>
        <w:t>of</w:t>
      </w:r>
      <w:r>
        <w:rPr>
          <w:spacing w:val="-8"/>
        </w:rPr>
        <w:t> </w:t>
      </w:r>
      <w:r>
        <w:rPr/>
        <w:t>course</w:t>
      </w:r>
      <w:r>
        <w:rPr>
          <w:spacing w:val="-12"/>
        </w:rPr>
        <w:t> </w:t>
      </w:r>
      <w:r>
        <w:rPr/>
        <w:t>mean,</w:t>
      </w:r>
      <w:r>
        <w:rPr>
          <w:spacing w:val="-12"/>
        </w:rPr>
        <w:t> </w:t>
      </w:r>
      <w:r>
        <w:rPr/>
        <w:t>in</w:t>
      </w:r>
      <w:r>
        <w:rPr>
          <w:spacing w:val="-12"/>
        </w:rPr>
        <w:t> </w:t>
      </w:r>
      <w:r>
        <w:rPr/>
        <w:t>a</w:t>
      </w:r>
      <w:r>
        <w:rPr>
          <w:spacing w:val="-12"/>
        </w:rPr>
        <w:t> </w:t>
      </w:r>
      <w:r>
        <w:rPr/>
        <w:t>world</w:t>
      </w:r>
      <w:r>
        <w:rPr>
          <w:spacing w:val="-12"/>
        </w:rPr>
        <w:t> </w:t>
      </w:r>
      <w:r>
        <w:rPr>
          <w:spacing w:val="2"/>
        </w:rPr>
        <w:t>of</w:t>
      </w:r>
      <w:r>
        <w:rPr>
          <w:spacing w:val="-8"/>
        </w:rPr>
        <w:t> </w:t>
      </w:r>
      <w:r>
        <w:rPr/>
        <w:t>uncertainty</w:t>
      </w:r>
      <w:r>
        <w:rPr>
          <w:spacing w:val="-12"/>
        </w:rPr>
        <w:t> </w:t>
      </w:r>
      <w:r>
        <w:rPr/>
        <w:t>and</w:t>
      </w:r>
      <w:r>
        <w:rPr>
          <w:spacing w:val="-12"/>
        </w:rPr>
        <w:t> </w:t>
      </w:r>
      <w:r>
        <w:rPr/>
        <w:t>lagged</w:t>
      </w:r>
      <w:r>
        <w:rPr>
          <w:spacing w:val="-12"/>
        </w:rPr>
        <w:t> </w:t>
      </w:r>
      <w:r>
        <w:rPr/>
        <w:t>responses, that large shocks can be </w:t>
      </w:r>
      <w:r>
        <w:rPr>
          <w:spacing w:val="3"/>
        </w:rPr>
        <w:t>or </w:t>
      </w:r>
      <w:r>
        <w:rPr/>
        <w:t>will be completely</w:t>
      </w:r>
      <w:r>
        <w:rPr>
          <w:spacing w:val="28"/>
        </w:rPr>
        <w:t> </w:t>
      </w:r>
      <w:r>
        <w:rPr>
          <w:spacing w:val="3"/>
        </w:rPr>
        <w:t>offset.</w:t>
      </w:r>
    </w:p>
    <w:p>
      <w:pPr>
        <w:pStyle w:val="BodyText"/>
        <w:rPr>
          <w:sz w:val="31"/>
        </w:rPr>
      </w:pPr>
    </w:p>
    <w:p>
      <w:pPr>
        <w:pStyle w:val="BodyText"/>
        <w:spacing w:line="362" w:lineRule="auto"/>
        <w:ind w:left="231" w:right="252"/>
      </w:pPr>
      <w:r>
        <w:rPr/>
        <w:t>Turning to the UK, I will close with a few remarks about the exchange rate and about the consumer imbalances and their possible interaction.</w:t>
      </w:r>
    </w:p>
    <w:p>
      <w:pPr>
        <w:pStyle w:val="BodyText"/>
        <w:rPr>
          <w:sz w:val="31"/>
        </w:rPr>
      </w:pPr>
    </w:p>
    <w:p>
      <w:pPr>
        <w:pStyle w:val="BodyText"/>
        <w:spacing w:line="360" w:lineRule="auto" w:before="1"/>
        <w:ind w:left="231" w:right="304"/>
      </w:pPr>
      <w:r>
        <w:rPr/>
        <w:t>Consider first a substantial fall in the exchange rate (say a 10% fall as discussed earlier) which comes out of the blue— say because of a change of sentiment in the international</w:t>
      </w:r>
    </w:p>
    <w:p>
      <w:pPr>
        <w:spacing w:after="0" w:line="360" w:lineRule="auto"/>
        <w:sectPr>
          <w:pgSz w:w="11900" w:h="16840"/>
          <w:pgMar w:header="0" w:footer="1237" w:top="1600" w:bottom="1420" w:left="1400" w:right="1400"/>
        </w:sectPr>
      </w:pPr>
    </w:p>
    <w:p>
      <w:pPr>
        <w:pStyle w:val="BodyText"/>
        <w:spacing w:before="1"/>
        <w:rPr>
          <w:sz w:val="21"/>
        </w:rPr>
      </w:pPr>
    </w:p>
    <w:p>
      <w:pPr>
        <w:pStyle w:val="BodyText"/>
        <w:spacing w:line="360" w:lineRule="auto" w:before="90"/>
        <w:ind w:left="231" w:right="271"/>
      </w:pPr>
      <w:r>
        <w:rPr/>
        <w:t>economy. To make the </w:t>
      </w:r>
      <w:r>
        <w:rPr>
          <w:spacing w:val="4"/>
        </w:rPr>
        <w:t>obvious </w:t>
      </w:r>
      <w:r>
        <w:rPr/>
        <w:t>point, the monetary policy reaction that can be anticipated depends </w:t>
      </w:r>
      <w:r>
        <w:rPr>
          <w:spacing w:val="2"/>
        </w:rPr>
        <w:t>on </w:t>
      </w:r>
      <w:r>
        <w:rPr/>
        <w:t>the circumstances when it </w:t>
      </w:r>
      <w:r>
        <w:rPr>
          <w:spacing w:val="4"/>
        </w:rPr>
        <w:t>occurs. </w:t>
      </w:r>
      <w:r>
        <w:rPr/>
        <w:t>If it </w:t>
      </w:r>
      <w:r>
        <w:rPr>
          <w:spacing w:val="4"/>
        </w:rPr>
        <w:t>occurred </w:t>
      </w:r>
      <w:r>
        <w:rPr/>
        <w:t>in a situation where demand was already high (and expected </w:t>
      </w:r>
      <w:r>
        <w:rPr>
          <w:spacing w:val="3"/>
        </w:rPr>
        <w:t>to </w:t>
      </w:r>
      <w:r>
        <w:rPr/>
        <w:t>remain so) and the labour market was tight,</w:t>
      </w:r>
      <w:r>
        <w:rPr>
          <w:spacing w:val="-9"/>
        </w:rPr>
        <w:t> </w:t>
      </w:r>
      <w:r>
        <w:rPr/>
        <w:t>then</w:t>
      </w:r>
      <w:r>
        <w:rPr>
          <w:spacing w:val="-11"/>
        </w:rPr>
        <w:t> </w:t>
      </w:r>
      <w:r>
        <w:rPr/>
        <w:t>everything</w:t>
      </w:r>
      <w:r>
        <w:rPr>
          <w:spacing w:val="-12"/>
        </w:rPr>
        <w:t> </w:t>
      </w:r>
      <w:r>
        <w:rPr/>
        <w:t>would</w:t>
      </w:r>
      <w:r>
        <w:rPr>
          <w:spacing w:val="-12"/>
        </w:rPr>
        <w:t> </w:t>
      </w:r>
      <w:r>
        <w:rPr/>
        <w:t>point</w:t>
      </w:r>
      <w:r>
        <w:rPr>
          <w:spacing w:val="-8"/>
        </w:rPr>
        <w:t> </w:t>
      </w:r>
      <w:r>
        <w:rPr>
          <w:spacing w:val="3"/>
        </w:rPr>
        <w:t>to</w:t>
      </w:r>
      <w:r>
        <w:rPr>
          <w:spacing w:val="-8"/>
        </w:rPr>
        <w:t> </w:t>
      </w:r>
      <w:r>
        <w:rPr/>
        <w:t>a</w:t>
      </w:r>
      <w:r>
        <w:rPr>
          <w:spacing w:val="-12"/>
        </w:rPr>
        <w:t> </w:t>
      </w:r>
      <w:r>
        <w:rPr/>
        <w:t>rise</w:t>
      </w:r>
      <w:r>
        <w:rPr>
          <w:spacing w:val="-11"/>
        </w:rPr>
        <w:t> </w:t>
      </w:r>
      <w:r>
        <w:rPr/>
        <w:t>in</w:t>
      </w:r>
      <w:r>
        <w:rPr>
          <w:spacing w:val="-12"/>
        </w:rPr>
        <w:t> </w:t>
      </w:r>
      <w:r>
        <w:rPr/>
        <w:t>interest</w:t>
      </w:r>
      <w:r>
        <w:rPr>
          <w:spacing w:val="-8"/>
        </w:rPr>
        <w:t> </w:t>
      </w:r>
      <w:r>
        <w:rPr/>
        <w:t>rates—</w:t>
      </w:r>
      <w:r>
        <w:rPr>
          <w:spacing w:val="20"/>
        </w:rPr>
        <w:t> </w:t>
      </w:r>
      <w:r>
        <w:rPr/>
        <w:t>which</w:t>
      </w:r>
      <w:r>
        <w:rPr>
          <w:spacing w:val="-11"/>
        </w:rPr>
        <w:t> </w:t>
      </w:r>
      <w:r>
        <w:rPr/>
        <w:t>would</w:t>
      </w:r>
      <w:r>
        <w:rPr>
          <w:spacing w:val="-11"/>
        </w:rPr>
        <w:t> </w:t>
      </w:r>
      <w:r>
        <w:rPr/>
        <w:t>be</w:t>
      </w:r>
      <w:r>
        <w:rPr>
          <w:spacing w:val="-11"/>
        </w:rPr>
        <w:t> </w:t>
      </w:r>
      <w:r>
        <w:rPr/>
        <w:t>necessary</w:t>
      </w:r>
      <w:r>
        <w:rPr>
          <w:spacing w:val="-10"/>
        </w:rPr>
        <w:t> </w:t>
      </w:r>
      <w:r>
        <w:rPr>
          <w:spacing w:val="3"/>
        </w:rPr>
        <w:t>to </w:t>
      </w:r>
      <w:r>
        <w:rPr/>
        <w:t>avoid excess demand and also </w:t>
      </w:r>
      <w:r>
        <w:rPr>
          <w:spacing w:val="3"/>
        </w:rPr>
        <w:t>to </w:t>
      </w:r>
      <w:r>
        <w:rPr/>
        <w:t>check the inflationary effects via import prices. My </w:t>
      </w:r>
      <w:r>
        <w:rPr>
          <w:spacing w:val="4"/>
        </w:rPr>
        <w:t>own </w:t>
      </w:r>
      <w:r>
        <w:rPr/>
        <w:t>view is that the likelihood </w:t>
      </w:r>
      <w:r>
        <w:rPr>
          <w:spacing w:val="3"/>
        </w:rPr>
        <w:t>of </w:t>
      </w:r>
      <w:r>
        <w:rPr/>
        <w:t>a substantial exchange </w:t>
      </w:r>
      <w:r>
        <w:rPr>
          <w:spacing w:val="2"/>
        </w:rPr>
        <w:t>rate </w:t>
      </w:r>
      <w:r>
        <w:rPr/>
        <w:t>fall in such circumstances would perhaps not be very great, in part due </w:t>
      </w:r>
      <w:r>
        <w:rPr>
          <w:spacing w:val="2"/>
        </w:rPr>
        <w:t>to </w:t>
      </w:r>
      <w:r>
        <w:rPr/>
        <w:t>the anticipation </w:t>
      </w:r>
      <w:r>
        <w:rPr>
          <w:spacing w:val="2"/>
        </w:rPr>
        <w:t>of </w:t>
      </w:r>
      <w:r>
        <w:rPr/>
        <w:t>the predictable interest rate response. If it were </w:t>
      </w:r>
      <w:r>
        <w:rPr>
          <w:spacing w:val="3"/>
        </w:rPr>
        <w:t>to </w:t>
      </w:r>
      <w:r>
        <w:rPr>
          <w:spacing w:val="4"/>
        </w:rPr>
        <w:t>occur, </w:t>
      </w:r>
      <w:r>
        <w:rPr/>
        <w:t>there are many, including myself, who would welcome the</w:t>
      </w:r>
      <w:r>
        <w:rPr>
          <w:spacing w:val="-12"/>
        </w:rPr>
        <w:t> </w:t>
      </w:r>
      <w:r>
        <w:rPr/>
        <w:t>trade-off</w:t>
      </w:r>
      <w:r>
        <w:rPr>
          <w:spacing w:val="-11"/>
        </w:rPr>
        <w:t> </w:t>
      </w:r>
      <w:r>
        <w:rPr/>
        <w:t>between</w:t>
      </w:r>
      <w:r>
        <w:rPr>
          <w:spacing w:val="-12"/>
        </w:rPr>
        <w:t> </w:t>
      </w:r>
      <w:r>
        <w:rPr/>
        <w:t>a</w:t>
      </w:r>
      <w:r>
        <w:rPr>
          <w:spacing w:val="-11"/>
        </w:rPr>
        <w:t> </w:t>
      </w:r>
      <w:r>
        <w:rPr/>
        <w:t>lower</w:t>
      </w:r>
      <w:r>
        <w:rPr>
          <w:spacing w:val="-12"/>
        </w:rPr>
        <w:t> </w:t>
      </w:r>
      <w:r>
        <w:rPr/>
        <w:t>exchange</w:t>
      </w:r>
      <w:r>
        <w:rPr>
          <w:spacing w:val="-11"/>
        </w:rPr>
        <w:t> </w:t>
      </w:r>
      <w:r>
        <w:rPr/>
        <w:t>rate—</w:t>
      </w:r>
      <w:r>
        <w:rPr>
          <w:spacing w:val="17"/>
        </w:rPr>
        <w:t> </w:t>
      </w:r>
      <w:r>
        <w:rPr/>
        <w:t>taking</w:t>
      </w:r>
      <w:r>
        <w:rPr>
          <w:spacing w:val="-12"/>
        </w:rPr>
        <w:t> </w:t>
      </w:r>
      <w:r>
        <w:rPr/>
        <w:t>some</w:t>
      </w:r>
      <w:r>
        <w:rPr>
          <w:spacing w:val="-12"/>
        </w:rPr>
        <w:t> </w:t>
      </w:r>
      <w:r>
        <w:rPr>
          <w:spacing w:val="2"/>
        </w:rPr>
        <w:t>of</w:t>
      </w:r>
      <w:r>
        <w:rPr>
          <w:spacing w:val="-9"/>
        </w:rPr>
        <w:t> </w:t>
      </w:r>
      <w:r>
        <w:rPr/>
        <w:t>the</w:t>
      </w:r>
      <w:r>
        <w:rPr>
          <w:spacing w:val="-12"/>
        </w:rPr>
        <w:t> </w:t>
      </w:r>
      <w:r>
        <w:rPr/>
        <w:t>pressure</w:t>
      </w:r>
      <w:r>
        <w:rPr>
          <w:spacing w:val="-12"/>
        </w:rPr>
        <w:t> </w:t>
      </w:r>
      <w:r>
        <w:rPr>
          <w:spacing w:val="3"/>
        </w:rPr>
        <w:t>off</w:t>
      </w:r>
      <w:r>
        <w:rPr>
          <w:spacing w:val="-9"/>
        </w:rPr>
        <w:t> </w:t>
      </w:r>
      <w:r>
        <w:rPr/>
        <w:t>the</w:t>
      </w:r>
      <w:r>
        <w:rPr>
          <w:spacing w:val="-12"/>
        </w:rPr>
        <w:t> </w:t>
      </w:r>
      <w:r>
        <w:rPr/>
        <w:t>exposed sectors </w:t>
      </w:r>
      <w:r>
        <w:rPr>
          <w:spacing w:val="2"/>
        </w:rPr>
        <w:t>of </w:t>
      </w:r>
      <w:r>
        <w:rPr/>
        <w:t>the economy— and higher interest</w:t>
      </w:r>
      <w:r>
        <w:rPr>
          <w:spacing w:val="-9"/>
        </w:rPr>
        <w:t> </w:t>
      </w:r>
      <w:r>
        <w:rPr/>
        <w:t>rates.</w:t>
      </w:r>
    </w:p>
    <w:p>
      <w:pPr>
        <w:pStyle w:val="BodyText"/>
        <w:spacing w:before="6"/>
        <w:rPr>
          <w:sz w:val="31"/>
        </w:rPr>
      </w:pPr>
    </w:p>
    <w:p>
      <w:pPr>
        <w:pStyle w:val="BodyText"/>
        <w:spacing w:line="360" w:lineRule="auto"/>
        <w:ind w:left="231" w:right="290"/>
      </w:pPr>
      <w:r>
        <w:rPr/>
        <w:t>In a situation of low demand and thus a tendency for inflation to undershoot the target, the same trade-off between exchange rate falls and higher interest rates (than otherwise) would exist, but the situation would appear more benign. Inflation expectations would be less likely to be disturbed, and it would be more likely that wage pressure would be avoided. Putting it simply, an exchange rate depreciation would, were it to occur, seem easier to manage with some spare capacity in the economy than at the top of a boom.</w:t>
      </w:r>
    </w:p>
    <w:p>
      <w:pPr>
        <w:pStyle w:val="BodyText"/>
        <w:spacing w:before="1"/>
        <w:rPr>
          <w:sz w:val="31"/>
        </w:rPr>
      </w:pPr>
    </w:p>
    <w:p>
      <w:pPr>
        <w:pStyle w:val="BodyText"/>
        <w:spacing w:line="360" w:lineRule="auto" w:before="1"/>
        <w:ind w:left="231" w:right="284"/>
      </w:pPr>
      <w:r>
        <w:rPr/>
        <w:t>The situation in the UK at the moment, however, is not straightforwardly one of either excess demand nor of deficient demand. Since the August </w:t>
      </w:r>
      <w:r>
        <w:rPr>
          <w:i/>
        </w:rPr>
        <w:t>Inflation Report</w:t>
      </w:r>
      <w:r>
        <w:rPr/>
        <w:t>, consumer spending appears to have been stronger than expected and the labour market has remained tight. There is the possibility that this situation continues or intensifies. The </w:t>
      </w:r>
      <w:r>
        <w:rPr>
          <w:i/>
        </w:rPr>
        <w:t>Inflation Report </w:t>
      </w:r>
      <w:r>
        <w:rPr/>
        <w:t>makes clear, however, that the main risk from the low saving rate and the consumer ‘imbalances’ identified by the Committee is on the downside. Indeed, there is the distinct possibility that the longer the consumer boom goes on, the greater will be the subsequent correction.</w:t>
      </w:r>
    </w:p>
    <w:p>
      <w:pPr>
        <w:pStyle w:val="BodyText"/>
        <w:spacing w:before="3"/>
        <w:rPr>
          <w:sz w:val="31"/>
        </w:rPr>
      </w:pPr>
    </w:p>
    <w:p>
      <w:pPr>
        <w:pStyle w:val="BodyText"/>
        <w:spacing w:line="360" w:lineRule="auto"/>
        <w:ind w:left="232" w:right="252"/>
      </w:pPr>
      <w:r>
        <w:rPr/>
        <w:t>Forecasting is a hazardous business. But let us suppose that the present strength of consumer demand were to give way to a considerably sharper slowdown than suggested in the central projection of the August </w:t>
      </w:r>
      <w:r>
        <w:rPr>
          <w:i/>
        </w:rPr>
        <w:t>Inflation Report</w:t>
      </w:r>
      <w:r>
        <w:rPr/>
        <w:t>. By itself, this would mean that interest rates would have to be cut to keep prospective inflation on target. If at the same time the exchange rate were to weaken substantially the need for further interest rate cuts</w:t>
      </w:r>
    </w:p>
    <w:p>
      <w:pPr>
        <w:spacing w:after="0" w:line="360" w:lineRule="auto"/>
        <w:sectPr>
          <w:pgSz w:w="11900" w:h="16840"/>
          <w:pgMar w:header="0" w:footer="1237" w:top="1600" w:bottom="1420" w:left="1400" w:right="1400"/>
        </w:sectPr>
      </w:pPr>
    </w:p>
    <w:p>
      <w:pPr>
        <w:pStyle w:val="BodyText"/>
        <w:spacing w:before="1"/>
        <w:rPr>
          <w:sz w:val="21"/>
        </w:rPr>
      </w:pPr>
    </w:p>
    <w:p>
      <w:pPr>
        <w:pStyle w:val="BodyText"/>
        <w:spacing w:line="360" w:lineRule="auto" w:before="90"/>
        <w:ind w:left="231" w:right="594"/>
        <w:jc w:val="both"/>
      </w:pPr>
      <w:r>
        <w:rPr/>
        <w:t>would be mitigated </w:t>
      </w:r>
      <w:r>
        <w:rPr>
          <w:spacing w:val="3"/>
        </w:rPr>
        <w:t>or </w:t>
      </w:r>
      <w:r>
        <w:rPr/>
        <w:t>reversed. From an economic point </w:t>
      </w:r>
      <w:r>
        <w:rPr>
          <w:spacing w:val="3"/>
        </w:rPr>
        <w:t>of </w:t>
      </w:r>
      <w:r>
        <w:rPr/>
        <w:t>view, this combination </w:t>
      </w:r>
      <w:r>
        <w:rPr>
          <w:spacing w:val="3"/>
        </w:rPr>
        <w:t>of </w:t>
      </w:r>
      <w:r>
        <w:rPr/>
        <w:t>events</w:t>
      </w:r>
      <w:r>
        <w:rPr>
          <w:spacing w:val="-12"/>
        </w:rPr>
        <w:t> </w:t>
      </w:r>
      <w:r>
        <w:rPr/>
        <w:t>would</w:t>
      </w:r>
      <w:r>
        <w:rPr>
          <w:spacing w:val="-11"/>
        </w:rPr>
        <w:t> </w:t>
      </w:r>
      <w:r>
        <w:rPr/>
        <w:t>look</w:t>
      </w:r>
      <w:r>
        <w:rPr>
          <w:spacing w:val="-12"/>
        </w:rPr>
        <w:t> </w:t>
      </w:r>
      <w:r>
        <w:rPr/>
        <w:t>particularly</w:t>
      </w:r>
      <w:r>
        <w:rPr>
          <w:spacing w:val="-11"/>
        </w:rPr>
        <w:t> </w:t>
      </w:r>
      <w:r>
        <w:rPr/>
        <w:t>favourable,</w:t>
      </w:r>
      <w:r>
        <w:rPr>
          <w:spacing w:val="-11"/>
        </w:rPr>
        <w:t> </w:t>
      </w:r>
      <w:r>
        <w:rPr>
          <w:spacing w:val="5"/>
        </w:rPr>
        <w:t>offering</w:t>
      </w:r>
      <w:r>
        <w:rPr>
          <w:spacing w:val="-8"/>
        </w:rPr>
        <w:t> </w:t>
      </w:r>
      <w:r>
        <w:rPr/>
        <w:t>simultaneously</w:t>
      </w:r>
      <w:r>
        <w:rPr>
          <w:spacing w:val="-12"/>
        </w:rPr>
        <w:t> </w:t>
      </w:r>
      <w:r>
        <w:rPr/>
        <w:t>an</w:t>
      </w:r>
      <w:r>
        <w:rPr>
          <w:spacing w:val="-11"/>
        </w:rPr>
        <w:t> </w:t>
      </w:r>
      <w:r>
        <w:rPr/>
        <w:t>improvement</w:t>
      </w:r>
      <w:r>
        <w:rPr>
          <w:spacing w:val="-8"/>
        </w:rPr>
        <w:t> </w:t>
      </w:r>
      <w:r>
        <w:rPr/>
        <w:t>in both consumer and external imbalance</w:t>
      </w:r>
      <w:r>
        <w:rPr>
          <w:spacing w:val="18"/>
        </w:rPr>
        <w:t> </w:t>
      </w:r>
      <w:r>
        <w:rPr/>
        <w:t>problems.</w:t>
      </w:r>
    </w:p>
    <w:p>
      <w:pPr>
        <w:pStyle w:val="BodyText"/>
        <w:spacing w:before="5"/>
        <w:rPr>
          <w:sz w:val="31"/>
        </w:rPr>
      </w:pPr>
    </w:p>
    <w:p>
      <w:pPr>
        <w:pStyle w:val="BodyText"/>
        <w:spacing w:line="360" w:lineRule="auto"/>
        <w:ind w:left="231" w:right="283"/>
      </w:pPr>
      <w:r>
        <w:rPr/>
        <w:t>I hope I have indicated some of the issues and risks that concern us in formulating monetary policy. There are worrying imbalances in the economy and the risks and uncertainties are very great. My theme, however, has been that these risks need to be considered alongside the likely policy reactions which are embodied in the monetary policy framework and the government’s target for inflation. Taking account of likely policy reactions does not remove the risks, but it does change them.  Thus a risk of a large fall in consumer demand is turned into a risk of lower interest rates. And the risk of a substantial exchange rate fall is not, over the medium term, to inflation but to higher interest rates. The combination of a tapering off of consumer spending and a fall in the exchange rate would, I have suggested, be rather benign, with offsetting effects on the prospects for inflation.</w:t>
      </w:r>
    </w:p>
    <w:p>
      <w:pPr>
        <w:pStyle w:val="BodyText"/>
        <w:rPr>
          <w:sz w:val="36"/>
        </w:rPr>
      </w:pPr>
    </w:p>
    <w:p>
      <w:pPr>
        <w:pStyle w:val="BodyText"/>
        <w:spacing w:line="360" w:lineRule="auto"/>
        <w:ind w:left="231" w:right="304"/>
      </w:pPr>
      <w:r>
        <w:rPr/>
        <w:t>None of this suggests that economic conditions will be easy over the next few years and we may, as others have suggested, be in for a bumpy ride.</w:t>
      </w:r>
    </w:p>
    <w:p>
      <w:pPr>
        <w:pStyle w:val="BodyText"/>
        <w:spacing w:before="6"/>
        <w:rPr>
          <w:sz w:val="36"/>
        </w:rPr>
      </w:pPr>
    </w:p>
    <w:p>
      <w:pPr>
        <w:pStyle w:val="Heading1"/>
      </w:pPr>
      <w:r>
        <w:rPr/>
        <w:t>References</w:t>
      </w:r>
    </w:p>
    <w:p>
      <w:pPr>
        <w:pStyle w:val="BodyText"/>
        <w:rPr>
          <w:b/>
          <w:sz w:val="26"/>
        </w:rPr>
      </w:pPr>
    </w:p>
    <w:p>
      <w:pPr>
        <w:pStyle w:val="BodyText"/>
        <w:spacing w:before="5"/>
        <w:rPr>
          <w:b/>
          <w:sz w:val="21"/>
        </w:rPr>
      </w:pPr>
    </w:p>
    <w:p>
      <w:pPr>
        <w:pStyle w:val="BodyText"/>
        <w:spacing w:line="360" w:lineRule="auto"/>
        <w:ind w:left="231" w:right="348"/>
      </w:pPr>
      <w:r>
        <w:rPr/>
        <w:t>King, M A (1997). ‘The Inflation Target Five Years On’. Speech to the London School of Economics, 29 October 1997, </w:t>
      </w:r>
      <w:r>
        <w:rPr>
          <w:i/>
        </w:rPr>
        <w:t>Bank of England Quarterly Bulletin </w:t>
      </w:r>
      <w:r>
        <w:rPr/>
        <w:t>(November) Vol. 37, pages 434–442.</w:t>
      </w:r>
    </w:p>
    <w:p>
      <w:pPr>
        <w:pStyle w:val="BodyText"/>
        <w:rPr>
          <w:sz w:val="36"/>
        </w:rPr>
      </w:pPr>
    </w:p>
    <w:p>
      <w:pPr>
        <w:spacing w:line="360" w:lineRule="auto" w:before="0"/>
        <w:ind w:left="232" w:right="252" w:firstLine="0"/>
        <w:jc w:val="left"/>
        <w:rPr>
          <w:sz w:val="24"/>
        </w:rPr>
      </w:pPr>
      <w:r>
        <w:rPr>
          <w:sz w:val="24"/>
        </w:rPr>
        <w:t>Meltzer, A H (1977). ‘Anticipated Inflation and Unanticipated Price Change’, </w:t>
      </w:r>
      <w:r>
        <w:rPr>
          <w:i/>
          <w:sz w:val="24"/>
        </w:rPr>
        <w:t>Journal of </w:t>
      </w:r>
      <w:r>
        <w:rPr>
          <w:i/>
          <w:sz w:val="24"/>
        </w:rPr>
        <w:t>Money, Credit, and Banking </w:t>
      </w:r>
      <w:r>
        <w:rPr>
          <w:sz w:val="24"/>
        </w:rPr>
        <w:t>Vol. 9, pages 182–205.</w:t>
      </w:r>
    </w:p>
    <w:sectPr>
      <w:pgSz w:w="11900" w:h="16840"/>
      <w:pgMar w:header="0" w:footer="1237" w:top="1600" w:bottom="1420" w:left="140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559998pt;margin-top:769.137573pt;width:16.1pt;height:13.2pt;mso-position-horizontal-relative:page;mso-position-vertical-relative:page;z-index:-252702720" type="#_x0000_t202" filled="false" stroked="false">
          <v:textbox inset="0,0,0,0">
            <w:txbxContent>
              <w:p>
                <w:pPr>
                  <w:spacing w:before="13"/>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592" w:hanging="360"/>
        <w:jc w:val="left"/>
      </w:pPr>
      <w:rPr>
        <w:rFonts w:hint="default" w:ascii="Times New Roman" w:hAnsi="Times New Roman" w:eastAsia="Times New Roman" w:cs="Times New Roman"/>
        <w:b/>
        <w:bCs/>
        <w:w w:val="99"/>
        <w:sz w:val="24"/>
        <w:szCs w:val="24"/>
      </w:rPr>
    </w:lvl>
    <w:lvl w:ilvl="1">
      <w:start w:val="0"/>
      <w:numFmt w:val="bullet"/>
      <w:lvlText w:val="•"/>
      <w:lvlJc w:val="left"/>
      <w:pPr>
        <w:ind w:left="1450" w:hanging="360"/>
      </w:pPr>
      <w:rPr>
        <w:rFonts w:hint="default"/>
      </w:rPr>
    </w:lvl>
    <w:lvl w:ilvl="2">
      <w:start w:val="0"/>
      <w:numFmt w:val="bullet"/>
      <w:lvlText w:val="•"/>
      <w:lvlJc w:val="left"/>
      <w:pPr>
        <w:ind w:left="2300" w:hanging="360"/>
      </w:pPr>
      <w:rPr>
        <w:rFonts w:hint="default"/>
      </w:rPr>
    </w:lvl>
    <w:lvl w:ilvl="3">
      <w:start w:val="0"/>
      <w:numFmt w:val="bullet"/>
      <w:lvlText w:val="•"/>
      <w:lvlJc w:val="left"/>
      <w:pPr>
        <w:ind w:left="3150" w:hanging="360"/>
      </w:pPr>
      <w:rPr>
        <w:rFonts w:hint="default"/>
      </w:rPr>
    </w:lvl>
    <w:lvl w:ilvl="4">
      <w:start w:val="0"/>
      <w:numFmt w:val="bullet"/>
      <w:lvlText w:val="•"/>
      <w:lvlJc w:val="left"/>
      <w:pPr>
        <w:ind w:left="4000" w:hanging="360"/>
      </w:pPr>
      <w:rPr>
        <w:rFonts w:hint="default"/>
      </w:rPr>
    </w:lvl>
    <w:lvl w:ilvl="5">
      <w:start w:val="0"/>
      <w:numFmt w:val="bullet"/>
      <w:lvlText w:val="•"/>
      <w:lvlJc w:val="left"/>
      <w:pPr>
        <w:ind w:left="4850" w:hanging="360"/>
      </w:pPr>
      <w:rPr>
        <w:rFonts w:hint="default"/>
      </w:rPr>
    </w:lvl>
    <w:lvl w:ilvl="6">
      <w:start w:val="0"/>
      <w:numFmt w:val="bullet"/>
      <w:lvlText w:val="•"/>
      <w:lvlJc w:val="left"/>
      <w:pPr>
        <w:ind w:left="5700" w:hanging="360"/>
      </w:pPr>
      <w:rPr>
        <w:rFonts w:hint="default"/>
      </w:rPr>
    </w:lvl>
    <w:lvl w:ilvl="7">
      <w:start w:val="0"/>
      <w:numFmt w:val="bullet"/>
      <w:lvlText w:val="•"/>
      <w:lvlJc w:val="left"/>
      <w:pPr>
        <w:ind w:left="6550" w:hanging="360"/>
      </w:pPr>
      <w:rPr>
        <w:rFonts w:hint="default"/>
      </w:rPr>
    </w:lvl>
    <w:lvl w:ilvl="8">
      <w:start w:val="0"/>
      <w:numFmt w:val="bullet"/>
      <w:lvlText w:val="•"/>
      <w:lvlJc w:val="left"/>
      <w:pPr>
        <w:ind w:left="7400" w:hanging="360"/>
      </w:pPr>
      <w:rPr>
        <w:rFonts w:hint="default"/>
      </w:rPr>
    </w:lvl>
  </w:abstractNum>
  <w:abstractNum w:abstractNumId="0">
    <w:multiLevelType w:val="hybridMultilevel"/>
    <w:lvl w:ilvl="0">
      <w:start w:val="1"/>
      <w:numFmt w:val="decimal"/>
      <w:lvlText w:val="%1."/>
      <w:lvlJc w:val="left"/>
      <w:pPr>
        <w:ind w:left="952" w:hanging="720"/>
        <w:jc w:val="left"/>
      </w:pPr>
      <w:rPr>
        <w:rFonts w:hint="default"/>
        <w:b/>
        <w:bCs/>
        <w:w w:val="99"/>
      </w:rPr>
    </w:lvl>
    <w:lvl w:ilvl="1">
      <w:start w:val="0"/>
      <w:numFmt w:val="bullet"/>
      <w:lvlText w:val="•"/>
      <w:lvlJc w:val="left"/>
      <w:pPr>
        <w:ind w:left="1774" w:hanging="720"/>
      </w:pPr>
      <w:rPr>
        <w:rFonts w:hint="default"/>
      </w:rPr>
    </w:lvl>
    <w:lvl w:ilvl="2">
      <w:start w:val="0"/>
      <w:numFmt w:val="bullet"/>
      <w:lvlText w:val="•"/>
      <w:lvlJc w:val="left"/>
      <w:pPr>
        <w:ind w:left="2588" w:hanging="720"/>
      </w:pPr>
      <w:rPr>
        <w:rFonts w:hint="default"/>
      </w:rPr>
    </w:lvl>
    <w:lvl w:ilvl="3">
      <w:start w:val="0"/>
      <w:numFmt w:val="bullet"/>
      <w:lvlText w:val="•"/>
      <w:lvlJc w:val="left"/>
      <w:pPr>
        <w:ind w:left="3402" w:hanging="720"/>
      </w:pPr>
      <w:rPr>
        <w:rFonts w:hint="default"/>
      </w:rPr>
    </w:lvl>
    <w:lvl w:ilvl="4">
      <w:start w:val="0"/>
      <w:numFmt w:val="bullet"/>
      <w:lvlText w:val="•"/>
      <w:lvlJc w:val="left"/>
      <w:pPr>
        <w:ind w:left="4216" w:hanging="720"/>
      </w:pPr>
      <w:rPr>
        <w:rFonts w:hint="default"/>
      </w:rPr>
    </w:lvl>
    <w:lvl w:ilvl="5">
      <w:start w:val="0"/>
      <w:numFmt w:val="bullet"/>
      <w:lvlText w:val="•"/>
      <w:lvlJc w:val="left"/>
      <w:pPr>
        <w:ind w:left="5030" w:hanging="720"/>
      </w:pPr>
      <w:rPr>
        <w:rFonts w:hint="default"/>
      </w:rPr>
    </w:lvl>
    <w:lvl w:ilvl="6">
      <w:start w:val="0"/>
      <w:numFmt w:val="bullet"/>
      <w:lvlText w:val="•"/>
      <w:lvlJc w:val="left"/>
      <w:pPr>
        <w:ind w:left="5844" w:hanging="720"/>
      </w:pPr>
      <w:rPr>
        <w:rFonts w:hint="default"/>
      </w:rPr>
    </w:lvl>
    <w:lvl w:ilvl="7">
      <w:start w:val="0"/>
      <w:numFmt w:val="bullet"/>
      <w:lvlText w:val="•"/>
      <w:lvlJc w:val="left"/>
      <w:pPr>
        <w:ind w:left="6658" w:hanging="720"/>
      </w:pPr>
      <w:rPr>
        <w:rFonts w:hint="default"/>
      </w:rPr>
    </w:lvl>
    <w:lvl w:ilvl="8">
      <w:start w:val="0"/>
      <w:numFmt w:val="bullet"/>
      <w:lvlText w:val="•"/>
      <w:lvlJc w:val="left"/>
      <w:pPr>
        <w:ind w:left="7472" w:hanging="7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31"/>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231"/>
      <w:outlineLvl w:val="2"/>
    </w:pPr>
    <w:rPr>
      <w:rFonts w:ascii="Times New Roman" w:hAnsi="Times New Roman" w:eastAsia="Times New Roman" w:cs="Times New Roman"/>
      <w:b/>
      <w:bCs/>
      <w:i/>
      <w:sz w:val="24"/>
      <w:szCs w:val="24"/>
    </w:rPr>
  </w:style>
  <w:style w:styleId="ListParagraph" w:type="paragraph">
    <w:name w:val="List Paragraph"/>
    <w:basedOn w:val="Normal"/>
    <w:uiPriority w:val="1"/>
    <w:qFormat/>
    <w:pPr>
      <w:ind w:left="592" w:hanging="360"/>
    </w:pPr>
    <w:rPr>
      <w:rFonts w:ascii="Times New Roman" w:hAnsi="Times New Roman" w:eastAsia="Times New Roman" w:cs="Times New Roman"/>
    </w:rPr>
  </w:style>
  <w:style w:styleId="TableParagraph" w:type="paragraph">
    <w:name w:val="Table Paragraph"/>
    <w:basedOn w:val="Normal"/>
    <w:uiPriority w:val="1"/>
    <w:qFormat/>
    <w:pPr>
      <w:spacing w:line="253" w:lineRule="exact"/>
      <w:ind w:left="660"/>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Given in Northern Ireland on 19 September 2001</dc:subject>
  <dc:title>Speech by Christopher Allsopp</dc:title>
  <dcterms:created xsi:type="dcterms:W3CDTF">2020-06-02T17:25:41Z</dcterms:created>
  <dcterms:modified xsi:type="dcterms:W3CDTF">2020-06-02T17:25:41Z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2001-09-20T00:00:00Z</vt:filetime>
  </property>
  <property fmtid="{D5CDD505-2E9C-101B-9397-08002B2CF9AE}" pid="3" name="Creator">
    <vt:lpwstr>Microsoft Word - allsopp1909.doc</vt:lpwstr>
  </property>
  <property fmtid="{D5CDD505-2E9C-101B-9397-08002B2CF9AE}" pid="4" name="LastSaved">
    <vt:filetime>2020-06-02T00:00:00Z</vt:filetime>
  </property>
</Properties>
</file>