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Economic Stability and the Business Climate</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Kate Barker, Member of the Monetary Policy Committee</w:t>
      </w:r>
    </w:p>
    <w:p>
      <w:pPr>
        <w:pStyle w:val="BodyText"/>
        <w:rPr>
          <w:rFonts w:ascii="Arial"/>
          <w:sz w:val="26"/>
        </w:rPr>
      </w:pPr>
    </w:p>
    <w:p>
      <w:pPr>
        <w:pStyle w:val="BodyText"/>
        <w:rPr>
          <w:rFonts w:ascii="Arial"/>
          <w:sz w:val="22"/>
        </w:rPr>
      </w:pPr>
    </w:p>
    <w:p>
      <w:pPr>
        <w:pStyle w:val="BodyText"/>
        <w:spacing w:line="360" w:lineRule="auto"/>
        <w:ind w:left="352" w:right="4562"/>
        <w:rPr>
          <w:rFonts w:ascii="Arial" w:hAnsi="Arial"/>
        </w:rPr>
      </w:pPr>
      <w:r>
        <w:rPr>
          <w:rFonts w:ascii="Arial" w:hAnsi="Arial"/>
        </w:rPr>
        <w:t>At Managing Directors’ Club, Sheffield University 24 November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144" w:firstLine="0"/>
        <w:jc w:val="left"/>
        <w:rPr>
          <w:rFonts w:ascii="Arial"/>
          <w:sz w:val="20"/>
        </w:rPr>
      </w:pPr>
      <w:r>
        <w:rPr>
          <w:rFonts w:ascii="Arial"/>
          <w:sz w:val="20"/>
        </w:rPr>
        <w:t>I would like to thank Miles Parker for allowing me to draw on his work; Jennifer Deaville-Powner, Rebecca Driver and Jumana Saleheen for their help in preparing this speech; and the Governor, Karen Dury, Colin Ellis and Garry Young for helpful comments.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spacing w:before="121"/>
        <w:ind w:left="2286" w:right="2286" w:firstLine="0"/>
        <w:jc w:val="center"/>
        <w:rPr>
          <w:b/>
          <w:sz w:val="24"/>
        </w:rPr>
      </w:pPr>
      <w:r>
        <w:rPr>
          <w:b/>
          <w:sz w:val="24"/>
          <w:u w:val="thick"/>
        </w:rPr>
        <w:t>Economic stability and the business climate</w:t>
      </w:r>
    </w:p>
    <w:p>
      <w:pPr>
        <w:pStyle w:val="BodyText"/>
        <w:rPr>
          <w:b/>
          <w:sz w:val="20"/>
        </w:rPr>
      </w:pPr>
    </w:p>
    <w:p>
      <w:pPr>
        <w:pStyle w:val="BodyText"/>
        <w:spacing w:before="11"/>
        <w:rPr>
          <w:b/>
          <w:sz w:val="19"/>
        </w:rPr>
      </w:pPr>
    </w:p>
    <w:p>
      <w:pPr>
        <w:pStyle w:val="BodyText"/>
        <w:spacing w:before="90"/>
        <w:ind w:left="120"/>
        <w:jc w:val="both"/>
      </w:pPr>
      <w:r>
        <w:rPr/>
        <w:t>Good evening.</w:t>
      </w:r>
    </w:p>
    <w:p>
      <w:pPr>
        <w:pStyle w:val="BodyText"/>
        <w:rPr>
          <w:sz w:val="26"/>
        </w:rPr>
      </w:pPr>
    </w:p>
    <w:p>
      <w:pPr>
        <w:pStyle w:val="BodyText"/>
        <w:rPr>
          <w:sz w:val="22"/>
        </w:rPr>
      </w:pPr>
    </w:p>
    <w:p>
      <w:pPr>
        <w:pStyle w:val="BodyText"/>
        <w:spacing w:line="360" w:lineRule="auto"/>
        <w:ind w:left="119" w:right="112"/>
        <w:jc w:val="both"/>
      </w:pPr>
      <w:r>
        <w:rPr/>
        <w:t>The Monetary Policy Committee’s task could be described as forming an assessment of prevailing economic trends and future prospects, in order to reach a judgement about where to set short-term interest rates in order to keep inflation on target in the medium-term. For the most part, the way in which we discuss the prevailing economic situation is from a top- down perspective, although trends among individual firms also form part of our information</w:t>
      </w:r>
      <w:r>
        <w:rPr>
          <w:spacing w:val="-1"/>
        </w:rPr>
        <w:t> </w:t>
      </w:r>
      <w:r>
        <w:rPr/>
        <w:t>set.</w:t>
      </w:r>
    </w:p>
    <w:p>
      <w:pPr>
        <w:pStyle w:val="BodyText"/>
        <w:rPr>
          <w:sz w:val="36"/>
        </w:rPr>
      </w:pPr>
    </w:p>
    <w:p>
      <w:pPr>
        <w:pStyle w:val="BodyText"/>
        <w:spacing w:line="360" w:lineRule="auto"/>
        <w:ind w:left="120" w:right="115"/>
        <w:jc w:val="both"/>
      </w:pPr>
      <w:r>
        <w:rPr/>
        <w:t>In managing individual businesses, the viewpoint which many of you will have is the reverse of this. While conditions in the whole economy will be an important backdrop,  your key focus will be on trends such as demand for individual products, specific domestic and foreign competitors, and product innovation. One topic which I want to discuss in  these remarks is a possible difference in perception from these two perspectives about the stability of the UK over the past decade or so, and the potential significance of this for the future behaviour of the economy. In addition, I will look more generally at recent  economic performance and at the risks around short-term</w:t>
      </w:r>
      <w:r>
        <w:rPr>
          <w:spacing w:val="-4"/>
        </w:rPr>
        <w:t> </w:t>
      </w:r>
      <w:r>
        <w:rPr/>
        <w:t>prospects.</w:t>
      </w:r>
    </w:p>
    <w:p>
      <w:pPr>
        <w:pStyle w:val="BodyText"/>
        <w:spacing w:before="11"/>
        <w:rPr>
          <w:sz w:val="35"/>
        </w:rPr>
      </w:pPr>
    </w:p>
    <w:p>
      <w:pPr>
        <w:pStyle w:val="BodyText"/>
        <w:spacing w:line="360" w:lineRule="auto"/>
        <w:ind w:left="120" w:right="114"/>
        <w:jc w:val="both"/>
      </w:pPr>
      <w:r>
        <w:rPr/>
        <w:t>One striking feature of the recent past is a reduction in UK economic volatility (the change in inflation and output growth rates from year to year) since the move to inflation targeting in 1992. For example, Benati (2004) concludes that the period since 1992 can be shown to have seen less volatility of both GDP growth and inflation than any other period since 1945. Shallower cycles bring a number of benefits – including the avoidance of periods of sharply rising unemployment with associated costs in social terms, and a more stable planning environment for business, supporting investment</w:t>
      </w:r>
      <w:r>
        <w:rPr>
          <w:spacing w:val="-5"/>
        </w:rPr>
        <w:t> </w:t>
      </w:r>
      <w:r>
        <w:rPr/>
        <w:t>plans.</w:t>
      </w:r>
    </w:p>
    <w:p>
      <w:pPr>
        <w:pStyle w:val="BodyText"/>
        <w:rPr>
          <w:sz w:val="36"/>
        </w:rPr>
      </w:pPr>
    </w:p>
    <w:p>
      <w:pPr>
        <w:pStyle w:val="BodyText"/>
        <w:spacing w:line="360" w:lineRule="auto"/>
        <w:ind w:left="120" w:right="113"/>
        <w:jc w:val="both"/>
      </w:pPr>
      <w:r>
        <w:rPr/>
        <w:t>Of course, the fact that this greater stability was apparent after the start of inflation targeting does not imply that it resulted from the regime itself – the question remains about whether the improved performance has been due to good policy or good luck. In the academic debate, the ‘good policy’ hypothesis covers more than monetary policy institutions. For example, it includes the enhanced credibility of the policymaker, and a better</w:t>
      </w:r>
      <w:r>
        <w:rPr>
          <w:spacing w:val="44"/>
        </w:rPr>
        <w:t> </w:t>
      </w:r>
      <w:r>
        <w:rPr/>
        <w:t>understanding</w:t>
      </w:r>
      <w:r>
        <w:rPr>
          <w:spacing w:val="44"/>
        </w:rPr>
        <w:t> </w:t>
      </w:r>
      <w:r>
        <w:rPr/>
        <w:t>of</w:t>
      </w:r>
      <w:r>
        <w:rPr>
          <w:spacing w:val="44"/>
        </w:rPr>
        <w:t> </w:t>
      </w:r>
      <w:r>
        <w:rPr/>
        <w:t>the</w:t>
      </w:r>
      <w:r>
        <w:rPr>
          <w:spacing w:val="45"/>
        </w:rPr>
        <w:t> </w:t>
      </w:r>
      <w:r>
        <w:rPr/>
        <w:t>causes</w:t>
      </w:r>
      <w:r>
        <w:rPr>
          <w:spacing w:val="44"/>
        </w:rPr>
        <w:t> </w:t>
      </w:r>
      <w:r>
        <w:rPr/>
        <w:t>and</w:t>
      </w:r>
      <w:r>
        <w:rPr>
          <w:spacing w:val="44"/>
        </w:rPr>
        <w:t> </w:t>
      </w:r>
      <w:r>
        <w:rPr/>
        <w:t>costs</w:t>
      </w:r>
      <w:r>
        <w:rPr>
          <w:spacing w:val="44"/>
        </w:rPr>
        <w:t> </w:t>
      </w:r>
      <w:r>
        <w:rPr/>
        <w:t>of</w:t>
      </w:r>
      <w:r>
        <w:rPr>
          <w:spacing w:val="45"/>
        </w:rPr>
        <w:t> </w:t>
      </w:r>
      <w:r>
        <w:rPr/>
        <w:t>inflation</w:t>
      </w:r>
      <w:r>
        <w:rPr>
          <w:spacing w:val="44"/>
        </w:rPr>
        <w:t> </w:t>
      </w:r>
      <w:r>
        <w:rPr/>
        <w:t>(and</w:t>
      </w:r>
      <w:r>
        <w:rPr>
          <w:spacing w:val="44"/>
        </w:rPr>
        <w:t> </w:t>
      </w:r>
      <w:r>
        <w:rPr/>
        <w:t>of</w:t>
      </w:r>
      <w:r>
        <w:rPr>
          <w:spacing w:val="44"/>
        </w:rPr>
        <w:t> </w:t>
      </w:r>
      <w:r>
        <w:rPr/>
        <w:t>the</w:t>
      </w:r>
      <w:r>
        <w:rPr>
          <w:spacing w:val="45"/>
        </w:rPr>
        <w:t> </w:t>
      </w:r>
      <w:r>
        <w:rPr/>
        <w:t>trade-off</w:t>
      </w:r>
      <w:r>
        <w:rPr>
          <w:spacing w:val="44"/>
        </w:rPr>
        <w:t> </w:t>
      </w:r>
      <w:r>
        <w:rPr/>
        <w:t>between</w:t>
      </w:r>
    </w:p>
    <w:p>
      <w:pPr>
        <w:spacing w:after="0" w:line="360" w:lineRule="auto"/>
        <w:jc w:val="both"/>
        <w:sectPr>
          <w:headerReference w:type="default" r:id="rId7"/>
          <w:pgSz w:w="11900" w:h="16840"/>
          <w:pgMar w:header="716" w:footer="0" w:top="1300" w:bottom="280" w:left="1680" w:right="1160"/>
          <w:pgNumType w:start="2"/>
        </w:sectPr>
      </w:pPr>
    </w:p>
    <w:p>
      <w:pPr>
        <w:pStyle w:val="BodyText"/>
        <w:spacing w:line="360" w:lineRule="auto" w:before="118"/>
        <w:ind w:left="120" w:right="118"/>
        <w:jc w:val="both"/>
      </w:pPr>
      <w:r>
        <w:rPr/>
        <w:t>unemployment and inflation). The ‘good luck’ hypothesis on the other hand suggests that since 1992 the UK economy has been hit by fewer or smaller shocks, or that these shocks have had a more muted effect on the economy.</w:t>
      </w:r>
    </w:p>
    <w:p>
      <w:pPr>
        <w:pStyle w:val="BodyText"/>
        <w:rPr>
          <w:sz w:val="36"/>
        </w:rPr>
      </w:pPr>
    </w:p>
    <w:p>
      <w:pPr>
        <w:pStyle w:val="BodyText"/>
        <w:spacing w:line="360" w:lineRule="auto"/>
        <w:ind w:left="120" w:right="116"/>
        <w:jc w:val="both"/>
      </w:pPr>
      <w:r>
        <w:rPr/>
        <w:t>The reduction in economic volatility is not confined to the UK, but is also apparent in many other countries to a greater or lesser extent</w:t>
      </w:r>
      <w:r>
        <w:rPr>
          <w:vertAlign w:val="superscript"/>
        </w:rPr>
        <w:t>1</w:t>
      </w:r>
      <w:r>
        <w:rPr>
          <w:vertAlign w:val="baseline"/>
        </w:rPr>
        <w:t>. This includes some which have not adopted  an inflation targeting regime, casting some doubt on the ‘good policy’ hypothesis. Perhaps the best summary of the debate at present is that the jury remains out on what weight to give to ‘luck’ or to</w:t>
      </w:r>
      <w:r>
        <w:rPr>
          <w:spacing w:val="-4"/>
          <w:vertAlign w:val="baseline"/>
        </w:rPr>
        <w:t> </w:t>
      </w:r>
      <w:r>
        <w:rPr>
          <w:vertAlign w:val="baseline"/>
        </w:rPr>
        <w:t>‘policy’.</w:t>
      </w:r>
    </w:p>
    <w:p>
      <w:pPr>
        <w:pStyle w:val="BodyText"/>
        <w:rPr>
          <w:sz w:val="36"/>
        </w:rPr>
      </w:pPr>
    </w:p>
    <w:p>
      <w:pPr>
        <w:pStyle w:val="BodyText"/>
        <w:spacing w:line="360" w:lineRule="auto" w:before="1"/>
        <w:ind w:left="120" w:right="115"/>
        <w:jc w:val="both"/>
      </w:pPr>
      <w:r>
        <w:rPr/>
        <w:t>But it is certainly not true that there have been no economic shocks since 1992.  This  period includes sterling’s effective exchange rate appreciation of around 25% between December 1995 and April 1998, the Asian crisis and Russian defaults in the late 1990s, and the fears of a major crisis of confidence following the terrorist attacks in September 2001. And at present, the MPC is concerned about the response to the most recent shock: the approximate doubling in the price of crude oil since the end of 2003. Inevitably, the ability of the current monetary regimes to deal with shocks will continue to face new challenges, just as it has over the past</w:t>
      </w:r>
      <w:r>
        <w:rPr>
          <w:spacing w:val="-3"/>
        </w:rPr>
        <w:t> </w:t>
      </w:r>
      <w:r>
        <w:rPr/>
        <w:t>decade.</w:t>
      </w:r>
    </w:p>
    <w:p>
      <w:pPr>
        <w:pStyle w:val="BodyText"/>
        <w:spacing w:before="10"/>
        <w:rPr>
          <w:sz w:val="35"/>
        </w:rPr>
      </w:pPr>
    </w:p>
    <w:p>
      <w:pPr>
        <w:pStyle w:val="BodyText"/>
        <w:spacing w:line="360" w:lineRule="auto"/>
        <w:ind w:left="120" w:right="116"/>
        <w:jc w:val="both"/>
      </w:pPr>
      <w:r>
        <w:rPr/>
        <w:t>Good policy judgment however does not only mean monetary policy. It is not easy to distinguish between better monetary policy and better supply-side policies which may have improved the working of the markets for goods and for labour.</w:t>
      </w:r>
      <w:r>
        <w:rPr>
          <w:vertAlign w:val="superscript"/>
        </w:rPr>
        <w:t>2</w:t>
      </w:r>
      <w:r>
        <w:rPr>
          <w:vertAlign w:val="baseline"/>
        </w:rPr>
        <w:t> So neither those who have established the monetary frameworks, nor the central bankers who operate them, are likely to be justified in claiming all the credit for good outturns. And nor have they done so.</w:t>
      </w:r>
    </w:p>
    <w:p>
      <w:pPr>
        <w:pStyle w:val="BodyText"/>
        <w:rPr>
          <w:sz w:val="36"/>
        </w:rPr>
      </w:pPr>
    </w:p>
    <w:p>
      <w:pPr>
        <w:pStyle w:val="BodyText"/>
        <w:spacing w:line="360" w:lineRule="auto"/>
        <w:ind w:left="120" w:right="115"/>
        <w:jc w:val="both"/>
      </w:pPr>
      <w:r>
        <w:rPr/>
        <w:t>However the relative stability of the macroeconomy is not necessarily repeated at the level of the individual firm. In the US, some recent work</w:t>
      </w:r>
      <w:r>
        <w:rPr>
          <w:vertAlign w:val="superscript"/>
        </w:rPr>
        <w:t>3</w:t>
      </w:r>
      <w:r>
        <w:rPr>
          <w:vertAlign w:val="baseline"/>
        </w:rPr>
        <w:t> suggests that the decline in aggregate volatility has been associated with a rise in firm-level volatility. This rising volatility at the firm level is not related either to the age of firms, or to the sector in which they operate.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90pt;margin-top:11.811218pt;width:144pt;height:.1pt;mso-position-horizontal-relative:page;mso-position-vertical-relative:paragraph;z-index:-251656192;mso-wrap-distance-left:0;mso-wrap-distance-right:0" coordorigin="1800,236" coordsize="2880,0" path="m1800,236l4680,236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1 </w:t>
      </w:r>
      <w:r>
        <w:rPr>
          <w:sz w:val="20"/>
        </w:rPr>
        <w:t>For example, Stock and Watson (2003).</w:t>
      </w:r>
    </w:p>
    <w:p>
      <w:pPr>
        <w:spacing w:line="230" w:lineRule="exact" w:before="0"/>
        <w:ind w:left="120" w:right="0" w:firstLine="0"/>
        <w:jc w:val="left"/>
        <w:rPr>
          <w:sz w:val="20"/>
        </w:rPr>
      </w:pPr>
      <w:r>
        <w:rPr>
          <w:position w:val="9"/>
          <w:sz w:val="13"/>
        </w:rPr>
        <w:t>2 </w:t>
      </w:r>
      <w:r>
        <w:rPr>
          <w:sz w:val="20"/>
        </w:rPr>
        <w:t>Ceccheti </w:t>
      </w:r>
      <w:r>
        <w:rPr>
          <w:i/>
          <w:sz w:val="20"/>
        </w:rPr>
        <w:t>et al. </w:t>
      </w:r>
      <w:r>
        <w:rPr>
          <w:sz w:val="20"/>
        </w:rPr>
        <w:t>(2004).</w:t>
      </w:r>
    </w:p>
    <w:p>
      <w:pPr>
        <w:spacing w:line="243" w:lineRule="exact" w:before="0"/>
        <w:ind w:left="120" w:right="0" w:firstLine="0"/>
        <w:jc w:val="left"/>
        <w:rPr>
          <w:sz w:val="20"/>
        </w:rPr>
      </w:pPr>
      <w:r>
        <w:rPr>
          <w:position w:val="9"/>
          <w:sz w:val="13"/>
        </w:rPr>
        <w:t>3 </w:t>
      </w:r>
      <w:r>
        <w:rPr>
          <w:sz w:val="20"/>
        </w:rPr>
        <w:t>Comin and Mulani (2004).</w:t>
      </w:r>
    </w:p>
    <w:p>
      <w:pPr>
        <w:spacing w:after="0" w:line="243" w:lineRule="exact"/>
        <w:jc w:val="left"/>
        <w:rPr>
          <w:sz w:val="20"/>
        </w:rPr>
        <w:sectPr>
          <w:pgSz w:w="11900" w:h="16840"/>
          <w:pgMar w:header="716" w:footer="0" w:top="1300" w:bottom="280" w:left="1680" w:right="1160"/>
        </w:sectPr>
      </w:pPr>
    </w:p>
    <w:p>
      <w:pPr>
        <w:pStyle w:val="BodyText"/>
        <w:spacing w:line="360" w:lineRule="auto" w:before="118"/>
        <w:ind w:left="119" w:right="116"/>
        <w:jc w:val="both"/>
      </w:pPr>
      <w:r>
        <w:rPr/>
        <w:t>Why might this divergence in trends occur? Two possibilities have been suggested in the US context. The first is that it might result from an increase in product market competition</w:t>
      </w:r>
    </w:p>
    <w:p>
      <w:pPr>
        <w:pStyle w:val="BodyText"/>
        <w:spacing w:line="360" w:lineRule="auto"/>
        <w:ind w:left="120" w:right="115"/>
        <w:jc w:val="both"/>
      </w:pPr>
      <w:r>
        <w:rPr/>
        <w:t>– since in a more competitive environment firms will have more incentive to change prices frequently. This leads to greater variation in outcomes for firms, but implies a more  flexible response to shocks, reducing the volatility of the whole</w:t>
      </w:r>
      <w:r>
        <w:rPr>
          <w:spacing w:val="-13"/>
        </w:rPr>
        <w:t> </w:t>
      </w:r>
      <w:r>
        <w:rPr/>
        <w:t>economy.</w:t>
      </w:r>
      <w:r>
        <w:rPr>
          <w:vertAlign w:val="superscript"/>
        </w:rPr>
        <w:t>4</w:t>
      </w:r>
    </w:p>
    <w:p>
      <w:pPr>
        <w:pStyle w:val="BodyText"/>
        <w:rPr>
          <w:sz w:val="36"/>
        </w:rPr>
      </w:pPr>
    </w:p>
    <w:p>
      <w:pPr>
        <w:pStyle w:val="BodyText"/>
        <w:spacing w:line="360" w:lineRule="auto"/>
        <w:ind w:left="120" w:right="115"/>
        <w:jc w:val="both"/>
      </w:pPr>
      <w:r>
        <w:rPr/>
        <w:t>The second possible explanation is that as financial markets have become deeper, this has enabled firms to borrow to finance more risky projects. At the same time, the economy becomes more diversified, so that shocks are less prone to have the same effect across firms.</w:t>
      </w:r>
      <w:r>
        <w:rPr>
          <w:vertAlign w:val="superscript"/>
        </w:rPr>
        <w:t>5</w:t>
      </w:r>
    </w:p>
    <w:p>
      <w:pPr>
        <w:pStyle w:val="BodyText"/>
        <w:rPr>
          <w:sz w:val="36"/>
        </w:rPr>
      </w:pPr>
    </w:p>
    <w:p>
      <w:pPr>
        <w:pStyle w:val="BodyText"/>
        <w:spacing w:line="360" w:lineRule="auto" w:before="1"/>
        <w:ind w:left="120" w:right="116"/>
        <w:jc w:val="both"/>
      </w:pPr>
      <w:r>
        <w:rPr/>
        <w:t>Both these explanations suggest that the economy will tend to function more efficiently. There may also be implications for monetary policy; for example, there might be changes in the way firms set prices and bargain over</w:t>
      </w:r>
      <w:r>
        <w:rPr>
          <w:spacing w:val="-1"/>
        </w:rPr>
        <w:t> </w:t>
      </w:r>
      <w:r>
        <w:rPr/>
        <w:t>wages.</w:t>
      </w:r>
    </w:p>
    <w:p>
      <w:pPr>
        <w:pStyle w:val="BodyText"/>
        <w:rPr>
          <w:sz w:val="36"/>
        </w:rPr>
      </w:pPr>
    </w:p>
    <w:p>
      <w:pPr>
        <w:pStyle w:val="BodyText"/>
        <w:spacing w:line="360" w:lineRule="auto"/>
        <w:ind w:left="119" w:right="115"/>
        <w:jc w:val="both"/>
      </w:pPr>
      <w:r>
        <w:rPr/>
        <w:t>Given the potential implications for policy, it is of interest to consider whether a similar picture of increased firm level volatility can be found in UK data. In order to investigate this, preliminary work has been undertaken for the UK, with a similar approach to the Comin and Mulani study, using a database of company accounts data drawn from Datastream which covers the period from 1973 to 2003.</w:t>
      </w:r>
      <w:r>
        <w:rPr>
          <w:vertAlign w:val="superscript"/>
        </w:rPr>
        <w:t>6</w:t>
      </w:r>
      <w:r>
        <w:rPr>
          <w:vertAlign w:val="baseline"/>
        </w:rPr>
        <w:t> Inevitably, data are not available for all firms in the full sample throughout the entire period, and the results discussed below refer to a </w:t>
      </w:r>
      <w:r>
        <w:rPr>
          <w:i/>
          <w:vertAlign w:val="baseline"/>
        </w:rPr>
        <w:t>balanced panel </w:t>
      </w:r>
      <w:r>
        <w:rPr>
          <w:vertAlign w:val="baseline"/>
        </w:rPr>
        <w:t>of 167 companies, for which sales data were continuously available. Data drawn from the full sample (using all firms for which there were at least  ten years of consecutive data) have also been considered and indicate broadly similar conclusions.</w:t>
      </w:r>
      <w:r>
        <w:rPr>
          <w:vertAlign w:val="superscript"/>
        </w:rPr>
        <w:t>7</w:t>
      </w:r>
    </w:p>
    <w:p>
      <w:pPr>
        <w:pStyle w:val="BodyText"/>
        <w:spacing w:before="10"/>
        <w:rPr>
          <w:sz w:val="35"/>
        </w:rPr>
      </w:pPr>
    </w:p>
    <w:p>
      <w:pPr>
        <w:pStyle w:val="BodyText"/>
        <w:spacing w:line="360" w:lineRule="auto"/>
        <w:ind w:left="120" w:right="117"/>
        <w:jc w:val="both"/>
      </w:pPr>
      <w:r>
        <w:rPr/>
        <w:t>Charts 1 and 2 show some of the key results from this study. Chart 1 indicates that the volatility of real sales growth (using the producer output price index as the deflator) has shown an upward trend using both a ten-year and a five-year measure of volatility. The</w:t>
      </w:r>
    </w:p>
    <w:p>
      <w:pPr>
        <w:pStyle w:val="BodyText"/>
        <w:rPr>
          <w:sz w:val="20"/>
        </w:rPr>
      </w:pPr>
    </w:p>
    <w:p>
      <w:pPr>
        <w:pStyle w:val="BodyText"/>
        <w:rPr>
          <w:sz w:val="20"/>
        </w:rPr>
      </w:pPr>
    </w:p>
    <w:p>
      <w:pPr>
        <w:pStyle w:val="BodyText"/>
        <w:spacing w:before="6"/>
        <w:rPr>
          <w:sz w:val="16"/>
        </w:rPr>
      </w:pPr>
      <w:r>
        <w:rPr/>
        <w:pict>
          <v:shape style="position:absolute;margin-left:90pt;margin-top:11.769265pt;width:144pt;height:.1pt;mso-position-horizontal-relative:page;mso-position-vertical-relative:paragraph;z-index:-251655168;mso-wrap-distance-left:0;mso-wrap-distance-right:0" coordorigin="1800,235" coordsize="2880,0" path="m1800,235l4680,235e" filled="false" stroked="true" strokeweight=".6pt" strokecolor="#000000">
            <v:path arrowok="t"/>
            <v:stroke dashstyle="solid"/>
            <w10:wrap type="topAndBottom"/>
          </v:shape>
        </w:pict>
      </w:r>
    </w:p>
    <w:p>
      <w:pPr>
        <w:spacing w:line="243" w:lineRule="exact" w:before="49"/>
        <w:ind w:left="120" w:right="0" w:firstLine="0"/>
        <w:jc w:val="left"/>
        <w:rPr>
          <w:sz w:val="20"/>
        </w:rPr>
      </w:pPr>
      <w:r>
        <w:rPr>
          <w:position w:val="9"/>
          <w:sz w:val="13"/>
        </w:rPr>
        <w:t>4 </w:t>
      </w:r>
      <w:r>
        <w:rPr>
          <w:sz w:val="20"/>
        </w:rPr>
        <w:t>Philippon (2003).</w:t>
      </w:r>
    </w:p>
    <w:p>
      <w:pPr>
        <w:spacing w:line="230" w:lineRule="exact" w:before="0"/>
        <w:ind w:left="120" w:right="0" w:firstLine="0"/>
        <w:jc w:val="left"/>
        <w:rPr>
          <w:sz w:val="20"/>
        </w:rPr>
      </w:pPr>
      <w:r>
        <w:rPr>
          <w:position w:val="9"/>
          <w:sz w:val="13"/>
        </w:rPr>
        <w:t>5 </w:t>
      </w:r>
      <w:r>
        <w:rPr>
          <w:sz w:val="20"/>
        </w:rPr>
        <w:t>Acemoglu (2005).</w:t>
      </w:r>
    </w:p>
    <w:p>
      <w:pPr>
        <w:spacing w:line="230" w:lineRule="exact" w:before="0"/>
        <w:ind w:left="120" w:right="0" w:firstLine="0"/>
        <w:jc w:val="left"/>
        <w:rPr>
          <w:sz w:val="20"/>
        </w:rPr>
      </w:pPr>
      <w:r>
        <w:rPr>
          <w:position w:val="9"/>
          <w:sz w:val="13"/>
        </w:rPr>
        <w:t>6 </w:t>
      </w:r>
      <w:r>
        <w:rPr>
          <w:sz w:val="20"/>
        </w:rPr>
        <w:t>I am very grateful to Miles Parker for carrying out this work on my behalf</w:t>
      </w:r>
    </w:p>
    <w:p>
      <w:pPr>
        <w:spacing w:line="230" w:lineRule="exact" w:before="14"/>
        <w:ind w:left="119" w:right="201" w:firstLine="0"/>
        <w:jc w:val="left"/>
        <w:rPr>
          <w:sz w:val="20"/>
        </w:rPr>
      </w:pPr>
      <w:r>
        <w:rPr>
          <w:position w:val="9"/>
          <w:sz w:val="13"/>
        </w:rPr>
        <w:t>7 </w:t>
      </w:r>
      <w:r>
        <w:rPr>
          <w:sz w:val="20"/>
        </w:rPr>
        <w:t>Total sales by year for the full sample of firms cover approximately 80% of GDP, and for the balanced sample cover approximately 20% of GDP.</w:t>
      </w:r>
    </w:p>
    <w:p>
      <w:pPr>
        <w:spacing w:after="0" w:line="230" w:lineRule="exact"/>
        <w:jc w:val="left"/>
        <w:rPr>
          <w:sz w:val="20"/>
        </w:rPr>
        <w:sectPr>
          <w:pgSz w:w="11900" w:h="16840"/>
          <w:pgMar w:header="716" w:footer="0" w:top="1300" w:bottom="280" w:left="1680" w:right="1160"/>
        </w:sectPr>
      </w:pPr>
    </w:p>
    <w:p>
      <w:pPr>
        <w:pStyle w:val="BodyText"/>
        <w:spacing w:line="360" w:lineRule="auto" w:before="118"/>
        <w:ind w:left="120" w:right="111"/>
        <w:jc w:val="both"/>
      </w:pPr>
      <w:r>
        <w:rPr/>
        <w:t>volatility measure used is the standard deviation.</w:t>
      </w:r>
      <w:r>
        <w:rPr>
          <w:vertAlign w:val="superscript"/>
        </w:rPr>
        <w:t>8</w:t>
      </w:r>
      <w:r>
        <w:rPr>
          <w:vertAlign w:val="baseline"/>
        </w:rPr>
        <w:t> However, the chart also suggests that this is not a smooth trend. It is possible that volatility rose and fell during the 1990s, in which case it cannot be ruled out that the recent renewed increase will not also be reversed in the future.</w:t>
      </w:r>
    </w:p>
    <w:p>
      <w:pPr>
        <w:pStyle w:val="BodyText"/>
        <w:rPr>
          <w:sz w:val="36"/>
        </w:rPr>
      </w:pPr>
    </w:p>
    <w:p>
      <w:pPr>
        <w:pStyle w:val="BodyText"/>
        <w:spacing w:line="360" w:lineRule="auto"/>
        <w:ind w:left="120" w:right="115"/>
        <w:jc w:val="both"/>
      </w:pPr>
      <w:r>
        <w:rPr/>
        <w:t>Chart 2 shows similar data, but for the volatility of the real growth rate of profits. Again, five-year volatility suggests a more hump-shaped profile, with higher volatility during the early 1990s, when there was also greater volatility at the whole economy level.</w:t>
      </w:r>
    </w:p>
    <w:p>
      <w:pPr>
        <w:pStyle w:val="BodyText"/>
        <w:rPr>
          <w:sz w:val="36"/>
        </w:rPr>
      </w:pPr>
    </w:p>
    <w:p>
      <w:pPr>
        <w:pStyle w:val="BodyText"/>
        <w:spacing w:line="360" w:lineRule="auto" w:before="1"/>
        <w:ind w:left="119" w:right="115"/>
        <w:jc w:val="both"/>
      </w:pPr>
      <w:r>
        <w:rPr/>
        <w:t>Charts 3 and 4 point up the contrast a little more clearly. They show the volatility of real sales growth and real profits growth for the aggregate of the firms in the panel.</w:t>
      </w:r>
      <w:r>
        <w:rPr>
          <w:vertAlign w:val="superscript"/>
        </w:rPr>
        <w:t>9</w:t>
      </w:r>
      <w:r>
        <w:rPr>
          <w:vertAlign w:val="baseline"/>
        </w:rPr>
        <w:t> In both cases, particularly the latter, the aggregate data appears to be on a declining trend. The contrast between aggregate and individual firm data is especially noticeable between 1998 and 2003. So for individual firms, there seems to be no evidence of the increased stability that has been such a feature at the macroeconomic level; and it may be that the contrast between the whole economy and individual firms will be helpful in further work on identifying the reasons for the greater overall stability. It is not, of course, the case that macroeconomic stability is designed to help individual firms; although by delivering low and stable inflation firms should be enabled to focus on their business strategy without also having to worry about inflation prospects.</w:t>
      </w:r>
    </w:p>
    <w:p>
      <w:pPr>
        <w:pStyle w:val="BodyText"/>
        <w:spacing w:before="10"/>
        <w:rPr>
          <w:sz w:val="35"/>
        </w:rPr>
      </w:pPr>
    </w:p>
    <w:p>
      <w:pPr>
        <w:pStyle w:val="BodyText"/>
        <w:spacing w:line="360" w:lineRule="auto"/>
        <w:ind w:left="119" w:right="114"/>
        <w:jc w:val="both"/>
      </w:pPr>
      <w:r>
        <w:rPr/>
        <w:t>What are the implications of these studies for policy? Part of the explanation for the divergence between aggregate and individual experiences is that the economy as a whole is now more flexible. Shocks are smoothed out better by shifts in the allocation of labour and capital. As markets have become more open to competition, firms look harder at how their competitors may react, and may be more cautious in their approach to wage and price</w:t>
      </w:r>
    </w:p>
    <w:p>
      <w:pPr>
        <w:pStyle w:val="BodyText"/>
        <w:rPr>
          <w:sz w:val="21"/>
        </w:rPr>
      </w:pPr>
      <w:r>
        <w:rPr/>
        <w:pict>
          <v:shape style="position:absolute;margin-left:90pt;margin-top:14.362039pt;width:144pt;height:.1pt;mso-position-horizontal-relative:page;mso-position-vertical-relative:paragraph;z-index:-251654144;mso-wrap-distance-left:0;mso-wrap-distance-right:0" coordorigin="1800,287" coordsize="2880,0" path="m1800,287l4680,287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8 </w:t>
      </w:r>
      <w:r>
        <w:rPr>
          <w:sz w:val="20"/>
        </w:rPr>
        <w:t>The ten-year standard deviation of the growth rate of real sales for </w:t>
      </w:r>
      <w:r>
        <w:rPr>
          <w:i/>
          <w:sz w:val="20"/>
        </w:rPr>
        <w:t>each company i</w:t>
      </w:r>
      <w:r>
        <w:rPr>
          <w:sz w:val="20"/>
        </w:rPr>
        <w:t>, is computed as:</w:t>
      </w:r>
    </w:p>
    <w:p>
      <w:pPr>
        <w:pStyle w:val="BodyText"/>
        <w:spacing w:before="7"/>
        <w:rPr>
          <w:sz w:val="19"/>
        </w:rPr>
      </w:pPr>
      <w:r>
        <w:rPr/>
        <w:pict>
          <v:shape style="position:absolute;margin-left:469.980011pt;margin-top:13.488555pt;width:5.3pt;height:.1pt;mso-position-horizontal-relative:page;mso-position-vertical-relative:paragraph;z-index:-251653120;mso-wrap-distance-left:0;mso-wrap-distance-right:0" coordorigin="9400,270" coordsize="106,0" path="m9400,270l9505,270e" filled="false" stroked="true" strokeweight=".501pt" strokecolor="#000000">
            <v:path arrowok="t"/>
            <v:stroke dashstyle="solid"/>
            <w10:wrap type="topAndBottom"/>
          </v:shape>
        </w:pict>
      </w:r>
    </w:p>
    <w:p>
      <w:pPr>
        <w:spacing w:before="0"/>
        <w:ind w:left="2100" w:right="0" w:firstLine="0"/>
        <w:jc w:val="left"/>
        <w:rPr>
          <w:sz w:val="20"/>
        </w:rPr>
      </w:pPr>
      <w:r>
        <w:rPr>
          <w:sz w:val="20"/>
        </w:rPr>
        <w:t>, where </w:t>
      </w:r>
      <w:r>
        <w:rPr>
          <w:i/>
          <w:sz w:val="20"/>
        </w:rPr>
        <w:t>x</w:t>
      </w:r>
      <w:r>
        <w:rPr>
          <w:i/>
          <w:sz w:val="20"/>
          <w:vertAlign w:val="subscript"/>
        </w:rPr>
        <w:t>it</w:t>
      </w:r>
      <w:r>
        <w:rPr>
          <w:i/>
          <w:sz w:val="20"/>
          <w:vertAlign w:val="baseline"/>
        </w:rPr>
        <w:t> </w:t>
      </w:r>
      <w:r>
        <w:rPr>
          <w:sz w:val="20"/>
          <w:vertAlign w:val="baseline"/>
        </w:rPr>
        <w:t>is the growth rate of real sales for company </w:t>
      </w:r>
      <w:r>
        <w:rPr>
          <w:i/>
          <w:sz w:val="20"/>
          <w:vertAlign w:val="baseline"/>
        </w:rPr>
        <w:t>i </w:t>
      </w:r>
      <w:r>
        <w:rPr>
          <w:sz w:val="20"/>
          <w:vertAlign w:val="baseline"/>
        </w:rPr>
        <w:t>in year </w:t>
      </w:r>
      <w:r>
        <w:rPr>
          <w:i/>
          <w:sz w:val="20"/>
          <w:vertAlign w:val="baseline"/>
        </w:rPr>
        <w:t>t</w:t>
      </w:r>
      <w:r>
        <w:rPr>
          <w:sz w:val="20"/>
          <w:vertAlign w:val="baseline"/>
        </w:rPr>
        <w:t>, and </w:t>
      </w:r>
      <w:r>
        <w:rPr>
          <w:i/>
          <w:sz w:val="24"/>
          <w:vertAlign w:val="baseline"/>
        </w:rPr>
        <w:t>x </w:t>
      </w:r>
      <w:r>
        <w:rPr>
          <w:i/>
          <w:position w:val="-5"/>
          <w:sz w:val="14"/>
          <w:vertAlign w:val="baseline"/>
        </w:rPr>
        <w:t>it </w:t>
      </w:r>
      <w:r>
        <w:rPr>
          <w:sz w:val="20"/>
          <w:vertAlign w:val="baseline"/>
        </w:rPr>
        <w:t>is the</w:t>
      </w:r>
    </w:p>
    <w:p>
      <w:pPr>
        <w:spacing w:before="206"/>
        <w:ind w:left="120" w:right="201" w:firstLine="0"/>
        <w:jc w:val="left"/>
        <w:rPr>
          <w:sz w:val="20"/>
        </w:rPr>
      </w:pPr>
      <w:r>
        <w:rPr/>
        <w:pict>
          <v:group style="position:absolute;margin-left:92.030502pt;margin-top:-24.533529pt;width:94.8pt;height:33pt;mso-position-horizontal-relative:page;mso-position-vertical-relative:paragraph;z-index:251671552" coordorigin="1841,-491" coordsize="1896,660">
            <v:shape style="position:absolute;left:1845;top:-240;width:1553;height:166" coordorigin="1846,-240" coordsize="1553,166" path="m3293,-240l3398,-240m1846,-74l1876,-91e" filled="false" stroked="true" strokeweight=".499pt" strokecolor="#000000">
              <v:path arrowok="t"/>
              <v:stroke dashstyle="solid"/>
            </v:shape>
            <v:line style="position:absolute" from="1876,-86" to="1920,150" stroked="true" strokeweight=".998pt" strokecolor="#000000">
              <v:stroke dashstyle="solid"/>
            </v:line>
            <v:shape style="position:absolute;left:1924;top:-486;width:1806;height:636" coordorigin="1925,-486" coordsize="1806,636" path="m1925,150l1984,-486,3731,-486e" filled="false" stroked="true" strokeweight=".499pt" strokecolor="#000000">
              <v:path arrowok="t"/>
              <v:stroke dashstyle="solid"/>
            </v:shape>
            <v:shape style="position:absolute;left:1991;top:-118;width:260;height:266" type="#_x0000_t202" filled="false" stroked="false">
              <v:textbox inset="0,0,0,0">
                <w:txbxContent>
                  <w:p>
                    <w:pPr>
                      <w:spacing w:line="266" w:lineRule="exact" w:before="0"/>
                      <w:ind w:left="0" w:right="0" w:firstLine="0"/>
                      <w:jc w:val="left"/>
                      <w:rPr>
                        <w:sz w:val="24"/>
                      </w:rPr>
                    </w:pPr>
                    <w:r>
                      <w:rPr>
                        <w:sz w:val="24"/>
                      </w:rPr>
                      <w:t>10</w:t>
                    </w:r>
                  </w:p>
                </w:txbxContent>
              </v:textbox>
              <w10:wrap type="none"/>
            </v:shape>
            <v:shape style="position:absolute;left:2002;top:-456;width:390;height:500" type="#_x0000_t202" filled="false" stroked="false">
              <v:textbox inset="0,0,0,0">
                <w:txbxContent>
                  <w:p>
                    <w:pPr>
                      <w:spacing w:line="141" w:lineRule="auto" w:before="52"/>
                      <w:ind w:left="0" w:right="0" w:firstLine="0"/>
                      <w:jc w:val="left"/>
                      <w:rPr>
                        <w:rFonts w:ascii="Symbol" w:hAnsi="Symbol"/>
                        <w:sz w:val="36"/>
                      </w:rPr>
                    </w:pPr>
                    <w:r>
                      <w:rPr>
                        <w:sz w:val="24"/>
                        <w:u w:val="single"/>
                      </w:rPr>
                      <w:t> 1</w:t>
                    </w:r>
                    <w:r>
                      <w:rPr>
                        <w:sz w:val="24"/>
                      </w:rPr>
                      <w:t> </w:t>
                    </w:r>
                    <w:r>
                      <w:rPr>
                        <w:rFonts w:ascii="Symbol" w:hAnsi="Symbol"/>
                        <w:spacing w:val="-166"/>
                        <w:position w:val="-20"/>
                        <w:sz w:val="36"/>
                      </w:rPr>
                      <w:t></w:t>
                    </w:r>
                  </w:p>
                </w:txbxContent>
              </v:textbox>
              <w10:wrap type="none"/>
            </v:shape>
            <v:shape style="position:absolute;left:2372;top:-460;width:90;height:155" type="#_x0000_t202" filled="false" stroked="false">
              <v:textbox inset="0,0,0,0">
                <w:txbxContent>
                  <w:p>
                    <w:pPr>
                      <w:spacing w:line="155" w:lineRule="exact" w:before="0"/>
                      <w:ind w:left="0" w:right="0" w:firstLine="0"/>
                      <w:jc w:val="left"/>
                      <w:rPr>
                        <w:sz w:val="14"/>
                      </w:rPr>
                    </w:pPr>
                    <w:r>
                      <w:rPr>
                        <w:sz w:val="14"/>
                      </w:rPr>
                      <w:t>9</w:t>
                    </w:r>
                  </w:p>
                </w:txbxContent>
              </v:textbox>
              <w10:wrap type="none"/>
            </v:shape>
            <v:shape style="position:absolute;left:2565;top:-333;width:1143;height:294" type="#_x0000_t202" filled="false" stroked="false">
              <v:textbox inset="0,0,0,0">
                <w:txbxContent>
                  <w:p>
                    <w:pPr>
                      <w:tabs>
                        <w:tab w:pos="527" w:val="left" w:leader="none"/>
                      </w:tabs>
                      <w:spacing w:before="0"/>
                      <w:ind w:left="0" w:right="0" w:firstLine="0"/>
                      <w:jc w:val="left"/>
                      <w:rPr>
                        <w:sz w:val="14"/>
                      </w:rPr>
                    </w:pPr>
                    <w:r>
                      <w:rPr>
                        <w:spacing w:val="8"/>
                        <w:sz w:val="24"/>
                      </w:rPr>
                      <w:t>(</w:t>
                    </w:r>
                    <w:r>
                      <w:rPr>
                        <w:i/>
                        <w:spacing w:val="8"/>
                        <w:sz w:val="24"/>
                      </w:rPr>
                      <w:t>x</w:t>
                      <w:tab/>
                    </w:r>
                    <w:r>
                      <w:rPr>
                        <w:rFonts w:ascii="Symbol" w:hAnsi="Symbol"/>
                        <w:sz w:val="24"/>
                      </w:rPr>
                      <w:t></w:t>
                    </w:r>
                    <w:r>
                      <w:rPr>
                        <w:sz w:val="24"/>
                      </w:rPr>
                      <w:t> </w:t>
                    </w:r>
                    <w:r>
                      <w:rPr>
                        <w:i/>
                        <w:sz w:val="24"/>
                      </w:rPr>
                      <w:t>x</w:t>
                    </w:r>
                    <w:r>
                      <w:rPr>
                        <w:i/>
                        <w:spacing w:val="6"/>
                        <w:sz w:val="24"/>
                      </w:rPr>
                      <w:t> </w:t>
                    </w:r>
                    <w:r>
                      <w:rPr>
                        <w:spacing w:val="9"/>
                        <w:sz w:val="24"/>
                      </w:rPr>
                      <w:t>)</w:t>
                    </w:r>
                    <w:r>
                      <w:rPr>
                        <w:spacing w:val="9"/>
                        <w:position w:val="11"/>
                        <w:sz w:val="14"/>
                      </w:rPr>
                      <w:t>2</w:t>
                    </w:r>
                  </w:p>
                </w:txbxContent>
              </v:textbox>
              <w10:wrap type="none"/>
            </v:shape>
            <v:shape style="position:absolute;left:2774;top:-172;width:720;height:172" type="#_x0000_t202" filled="false" stroked="false">
              <v:textbox inset="0,0,0,0">
                <w:txbxContent>
                  <w:p>
                    <w:pPr>
                      <w:tabs>
                        <w:tab w:pos="621" w:val="left" w:leader="none"/>
                      </w:tabs>
                      <w:spacing w:before="0"/>
                      <w:ind w:left="0" w:right="0" w:firstLine="0"/>
                      <w:jc w:val="left"/>
                      <w:rPr>
                        <w:i/>
                        <w:sz w:val="14"/>
                      </w:rPr>
                    </w:pPr>
                    <w:r>
                      <w:rPr>
                        <w:i/>
                        <w:sz w:val="14"/>
                      </w:rPr>
                      <w:t>it</w:t>
                    </w:r>
                    <w:r>
                      <w:rPr>
                        <w:i/>
                        <w:spacing w:val="-20"/>
                        <w:sz w:val="14"/>
                      </w:rPr>
                      <w:t> </w:t>
                    </w:r>
                    <w:r>
                      <w:rPr>
                        <w:rFonts w:ascii="Symbol" w:hAnsi="Symbol"/>
                        <w:spacing w:val="5"/>
                        <w:sz w:val="14"/>
                      </w:rPr>
                      <w:t></w:t>
                    </w:r>
                    <w:r>
                      <w:rPr>
                        <w:i/>
                        <w:spacing w:val="5"/>
                        <w:sz w:val="14"/>
                      </w:rPr>
                      <w:t>s</w:t>
                      <w:tab/>
                    </w:r>
                    <w:r>
                      <w:rPr>
                        <w:i/>
                        <w:sz w:val="14"/>
                      </w:rPr>
                      <w:t>it</w:t>
                    </w:r>
                  </w:p>
                </w:txbxContent>
              </v:textbox>
              <w10:wrap type="none"/>
            </v:shape>
            <v:shape style="position:absolute;left:2301;top:-3;width:238;height:172" type="#_x0000_t202" filled="false" stroked="false">
              <v:textbox inset="0,0,0,0">
                <w:txbxContent>
                  <w:p>
                    <w:pPr>
                      <w:spacing w:before="0"/>
                      <w:ind w:left="0" w:right="0" w:firstLine="0"/>
                      <w:jc w:val="left"/>
                      <w:rPr>
                        <w:sz w:val="14"/>
                      </w:rPr>
                    </w:pPr>
                    <w:r>
                      <w:rPr>
                        <w:i/>
                        <w:sz w:val="14"/>
                      </w:rPr>
                      <w:t>s</w:t>
                    </w:r>
                    <w:r>
                      <w:rPr>
                        <w:rFonts w:ascii="Symbol" w:hAnsi="Symbol"/>
                        <w:sz w:val="14"/>
                      </w:rPr>
                      <w:t></w:t>
                    </w:r>
                    <w:r>
                      <w:rPr>
                        <w:sz w:val="14"/>
                      </w:rPr>
                      <w:t>0</w:t>
                    </w:r>
                  </w:p>
                </w:txbxContent>
              </v:textbox>
              <w10:wrap type="none"/>
            </v:shape>
            <w10:wrap type="none"/>
          </v:group>
        </w:pict>
      </w:r>
      <w:r>
        <w:rPr>
          <w:sz w:val="20"/>
        </w:rPr>
        <w:t>average growth rate of real sales for company i over the past 10 years. The average of this standard deviation across (167) companies each year gives the measure of firm level volatility reported in Charts 1 and 2.</w:t>
      </w:r>
    </w:p>
    <w:p>
      <w:pPr>
        <w:spacing w:line="231" w:lineRule="exact" w:before="0"/>
        <w:ind w:left="120" w:right="0" w:firstLine="0"/>
        <w:jc w:val="left"/>
        <w:rPr>
          <w:sz w:val="20"/>
        </w:rPr>
      </w:pPr>
      <w:r>
        <w:rPr>
          <w:position w:val="9"/>
          <w:sz w:val="13"/>
        </w:rPr>
        <w:t>9 </w:t>
      </w:r>
      <w:r>
        <w:rPr>
          <w:sz w:val="20"/>
        </w:rPr>
        <w:t>Aggregate volatility is measured as the ten-year standard deviation of the growth rate of </w:t>
      </w:r>
      <w:r>
        <w:rPr>
          <w:i/>
          <w:sz w:val="20"/>
        </w:rPr>
        <w:t>total </w:t>
      </w:r>
      <w:r>
        <w:rPr>
          <w:sz w:val="20"/>
        </w:rPr>
        <w:t>real sales (the</w:t>
      </w:r>
    </w:p>
    <w:p>
      <w:pPr>
        <w:pStyle w:val="BodyText"/>
        <w:spacing w:before="10"/>
        <w:rPr>
          <w:sz w:val="12"/>
        </w:rPr>
      </w:pPr>
    </w:p>
    <w:p>
      <w:pPr>
        <w:spacing w:after="0"/>
        <w:rPr>
          <w:sz w:val="12"/>
        </w:rPr>
        <w:sectPr>
          <w:pgSz w:w="11900" w:h="16840"/>
          <w:pgMar w:header="716" w:footer="0" w:top="1300" w:bottom="280" w:left="1680" w:right="1160"/>
        </w:sectPr>
      </w:pPr>
    </w:p>
    <w:p>
      <w:pPr>
        <w:spacing w:before="128"/>
        <w:ind w:left="119" w:right="0" w:firstLine="0"/>
        <w:jc w:val="left"/>
        <w:rPr>
          <w:sz w:val="20"/>
        </w:rPr>
      </w:pPr>
      <w:r>
        <w:rPr/>
        <w:pict>
          <v:group style="position:absolute;margin-left:369.410492pt;margin-top:-4.193685pt;width:90.8pt;height:32.950pt;mso-position-horizontal-relative:page;mso-position-vertical-relative:paragraph;z-index:251678720" coordorigin="7388,-84" coordsize="1816,659">
            <v:shape style="position:absolute;left:7393;top:255;width:396;height:77" coordorigin="7393,256" coordsize="396,77" path="m7552,256l7789,256m7393,333l7424,315e" filled="false" stroked="true" strokeweight=".499pt" strokecolor="#000000">
              <v:path arrowok="t"/>
              <v:stroke dashstyle="solid"/>
            </v:shape>
            <v:line style="position:absolute" from="7424,320" to="7469,556" stroked="true" strokeweight=".998pt" strokecolor="#000000">
              <v:stroke dashstyle="solid"/>
            </v:line>
            <v:shape style="position:absolute;left:7473;top:-79;width:1726;height:635" coordorigin="7474,-79" coordsize="1726,635" path="m7474,556l7532,-79,9199,-79e" filled="false" stroked="true" strokeweight=".499pt" strokecolor="#000000">
              <v:path arrowok="t"/>
              <v:stroke dashstyle="solid"/>
            </v:shape>
            <v:shape style="position:absolute;left:7540;top:288;width:260;height:266" type="#_x0000_t202" filled="false" stroked="false">
              <v:textbox inset="0,0,0,0">
                <w:txbxContent>
                  <w:p>
                    <w:pPr>
                      <w:spacing w:line="265" w:lineRule="exact" w:before="0"/>
                      <w:ind w:left="0" w:right="0" w:firstLine="0"/>
                      <w:jc w:val="left"/>
                      <w:rPr>
                        <w:sz w:val="24"/>
                      </w:rPr>
                    </w:pPr>
                    <w:r>
                      <w:rPr>
                        <w:sz w:val="24"/>
                      </w:rPr>
                      <w:t>10</w:t>
                    </w:r>
                  </w:p>
                </w:txbxContent>
              </v:textbox>
              <w10:wrap type="none"/>
            </v:shape>
            <v:shape style="position:absolute;left:7610;top:-53;width:728;height:503" type="#_x0000_t202" filled="false" stroked="false">
              <v:textbox inset="0,0,0,0">
                <w:txbxContent>
                  <w:p>
                    <w:pPr>
                      <w:spacing w:line="74" w:lineRule="exact" w:before="0"/>
                      <w:ind w:left="0" w:right="34" w:firstLine="0"/>
                      <w:jc w:val="center"/>
                      <w:rPr>
                        <w:sz w:val="14"/>
                      </w:rPr>
                    </w:pPr>
                    <w:r>
                      <w:rPr>
                        <w:w w:val="99"/>
                        <w:sz w:val="14"/>
                      </w:rPr>
                      <w:t>9</w:t>
                    </w:r>
                  </w:p>
                  <w:p>
                    <w:pPr>
                      <w:spacing w:line="428" w:lineRule="exact" w:before="0"/>
                      <w:ind w:left="-1" w:right="18" w:firstLine="0"/>
                      <w:jc w:val="center"/>
                      <w:rPr>
                        <w:i/>
                        <w:sz w:val="24"/>
                      </w:rPr>
                    </w:pPr>
                    <w:r>
                      <w:rPr>
                        <w:position w:val="15"/>
                        <w:sz w:val="24"/>
                      </w:rPr>
                      <w:t>1</w:t>
                    </w:r>
                    <w:r>
                      <w:rPr>
                        <w:spacing w:val="39"/>
                        <w:position w:val="15"/>
                        <w:sz w:val="24"/>
                      </w:rPr>
                      <w:t> </w:t>
                    </w:r>
                    <w:r>
                      <w:rPr>
                        <w:rFonts w:ascii="Symbol" w:hAnsi="Symbol"/>
                        <w:spacing w:val="-25"/>
                        <w:position w:val="-5"/>
                        <w:sz w:val="36"/>
                      </w:rPr>
                      <w:t>∑</w:t>
                    </w:r>
                    <w:r>
                      <w:rPr>
                        <w:spacing w:val="-25"/>
                        <w:sz w:val="24"/>
                      </w:rPr>
                      <w:t>(</w:t>
                    </w:r>
                    <w:r>
                      <w:rPr>
                        <w:i/>
                        <w:spacing w:val="-25"/>
                        <w:sz w:val="24"/>
                      </w:rPr>
                      <w:t>x</w:t>
                    </w:r>
                  </w:p>
                </w:txbxContent>
              </v:textbox>
              <w10:wrap type="none"/>
            </v:shape>
            <v:shape style="position:absolute;left:8322;top:234;width:216;height:172" type="#_x0000_t202" filled="false" stroked="false">
              <v:textbox inset="0,0,0,0">
                <w:txbxContent>
                  <w:p>
                    <w:pPr>
                      <w:spacing w:line="171" w:lineRule="exact" w:before="0"/>
                      <w:ind w:left="0" w:right="0" w:firstLine="0"/>
                      <w:jc w:val="left"/>
                      <w:rPr>
                        <w:i/>
                        <w:sz w:val="14"/>
                      </w:rPr>
                    </w:pPr>
                    <w:r>
                      <w:rPr>
                        <w:i/>
                        <w:sz w:val="14"/>
                      </w:rPr>
                      <w:t>t </w:t>
                    </w:r>
                    <w:r>
                      <w:rPr>
                        <w:rFonts w:ascii="Symbol" w:hAnsi="Symbol"/>
                        <w:sz w:val="14"/>
                      </w:rPr>
                      <w:t></w:t>
                    </w:r>
                    <w:r>
                      <w:rPr>
                        <w:i/>
                        <w:sz w:val="14"/>
                      </w:rPr>
                      <w:t>s</w:t>
                    </w:r>
                  </w:p>
                </w:txbxContent>
              </v:textbox>
              <w10:wrap type="none"/>
            </v:shape>
            <v:shape style="position:absolute;left:8601;top:-53;width:485;height:458" type="#_x0000_t202" filled="false" stroked="false">
              <v:textbox inset="0,0,0,0">
                <w:txbxContent>
                  <w:p>
                    <w:pPr>
                      <w:spacing w:line="141" w:lineRule="exact" w:before="0"/>
                      <w:ind w:left="19" w:right="0" w:firstLine="0"/>
                      <w:jc w:val="center"/>
                      <w:rPr>
                        <w:sz w:val="14"/>
                      </w:rPr>
                    </w:pPr>
                    <w:r>
                      <w:rPr>
                        <w:w w:val="99"/>
                        <w:sz w:val="14"/>
                        <w:u w:val="single"/>
                      </w:rPr>
                      <w:t> </w:t>
                    </w:r>
                    <w:r>
                      <w:rPr>
                        <w:sz w:val="14"/>
                        <w:u w:val="single"/>
                      </w:rPr>
                      <w:t> </w:t>
                    </w:r>
                  </w:p>
                  <w:p>
                    <w:pPr>
                      <w:numPr>
                        <w:ilvl w:val="0"/>
                        <w:numId w:val="1"/>
                      </w:numPr>
                      <w:tabs>
                        <w:tab w:pos="192" w:val="left" w:leader="none"/>
                      </w:tabs>
                      <w:spacing w:line="316" w:lineRule="exact" w:before="0"/>
                      <w:ind w:left="192" w:right="0" w:hanging="192"/>
                      <w:jc w:val="left"/>
                      <w:rPr>
                        <w:sz w:val="24"/>
                      </w:rPr>
                    </w:pPr>
                    <w:r>
                      <w:rPr>
                        <w:i/>
                        <w:sz w:val="24"/>
                      </w:rPr>
                      <w:t>x</w:t>
                    </w:r>
                    <w:r>
                      <w:rPr>
                        <w:i/>
                        <w:position w:val="-5"/>
                        <w:sz w:val="14"/>
                      </w:rPr>
                      <w:t>t</w:t>
                    </w:r>
                    <w:r>
                      <w:rPr>
                        <w:i/>
                        <w:spacing w:val="10"/>
                        <w:position w:val="-5"/>
                        <w:sz w:val="14"/>
                      </w:rPr>
                      <w:t> </w:t>
                    </w:r>
                    <w:r>
                      <w:rPr>
                        <w:sz w:val="24"/>
                      </w:rPr>
                      <w:t>)</w:t>
                    </w:r>
                  </w:p>
                </w:txbxContent>
              </v:textbox>
              <w10:wrap type="none"/>
            </v:shape>
            <v:shape style="position:absolute;left:9086;top:83;width:90;height:155" type="#_x0000_t202" filled="false" stroked="false">
              <v:textbox inset="0,0,0,0">
                <w:txbxContent>
                  <w:p>
                    <w:pPr>
                      <w:spacing w:line="155" w:lineRule="exact" w:before="0"/>
                      <w:ind w:left="0" w:right="0" w:firstLine="0"/>
                      <w:jc w:val="left"/>
                      <w:rPr>
                        <w:sz w:val="14"/>
                      </w:rPr>
                    </w:pPr>
                    <w:r>
                      <w:rPr>
                        <w:w w:val="99"/>
                        <w:sz w:val="14"/>
                      </w:rPr>
                      <w:t>2</w:t>
                    </w:r>
                  </w:p>
                </w:txbxContent>
              </v:textbox>
              <w10:wrap type="none"/>
            </v:shape>
            <v:shape style="position:absolute;left:7849;top:403;width:239;height:172" type="#_x0000_t202" filled="false" stroked="false">
              <v:textbox inset="0,0,0,0">
                <w:txbxContent>
                  <w:p>
                    <w:pPr>
                      <w:spacing w:line="171" w:lineRule="exact" w:before="0"/>
                      <w:ind w:left="0" w:right="0" w:firstLine="0"/>
                      <w:jc w:val="left"/>
                      <w:rPr>
                        <w:sz w:val="14"/>
                      </w:rPr>
                    </w:pPr>
                    <w:r>
                      <w:rPr>
                        <w:i/>
                        <w:sz w:val="14"/>
                      </w:rPr>
                      <w:t>s</w:t>
                    </w:r>
                    <w:r>
                      <w:rPr>
                        <w:rFonts w:ascii="Symbol" w:hAnsi="Symbol"/>
                        <w:sz w:val="14"/>
                      </w:rPr>
                      <w:t></w:t>
                    </w:r>
                    <w:r>
                      <w:rPr>
                        <w:sz w:val="14"/>
                      </w:rPr>
                      <w:t>0</w:t>
                    </w:r>
                  </w:p>
                </w:txbxContent>
              </v:textbox>
              <w10:wrap type="none"/>
            </v:shape>
            <w10:wrap type="none"/>
          </v:group>
        </w:pict>
      </w:r>
      <w:r>
        <w:rPr>
          <w:sz w:val="20"/>
        </w:rPr>
        <w:t>total being the sum of sales across the 167 companies). It is given by</w:t>
      </w:r>
    </w:p>
    <w:p>
      <w:pPr>
        <w:spacing w:before="90"/>
        <w:ind w:left="119" w:right="0" w:firstLine="0"/>
        <w:jc w:val="left"/>
        <w:rPr>
          <w:sz w:val="20"/>
        </w:rPr>
      </w:pPr>
      <w:r>
        <w:rPr/>
        <w:br w:type="column"/>
      </w:r>
      <w:r>
        <w:rPr>
          <w:sz w:val="20"/>
        </w:rPr>
        <w:t>, where </w:t>
      </w:r>
      <w:r>
        <w:rPr>
          <w:i/>
          <w:sz w:val="24"/>
        </w:rPr>
        <w:t>x</w:t>
      </w:r>
      <w:r>
        <w:rPr>
          <w:i/>
          <w:position w:val="-5"/>
          <w:sz w:val="14"/>
        </w:rPr>
        <w:t>t </w:t>
      </w:r>
      <w:r>
        <w:rPr>
          <w:sz w:val="20"/>
        </w:rPr>
        <w:t>is the</w:t>
      </w:r>
    </w:p>
    <w:p>
      <w:pPr>
        <w:spacing w:after="0"/>
        <w:jc w:val="left"/>
        <w:rPr>
          <w:sz w:val="20"/>
        </w:rPr>
        <w:sectPr>
          <w:type w:val="continuous"/>
          <w:pgSz w:w="11900" w:h="16840"/>
          <w:pgMar w:top="1180" w:bottom="280" w:left="1680" w:right="1160"/>
          <w:cols w:num="2" w:equalWidth="0">
            <w:col w:w="5714" w:space="1734"/>
            <w:col w:w="1612"/>
          </w:cols>
        </w:sectPr>
      </w:pPr>
    </w:p>
    <w:p>
      <w:pPr>
        <w:pStyle w:val="BodyText"/>
        <w:spacing w:before="11"/>
        <w:rPr>
          <w:sz w:val="11"/>
        </w:rPr>
      </w:pPr>
    </w:p>
    <w:p>
      <w:pPr>
        <w:spacing w:after="0"/>
        <w:rPr>
          <w:sz w:val="11"/>
        </w:rPr>
        <w:sectPr>
          <w:type w:val="continuous"/>
          <w:pgSz w:w="11900" w:h="16840"/>
          <w:pgMar w:top="1180" w:bottom="280" w:left="1680" w:right="1160"/>
        </w:sectPr>
      </w:pPr>
    </w:p>
    <w:p>
      <w:pPr>
        <w:pStyle w:val="BodyText"/>
        <w:rPr>
          <w:sz w:val="10"/>
        </w:rPr>
      </w:pPr>
    </w:p>
    <w:p>
      <w:pPr>
        <w:pStyle w:val="BodyText"/>
        <w:spacing w:line="20" w:lineRule="exact"/>
        <w:ind w:left="2936"/>
        <w:rPr>
          <w:sz w:val="2"/>
        </w:rPr>
      </w:pPr>
      <w:r>
        <w:rPr>
          <w:sz w:val="2"/>
        </w:rPr>
        <w:pict>
          <v:group style="width:5.3pt;height:.5pt;mso-position-horizontal-relative:char;mso-position-vertical-relative:line" coordorigin="0,0" coordsize="106,10">
            <v:line style="position:absolute" from="0,5" to="106,5" stroked="true" strokeweight=".499pt" strokecolor="#000000">
              <v:stroke dashstyle="solid"/>
            </v:line>
          </v:group>
        </w:pict>
      </w:r>
      <w:r>
        <w:rPr>
          <w:sz w:val="2"/>
        </w:rPr>
      </w:r>
    </w:p>
    <w:p>
      <w:pPr>
        <w:spacing w:before="0"/>
        <w:ind w:left="119" w:right="0" w:firstLine="0"/>
        <w:jc w:val="left"/>
        <w:rPr>
          <w:i/>
          <w:sz w:val="14"/>
        </w:rPr>
      </w:pPr>
      <w:r>
        <w:rPr>
          <w:sz w:val="20"/>
        </w:rPr>
        <w:t>growth rate of total real sales, and </w:t>
      </w:r>
      <w:r>
        <w:rPr>
          <w:i/>
          <w:sz w:val="24"/>
        </w:rPr>
        <w:t>x </w:t>
      </w:r>
      <w:r>
        <w:rPr>
          <w:i/>
          <w:position w:val="-5"/>
          <w:sz w:val="14"/>
        </w:rPr>
        <w:t>t</w:t>
      </w:r>
    </w:p>
    <w:p>
      <w:pPr>
        <w:spacing w:before="127"/>
        <w:ind w:left="62" w:right="0" w:firstLine="0"/>
        <w:jc w:val="left"/>
        <w:rPr>
          <w:sz w:val="20"/>
        </w:rPr>
      </w:pPr>
      <w:r>
        <w:rPr/>
        <w:br w:type="column"/>
      </w:r>
      <w:r>
        <w:rPr>
          <w:sz w:val="20"/>
        </w:rPr>
        <w:t>is the mean value of total sales over the past 10 years.</w:t>
      </w:r>
    </w:p>
    <w:p>
      <w:pPr>
        <w:spacing w:after="0"/>
        <w:jc w:val="left"/>
        <w:rPr>
          <w:sz w:val="20"/>
        </w:rPr>
        <w:sectPr>
          <w:type w:val="continuous"/>
          <w:pgSz w:w="11900" w:h="16840"/>
          <w:pgMar w:top="1180" w:bottom="280" w:left="1680" w:right="1160"/>
          <w:cols w:num="2" w:equalWidth="0">
            <w:col w:w="3114" w:space="40"/>
            <w:col w:w="5906"/>
          </w:cols>
        </w:sectPr>
      </w:pPr>
    </w:p>
    <w:p>
      <w:pPr>
        <w:pStyle w:val="BodyText"/>
        <w:spacing w:line="360" w:lineRule="auto" w:before="118"/>
        <w:ind w:left="120" w:right="112"/>
        <w:jc w:val="both"/>
      </w:pPr>
      <w:r>
        <w:rPr/>
        <w:t>setting – especially in an environment where their inflation expectations are firmly anchored. Firms may also be more likely to perceive shocks as idiosyncratic. This leads to greater variation in outcomes for firms but to a benign macro environment in which policymakers can deliver low inflation, and so reinforce the message of aggregate stability.</w:t>
      </w:r>
    </w:p>
    <w:p>
      <w:pPr>
        <w:pStyle w:val="BodyText"/>
        <w:rPr>
          <w:sz w:val="36"/>
        </w:rPr>
      </w:pPr>
    </w:p>
    <w:p>
      <w:pPr>
        <w:pStyle w:val="BodyText"/>
        <w:spacing w:line="360" w:lineRule="auto"/>
        <w:ind w:left="120" w:right="115"/>
        <w:jc w:val="both"/>
      </w:pPr>
      <w:r>
        <w:rPr/>
        <w:t>In the late 1980s and early 1990s, the business sector frequently argued that a more stable economy would enable firms to plan from a longer-term viewpoint, resulting in a higher rate of investment and fostering stronger growth. Chart 5, which shows the share of business investment in GDP in real and nominal terms, suggests that there is little evidence of a change of trend in investment. Given the falling relative price of investment goods,  and under a plausible assumption about the degree to which capital and labour are substitutes, the real share of investment in GDP has not risen particularly strongly.</w:t>
      </w:r>
      <w:r>
        <w:rPr>
          <w:vertAlign w:val="superscript"/>
        </w:rPr>
        <w:t>10</w:t>
      </w:r>
      <w:r>
        <w:rPr>
          <w:vertAlign w:val="baseline"/>
        </w:rPr>
        <w:t> One partial explanation for this might be the evidence referred to above, which suggests that at the firm level uncertainty may have increased, rather than decreased. Looking at the CBI survey of manufacturing companies, it is interesting to note that the proportion of firms citing uncertainty about demand as a constraint on their investment plans has if anything tended to rise under inflation targeting – an average of 45% cited this as a constraint between 1980 and 1992, rising to 51%</w:t>
      </w:r>
      <w:r>
        <w:rPr>
          <w:spacing w:val="-4"/>
          <w:vertAlign w:val="baseline"/>
        </w:rPr>
        <w:t> </w:t>
      </w:r>
      <w:r>
        <w:rPr>
          <w:vertAlign w:val="baseline"/>
        </w:rPr>
        <w:t>post-1992.</w:t>
      </w:r>
    </w:p>
    <w:p>
      <w:pPr>
        <w:pStyle w:val="BodyText"/>
        <w:rPr>
          <w:sz w:val="36"/>
        </w:rPr>
      </w:pPr>
    </w:p>
    <w:p>
      <w:pPr>
        <w:pStyle w:val="BodyText"/>
        <w:spacing w:line="360" w:lineRule="auto"/>
        <w:ind w:left="120" w:right="115"/>
        <w:jc w:val="both"/>
      </w:pPr>
      <w:r>
        <w:rPr/>
        <w:t>I will now turn to discuss some of the broad trends over the period since the Bank of England took over the setting of interest rates in 1997, and consider the outlook against that background. A key question for the MPC, in considering the judgments around our quarterly economic forecast, is how the present level of demand in the economy relates to the supply capacity of the economy. Too great a pressure of demand will tend to put upward pressure on inflation. Judgments about supply capacity are always difficult to  reach – there is much uncertainty about what a plausible estimate of the long-term growth rate, and, more relevantly, about how supply capacity is changing over the forecast period. One way to think about this question might be to consider the recent GDP growth performance, compared with the historic</w:t>
      </w:r>
      <w:r>
        <w:rPr>
          <w:spacing w:val="-1"/>
        </w:rPr>
        <w:t> </w:t>
      </w:r>
      <w:r>
        <w:rPr/>
        <w:t>average.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shape style="position:absolute;margin-left:90pt;margin-top:11.76822pt;width:144pt;height:.1pt;mso-position-horizontal-relative:page;mso-position-vertical-relative:paragraph;z-index:-251636736;mso-wrap-distance-left:0;mso-wrap-distance-right:0" coordorigin="1800,235" coordsize="2880,0" path="m1800,235l4680,235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10 </w:t>
      </w:r>
      <w:r>
        <w:rPr>
          <w:sz w:val="20"/>
        </w:rPr>
        <w:t>Ellis and Groth (2003).</w:t>
      </w:r>
    </w:p>
    <w:p>
      <w:pPr>
        <w:spacing w:after="0"/>
        <w:jc w:val="left"/>
        <w:rPr>
          <w:sz w:val="20"/>
        </w:rPr>
        <w:sectPr>
          <w:pgSz w:w="11900" w:h="16840"/>
          <w:pgMar w:header="716" w:footer="0" w:top="1300" w:bottom="280" w:left="1680" w:right="1160"/>
        </w:sectPr>
      </w:pPr>
    </w:p>
    <w:p>
      <w:pPr>
        <w:pStyle w:val="BodyText"/>
        <w:spacing w:line="360" w:lineRule="auto" w:before="118"/>
        <w:ind w:left="120" w:right="116"/>
        <w:jc w:val="both"/>
      </w:pPr>
      <w:r>
        <w:rPr/>
        <w:t>Chart 6 shows the annual growth rate in the UK by quarter since 1980. Taking this period as a whole, growth has averaged around 2.4%. This rises to 2.7% from 1992, when the UK moved to inflation-targeting, and to 2.8% since Bank independence in</w:t>
      </w:r>
      <w:r>
        <w:rPr>
          <w:spacing w:val="-3"/>
        </w:rPr>
        <w:t> </w:t>
      </w:r>
      <w:r>
        <w:rPr/>
        <w:t>mid-1997.</w:t>
      </w:r>
    </w:p>
    <w:p>
      <w:pPr>
        <w:pStyle w:val="BodyText"/>
        <w:rPr>
          <w:sz w:val="36"/>
        </w:rPr>
      </w:pPr>
    </w:p>
    <w:p>
      <w:pPr>
        <w:pStyle w:val="BodyText"/>
        <w:spacing w:line="360" w:lineRule="auto"/>
        <w:ind w:left="120" w:right="115"/>
        <w:jc w:val="both"/>
      </w:pPr>
      <w:r>
        <w:rPr/>
        <w:t>The overall picture of robust economic performance since 1997 has certainly been one of the reasons why the formation of the MPC is regarded as a success, in addition to the achievement in terms of keeping inflation close to target over the period. But some of this favourable picture has been due to factors which the MPC is not able to influence. In particular, the UK has benefited since the mid-1990s from a rise in our export prices relative to our import prices (chart 7).</w:t>
      </w:r>
      <w:r>
        <w:rPr>
          <w:vertAlign w:val="superscript"/>
        </w:rPr>
        <w:t>11</w:t>
      </w:r>
      <w:r>
        <w:rPr>
          <w:vertAlign w:val="baseline"/>
        </w:rPr>
        <w:t> This was most marked up to 1998, and since then has been more stable. This has implied an increase in the purchasing power of UK consumers, which was associated with, and may have contributed to, an increase in the growth of consumer spending. Spending was also boosted by the rise in house prices, in turn partly driven by the decline in long-term real interest rates which increased the relative attractiveness of housing assets</w:t>
      </w:r>
    </w:p>
    <w:p>
      <w:pPr>
        <w:pStyle w:val="BodyText"/>
        <w:spacing w:before="1"/>
        <w:rPr>
          <w:sz w:val="36"/>
        </w:rPr>
      </w:pPr>
    </w:p>
    <w:p>
      <w:pPr>
        <w:pStyle w:val="BodyText"/>
        <w:spacing w:line="360" w:lineRule="auto"/>
        <w:ind w:left="119" w:right="115"/>
        <w:jc w:val="both"/>
      </w:pPr>
      <w:r>
        <w:rPr/>
        <w:t>A second supportive factor has been the improvements in the labour market. Unemployment fell from over 10% in 1992 to 4.7% in August 2005 (chart 8). During this period wage growth has been relatively stable, averaging 4% and fluctuating within a narrow band of 2-6%. The fact that the fall in the unemployment rate did not lead to a sizeable pick up in wage pressure has led to the conclusion that since 1992 there has been a decline in the rate of unemployment at which it is possible to keep inflation stable.</w:t>
      </w:r>
      <w:r>
        <w:rPr>
          <w:vertAlign w:val="superscript"/>
        </w:rPr>
        <w:t>12</w:t>
      </w:r>
      <w:r>
        <w:rPr>
          <w:vertAlign w:val="baseline"/>
        </w:rPr>
        <w:t> (It might be noted for example that in Sheffield, since Bank independence, claimant count unemployment has fallen from over 22,000 to around 8,500.) This can be attributed to a number of factors, including improvements in labour market flexibility and more recently the impact of increased inward migration. A further influence may well be the improved credibility of the inflation-targeting framework, so that wage bargainers take into account an expectation that inflation is likely to remain at, or return to, the target. Whatever these various factors have contributed, the key point is that the benefit of</w:t>
      </w:r>
      <w:r>
        <w:rPr>
          <w:spacing w:val="37"/>
          <w:vertAlign w:val="baseline"/>
        </w:rPr>
        <w:t> </w:t>
      </w:r>
      <w:r>
        <w:rPr>
          <w:vertAlign w:val="baseline"/>
        </w:rPr>
        <w:t>declining unemployment, in terms of boosting growth per head of working age population, is likely to have run its</w:t>
      </w:r>
      <w:r>
        <w:rPr>
          <w:spacing w:val="-4"/>
          <w:vertAlign w:val="baseline"/>
        </w:rPr>
        <w:t> </w:t>
      </w:r>
      <w:r>
        <w:rPr>
          <w:vertAlign w:val="baseline"/>
        </w:rPr>
        <w:t>course.</w:t>
      </w:r>
    </w:p>
    <w:p>
      <w:pPr>
        <w:pStyle w:val="BodyText"/>
        <w:rPr>
          <w:sz w:val="20"/>
        </w:rPr>
      </w:pPr>
    </w:p>
    <w:p>
      <w:pPr>
        <w:pStyle w:val="BodyText"/>
        <w:spacing w:before="4"/>
      </w:pPr>
      <w:r>
        <w:rPr/>
        <w:pict>
          <v:shape style="position:absolute;margin-left:90pt;margin-top:16.296852pt;width:144pt;height:.1pt;mso-position-horizontal-relative:page;mso-position-vertical-relative:paragraph;z-index:-251635712;mso-wrap-distance-left:0;mso-wrap-distance-right:0" coordorigin="1800,326" coordsize="2880,0" path="m1800,326l4680,326e" filled="false" stroked="true" strokeweight=".6pt" strokecolor="#000000">
            <v:path arrowok="t"/>
            <v:stroke dashstyle="solid"/>
            <w10:wrap type="topAndBottom"/>
          </v:shape>
        </w:pict>
      </w:r>
    </w:p>
    <w:p>
      <w:pPr>
        <w:spacing w:line="243" w:lineRule="exact" w:before="49"/>
        <w:ind w:left="120" w:right="0" w:firstLine="0"/>
        <w:jc w:val="left"/>
        <w:rPr>
          <w:sz w:val="20"/>
        </w:rPr>
      </w:pPr>
      <w:r>
        <w:rPr>
          <w:position w:val="9"/>
          <w:sz w:val="13"/>
        </w:rPr>
        <w:t>11 </w:t>
      </w:r>
      <w:r>
        <w:rPr>
          <w:sz w:val="20"/>
        </w:rPr>
        <w:t>Dury </w:t>
      </w:r>
      <w:r>
        <w:rPr>
          <w:i/>
          <w:sz w:val="20"/>
        </w:rPr>
        <w:t>et al. </w:t>
      </w:r>
      <w:r>
        <w:rPr>
          <w:sz w:val="20"/>
        </w:rPr>
        <w:t>(2003).</w:t>
      </w:r>
    </w:p>
    <w:p>
      <w:pPr>
        <w:spacing w:line="243" w:lineRule="exact" w:before="0"/>
        <w:ind w:left="120" w:right="0" w:firstLine="0"/>
        <w:jc w:val="left"/>
        <w:rPr>
          <w:sz w:val="20"/>
        </w:rPr>
      </w:pPr>
      <w:r>
        <w:rPr>
          <w:position w:val="9"/>
          <w:sz w:val="13"/>
        </w:rPr>
        <w:t>12 </w:t>
      </w:r>
      <w:r>
        <w:rPr>
          <w:sz w:val="20"/>
        </w:rPr>
        <w:t>See for example Nickell and Quintini (2002).</w:t>
      </w:r>
    </w:p>
    <w:p>
      <w:pPr>
        <w:spacing w:after="0" w:line="243" w:lineRule="exact"/>
        <w:jc w:val="left"/>
        <w:rPr>
          <w:sz w:val="20"/>
        </w:rPr>
        <w:sectPr>
          <w:pgSz w:w="11900" w:h="16840"/>
          <w:pgMar w:header="716" w:footer="0" w:top="1300" w:bottom="280" w:left="1680" w:right="1160"/>
        </w:sectPr>
      </w:pPr>
    </w:p>
    <w:p>
      <w:pPr>
        <w:pStyle w:val="BodyText"/>
        <w:spacing w:line="360" w:lineRule="auto" w:before="118"/>
        <w:ind w:left="120" w:right="116"/>
        <w:jc w:val="both"/>
      </w:pPr>
      <w:r>
        <w:rPr/>
        <w:t>Looking at the past five years, the Chart 6 suggests that since 2001 there has been a general slowdown from a period of strong growth (although compared with the early 1980s and 1990s this slowing has been very modest). Indeed, GDP growth has averaged just 2.3% over this period (and 1.7% per person of working age, see Table 1, which suggests that GDP on this latter basis has slowed more over the recent past). Over the past year, even allowing for the tendency for recent estimates of growth to be revised up (the ONS suggests that GDP data is likely to be revised up by a little less than 0.4%, on an annual basis, within around two years from the first estimate </w:t>
      </w:r>
      <w:r>
        <w:rPr>
          <w:vertAlign w:val="superscript"/>
        </w:rPr>
        <w:t>13</w:t>
      </w:r>
      <w:r>
        <w:rPr>
          <w:vertAlign w:val="baseline"/>
        </w:rPr>
        <w:t>) it seems that growth has been weaker than its average since</w:t>
      </w:r>
      <w:r>
        <w:rPr>
          <w:spacing w:val="-6"/>
          <w:vertAlign w:val="baseline"/>
        </w:rPr>
        <w:t> </w:t>
      </w:r>
      <w:r>
        <w:rPr>
          <w:vertAlign w:val="baseline"/>
        </w:rPr>
        <w:t>1980.</w:t>
      </w:r>
    </w:p>
    <w:p>
      <w:pPr>
        <w:pStyle w:val="BodyText"/>
        <w:rPr>
          <w:sz w:val="36"/>
        </w:rPr>
      </w:pPr>
    </w:p>
    <w:p>
      <w:pPr>
        <w:pStyle w:val="BodyText"/>
        <w:spacing w:line="360" w:lineRule="auto" w:before="1"/>
        <w:ind w:left="119" w:right="117"/>
        <w:jc w:val="both"/>
      </w:pPr>
      <w:r>
        <w:rPr/>
        <w:t>In order to consider what this slowdown means for the balance of demand and supply in the economy, the MPC’s general approach is to estimate the UK’s production capacity, given the existing stock of capital and the potential labour supply consistent with stable inflation. This is also supplemented by consideration of business survey evidence. At present these give a mixed reading, although the general impression is that capacity pressures have recently eased back a little.</w:t>
      </w:r>
    </w:p>
    <w:p>
      <w:pPr>
        <w:pStyle w:val="BodyText"/>
        <w:rPr>
          <w:sz w:val="36"/>
        </w:rPr>
      </w:pPr>
    </w:p>
    <w:p>
      <w:pPr>
        <w:pStyle w:val="BodyText"/>
        <w:spacing w:line="360" w:lineRule="auto"/>
        <w:ind w:left="119" w:right="117"/>
        <w:jc w:val="both"/>
      </w:pPr>
      <w:r>
        <w:rPr/>
        <w:t>In the middle of this month the MPC published its latest forecast, in which the central projection was for GDP growth to recover quite strongly, as the economy moves beyond the recent slower patch. The key assumptions underlying this recovery (set out in more detail in the </w:t>
      </w:r>
      <w:r>
        <w:rPr>
          <w:i/>
        </w:rPr>
        <w:t>Inflation Report</w:t>
      </w:r>
      <w:r>
        <w:rPr/>
        <w:t>) included a continuation of strong global growth, helping to improve the UK’s external trade position, and a modest pickup in consumer spending, supported in part by the stabilisation of the housing market. This was judged to be consistent with inflation remaining on track to meet the target in the medium</w:t>
      </w:r>
      <w:r>
        <w:rPr>
          <w:spacing w:val="-17"/>
        </w:rPr>
        <w:t> </w:t>
      </w:r>
      <w:r>
        <w:rPr/>
        <w:t>term.</w:t>
      </w:r>
    </w:p>
    <w:p>
      <w:pPr>
        <w:pStyle w:val="BodyText"/>
        <w:spacing w:before="10"/>
        <w:rPr>
          <w:sz w:val="35"/>
        </w:rPr>
      </w:pPr>
    </w:p>
    <w:p>
      <w:pPr>
        <w:pStyle w:val="BodyText"/>
        <w:spacing w:line="360" w:lineRule="auto"/>
        <w:ind w:left="119" w:right="114"/>
        <w:jc w:val="both"/>
      </w:pPr>
      <w:r>
        <w:rPr/>
        <w:t>As always, there are many upside and downside risks to these projections for growth and inflation. Some of these relate to the rise in the oil price – where it remains uncertain how much of the rise in the oil price has so far fed through into CPI inflation, and unclear whether higher oil prices will reduce supply potential by prompting the scrapping of some less energy efficient capital. The MPC has however also explained that part of the adjustment to the oil price rise will be a period of slower real wage growth and commented on the uncertainty about how far employees might resist this adjustment.</w:t>
      </w:r>
    </w:p>
    <w:p>
      <w:pPr>
        <w:pStyle w:val="BodyText"/>
        <w:spacing w:before="6"/>
        <w:rPr>
          <w:sz w:val="28"/>
        </w:rPr>
      </w:pPr>
      <w:r>
        <w:rPr/>
        <w:pict>
          <v:shape style="position:absolute;margin-left:90pt;margin-top:18.692585pt;width:144pt;height:.1pt;mso-position-horizontal-relative:page;mso-position-vertical-relative:paragraph;z-index:-251634688;mso-wrap-distance-left:0;mso-wrap-distance-right:0" coordorigin="1800,374" coordsize="2880,0" path="m1800,374l4680,374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13 </w:t>
      </w:r>
      <w:r>
        <w:rPr>
          <w:sz w:val="20"/>
        </w:rPr>
        <w:t>George (2005).</w:t>
      </w:r>
    </w:p>
    <w:p>
      <w:pPr>
        <w:spacing w:after="0"/>
        <w:jc w:val="left"/>
        <w:rPr>
          <w:sz w:val="20"/>
        </w:rPr>
        <w:sectPr>
          <w:pgSz w:w="11900" w:h="16840"/>
          <w:pgMar w:header="716" w:footer="0" w:top="1300" w:bottom="280" w:left="1680" w:right="1160"/>
        </w:sectPr>
      </w:pPr>
    </w:p>
    <w:p>
      <w:pPr>
        <w:pStyle w:val="BodyText"/>
        <w:rPr>
          <w:sz w:val="20"/>
        </w:rPr>
      </w:pPr>
    </w:p>
    <w:p>
      <w:pPr>
        <w:pStyle w:val="BodyText"/>
        <w:spacing w:before="5"/>
        <w:rPr>
          <w:sz w:val="18"/>
        </w:rPr>
      </w:pPr>
    </w:p>
    <w:p>
      <w:pPr>
        <w:pStyle w:val="BodyText"/>
        <w:spacing w:line="360" w:lineRule="auto" w:before="90"/>
        <w:ind w:left="120" w:right="115"/>
        <w:jc w:val="both"/>
      </w:pPr>
      <w:r>
        <w:rPr/>
        <w:t>This is not intended as a repetition of the various risks outlined in the </w:t>
      </w:r>
      <w:r>
        <w:rPr>
          <w:i/>
        </w:rPr>
        <w:t>Inflation Report</w:t>
      </w:r>
      <w:r>
        <w:rPr/>
        <w:t>. Rather, the following comments are about risks which may not crystallise until beyond the forecast period, but could at some time have probable downside implications for growth. One key risk relates to long-term real global interest rates, which are presently at low levels by historical standards. It is generally unclear why this decline has taken place, and there is consequently a risk that it will be reversed (for example, to the extent that it related to an excess of savings in Asia, relative to investment opportunities, then as domestic demand strengthens in Asia, capital flows to the rest of the world might fall back). An upward shift in long-term real interest rates, unless related to an improvement in prospects for growth, could have a significant downward impact on house prices, not just in the UK but also the US and elsewhere, with consequent downward pressures on consumer spending growth.</w:t>
      </w:r>
    </w:p>
    <w:p>
      <w:pPr>
        <w:pStyle w:val="BodyText"/>
        <w:spacing w:before="1"/>
        <w:rPr>
          <w:sz w:val="36"/>
        </w:rPr>
      </w:pPr>
    </w:p>
    <w:p>
      <w:pPr>
        <w:pStyle w:val="BodyText"/>
        <w:spacing w:line="360" w:lineRule="auto"/>
        <w:ind w:left="120" w:right="116"/>
        <w:jc w:val="both"/>
      </w:pPr>
      <w:r>
        <w:rPr/>
        <w:t>There is also the possibility of interlinked risks – as rising domestic demand in China and elsewhere could put greater pressure on the global capacity to supply, pushing up the rate of goods price inflation. This could bring a reversal of the beneficial impact of the shift in trade prices described above, with import prices rising more rapidly and domestic real incomes growth having to be reduced in order to keep inflation on</w:t>
      </w:r>
      <w:r>
        <w:rPr>
          <w:spacing w:val="-6"/>
        </w:rPr>
        <w:t> </w:t>
      </w:r>
      <w:r>
        <w:rPr/>
        <w:t>target.</w:t>
      </w:r>
    </w:p>
    <w:p>
      <w:pPr>
        <w:pStyle w:val="BodyText"/>
        <w:spacing w:before="10"/>
        <w:rPr>
          <w:sz w:val="35"/>
        </w:rPr>
      </w:pPr>
    </w:p>
    <w:p>
      <w:pPr>
        <w:pStyle w:val="BodyText"/>
        <w:spacing w:line="360" w:lineRule="auto"/>
        <w:ind w:left="119" w:right="115"/>
        <w:jc w:val="both"/>
      </w:pPr>
      <w:r>
        <w:rPr/>
        <w:t>Drawing these remarks together, preliminary work suggests that the ‘Great Stability’ of the UK economy since the inception of inflation targeting has not been reflected at the level of individual firms – and indeed that in the UK individual firms may have seen increased volatility for sales and for profits. In the US, where a similar contrast is apparent, various explanations for it have been put forward. It is possible that the divergent trends in volatility might be related, to the extent that firms undertake more risky projects in a more stable macro environment. However, an alternative explanation might be that greater firm volatility is due to greater competitive pressures. This latter case would provide some explanation for the fact that business investment in the UK has been weaker than expected given the more stable macroeconomic</w:t>
      </w:r>
      <w:r>
        <w:rPr>
          <w:spacing w:val="-1"/>
        </w:rPr>
        <w:t> </w:t>
      </w:r>
      <w:r>
        <w:rPr/>
        <w:t>performance.</w:t>
      </w:r>
    </w:p>
    <w:p>
      <w:pPr>
        <w:pStyle w:val="BodyText"/>
        <w:rPr>
          <w:sz w:val="36"/>
        </w:rPr>
      </w:pPr>
    </w:p>
    <w:p>
      <w:pPr>
        <w:pStyle w:val="BodyText"/>
        <w:spacing w:line="360" w:lineRule="auto" w:before="1"/>
        <w:ind w:left="119" w:right="115"/>
        <w:jc w:val="both"/>
      </w:pPr>
      <w:r>
        <w:rPr/>
        <w:t>Looking at recent trends in growth rates, there are some indications that the pick-up in growth apparent during the first decade or so of inflation-targeting has recently fallen back a little. In particular, despite the recent sharp decline in the pace of growth, business surveys</w:t>
      </w:r>
      <w:r>
        <w:rPr>
          <w:spacing w:val="9"/>
        </w:rPr>
        <w:t> </w:t>
      </w:r>
      <w:r>
        <w:rPr/>
        <w:t>do</w:t>
      </w:r>
      <w:r>
        <w:rPr>
          <w:spacing w:val="10"/>
        </w:rPr>
        <w:t> </w:t>
      </w:r>
      <w:r>
        <w:rPr/>
        <w:t>not</w:t>
      </w:r>
      <w:r>
        <w:rPr>
          <w:spacing w:val="10"/>
        </w:rPr>
        <w:t> </w:t>
      </w:r>
      <w:r>
        <w:rPr/>
        <w:t>suggest</w:t>
      </w:r>
      <w:r>
        <w:rPr>
          <w:spacing w:val="10"/>
        </w:rPr>
        <w:t> </w:t>
      </w:r>
      <w:r>
        <w:rPr/>
        <w:t>that</w:t>
      </w:r>
      <w:r>
        <w:rPr>
          <w:spacing w:val="9"/>
        </w:rPr>
        <w:t> </w:t>
      </w:r>
      <w:r>
        <w:rPr/>
        <w:t>the</w:t>
      </w:r>
      <w:r>
        <w:rPr>
          <w:spacing w:val="10"/>
        </w:rPr>
        <w:t> </w:t>
      </w:r>
      <w:r>
        <w:rPr/>
        <w:t>UK</w:t>
      </w:r>
      <w:r>
        <w:rPr>
          <w:spacing w:val="10"/>
        </w:rPr>
        <w:t> </w:t>
      </w:r>
      <w:r>
        <w:rPr/>
        <w:t>economy</w:t>
      </w:r>
      <w:r>
        <w:rPr>
          <w:spacing w:val="10"/>
        </w:rPr>
        <w:t> </w:t>
      </w:r>
      <w:r>
        <w:rPr/>
        <w:t>in</w:t>
      </w:r>
      <w:r>
        <w:rPr>
          <w:spacing w:val="10"/>
        </w:rPr>
        <w:t> </w:t>
      </w:r>
      <w:r>
        <w:rPr/>
        <w:t>the</w:t>
      </w:r>
      <w:r>
        <w:rPr>
          <w:spacing w:val="11"/>
        </w:rPr>
        <w:t> </w:t>
      </w:r>
      <w:r>
        <w:rPr/>
        <w:t>second</w:t>
      </w:r>
      <w:r>
        <w:rPr>
          <w:spacing w:val="11"/>
        </w:rPr>
        <w:t> </w:t>
      </w:r>
      <w:r>
        <w:rPr/>
        <w:t>half</w:t>
      </w:r>
      <w:r>
        <w:rPr>
          <w:spacing w:val="10"/>
        </w:rPr>
        <w:t> </w:t>
      </w:r>
      <w:r>
        <w:rPr/>
        <w:t>of</w:t>
      </w:r>
      <w:r>
        <w:rPr>
          <w:spacing w:val="11"/>
        </w:rPr>
        <w:t> </w:t>
      </w:r>
      <w:r>
        <w:rPr/>
        <w:t>2005</w:t>
      </w:r>
      <w:r>
        <w:rPr>
          <w:spacing w:val="11"/>
        </w:rPr>
        <w:t> </w:t>
      </w:r>
      <w:r>
        <w:rPr/>
        <w:t>is</w:t>
      </w:r>
      <w:r>
        <w:rPr>
          <w:spacing w:val="11"/>
        </w:rPr>
        <w:t> </w:t>
      </w:r>
      <w:r>
        <w:rPr/>
        <w:t>much</w:t>
      </w:r>
      <w:r>
        <w:rPr>
          <w:spacing w:val="10"/>
        </w:rPr>
        <w:t> </w:t>
      </w:r>
      <w:r>
        <w:rPr/>
        <w:t>below</w:t>
      </w:r>
      <w:r>
        <w:rPr>
          <w:spacing w:val="11"/>
        </w:rPr>
        <w:t> </w:t>
      </w:r>
      <w:r>
        <w:rPr/>
        <w:t>its</w:t>
      </w:r>
    </w:p>
    <w:p>
      <w:pPr>
        <w:spacing w:after="0" w:line="360" w:lineRule="auto"/>
        <w:jc w:val="both"/>
        <w:sectPr>
          <w:pgSz w:w="11900" w:h="16840"/>
          <w:pgMar w:header="716" w:footer="0" w:top="1300" w:bottom="280" w:left="1680" w:right="1160"/>
        </w:sectPr>
      </w:pPr>
    </w:p>
    <w:p>
      <w:pPr>
        <w:pStyle w:val="BodyText"/>
        <w:spacing w:line="360" w:lineRule="auto" w:before="118"/>
        <w:ind w:left="120" w:right="115"/>
        <w:jc w:val="both"/>
      </w:pPr>
      <w:r>
        <w:rPr/>
        <w:t>supply capacity. The MPC’s latest best central projection is that growth will recover over the next year, and move above its average of the last 25 years. In terms of the risks around this projection, my own view is that these are balanced for inflation, and indeed in the short-term there remains a risk that the recent rise in inflation might spark a more persistent upward shift in inflation expectations. But for growth the risks may be towards the downside, with particular uncertainties around the world outlook in the medium-term.</w:t>
      </w:r>
    </w:p>
    <w:p>
      <w:pPr>
        <w:pStyle w:val="BodyText"/>
        <w:rPr>
          <w:sz w:val="36"/>
        </w:rPr>
      </w:pPr>
    </w:p>
    <w:p>
      <w:pPr>
        <w:pStyle w:val="BodyText"/>
        <w:spacing w:line="360" w:lineRule="auto" w:before="1"/>
        <w:ind w:left="119" w:right="115"/>
        <w:jc w:val="both"/>
      </w:pPr>
      <w:r>
        <w:rPr/>
        <w:t>Taking a longer view, it is encouraging that, as suggested above, the contrast between aggregate and individual volatility may support the resilience of the economy to shocks. But there are other concerns. Since 1997, the MPC’s reputation has been good – and there has been a good outturn not just in terms of low and stable inflation, but also improvements in household income growth, rising asset values due to lower real long-term interest rates and a declining unemployment rate. As discussed above, for the most part credit for these other favourable trends is not due to the MPC. Prospects appear rather less positive.  Recent trends in import prices to the UK (Chart 9) suggest that the terms of trade improvement may not continue. Real long-term interest rates are unlikely to fall further. The decline in the rate of unemployment consistent with stable inflation seems likely to have come to an end. But while this is a note of caution, it should not be overplayed. It is possible that other favourable trends could emerge – such as sustained faster euro-area growth, or an improvement in the UK’s productivity performance. Even if these do not occur, while the outlook may be less favourable than the recent past, it is still good when compared to a longer historical perspective. And of course whatever emerges, the MPC will continue to focus on the important goal set for us by Government, of delivering low and stable</w:t>
      </w:r>
      <w:r>
        <w:rPr>
          <w:spacing w:val="-2"/>
        </w:rPr>
        <w:t> </w:t>
      </w:r>
      <w:r>
        <w:rPr/>
        <w:t>inflation.</w:t>
      </w:r>
    </w:p>
    <w:p>
      <w:pPr>
        <w:spacing w:after="0" w:line="360" w:lineRule="auto"/>
        <w:jc w:val="both"/>
        <w:sectPr>
          <w:pgSz w:w="11900" w:h="16840"/>
          <w:pgMar w:header="716" w:footer="0" w:top="1300" w:bottom="280" w:left="1680" w:right="1160"/>
        </w:sectPr>
      </w:pPr>
    </w:p>
    <w:p>
      <w:pPr>
        <w:pStyle w:val="Heading1"/>
        <w:ind w:left="120"/>
      </w:pPr>
      <w:r>
        <w:rPr/>
        <w:t>References</w:t>
      </w:r>
    </w:p>
    <w:p>
      <w:pPr>
        <w:pStyle w:val="BodyText"/>
        <w:rPr>
          <w:b/>
          <w:sz w:val="26"/>
        </w:rPr>
      </w:pPr>
    </w:p>
    <w:p>
      <w:pPr>
        <w:pStyle w:val="BodyText"/>
        <w:spacing w:before="9"/>
        <w:rPr>
          <w:b/>
          <w:sz w:val="21"/>
        </w:rPr>
      </w:pPr>
    </w:p>
    <w:p>
      <w:pPr>
        <w:pStyle w:val="BodyText"/>
        <w:spacing w:line="360" w:lineRule="auto"/>
        <w:ind w:left="120"/>
      </w:pPr>
      <w:r>
        <w:rPr>
          <w:b/>
        </w:rPr>
        <w:t>Acemoglu, D (2005) </w:t>
      </w:r>
      <w:r>
        <w:rPr/>
        <w:t>“Discussion of Comin and Philippon ‘The rise in firm-level volatility: causes and consequences’”. NBER 20</w:t>
      </w:r>
      <w:r>
        <w:rPr>
          <w:vertAlign w:val="superscript"/>
        </w:rPr>
        <w:t>th</w:t>
      </w:r>
      <w:r>
        <w:rPr>
          <w:vertAlign w:val="baseline"/>
        </w:rPr>
        <w:t> Annual conference on Macroeconomics.</w:t>
      </w:r>
    </w:p>
    <w:p>
      <w:pPr>
        <w:pStyle w:val="BodyText"/>
        <w:rPr>
          <w:sz w:val="36"/>
        </w:rPr>
      </w:pPr>
    </w:p>
    <w:p>
      <w:pPr>
        <w:spacing w:line="360" w:lineRule="auto" w:before="0"/>
        <w:ind w:left="120" w:right="201" w:firstLine="0"/>
        <w:jc w:val="left"/>
        <w:rPr>
          <w:i/>
          <w:sz w:val="24"/>
        </w:rPr>
      </w:pPr>
      <w:r>
        <w:rPr>
          <w:b/>
          <w:sz w:val="24"/>
        </w:rPr>
        <w:t>Benati, L (2004) </w:t>
      </w:r>
      <w:r>
        <w:rPr>
          <w:sz w:val="24"/>
        </w:rPr>
        <w:t>‘Evolving post-World War II UK economic performance’; </w:t>
      </w:r>
      <w:r>
        <w:rPr>
          <w:i/>
          <w:sz w:val="24"/>
        </w:rPr>
        <w:t>Working </w:t>
      </w:r>
      <w:r>
        <w:rPr>
          <w:i/>
          <w:sz w:val="24"/>
        </w:rPr>
        <w:t>Paper no 232, Bank of England.</w:t>
      </w:r>
    </w:p>
    <w:p>
      <w:pPr>
        <w:pStyle w:val="BodyText"/>
        <w:rPr>
          <w:i/>
          <w:sz w:val="36"/>
        </w:rPr>
      </w:pPr>
    </w:p>
    <w:p>
      <w:pPr>
        <w:spacing w:before="0"/>
        <w:ind w:left="120" w:right="0" w:firstLine="0"/>
        <w:jc w:val="left"/>
        <w:rPr>
          <w:sz w:val="24"/>
        </w:rPr>
      </w:pPr>
      <w:r>
        <w:rPr>
          <w:b/>
          <w:sz w:val="24"/>
        </w:rPr>
        <w:t>Brierley, P and Bunn, P (2005) </w:t>
      </w:r>
      <w:r>
        <w:rPr>
          <w:sz w:val="24"/>
        </w:rPr>
        <w:t>‘The determination of UK corporate capital gearing’;</w:t>
      </w:r>
    </w:p>
    <w:p>
      <w:pPr>
        <w:spacing w:before="138"/>
        <w:ind w:left="120" w:right="0" w:firstLine="0"/>
        <w:jc w:val="left"/>
        <w:rPr>
          <w:sz w:val="24"/>
        </w:rPr>
      </w:pPr>
      <w:r>
        <w:rPr>
          <w:i/>
          <w:sz w:val="24"/>
        </w:rPr>
        <w:t>Bank of England Quarterly Bulletin, Autumn, </w:t>
      </w:r>
      <w:r>
        <w:rPr>
          <w:sz w:val="24"/>
        </w:rPr>
        <w:t>pp 356-366.</w:t>
      </w:r>
    </w:p>
    <w:p>
      <w:pPr>
        <w:pStyle w:val="BodyText"/>
        <w:rPr>
          <w:sz w:val="26"/>
        </w:rPr>
      </w:pPr>
    </w:p>
    <w:p>
      <w:pPr>
        <w:pStyle w:val="BodyText"/>
        <w:rPr>
          <w:sz w:val="22"/>
        </w:rPr>
      </w:pPr>
    </w:p>
    <w:p>
      <w:pPr>
        <w:spacing w:line="360" w:lineRule="auto" w:before="0"/>
        <w:ind w:left="120" w:right="201" w:firstLine="0"/>
        <w:jc w:val="left"/>
        <w:rPr>
          <w:i/>
          <w:sz w:val="24"/>
        </w:rPr>
      </w:pPr>
      <w:r>
        <w:rPr>
          <w:b/>
          <w:sz w:val="24"/>
        </w:rPr>
        <w:t>Ceccheti, S, Flores-Lagunes, A and Krause, S (2004) </w:t>
      </w:r>
      <w:r>
        <w:rPr>
          <w:sz w:val="24"/>
        </w:rPr>
        <w:t>‘Has monetary policy become more efficient? A cross-country analysis’; </w:t>
      </w:r>
      <w:r>
        <w:rPr>
          <w:i/>
          <w:sz w:val="24"/>
        </w:rPr>
        <w:t>NBER Working Paper</w:t>
      </w:r>
      <w:r>
        <w:rPr>
          <w:i/>
          <w:spacing w:val="-9"/>
          <w:sz w:val="24"/>
        </w:rPr>
        <w:t> </w:t>
      </w:r>
      <w:r>
        <w:rPr>
          <w:i/>
          <w:sz w:val="24"/>
        </w:rPr>
        <w:t>10973.</w:t>
      </w:r>
    </w:p>
    <w:p>
      <w:pPr>
        <w:pStyle w:val="BodyText"/>
        <w:rPr>
          <w:i/>
          <w:sz w:val="36"/>
        </w:rPr>
      </w:pPr>
    </w:p>
    <w:p>
      <w:pPr>
        <w:spacing w:before="0"/>
        <w:ind w:left="120" w:right="0" w:firstLine="0"/>
        <w:jc w:val="left"/>
        <w:rPr>
          <w:sz w:val="24"/>
        </w:rPr>
      </w:pPr>
      <w:r>
        <w:rPr>
          <w:b/>
          <w:sz w:val="24"/>
        </w:rPr>
        <w:t>Comin, D and Mulani S (2004) </w:t>
      </w:r>
      <w:r>
        <w:rPr>
          <w:sz w:val="24"/>
        </w:rPr>
        <w:t>“Diverging trends in macro and micro volatility: facts”,</w:t>
      </w:r>
    </w:p>
    <w:p>
      <w:pPr>
        <w:spacing w:before="139"/>
        <w:ind w:left="120" w:right="0" w:firstLine="0"/>
        <w:jc w:val="left"/>
        <w:rPr>
          <w:i/>
          <w:sz w:val="24"/>
        </w:rPr>
      </w:pPr>
      <w:r>
        <w:rPr>
          <w:i/>
          <w:sz w:val="24"/>
        </w:rPr>
        <w:t>NBER Working Paper 10922.</w:t>
      </w:r>
    </w:p>
    <w:p>
      <w:pPr>
        <w:pStyle w:val="BodyText"/>
        <w:rPr>
          <w:i/>
          <w:sz w:val="26"/>
        </w:rPr>
      </w:pPr>
    </w:p>
    <w:p>
      <w:pPr>
        <w:pStyle w:val="BodyText"/>
        <w:spacing w:before="11"/>
        <w:rPr>
          <w:i/>
          <w:sz w:val="21"/>
        </w:rPr>
      </w:pPr>
    </w:p>
    <w:p>
      <w:pPr>
        <w:spacing w:line="360" w:lineRule="auto" w:before="0"/>
        <w:ind w:left="120" w:right="201" w:firstLine="0"/>
        <w:jc w:val="left"/>
        <w:rPr>
          <w:i/>
          <w:sz w:val="24"/>
        </w:rPr>
      </w:pPr>
      <w:r>
        <w:rPr>
          <w:b/>
          <w:sz w:val="24"/>
        </w:rPr>
        <w:t>Comin, D and Mulani, S (2005) </w:t>
      </w:r>
      <w:r>
        <w:rPr>
          <w:sz w:val="24"/>
        </w:rPr>
        <w:t>“A theory of growth and volatility at the aggregate and firm level” </w:t>
      </w:r>
      <w:r>
        <w:rPr>
          <w:i/>
          <w:sz w:val="24"/>
        </w:rPr>
        <w:t>NBER Working Paper</w:t>
      </w:r>
      <w:r>
        <w:rPr>
          <w:i/>
          <w:spacing w:val="-5"/>
          <w:sz w:val="24"/>
        </w:rPr>
        <w:t> </w:t>
      </w:r>
      <w:r>
        <w:rPr>
          <w:i/>
          <w:sz w:val="24"/>
        </w:rPr>
        <w:t>11503.</w:t>
      </w:r>
    </w:p>
    <w:p>
      <w:pPr>
        <w:pStyle w:val="BodyText"/>
        <w:spacing w:before="10"/>
        <w:rPr>
          <w:i/>
          <w:sz w:val="35"/>
        </w:rPr>
      </w:pPr>
    </w:p>
    <w:p>
      <w:pPr>
        <w:spacing w:line="360" w:lineRule="auto" w:before="0"/>
        <w:ind w:left="120" w:right="0" w:firstLine="0"/>
        <w:jc w:val="left"/>
        <w:rPr>
          <w:sz w:val="24"/>
        </w:rPr>
      </w:pPr>
      <w:r>
        <w:rPr>
          <w:b/>
          <w:sz w:val="24"/>
        </w:rPr>
        <w:t>Dury K, et al. (2003) </w:t>
      </w:r>
      <w:r>
        <w:rPr>
          <w:sz w:val="24"/>
        </w:rPr>
        <w:t>“What caused the rise in UK terms of trade” </w:t>
      </w:r>
      <w:r>
        <w:rPr>
          <w:i/>
          <w:sz w:val="24"/>
        </w:rPr>
        <w:t>Bank of England </w:t>
      </w:r>
      <w:r>
        <w:rPr>
          <w:i/>
          <w:sz w:val="24"/>
        </w:rPr>
        <w:t>Quarterly Bulletin</w:t>
      </w:r>
      <w:r>
        <w:rPr>
          <w:sz w:val="24"/>
        </w:rPr>
        <w:t>, Summer, pp</w:t>
      </w:r>
      <w:r>
        <w:rPr>
          <w:spacing w:val="-1"/>
          <w:sz w:val="24"/>
        </w:rPr>
        <w:t> </w:t>
      </w:r>
      <w:r>
        <w:rPr>
          <w:sz w:val="24"/>
        </w:rPr>
        <w:t>164-176.</w:t>
      </w:r>
    </w:p>
    <w:p>
      <w:pPr>
        <w:pStyle w:val="BodyText"/>
        <w:rPr>
          <w:sz w:val="36"/>
        </w:rPr>
      </w:pPr>
    </w:p>
    <w:p>
      <w:pPr>
        <w:spacing w:line="360" w:lineRule="auto" w:before="0"/>
        <w:ind w:left="120" w:right="116" w:firstLine="0"/>
        <w:jc w:val="left"/>
        <w:rPr>
          <w:sz w:val="24"/>
        </w:rPr>
      </w:pPr>
      <w:r>
        <w:rPr>
          <w:b/>
          <w:sz w:val="24"/>
        </w:rPr>
        <w:t>Ellis, C and Groth, C (2003) </w:t>
      </w:r>
      <w:r>
        <w:rPr>
          <w:sz w:val="24"/>
        </w:rPr>
        <w:t>“Long-run equilibrium ratios of business investment to output in the United Kingdom” </w:t>
      </w:r>
      <w:r>
        <w:rPr>
          <w:i/>
          <w:sz w:val="24"/>
        </w:rPr>
        <w:t>Bank of England Quarterly Bulletin</w:t>
      </w:r>
      <w:r>
        <w:rPr>
          <w:sz w:val="24"/>
        </w:rPr>
        <w:t>, Summer, pp 177-187.</w:t>
      </w:r>
    </w:p>
    <w:p>
      <w:pPr>
        <w:pStyle w:val="BodyText"/>
        <w:rPr>
          <w:sz w:val="36"/>
        </w:rPr>
      </w:pPr>
    </w:p>
    <w:p>
      <w:pPr>
        <w:spacing w:line="360" w:lineRule="auto" w:before="0"/>
        <w:ind w:left="120" w:right="115" w:firstLine="0"/>
        <w:jc w:val="left"/>
        <w:rPr>
          <w:i/>
          <w:sz w:val="24"/>
        </w:rPr>
      </w:pPr>
      <w:r>
        <w:rPr>
          <w:b/>
          <w:sz w:val="24"/>
        </w:rPr>
        <w:t>George, E (2005) </w:t>
      </w:r>
      <w:r>
        <w:rPr>
          <w:sz w:val="24"/>
        </w:rPr>
        <w:t>. “Revisions to quarterly GDP growth and its production and expenditure components’ </w:t>
      </w:r>
      <w:r>
        <w:rPr>
          <w:i/>
          <w:sz w:val="24"/>
        </w:rPr>
        <w:t>Economic Trends 614.</w:t>
      </w:r>
    </w:p>
    <w:p>
      <w:pPr>
        <w:pStyle w:val="BodyText"/>
        <w:rPr>
          <w:i/>
          <w:sz w:val="36"/>
        </w:rPr>
      </w:pPr>
    </w:p>
    <w:p>
      <w:pPr>
        <w:spacing w:before="1"/>
        <w:ind w:left="120" w:right="0" w:firstLine="0"/>
        <w:jc w:val="left"/>
        <w:rPr>
          <w:sz w:val="24"/>
        </w:rPr>
      </w:pPr>
      <w:r>
        <w:rPr>
          <w:b/>
          <w:sz w:val="24"/>
        </w:rPr>
        <w:t>Nickell, S and Quintini, G (2002), </w:t>
      </w:r>
      <w:r>
        <w:rPr>
          <w:sz w:val="24"/>
        </w:rPr>
        <w:t>The recent performance of the UK labour market’,</w:t>
      </w:r>
    </w:p>
    <w:p>
      <w:pPr>
        <w:spacing w:before="138"/>
        <w:ind w:left="120" w:right="0" w:firstLine="0"/>
        <w:jc w:val="left"/>
        <w:rPr>
          <w:sz w:val="24"/>
        </w:rPr>
      </w:pPr>
      <w:r>
        <w:rPr>
          <w:i/>
          <w:sz w:val="24"/>
        </w:rPr>
        <w:t>Oxford Review of Economic Policy</w:t>
      </w:r>
      <w:r>
        <w:rPr>
          <w:sz w:val="24"/>
        </w:rPr>
        <w:t>, Vol 18, Issue 2.</w:t>
      </w:r>
    </w:p>
    <w:p>
      <w:pPr>
        <w:pStyle w:val="BodyText"/>
        <w:rPr>
          <w:sz w:val="26"/>
        </w:rPr>
      </w:pPr>
    </w:p>
    <w:p>
      <w:pPr>
        <w:pStyle w:val="BodyText"/>
        <w:spacing w:before="11"/>
        <w:rPr>
          <w:sz w:val="21"/>
        </w:rPr>
      </w:pPr>
    </w:p>
    <w:p>
      <w:pPr>
        <w:spacing w:line="360" w:lineRule="auto" w:before="0"/>
        <w:ind w:left="120" w:right="201" w:firstLine="0"/>
        <w:jc w:val="left"/>
        <w:rPr>
          <w:sz w:val="24"/>
        </w:rPr>
      </w:pPr>
      <w:r>
        <w:rPr>
          <w:b/>
          <w:sz w:val="24"/>
        </w:rPr>
        <w:t>Philippon, T (2003) </w:t>
      </w:r>
      <w:r>
        <w:rPr>
          <w:sz w:val="24"/>
        </w:rPr>
        <w:t>“An explanation for the joint evolution of firm and aggregate volatility” </w:t>
      </w:r>
      <w:r>
        <w:rPr>
          <w:i/>
          <w:sz w:val="24"/>
        </w:rPr>
        <w:t>mimeo NYU</w:t>
      </w:r>
      <w:r>
        <w:rPr>
          <w:sz w:val="24"/>
        </w:rPr>
        <w:t>.</w:t>
      </w:r>
    </w:p>
    <w:p>
      <w:pPr>
        <w:spacing w:after="0" w:line="360" w:lineRule="auto"/>
        <w:jc w:val="left"/>
        <w:rPr>
          <w:sz w:val="24"/>
        </w:rPr>
        <w:sectPr>
          <w:pgSz w:w="11900" w:h="16840"/>
          <w:pgMar w:header="716" w:footer="0" w:top="1300" w:bottom="280" w:left="1680" w:right="1160"/>
        </w:sectPr>
      </w:pPr>
    </w:p>
    <w:p>
      <w:pPr>
        <w:pStyle w:val="BodyText"/>
        <w:spacing w:before="6"/>
        <w:rPr>
          <w:sz w:val="22"/>
        </w:rPr>
      </w:pPr>
    </w:p>
    <w:p>
      <w:pPr>
        <w:pStyle w:val="BodyText"/>
        <w:spacing w:before="90"/>
        <w:ind w:left="119" w:right="115"/>
        <w:jc w:val="both"/>
      </w:pPr>
      <w:r>
        <w:rPr>
          <w:b/>
        </w:rPr>
        <w:t>Stock, J. and Watson, M. (2003) </w:t>
      </w:r>
      <w:r>
        <w:rPr/>
        <w:t>“Has the business cycle changed? Evidence and Explanations”, Federal Reserve Board of Kansas City Symposium, Monetary Policy and Uncertainty.</w:t>
      </w:r>
    </w:p>
    <w:p>
      <w:pPr>
        <w:spacing w:after="0"/>
        <w:jc w:val="both"/>
        <w:sectPr>
          <w:pgSz w:w="11900" w:h="16840"/>
          <w:pgMar w:header="716" w:footer="0" w:top="1300" w:bottom="280" w:left="1680" w:right="1160"/>
        </w:sectPr>
      </w:pPr>
    </w:p>
    <w:p>
      <w:pPr>
        <w:pStyle w:val="Heading1"/>
        <w:ind w:left="120"/>
      </w:pPr>
      <w:r>
        <w:rPr/>
        <w:t>Table 1: Annual average growth rates (%)</w:t>
      </w:r>
    </w:p>
    <w:p>
      <w:pPr>
        <w:pStyle w:val="BodyText"/>
        <w:spacing w:before="10"/>
        <w:rPr>
          <w:b/>
          <w:sz w:val="1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1412"/>
        <w:gridCol w:w="1596"/>
        <w:gridCol w:w="1582"/>
        <w:gridCol w:w="1939"/>
      </w:tblGrid>
      <w:tr>
        <w:trPr>
          <w:trHeight w:val="818" w:hRule="atLeast"/>
        </w:trPr>
        <w:tc>
          <w:tcPr>
            <w:tcW w:w="2187" w:type="dxa"/>
            <w:tcBorders>
              <w:top w:val="single" w:sz="8" w:space="0" w:color="000000"/>
              <w:left w:val="single" w:sz="8" w:space="0" w:color="000000"/>
            </w:tcBorders>
          </w:tcPr>
          <w:p>
            <w:pPr>
              <w:pStyle w:val="TableParagraph"/>
              <w:rPr>
                <w:rFonts w:ascii="Times New Roman"/>
                <w:sz w:val="18"/>
              </w:rPr>
            </w:pPr>
          </w:p>
        </w:tc>
        <w:tc>
          <w:tcPr>
            <w:tcW w:w="1412" w:type="dxa"/>
            <w:tcBorders>
              <w:top w:val="single" w:sz="8" w:space="0" w:color="000000"/>
            </w:tcBorders>
          </w:tcPr>
          <w:p>
            <w:pPr>
              <w:pStyle w:val="TableParagraph"/>
              <w:rPr>
                <w:rFonts w:ascii="Times New Roman"/>
                <w:b/>
                <w:sz w:val="22"/>
              </w:rPr>
            </w:pPr>
          </w:p>
          <w:p>
            <w:pPr>
              <w:pStyle w:val="TableParagraph"/>
              <w:ind w:left="180"/>
              <w:rPr>
                <w:b/>
                <w:sz w:val="20"/>
              </w:rPr>
            </w:pPr>
            <w:r>
              <w:rPr>
                <w:b/>
                <w:sz w:val="20"/>
              </w:rPr>
              <w:t>1980Q1 -</w:t>
            </w:r>
          </w:p>
          <w:p>
            <w:pPr>
              <w:pStyle w:val="TableParagraph"/>
              <w:spacing w:before="1"/>
              <w:ind w:left="180"/>
              <w:rPr>
                <w:b/>
                <w:sz w:val="20"/>
              </w:rPr>
            </w:pPr>
            <w:r>
              <w:rPr>
                <w:b/>
                <w:sz w:val="20"/>
              </w:rPr>
              <w:t>2005Q2</w:t>
            </w:r>
          </w:p>
        </w:tc>
        <w:tc>
          <w:tcPr>
            <w:tcW w:w="1596" w:type="dxa"/>
            <w:tcBorders>
              <w:top w:val="single" w:sz="8" w:space="0" w:color="000000"/>
            </w:tcBorders>
          </w:tcPr>
          <w:p>
            <w:pPr>
              <w:pStyle w:val="TableParagraph"/>
              <w:rPr>
                <w:rFonts w:ascii="Times New Roman"/>
                <w:b/>
                <w:sz w:val="22"/>
              </w:rPr>
            </w:pPr>
          </w:p>
          <w:p>
            <w:pPr>
              <w:pStyle w:val="TableParagraph"/>
              <w:ind w:left="401"/>
              <w:rPr>
                <w:b/>
                <w:sz w:val="20"/>
              </w:rPr>
            </w:pPr>
            <w:r>
              <w:rPr>
                <w:b/>
                <w:sz w:val="20"/>
              </w:rPr>
              <w:t>1992Q1 -</w:t>
            </w:r>
          </w:p>
          <w:p>
            <w:pPr>
              <w:pStyle w:val="TableParagraph"/>
              <w:spacing w:before="1"/>
              <w:ind w:left="401"/>
              <w:rPr>
                <w:b/>
                <w:sz w:val="20"/>
              </w:rPr>
            </w:pPr>
            <w:r>
              <w:rPr>
                <w:b/>
                <w:sz w:val="20"/>
              </w:rPr>
              <w:t>2005Q2</w:t>
            </w:r>
          </w:p>
        </w:tc>
        <w:tc>
          <w:tcPr>
            <w:tcW w:w="1582" w:type="dxa"/>
            <w:tcBorders>
              <w:top w:val="single" w:sz="8" w:space="0" w:color="000000"/>
            </w:tcBorders>
          </w:tcPr>
          <w:p>
            <w:pPr>
              <w:pStyle w:val="TableParagraph"/>
              <w:rPr>
                <w:rFonts w:ascii="Times New Roman"/>
                <w:b/>
                <w:sz w:val="22"/>
              </w:rPr>
            </w:pPr>
          </w:p>
          <w:p>
            <w:pPr>
              <w:pStyle w:val="TableParagraph"/>
              <w:ind w:left="377"/>
              <w:rPr>
                <w:b/>
                <w:sz w:val="20"/>
              </w:rPr>
            </w:pPr>
            <w:r>
              <w:rPr>
                <w:b/>
                <w:sz w:val="20"/>
              </w:rPr>
              <w:t>1997Q2 -</w:t>
            </w:r>
          </w:p>
          <w:p>
            <w:pPr>
              <w:pStyle w:val="TableParagraph"/>
              <w:spacing w:before="1"/>
              <w:ind w:left="377"/>
              <w:rPr>
                <w:b/>
                <w:sz w:val="20"/>
              </w:rPr>
            </w:pPr>
            <w:r>
              <w:rPr>
                <w:b/>
                <w:sz w:val="20"/>
              </w:rPr>
              <w:t>2005Q2</w:t>
            </w:r>
          </w:p>
        </w:tc>
        <w:tc>
          <w:tcPr>
            <w:tcW w:w="1939" w:type="dxa"/>
            <w:tcBorders>
              <w:top w:val="single" w:sz="8" w:space="0" w:color="000000"/>
              <w:right w:val="single" w:sz="8" w:space="0" w:color="000000"/>
            </w:tcBorders>
          </w:tcPr>
          <w:p>
            <w:pPr>
              <w:pStyle w:val="TableParagraph"/>
              <w:rPr>
                <w:rFonts w:ascii="Times New Roman"/>
                <w:b/>
                <w:sz w:val="22"/>
              </w:rPr>
            </w:pPr>
          </w:p>
          <w:p>
            <w:pPr>
              <w:pStyle w:val="TableParagraph"/>
              <w:ind w:left="388"/>
              <w:rPr>
                <w:b/>
                <w:sz w:val="20"/>
              </w:rPr>
            </w:pPr>
            <w:r>
              <w:rPr>
                <w:b/>
                <w:sz w:val="20"/>
              </w:rPr>
              <w:t>2001Q1 -</w:t>
            </w:r>
          </w:p>
          <w:p>
            <w:pPr>
              <w:pStyle w:val="TableParagraph"/>
              <w:spacing w:before="1"/>
              <w:ind w:left="388"/>
              <w:rPr>
                <w:b/>
                <w:sz w:val="20"/>
              </w:rPr>
            </w:pPr>
            <w:r>
              <w:rPr>
                <w:b/>
                <w:sz w:val="20"/>
              </w:rPr>
              <w:t>2005Q2</w:t>
            </w:r>
          </w:p>
        </w:tc>
      </w:tr>
      <w:tr>
        <w:trPr>
          <w:trHeight w:val="332" w:hRule="atLeast"/>
        </w:trPr>
        <w:tc>
          <w:tcPr>
            <w:tcW w:w="2187" w:type="dxa"/>
            <w:tcBorders>
              <w:left w:val="single" w:sz="8" w:space="0" w:color="000000"/>
            </w:tcBorders>
          </w:tcPr>
          <w:p>
            <w:pPr>
              <w:pStyle w:val="TableParagraph"/>
              <w:spacing w:line="213" w:lineRule="exact" w:before="99"/>
              <w:ind w:left="107"/>
              <w:rPr>
                <w:b/>
                <w:sz w:val="20"/>
              </w:rPr>
            </w:pPr>
            <w:r>
              <w:rPr>
                <w:b/>
                <w:sz w:val="20"/>
              </w:rPr>
              <w:t>GDP</w:t>
            </w:r>
          </w:p>
        </w:tc>
        <w:tc>
          <w:tcPr>
            <w:tcW w:w="1412" w:type="dxa"/>
          </w:tcPr>
          <w:p>
            <w:pPr>
              <w:pStyle w:val="TableParagraph"/>
              <w:spacing w:line="215" w:lineRule="exact" w:before="98"/>
              <w:ind w:right="381"/>
              <w:jc w:val="right"/>
              <w:rPr>
                <w:sz w:val="20"/>
              </w:rPr>
            </w:pPr>
            <w:r>
              <w:rPr>
                <w:sz w:val="20"/>
              </w:rPr>
              <w:t>2.4</w:t>
            </w:r>
          </w:p>
        </w:tc>
        <w:tc>
          <w:tcPr>
            <w:tcW w:w="1596" w:type="dxa"/>
          </w:tcPr>
          <w:p>
            <w:pPr>
              <w:pStyle w:val="TableParagraph"/>
              <w:spacing w:line="215" w:lineRule="exact" w:before="98"/>
              <w:ind w:right="375"/>
              <w:jc w:val="right"/>
              <w:rPr>
                <w:sz w:val="20"/>
              </w:rPr>
            </w:pPr>
            <w:r>
              <w:rPr>
                <w:sz w:val="20"/>
              </w:rPr>
              <w:t>2.7</w:t>
            </w:r>
          </w:p>
        </w:tc>
        <w:tc>
          <w:tcPr>
            <w:tcW w:w="1582" w:type="dxa"/>
          </w:tcPr>
          <w:p>
            <w:pPr>
              <w:pStyle w:val="TableParagraph"/>
              <w:spacing w:line="215" w:lineRule="exact" w:before="98"/>
              <w:ind w:right="375"/>
              <w:jc w:val="right"/>
              <w:rPr>
                <w:sz w:val="20"/>
              </w:rPr>
            </w:pPr>
            <w:r>
              <w:rPr>
                <w:sz w:val="20"/>
              </w:rPr>
              <w:t>2.8</w:t>
            </w:r>
          </w:p>
        </w:tc>
        <w:tc>
          <w:tcPr>
            <w:tcW w:w="1939" w:type="dxa"/>
            <w:tcBorders>
              <w:right w:val="single" w:sz="8" w:space="0" w:color="000000"/>
            </w:tcBorders>
          </w:tcPr>
          <w:p>
            <w:pPr>
              <w:pStyle w:val="TableParagraph"/>
              <w:spacing w:line="215" w:lineRule="exact" w:before="98"/>
              <w:ind w:right="673"/>
              <w:jc w:val="right"/>
              <w:rPr>
                <w:sz w:val="20"/>
              </w:rPr>
            </w:pPr>
            <w:r>
              <w:rPr>
                <w:sz w:val="20"/>
              </w:rPr>
              <w:t>2.3</w:t>
            </w:r>
          </w:p>
        </w:tc>
      </w:tr>
      <w:tr>
        <w:trPr>
          <w:trHeight w:val="547" w:hRule="atLeast"/>
        </w:trPr>
        <w:tc>
          <w:tcPr>
            <w:tcW w:w="2187" w:type="dxa"/>
            <w:tcBorders>
              <w:left w:val="single" w:sz="8" w:space="0" w:color="000000"/>
            </w:tcBorders>
          </w:tcPr>
          <w:p>
            <w:pPr>
              <w:pStyle w:val="TableParagraph"/>
              <w:ind w:left="107" w:right="394"/>
              <w:rPr>
                <w:b/>
                <w:sz w:val="20"/>
              </w:rPr>
            </w:pPr>
            <w:r>
              <w:rPr>
                <w:b/>
                <w:sz w:val="20"/>
              </w:rPr>
              <w:t>GDP/working age population</w:t>
            </w:r>
          </w:p>
        </w:tc>
        <w:tc>
          <w:tcPr>
            <w:tcW w:w="1412" w:type="dxa"/>
          </w:tcPr>
          <w:p>
            <w:pPr>
              <w:pStyle w:val="TableParagraph"/>
              <w:spacing w:before="7"/>
              <w:rPr>
                <w:rFonts w:ascii="Times New Roman"/>
                <w:b/>
                <w:sz w:val="19"/>
              </w:rPr>
            </w:pPr>
          </w:p>
          <w:p>
            <w:pPr>
              <w:pStyle w:val="TableParagraph"/>
              <w:ind w:right="381"/>
              <w:jc w:val="right"/>
              <w:rPr>
                <w:sz w:val="20"/>
              </w:rPr>
            </w:pPr>
            <w:r>
              <w:rPr>
                <w:sz w:val="20"/>
              </w:rPr>
              <w:t>1.9</w:t>
            </w:r>
          </w:p>
        </w:tc>
        <w:tc>
          <w:tcPr>
            <w:tcW w:w="1596" w:type="dxa"/>
          </w:tcPr>
          <w:p>
            <w:pPr>
              <w:pStyle w:val="TableParagraph"/>
              <w:spacing w:before="7"/>
              <w:rPr>
                <w:rFonts w:ascii="Times New Roman"/>
                <w:b/>
                <w:sz w:val="19"/>
              </w:rPr>
            </w:pPr>
          </w:p>
          <w:p>
            <w:pPr>
              <w:pStyle w:val="TableParagraph"/>
              <w:ind w:right="375"/>
              <w:jc w:val="right"/>
              <w:rPr>
                <w:sz w:val="20"/>
              </w:rPr>
            </w:pPr>
            <w:r>
              <w:rPr>
                <w:sz w:val="20"/>
              </w:rPr>
              <w:t>2.3</w:t>
            </w:r>
          </w:p>
        </w:tc>
        <w:tc>
          <w:tcPr>
            <w:tcW w:w="1582" w:type="dxa"/>
          </w:tcPr>
          <w:p>
            <w:pPr>
              <w:pStyle w:val="TableParagraph"/>
              <w:spacing w:before="7"/>
              <w:rPr>
                <w:rFonts w:ascii="Times New Roman"/>
                <w:b/>
                <w:sz w:val="19"/>
              </w:rPr>
            </w:pPr>
          </w:p>
          <w:p>
            <w:pPr>
              <w:pStyle w:val="TableParagraph"/>
              <w:ind w:right="375"/>
              <w:jc w:val="right"/>
              <w:rPr>
                <w:sz w:val="20"/>
              </w:rPr>
            </w:pPr>
            <w:r>
              <w:rPr>
                <w:sz w:val="20"/>
              </w:rPr>
              <w:t>2.3</w:t>
            </w:r>
          </w:p>
        </w:tc>
        <w:tc>
          <w:tcPr>
            <w:tcW w:w="1939" w:type="dxa"/>
            <w:tcBorders>
              <w:right w:val="single" w:sz="8" w:space="0" w:color="000000"/>
            </w:tcBorders>
          </w:tcPr>
          <w:p>
            <w:pPr>
              <w:pStyle w:val="TableParagraph"/>
              <w:spacing w:before="7"/>
              <w:rPr>
                <w:rFonts w:ascii="Times New Roman"/>
                <w:b/>
                <w:sz w:val="19"/>
              </w:rPr>
            </w:pPr>
          </w:p>
          <w:p>
            <w:pPr>
              <w:pStyle w:val="TableParagraph"/>
              <w:ind w:right="673"/>
              <w:jc w:val="right"/>
              <w:rPr>
                <w:sz w:val="20"/>
              </w:rPr>
            </w:pPr>
            <w:r>
              <w:rPr>
                <w:sz w:val="20"/>
              </w:rPr>
              <w:t>1.7</w:t>
            </w:r>
          </w:p>
        </w:tc>
      </w:tr>
      <w:tr>
        <w:trPr>
          <w:trHeight w:val="297" w:hRule="atLeast"/>
        </w:trPr>
        <w:tc>
          <w:tcPr>
            <w:tcW w:w="2187" w:type="dxa"/>
            <w:tcBorders>
              <w:left w:val="single" w:sz="8" w:space="0" w:color="000000"/>
              <w:bottom w:val="single" w:sz="8" w:space="0" w:color="000000"/>
            </w:tcBorders>
          </w:tcPr>
          <w:p>
            <w:pPr>
              <w:pStyle w:val="TableParagraph"/>
              <w:spacing w:line="192" w:lineRule="exact" w:before="84"/>
              <w:ind w:left="107"/>
              <w:rPr>
                <w:b/>
                <w:sz w:val="20"/>
              </w:rPr>
            </w:pPr>
            <w:r>
              <w:rPr>
                <w:b/>
                <w:sz w:val="20"/>
              </w:rPr>
              <w:t>GDP/16+ population</w:t>
            </w:r>
          </w:p>
        </w:tc>
        <w:tc>
          <w:tcPr>
            <w:tcW w:w="1412" w:type="dxa"/>
            <w:tcBorders>
              <w:bottom w:val="single" w:sz="8" w:space="0" w:color="000000"/>
            </w:tcBorders>
          </w:tcPr>
          <w:p>
            <w:pPr>
              <w:pStyle w:val="TableParagraph"/>
              <w:spacing w:line="194" w:lineRule="exact" w:before="83"/>
              <w:ind w:right="381"/>
              <w:jc w:val="right"/>
              <w:rPr>
                <w:sz w:val="20"/>
              </w:rPr>
            </w:pPr>
            <w:r>
              <w:rPr>
                <w:sz w:val="20"/>
              </w:rPr>
              <w:t>1.9</w:t>
            </w:r>
          </w:p>
        </w:tc>
        <w:tc>
          <w:tcPr>
            <w:tcW w:w="1596" w:type="dxa"/>
            <w:tcBorders>
              <w:bottom w:val="single" w:sz="8" w:space="0" w:color="000000"/>
            </w:tcBorders>
          </w:tcPr>
          <w:p>
            <w:pPr>
              <w:pStyle w:val="TableParagraph"/>
              <w:spacing w:line="194" w:lineRule="exact" w:before="83"/>
              <w:ind w:right="375"/>
              <w:jc w:val="right"/>
              <w:rPr>
                <w:sz w:val="20"/>
              </w:rPr>
            </w:pPr>
            <w:r>
              <w:rPr>
                <w:sz w:val="20"/>
              </w:rPr>
              <w:t>2.3</w:t>
            </w:r>
          </w:p>
        </w:tc>
        <w:tc>
          <w:tcPr>
            <w:tcW w:w="1582" w:type="dxa"/>
            <w:tcBorders>
              <w:bottom w:val="single" w:sz="8" w:space="0" w:color="000000"/>
            </w:tcBorders>
          </w:tcPr>
          <w:p>
            <w:pPr>
              <w:pStyle w:val="TableParagraph"/>
              <w:spacing w:line="194" w:lineRule="exact" w:before="83"/>
              <w:ind w:right="375"/>
              <w:jc w:val="right"/>
              <w:rPr>
                <w:sz w:val="20"/>
              </w:rPr>
            </w:pPr>
            <w:r>
              <w:rPr>
                <w:sz w:val="20"/>
              </w:rPr>
              <w:t>2.3</w:t>
            </w:r>
          </w:p>
        </w:tc>
        <w:tc>
          <w:tcPr>
            <w:tcW w:w="1939" w:type="dxa"/>
            <w:tcBorders>
              <w:bottom w:val="single" w:sz="8" w:space="0" w:color="000000"/>
              <w:right w:val="single" w:sz="8" w:space="0" w:color="000000"/>
            </w:tcBorders>
          </w:tcPr>
          <w:p>
            <w:pPr>
              <w:pStyle w:val="TableParagraph"/>
              <w:spacing w:line="194" w:lineRule="exact" w:before="83"/>
              <w:ind w:right="673"/>
              <w:jc w:val="right"/>
              <w:rPr>
                <w:sz w:val="20"/>
              </w:rPr>
            </w:pPr>
            <w:r>
              <w:rPr>
                <w:sz w:val="20"/>
              </w:rPr>
              <w:t>1.7</w:t>
            </w:r>
          </w:p>
        </w:tc>
      </w:tr>
    </w:tbl>
    <w:p>
      <w:pPr>
        <w:pStyle w:val="BodyText"/>
        <w:rPr>
          <w:b/>
          <w:sz w:val="26"/>
        </w:rPr>
      </w:pPr>
    </w:p>
    <w:p>
      <w:pPr>
        <w:pStyle w:val="BodyText"/>
        <w:rPr>
          <w:b/>
          <w:sz w:val="26"/>
        </w:rPr>
      </w:pPr>
    </w:p>
    <w:p>
      <w:pPr>
        <w:pStyle w:val="BodyText"/>
        <w:rPr>
          <w:b/>
          <w:sz w:val="26"/>
        </w:rPr>
      </w:pPr>
    </w:p>
    <w:p>
      <w:pPr>
        <w:spacing w:before="196"/>
        <w:ind w:left="768" w:right="0" w:firstLine="0"/>
        <w:jc w:val="left"/>
        <w:rPr>
          <w:b/>
          <w:sz w:val="24"/>
        </w:rPr>
      </w:pPr>
      <w:r>
        <w:rPr>
          <w:b/>
          <w:sz w:val="24"/>
        </w:rPr>
        <w:t>Chart 1: Volatility of firm-level real sales growth (balanced panel)</w:t>
      </w:r>
    </w:p>
    <w:p>
      <w:pPr>
        <w:spacing w:line="244" w:lineRule="auto" w:before="41"/>
        <w:ind w:left="5529" w:right="2199" w:firstLine="0"/>
        <w:jc w:val="left"/>
        <w:rPr>
          <w:b/>
          <w:sz w:val="16"/>
        </w:rPr>
      </w:pPr>
      <w:r>
        <w:rPr>
          <w:b/>
          <w:sz w:val="16"/>
        </w:rPr>
        <w:t>Standard deviation Per cent</w:t>
      </w:r>
    </w:p>
    <w:p>
      <w:pPr>
        <w:pStyle w:val="BodyText"/>
        <w:spacing w:before="2"/>
        <w:rPr>
          <w:b/>
          <w:sz w:val="11"/>
        </w:rPr>
      </w:pPr>
    </w:p>
    <w:p>
      <w:pPr>
        <w:spacing w:before="0"/>
        <w:ind w:left="0" w:right="1876" w:firstLine="0"/>
        <w:jc w:val="right"/>
        <w:rPr>
          <w:b/>
          <w:sz w:val="13"/>
        </w:rPr>
      </w:pPr>
      <w:r>
        <w:rPr/>
        <w:pict>
          <v:group style="position:absolute;margin-left:137.190002pt;margin-top:4.118652pt;width:293.350pt;height:155.75pt;mso-position-horizontal-relative:page;mso-position-vertical-relative:paragraph;z-index:251683840" coordorigin="2744,82" coordsize="5867,3115">
            <v:shape style="position:absolute;left:2744;top:82;width:5866;height:3114" coordorigin="2744,83" coordsize="5866,3114" path="m8566,83l8566,3160m8566,3160l8610,3160m8566,2848l8610,2848m8566,2549l8610,2549m8566,2238l8610,2238m8566,1926l8610,1926m8566,1615l8610,1615m8566,1317l8610,1317m8566,1005l8610,1005m8566,694l8610,694m8566,395l8610,395m8566,83l8610,83m2744,3160l8566,3160m2744,3197l2744,3160m3545,3197l3545,3160m4344,3197l4344,3160m5159,3197l5159,3160m5959,3197l5959,3160m6758,3197l6758,3160m7559,3197l7559,3160m8358,3197l8358,3160e" filled="false" stroked="true" strokeweight=".06pt" strokecolor="#000000">
              <v:path arrowok="t"/>
              <v:stroke dashstyle="solid"/>
            </v:shape>
            <v:shape style="position:absolute;left:4759;top:1240;width:3599;height:935" coordorigin="4759,1241" coordsize="3599,935" path="m4759,1988l4951,2176,5159,2039,5352,1877,5559,1602,5752,1478,5959,1565,6151,1590,6359,1502,6551,1553,6759,1664,6966,1727,7159,1727,7366,1640,7559,1963,7767,1826,7959,1715,8166,1391,8358,1241e" filled="false" stroked="true" strokeweight="1.259950pt" strokecolor="#000080">
              <v:path arrowok="t"/>
              <v:stroke dashstyle="solid"/>
            </v:shape>
            <v:line style="position:absolute" from="8358,1241" to="8566,1117" stroked="true" strokeweight="1.306855pt" strokecolor="#000080">
              <v:stroke dashstyle="solid"/>
            </v:line>
            <v:shape style="position:absolute;left:3944;top:1054;width:4414;height:1607" coordorigin="3945,1055" coordsize="4414,1607" path="m3945,2486l4152,2400,4344,2662,4552,2387,4759,2125,4951,2076,5159,1826,5352,2362,5559,2324,5752,2362,5959,2225,6151,1565,6359,1391,6551,1602,6759,2150,6966,2562,7159,2486,7366,2500,7559,2599,7767,2101,7959,1877,8166,1303,8358,1055e" filled="false" stroked="true" strokeweight="1.272667pt" strokecolor="#ff00ff">
              <v:path arrowok="t"/>
              <v:stroke dashstyle="solid"/>
            </v:shape>
            <v:line style="position:absolute" from="8358,1055" to="8566,992" stroked="true" strokeweight="1.264592pt" strokecolor="#ff00ff">
              <v:stroke dashstyle="solid"/>
            </v:line>
            <v:line style="position:absolute" from="3115,581" to="3470,581" stroked="true" strokeweight="1.245014pt" strokecolor="#000080">
              <v:stroke dashstyle="solid"/>
            </v:line>
            <v:line style="position:absolute" from="3115,756" to="3470,756" stroked="true" strokeweight="1.245014pt" strokecolor="#ff00ff">
              <v:stroke dashstyle="solid"/>
            </v:line>
            <v:shape style="position:absolute;left:3514;top:497;width:1452;height:326" type="#_x0000_t202" filled="false" stroked="false">
              <v:textbox inset="0,0,0,0">
                <w:txbxContent>
                  <w:p>
                    <w:pPr>
                      <w:spacing w:line="278" w:lineRule="auto" w:before="0"/>
                      <w:ind w:left="0" w:right="10" w:firstLine="0"/>
                      <w:jc w:val="left"/>
                      <w:rPr>
                        <w:b/>
                        <w:sz w:val="13"/>
                      </w:rPr>
                    </w:pPr>
                    <w:r>
                      <w:rPr>
                        <w:b/>
                        <w:w w:val="105"/>
                        <w:sz w:val="13"/>
                      </w:rPr>
                      <w:t>Te</w:t>
                    </w:r>
                    <w:r>
                      <w:rPr>
                        <w:b/>
                        <w:spacing w:val="-6"/>
                        <w:w w:val="105"/>
                        <w:sz w:val="13"/>
                      </w:rPr>
                      <w:t> </w:t>
                    </w:r>
                    <w:r>
                      <w:rPr>
                        <w:b/>
                        <w:w w:val="105"/>
                        <w:sz w:val="13"/>
                      </w:rPr>
                      <w:t>n</w:t>
                    </w:r>
                    <w:r>
                      <w:rPr>
                        <w:b/>
                        <w:spacing w:val="-7"/>
                        <w:w w:val="105"/>
                        <w:sz w:val="13"/>
                      </w:rPr>
                      <w:t> </w:t>
                    </w:r>
                    <w:r>
                      <w:rPr>
                        <w:b/>
                        <w:w w:val="105"/>
                        <w:sz w:val="13"/>
                      </w:rPr>
                      <w:t>-</w:t>
                    </w:r>
                    <w:r>
                      <w:rPr>
                        <w:b/>
                        <w:spacing w:val="-20"/>
                        <w:w w:val="105"/>
                        <w:sz w:val="13"/>
                      </w:rPr>
                      <w:t> </w:t>
                    </w:r>
                    <w:r>
                      <w:rPr>
                        <w:b/>
                        <w:spacing w:val="10"/>
                        <w:w w:val="105"/>
                        <w:sz w:val="13"/>
                      </w:rPr>
                      <w:t>ye</w:t>
                    </w:r>
                    <w:r>
                      <w:rPr>
                        <w:b/>
                        <w:spacing w:val="-6"/>
                        <w:w w:val="105"/>
                        <w:sz w:val="13"/>
                      </w:rPr>
                      <w:t> </w:t>
                    </w:r>
                    <w:r>
                      <w:rPr>
                        <w:b/>
                        <w:spacing w:val="10"/>
                        <w:w w:val="105"/>
                        <w:sz w:val="13"/>
                      </w:rPr>
                      <w:t>ar</w:t>
                    </w:r>
                    <w:r>
                      <w:rPr>
                        <w:b/>
                        <w:spacing w:val="26"/>
                        <w:w w:val="105"/>
                        <w:sz w:val="13"/>
                      </w:rPr>
                      <w:t> </w:t>
                    </w:r>
                    <w:r>
                      <w:rPr>
                        <w:b/>
                        <w:w w:val="105"/>
                        <w:sz w:val="13"/>
                      </w:rPr>
                      <w:t>vo</w:t>
                    </w:r>
                    <w:r>
                      <w:rPr>
                        <w:b/>
                        <w:spacing w:val="-12"/>
                        <w:w w:val="105"/>
                        <w:sz w:val="13"/>
                      </w:rPr>
                      <w:t> </w:t>
                    </w:r>
                    <w:r>
                      <w:rPr>
                        <w:b/>
                        <w:spacing w:val="13"/>
                        <w:w w:val="105"/>
                        <w:sz w:val="13"/>
                      </w:rPr>
                      <w:t>lati</w:t>
                    </w:r>
                    <w:r>
                      <w:rPr>
                        <w:b/>
                        <w:spacing w:val="-12"/>
                        <w:w w:val="105"/>
                        <w:sz w:val="13"/>
                      </w:rPr>
                      <w:t> </w:t>
                    </w:r>
                    <w:r>
                      <w:rPr>
                        <w:b/>
                        <w:spacing w:val="13"/>
                        <w:w w:val="105"/>
                        <w:sz w:val="13"/>
                      </w:rPr>
                      <w:t>lity </w:t>
                    </w:r>
                    <w:r>
                      <w:rPr>
                        <w:b/>
                        <w:spacing w:val="2"/>
                        <w:w w:val="105"/>
                        <w:sz w:val="13"/>
                      </w:rPr>
                      <w:t>Fi</w:t>
                    </w:r>
                    <w:r>
                      <w:rPr>
                        <w:b/>
                        <w:spacing w:val="-14"/>
                        <w:w w:val="105"/>
                        <w:sz w:val="13"/>
                      </w:rPr>
                      <w:t> </w:t>
                    </w:r>
                    <w:r>
                      <w:rPr>
                        <w:b/>
                        <w:spacing w:val="2"/>
                        <w:w w:val="105"/>
                        <w:sz w:val="13"/>
                      </w:rPr>
                      <w:t>ve</w:t>
                    </w:r>
                    <w:r>
                      <w:rPr>
                        <w:b/>
                        <w:spacing w:val="-6"/>
                        <w:w w:val="105"/>
                        <w:sz w:val="13"/>
                      </w:rPr>
                      <w:t> </w:t>
                    </w:r>
                    <w:r>
                      <w:rPr>
                        <w:b/>
                        <w:w w:val="105"/>
                        <w:sz w:val="13"/>
                      </w:rPr>
                      <w:t>-</w:t>
                    </w:r>
                    <w:r>
                      <w:rPr>
                        <w:b/>
                        <w:spacing w:val="-21"/>
                        <w:w w:val="105"/>
                        <w:sz w:val="13"/>
                      </w:rPr>
                      <w:t> </w:t>
                    </w:r>
                    <w:r>
                      <w:rPr>
                        <w:b/>
                        <w:w w:val="105"/>
                        <w:sz w:val="13"/>
                      </w:rPr>
                      <w:t>y</w:t>
                    </w:r>
                    <w:r>
                      <w:rPr>
                        <w:b/>
                        <w:spacing w:val="-12"/>
                        <w:w w:val="105"/>
                        <w:sz w:val="13"/>
                      </w:rPr>
                      <w:t> </w:t>
                    </w:r>
                    <w:r>
                      <w:rPr>
                        <w:b/>
                        <w:w w:val="105"/>
                        <w:sz w:val="13"/>
                      </w:rPr>
                      <w:t>e</w:t>
                    </w:r>
                    <w:r>
                      <w:rPr>
                        <w:b/>
                        <w:spacing w:val="-6"/>
                        <w:w w:val="105"/>
                        <w:sz w:val="13"/>
                      </w:rPr>
                      <w:t> </w:t>
                    </w:r>
                    <w:r>
                      <w:rPr>
                        <w:b/>
                        <w:w w:val="105"/>
                        <w:sz w:val="13"/>
                      </w:rPr>
                      <w:t>a</w:t>
                    </w:r>
                    <w:r>
                      <w:rPr>
                        <w:b/>
                        <w:spacing w:val="-14"/>
                        <w:w w:val="105"/>
                        <w:sz w:val="13"/>
                      </w:rPr>
                      <w:t> </w:t>
                    </w:r>
                    <w:r>
                      <w:rPr>
                        <w:b/>
                        <w:w w:val="105"/>
                        <w:sz w:val="13"/>
                      </w:rPr>
                      <w:t>r</w:t>
                    </w:r>
                    <w:r>
                      <w:rPr>
                        <w:b/>
                        <w:spacing w:val="23"/>
                        <w:w w:val="105"/>
                        <w:sz w:val="13"/>
                      </w:rPr>
                      <w:t> </w:t>
                    </w:r>
                    <w:r>
                      <w:rPr>
                        <w:b/>
                        <w:spacing w:val="2"/>
                        <w:w w:val="105"/>
                        <w:sz w:val="13"/>
                      </w:rPr>
                      <w:t>vo</w:t>
                    </w:r>
                    <w:r>
                      <w:rPr>
                        <w:b/>
                        <w:spacing w:val="-14"/>
                        <w:w w:val="105"/>
                        <w:sz w:val="13"/>
                      </w:rPr>
                      <w:t> </w:t>
                    </w:r>
                    <w:r>
                      <w:rPr>
                        <w:b/>
                        <w:w w:val="105"/>
                        <w:sz w:val="13"/>
                      </w:rPr>
                      <w:t>l</w:t>
                    </w:r>
                    <w:r>
                      <w:rPr>
                        <w:b/>
                        <w:spacing w:val="-12"/>
                        <w:w w:val="105"/>
                        <w:sz w:val="13"/>
                      </w:rPr>
                      <w:t> </w:t>
                    </w:r>
                    <w:r>
                      <w:rPr>
                        <w:b/>
                        <w:w w:val="105"/>
                        <w:sz w:val="13"/>
                      </w:rPr>
                      <w:t>a</w:t>
                    </w:r>
                    <w:r>
                      <w:rPr>
                        <w:b/>
                        <w:spacing w:val="-14"/>
                        <w:w w:val="105"/>
                        <w:sz w:val="13"/>
                      </w:rPr>
                      <w:t> </w:t>
                    </w:r>
                    <w:r>
                      <w:rPr>
                        <w:b/>
                        <w:spacing w:val="6"/>
                        <w:w w:val="105"/>
                        <w:sz w:val="13"/>
                      </w:rPr>
                      <w:t>ti</w:t>
                    </w:r>
                    <w:r>
                      <w:rPr>
                        <w:b/>
                        <w:spacing w:val="-13"/>
                        <w:w w:val="105"/>
                        <w:sz w:val="13"/>
                      </w:rPr>
                      <w:t> </w:t>
                    </w:r>
                    <w:r>
                      <w:rPr>
                        <w:b/>
                        <w:w w:val="105"/>
                        <w:sz w:val="13"/>
                      </w:rPr>
                      <w:t>l</w:t>
                    </w:r>
                    <w:r>
                      <w:rPr>
                        <w:b/>
                        <w:spacing w:val="-12"/>
                        <w:w w:val="105"/>
                        <w:sz w:val="13"/>
                      </w:rPr>
                      <w:t> </w:t>
                    </w:r>
                    <w:r>
                      <w:rPr>
                        <w:b/>
                        <w:w w:val="105"/>
                        <w:sz w:val="13"/>
                      </w:rPr>
                      <w:t>i</w:t>
                    </w:r>
                    <w:r>
                      <w:rPr>
                        <w:b/>
                        <w:spacing w:val="-14"/>
                        <w:w w:val="105"/>
                        <w:sz w:val="13"/>
                      </w:rPr>
                      <w:t> </w:t>
                    </w:r>
                    <w:r>
                      <w:rPr>
                        <w:b/>
                        <w:spacing w:val="7"/>
                        <w:w w:val="105"/>
                        <w:sz w:val="13"/>
                      </w:rPr>
                      <w:t>ty</w:t>
                    </w:r>
                  </w:p>
                </w:txbxContent>
              </v:textbox>
              <w10:wrap type="none"/>
            </v:shape>
            <w10:wrap type="none"/>
          </v:group>
        </w:pict>
      </w:r>
      <w:r>
        <w:rPr>
          <w:b/>
          <w:w w:val="105"/>
          <w:sz w:val="13"/>
        </w:rPr>
        <w:t>15</w:t>
      </w:r>
      <w:r>
        <w:rPr>
          <w:b/>
          <w:sz w:val="13"/>
        </w:rPr>
        <w:t> </w:t>
      </w:r>
    </w:p>
    <w:p>
      <w:pPr>
        <w:pStyle w:val="BodyText"/>
        <w:rPr>
          <w:b/>
          <w:sz w:val="14"/>
        </w:rPr>
      </w:pPr>
    </w:p>
    <w:p>
      <w:pPr>
        <w:spacing w:before="0"/>
        <w:ind w:left="7004" w:right="0" w:firstLine="0"/>
        <w:jc w:val="left"/>
        <w:rPr>
          <w:b/>
          <w:sz w:val="13"/>
        </w:rPr>
      </w:pPr>
      <w:r>
        <w:rPr>
          <w:b/>
          <w:w w:val="105"/>
          <w:sz w:val="13"/>
        </w:rPr>
        <w:t>14.5</w:t>
      </w:r>
    </w:p>
    <w:p>
      <w:pPr>
        <w:pStyle w:val="BodyText"/>
        <w:rPr>
          <w:b/>
          <w:sz w:val="13"/>
        </w:rPr>
      </w:pPr>
    </w:p>
    <w:p>
      <w:pPr>
        <w:spacing w:before="0"/>
        <w:ind w:left="7004" w:right="0" w:firstLine="0"/>
        <w:jc w:val="left"/>
        <w:rPr>
          <w:b/>
          <w:sz w:val="13"/>
        </w:rPr>
      </w:pPr>
      <w:r>
        <w:rPr>
          <w:b/>
          <w:w w:val="105"/>
          <w:sz w:val="13"/>
        </w:rPr>
        <w:t>14</w:t>
      </w:r>
      <w:r>
        <w:rPr>
          <w:b/>
          <w:sz w:val="13"/>
        </w:rPr>
        <w:t> </w:t>
      </w:r>
    </w:p>
    <w:p>
      <w:pPr>
        <w:pStyle w:val="BodyText"/>
        <w:spacing w:before="1"/>
        <w:rPr>
          <w:b/>
          <w:sz w:val="14"/>
        </w:rPr>
      </w:pPr>
    </w:p>
    <w:p>
      <w:pPr>
        <w:spacing w:before="0"/>
        <w:ind w:left="7004" w:right="0" w:firstLine="0"/>
        <w:jc w:val="left"/>
        <w:rPr>
          <w:b/>
          <w:sz w:val="13"/>
        </w:rPr>
      </w:pPr>
      <w:r>
        <w:rPr>
          <w:b/>
          <w:w w:val="105"/>
          <w:sz w:val="13"/>
        </w:rPr>
        <w:t>13.5</w:t>
      </w:r>
    </w:p>
    <w:p>
      <w:pPr>
        <w:pStyle w:val="BodyText"/>
        <w:spacing w:before="1"/>
        <w:rPr>
          <w:b/>
          <w:sz w:val="14"/>
        </w:rPr>
      </w:pPr>
    </w:p>
    <w:p>
      <w:pPr>
        <w:spacing w:before="0"/>
        <w:ind w:left="7004" w:right="0" w:firstLine="0"/>
        <w:jc w:val="left"/>
        <w:rPr>
          <w:b/>
          <w:sz w:val="13"/>
        </w:rPr>
      </w:pPr>
      <w:r>
        <w:rPr>
          <w:b/>
          <w:w w:val="105"/>
          <w:sz w:val="13"/>
        </w:rPr>
        <w:t>13</w:t>
      </w:r>
      <w:r>
        <w:rPr>
          <w:b/>
          <w:sz w:val="13"/>
        </w:rPr>
        <w:t> </w:t>
      </w:r>
    </w:p>
    <w:p>
      <w:pPr>
        <w:pStyle w:val="BodyText"/>
        <w:spacing w:before="11"/>
        <w:rPr>
          <w:b/>
          <w:sz w:val="12"/>
        </w:rPr>
      </w:pPr>
    </w:p>
    <w:p>
      <w:pPr>
        <w:spacing w:before="0"/>
        <w:ind w:left="7004" w:right="0" w:firstLine="0"/>
        <w:jc w:val="left"/>
        <w:rPr>
          <w:b/>
          <w:sz w:val="13"/>
        </w:rPr>
      </w:pPr>
      <w:r>
        <w:rPr>
          <w:b/>
          <w:w w:val="105"/>
          <w:sz w:val="13"/>
        </w:rPr>
        <w:t>12.5</w:t>
      </w:r>
    </w:p>
    <w:p>
      <w:pPr>
        <w:pStyle w:val="BodyText"/>
        <w:spacing w:before="1"/>
        <w:rPr>
          <w:b/>
          <w:sz w:val="14"/>
        </w:rPr>
      </w:pPr>
    </w:p>
    <w:p>
      <w:pPr>
        <w:spacing w:before="1"/>
        <w:ind w:left="0" w:right="1876" w:firstLine="0"/>
        <w:jc w:val="right"/>
        <w:rPr>
          <w:b/>
          <w:sz w:val="13"/>
        </w:rPr>
      </w:pPr>
      <w:r>
        <w:rPr>
          <w:b/>
          <w:w w:val="105"/>
          <w:sz w:val="13"/>
        </w:rPr>
        <w:t>12</w:t>
      </w:r>
      <w:r>
        <w:rPr>
          <w:b/>
          <w:sz w:val="13"/>
        </w:rPr>
        <w:t> </w:t>
      </w:r>
    </w:p>
    <w:p>
      <w:pPr>
        <w:pStyle w:val="BodyText"/>
        <w:rPr>
          <w:b/>
          <w:sz w:val="14"/>
        </w:rPr>
      </w:pPr>
    </w:p>
    <w:p>
      <w:pPr>
        <w:spacing w:before="0"/>
        <w:ind w:left="0" w:right="1763" w:firstLine="0"/>
        <w:jc w:val="right"/>
        <w:rPr>
          <w:b/>
          <w:sz w:val="13"/>
        </w:rPr>
      </w:pPr>
      <w:r>
        <w:rPr>
          <w:b/>
          <w:w w:val="105"/>
          <w:sz w:val="13"/>
        </w:rPr>
        <w:t>11.5</w:t>
      </w:r>
    </w:p>
    <w:p>
      <w:pPr>
        <w:pStyle w:val="BodyText"/>
        <w:spacing w:before="1"/>
        <w:rPr>
          <w:b/>
          <w:sz w:val="14"/>
        </w:rPr>
      </w:pPr>
    </w:p>
    <w:p>
      <w:pPr>
        <w:spacing w:before="1"/>
        <w:ind w:left="7004" w:right="0" w:firstLine="0"/>
        <w:jc w:val="left"/>
        <w:rPr>
          <w:b/>
          <w:sz w:val="13"/>
        </w:rPr>
      </w:pPr>
      <w:r>
        <w:rPr>
          <w:b/>
          <w:w w:val="105"/>
          <w:sz w:val="13"/>
        </w:rPr>
        <w:t>11</w:t>
      </w:r>
      <w:r>
        <w:rPr>
          <w:b/>
          <w:sz w:val="13"/>
        </w:rPr>
        <w:t> </w:t>
      </w:r>
    </w:p>
    <w:p>
      <w:pPr>
        <w:pStyle w:val="BodyText"/>
        <w:spacing w:before="11"/>
        <w:rPr>
          <w:b/>
          <w:sz w:val="12"/>
        </w:rPr>
      </w:pPr>
    </w:p>
    <w:p>
      <w:pPr>
        <w:spacing w:before="0"/>
        <w:ind w:left="7004" w:right="0" w:firstLine="0"/>
        <w:jc w:val="left"/>
        <w:rPr>
          <w:b/>
          <w:sz w:val="13"/>
        </w:rPr>
      </w:pPr>
      <w:r>
        <w:rPr>
          <w:b/>
          <w:w w:val="105"/>
          <w:sz w:val="13"/>
        </w:rPr>
        <w:t>10.5</w:t>
      </w:r>
    </w:p>
    <w:p>
      <w:pPr>
        <w:pStyle w:val="BodyText"/>
        <w:rPr>
          <w:b/>
          <w:sz w:val="14"/>
        </w:rPr>
      </w:pPr>
    </w:p>
    <w:p>
      <w:pPr>
        <w:spacing w:before="0"/>
        <w:ind w:left="7004" w:right="0" w:firstLine="0"/>
        <w:jc w:val="left"/>
        <w:rPr>
          <w:b/>
          <w:sz w:val="13"/>
        </w:rPr>
      </w:pPr>
      <w:r>
        <w:rPr>
          <w:b/>
          <w:w w:val="105"/>
          <w:sz w:val="13"/>
        </w:rPr>
        <w:t>10</w:t>
      </w:r>
      <w:r>
        <w:rPr>
          <w:b/>
          <w:sz w:val="13"/>
        </w:rPr>
        <w:t> </w:t>
      </w:r>
    </w:p>
    <w:p>
      <w:pPr>
        <w:tabs>
          <w:tab w:pos="1685" w:val="left" w:leader="none"/>
          <w:tab w:pos="2486" w:val="left" w:leader="none"/>
          <w:tab w:pos="3301" w:val="left" w:leader="none"/>
          <w:tab w:pos="4101" w:val="left" w:leader="none"/>
          <w:tab w:pos="4900" w:val="left" w:leader="none"/>
          <w:tab w:pos="5701" w:val="left" w:leader="none"/>
          <w:tab w:pos="6500" w:val="left" w:leader="none"/>
        </w:tabs>
        <w:spacing w:before="38"/>
        <w:ind w:left="886" w:right="0" w:firstLine="0"/>
        <w:jc w:val="left"/>
        <w:rPr>
          <w:b/>
          <w:sz w:val="13"/>
        </w:rPr>
      </w:pPr>
      <w:r>
        <w:rPr>
          <w:b/>
          <w:spacing w:val="15"/>
          <w:w w:val="105"/>
          <w:sz w:val="13"/>
        </w:rPr>
        <w:t>1974</w:t>
        <w:tab/>
      </w:r>
      <w:r>
        <w:rPr>
          <w:b/>
          <w:spacing w:val="10"/>
          <w:w w:val="105"/>
          <w:sz w:val="13"/>
        </w:rPr>
        <w:t>19</w:t>
      </w:r>
      <w:r>
        <w:rPr>
          <w:b/>
          <w:spacing w:val="-13"/>
          <w:w w:val="105"/>
          <w:sz w:val="13"/>
        </w:rPr>
        <w:t> </w:t>
      </w:r>
      <w:r>
        <w:rPr>
          <w:b/>
          <w:spacing w:val="10"/>
          <w:w w:val="105"/>
          <w:sz w:val="13"/>
        </w:rPr>
        <w:t>78</w:t>
        <w:tab/>
      </w:r>
      <w:r>
        <w:rPr>
          <w:b/>
          <w:spacing w:val="15"/>
          <w:w w:val="105"/>
          <w:sz w:val="13"/>
        </w:rPr>
        <w:t>1982</w:t>
        <w:tab/>
        <w:t>1986</w:t>
        <w:tab/>
        <w:t>1990</w:t>
        <w:tab/>
        <w:t>1994</w:t>
        <w:tab/>
        <w:t>1998</w:t>
        <w:tab/>
      </w:r>
      <w:r>
        <w:rPr>
          <w:b/>
          <w:spacing w:val="13"/>
          <w:w w:val="105"/>
          <w:sz w:val="13"/>
        </w:rPr>
        <w:t>200</w:t>
      </w:r>
      <w:r>
        <w:rPr>
          <w:b/>
          <w:spacing w:val="-13"/>
          <w:w w:val="105"/>
          <w:sz w:val="13"/>
        </w:rPr>
        <w:t> </w:t>
      </w:r>
      <w:r>
        <w:rPr>
          <w:b/>
          <w:w w:val="105"/>
          <w:sz w:val="13"/>
        </w:rPr>
        <w:t>2</w:t>
      </w:r>
    </w:p>
    <w:p>
      <w:pPr>
        <w:spacing w:before="121"/>
        <w:ind w:left="768" w:right="0" w:firstLine="0"/>
        <w:jc w:val="left"/>
        <w:rPr>
          <w:sz w:val="18"/>
        </w:rPr>
      </w:pPr>
      <w:r>
        <w:rPr>
          <w:sz w:val="18"/>
        </w:rPr>
        <w:t>Sources: Thomson Financial Datastream and Bank calculations.</w:t>
      </w:r>
    </w:p>
    <w:p>
      <w:pPr>
        <w:pStyle w:val="BodyText"/>
        <w:rPr>
          <w:sz w:val="20"/>
        </w:rPr>
      </w:pPr>
    </w:p>
    <w:p>
      <w:pPr>
        <w:pStyle w:val="BodyText"/>
        <w:spacing w:before="5"/>
        <w:rPr>
          <w:sz w:val="20"/>
        </w:rPr>
      </w:pPr>
    </w:p>
    <w:p>
      <w:pPr>
        <w:pStyle w:val="Heading1"/>
        <w:spacing w:before="90"/>
        <w:ind w:right="2006"/>
      </w:pPr>
      <w:r>
        <w:rPr/>
        <w:t>Chart 2: Volatility of firm-level real profits growth (balanced panel)</w:t>
      </w:r>
    </w:p>
    <w:p>
      <w:pPr>
        <w:spacing w:line="244" w:lineRule="auto" w:before="41"/>
        <w:ind w:left="5709" w:right="2019" w:firstLine="0"/>
        <w:jc w:val="left"/>
        <w:rPr>
          <w:b/>
          <w:sz w:val="16"/>
        </w:rPr>
      </w:pPr>
      <w:r>
        <w:rPr>
          <w:b/>
          <w:sz w:val="16"/>
        </w:rPr>
        <w:t>Standard deviation Per cent</w:t>
      </w:r>
    </w:p>
    <w:p>
      <w:pPr>
        <w:spacing w:before="122"/>
        <w:ind w:left="0" w:right="1701" w:firstLine="0"/>
        <w:jc w:val="right"/>
        <w:rPr>
          <w:b/>
          <w:sz w:val="13"/>
        </w:rPr>
      </w:pPr>
      <w:r>
        <w:rPr/>
        <w:pict>
          <v:group style="position:absolute;margin-left:137.309998pt;margin-top:10.218623pt;width:298.5pt;height:154.3pt;mso-position-horizontal-relative:page;mso-position-vertical-relative:paragraph;z-index:251685888" coordorigin="2746,204" coordsize="5970,3086">
            <v:shape style="position:absolute;left:2746;top:204;width:5969;height:3086" coordorigin="2747,205" coordsize="5969,3086" path="m8670,205l8670,3253,8716,3253m8670,2749l8716,2749m8670,2233l8716,2233m8670,1729l8716,1729m8670,1225l8716,1225m8670,709l8716,709m8670,205l8716,205m2747,3253l8670,3253m2747,3290l2747,3253m3568,3290l3568,3253m4388,3290l4388,3253m5194,3290l5194,3253m6014,3290l6014,3253m6835,3290l6835,3253m7656,3290l7656,3253m8461,3290l8461,3253e" filled="false" stroked="true" strokeweight=".06pt" strokecolor="#000000">
              <v:path arrowok="t"/>
              <v:stroke dashstyle="solid"/>
            </v:shape>
            <v:shape style="position:absolute;left:4790;top:574;width:3671;height:1880" coordorigin="4790,575" coordsize="3671,1880" path="m4790,2442l4999,2454,5193,2355,5402,1496,5611,1508,5805,1496,6014,1496,6223,1545,6417,1028,6626,709,6835,587,7028,575,7238,599,7447,1532,7656,1520,7849,1385,8058,1323,8268,1274,8461,1520e" filled="false" stroked="true" strokeweight="1.283336pt" strokecolor="#000080">
              <v:path arrowok="t"/>
              <v:stroke dashstyle="solid"/>
            </v:shape>
            <v:line style="position:absolute" from="8461,1520" to="8670,1790" stroked="true" strokeweight="1.393505pt" strokecolor="#000080">
              <v:stroke dashstyle="solid"/>
            </v:line>
            <v:shape style="position:absolute;left:3969;top:795;width:4492;height:1942" coordorigin="3969,795" coordsize="4492,1942" path="m3969,2737l4178,2639,4388,2515,4581,2540,4790,2479,4999,2466,5193,2319,5402,1189,5611,1349,5805,1459,6014,1483,6223,1459,6417,795,6626,1520,6835,1323,7028,1299,7238,1201,7447,1164,7656,1926,7849,2270,8058,2282,8268,2221,8461,1827e" filled="false" stroked="true" strokeweight="1.270105pt" strokecolor="#ff00ff">
              <v:path arrowok="t"/>
              <v:stroke dashstyle="solid"/>
            </v:shape>
            <v:line style="position:absolute" from="8449,1821" to="8682,1821" stroked="true" strokeweight="1.829688pt" strokecolor="#ff00ff">
              <v:stroke dashstyle="solid"/>
            </v:line>
            <v:rect style="position:absolute;left:2985;top:610;width:2147;height:356" filled="true" fillcolor="#ffffff" stroked="false">
              <v:fill type="solid"/>
            </v:rect>
            <v:line style="position:absolute" from="3134,697" to="3492,697" stroked="true" strokeweight="1.22862pt" strokecolor="#000080">
              <v:stroke dashstyle="solid"/>
            </v:line>
            <v:line style="position:absolute" from="3134,869" to="3492,869" stroked="true" strokeweight="1.22862pt" strokecolor="#ff00ff">
              <v:stroke dashstyle="solid"/>
            </v:line>
            <v:shape style="position:absolute;left:3537;top:613;width:1476;height:323" type="#_x0000_t202" filled="false" stroked="false">
              <v:textbox inset="0,0,0,0">
                <w:txbxContent>
                  <w:p>
                    <w:pPr>
                      <w:spacing w:line="278" w:lineRule="auto" w:before="0"/>
                      <w:ind w:left="0" w:right="0" w:firstLine="0"/>
                      <w:jc w:val="left"/>
                      <w:rPr>
                        <w:b/>
                        <w:sz w:val="13"/>
                      </w:rPr>
                    </w:pPr>
                    <w:r>
                      <w:rPr>
                        <w:b/>
                        <w:w w:val="105"/>
                        <w:sz w:val="13"/>
                      </w:rPr>
                      <w:t>Te</w:t>
                    </w:r>
                    <w:r>
                      <w:rPr>
                        <w:b/>
                        <w:spacing w:val="-6"/>
                        <w:w w:val="105"/>
                        <w:sz w:val="13"/>
                      </w:rPr>
                      <w:t> </w:t>
                    </w:r>
                    <w:r>
                      <w:rPr>
                        <w:b/>
                        <w:w w:val="105"/>
                        <w:sz w:val="13"/>
                      </w:rPr>
                      <w:t>n</w:t>
                    </w:r>
                    <w:r>
                      <w:rPr>
                        <w:b/>
                        <w:spacing w:val="-7"/>
                        <w:w w:val="105"/>
                        <w:sz w:val="13"/>
                      </w:rPr>
                      <w:t> </w:t>
                    </w:r>
                    <w:r>
                      <w:rPr>
                        <w:b/>
                        <w:w w:val="105"/>
                        <w:sz w:val="13"/>
                      </w:rPr>
                      <w:t>-</w:t>
                    </w:r>
                    <w:r>
                      <w:rPr>
                        <w:b/>
                        <w:spacing w:val="-20"/>
                        <w:w w:val="105"/>
                        <w:sz w:val="13"/>
                      </w:rPr>
                      <w:t> </w:t>
                    </w:r>
                    <w:r>
                      <w:rPr>
                        <w:b/>
                        <w:w w:val="105"/>
                        <w:sz w:val="13"/>
                      </w:rPr>
                      <w:t>y</w:t>
                    </w:r>
                    <w:r>
                      <w:rPr>
                        <w:b/>
                        <w:spacing w:val="-14"/>
                        <w:w w:val="105"/>
                        <w:sz w:val="13"/>
                      </w:rPr>
                      <w:t> </w:t>
                    </w:r>
                    <w:r>
                      <w:rPr>
                        <w:b/>
                        <w:w w:val="105"/>
                        <w:sz w:val="13"/>
                      </w:rPr>
                      <w:t>e</w:t>
                    </w:r>
                    <w:r>
                      <w:rPr>
                        <w:b/>
                        <w:spacing w:val="-5"/>
                        <w:w w:val="105"/>
                        <w:sz w:val="13"/>
                      </w:rPr>
                      <w:t> </w:t>
                    </w:r>
                    <w:r>
                      <w:rPr>
                        <w:b/>
                        <w:w w:val="105"/>
                        <w:sz w:val="13"/>
                      </w:rPr>
                      <w:t>a</w:t>
                    </w:r>
                    <w:r>
                      <w:rPr>
                        <w:b/>
                        <w:spacing w:val="-14"/>
                        <w:w w:val="105"/>
                        <w:sz w:val="13"/>
                      </w:rPr>
                      <w:t> </w:t>
                    </w:r>
                    <w:r>
                      <w:rPr>
                        <w:b/>
                        <w:w w:val="105"/>
                        <w:sz w:val="13"/>
                      </w:rPr>
                      <w:t>r</w:t>
                    </w:r>
                    <w:r>
                      <w:rPr>
                        <w:b/>
                        <w:spacing w:val="22"/>
                        <w:w w:val="105"/>
                        <w:sz w:val="13"/>
                      </w:rPr>
                      <w:t> </w:t>
                    </w:r>
                    <w:r>
                      <w:rPr>
                        <w:b/>
                        <w:spacing w:val="3"/>
                        <w:w w:val="105"/>
                        <w:sz w:val="13"/>
                      </w:rPr>
                      <w:t>vo</w:t>
                    </w:r>
                    <w:r>
                      <w:rPr>
                        <w:b/>
                        <w:spacing w:val="-13"/>
                        <w:w w:val="105"/>
                        <w:sz w:val="13"/>
                      </w:rPr>
                      <w:t> </w:t>
                    </w:r>
                    <w:r>
                      <w:rPr>
                        <w:b/>
                        <w:w w:val="105"/>
                        <w:sz w:val="13"/>
                      </w:rPr>
                      <w:t>l</w:t>
                    </w:r>
                    <w:r>
                      <w:rPr>
                        <w:b/>
                        <w:spacing w:val="-13"/>
                        <w:w w:val="105"/>
                        <w:sz w:val="13"/>
                      </w:rPr>
                      <w:t> </w:t>
                    </w:r>
                    <w:r>
                      <w:rPr>
                        <w:b/>
                        <w:w w:val="105"/>
                        <w:sz w:val="13"/>
                      </w:rPr>
                      <w:t>a</w:t>
                    </w:r>
                    <w:r>
                      <w:rPr>
                        <w:b/>
                        <w:spacing w:val="-15"/>
                        <w:w w:val="105"/>
                        <w:sz w:val="13"/>
                      </w:rPr>
                      <w:t> </w:t>
                    </w:r>
                    <w:r>
                      <w:rPr>
                        <w:b/>
                        <w:spacing w:val="7"/>
                        <w:w w:val="105"/>
                        <w:sz w:val="13"/>
                      </w:rPr>
                      <w:t>ti</w:t>
                    </w:r>
                    <w:r>
                      <w:rPr>
                        <w:b/>
                        <w:spacing w:val="-13"/>
                        <w:w w:val="105"/>
                        <w:sz w:val="13"/>
                      </w:rPr>
                      <w:t> </w:t>
                    </w:r>
                    <w:r>
                      <w:rPr>
                        <w:b/>
                        <w:w w:val="105"/>
                        <w:sz w:val="13"/>
                      </w:rPr>
                      <w:t>l</w:t>
                    </w:r>
                    <w:r>
                      <w:rPr>
                        <w:b/>
                        <w:spacing w:val="-14"/>
                        <w:w w:val="105"/>
                        <w:sz w:val="13"/>
                      </w:rPr>
                      <w:t> </w:t>
                    </w:r>
                    <w:r>
                      <w:rPr>
                        <w:b/>
                        <w:w w:val="105"/>
                        <w:sz w:val="13"/>
                      </w:rPr>
                      <w:t>i</w:t>
                    </w:r>
                    <w:r>
                      <w:rPr>
                        <w:b/>
                        <w:spacing w:val="-13"/>
                        <w:w w:val="105"/>
                        <w:sz w:val="13"/>
                      </w:rPr>
                      <w:t> </w:t>
                    </w:r>
                    <w:r>
                      <w:rPr>
                        <w:b/>
                        <w:spacing w:val="7"/>
                        <w:w w:val="105"/>
                        <w:sz w:val="13"/>
                      </w:rPr>
                      <w:t>ty </w:t>
                    </w:r>
                    <w:r>
                      <w:rPr>
                        <w:b/>
                        <w:spacing w:val="3"/>
                        <w:w w:val="105"/>
                        <w:sz w:val="13"/>
                      </w:rPr>
                      <w:t>Fi</w:t>
                    </w:r>
                    <w:r>
                      <w:rPr>
                        <w:b/>
                        <w:spacing w:val="-14"/>
                        <w:w w:val="105"/>
                        <w:sz w:val="13"/>
                      </w:rPr>
                      <w:t> </w:t>
                    </w:r>
                    <w:r>
                      <w:rPr>
                        <w:b/>
                        <w:spacing w:val="3"/>
                        <w:w w:val="105"/>
                        <w:sz w:val="13"/>
                      </w:rPr>
                      <w:t>ve</w:t>
                    </w:r>
                    <w:r>
                      <w:rPr>
                        <w:b/>
                        <w:spacing w:val="-5"/>
                        <w:w w:val="105"/>
                        <w:sz w:val="13"/>
                      </w:rPr>
                      <w:t> </w:t>
                    </w:r>
                    <w:r>
                      <w:rPr>
                        <w:b/>
                        <w:spacing w:val="7"/>
                        <w:w w:val="105"/>
                        <w:sz w:val="13"/>
                      </w:rPr>
                      <w:t>-y</w:t>
                    </w:r>
                    <w:r>
                      <w:rPr>
                        <w:b/>
                        <w:spacing w:val="-14"/>
                        <w:w w:val="105"/>
                        <w:sz w:val="13"/>
                      </w:rPr>
                      <w:t> </w:t>
                    </w:r>
                    <w:r>
                      <w:rPr>
                        <w:b/>
                        <w:w w:val="105"/>
                        <w:sz w:val="13"/>
                      </w:rPr>
                      <w:t>e</w:t>
                    </w:r>
                    <w:r>
                      <w:rPr>
                        <w:b/>
                        <w:spacing w:val="-5"/>
                        <w:w w:val="105"/>
                        <w:sz w:val="13"/>
                      </w:rPr>
                      <w:t> </w:t>
                    </w:r>
                    <w:r>
                      <w:rPr>
                        <w:b/>
                        <w:w w:val="105"/>
                        <w:sz w:val="13"/>
                      </w:rPr>
                      <w:t>a</w:t>
                    </w:r>
                    <w:r>
                      <w:rPr>
                        <w:b/>
                        <w:spacing w:val="-14"/>
                        <w:w w:val="105"/>
                        <w:sz w:val="13"/>
                      </w:rPr>
                      <w:t> </w:t>
                    </w:r>
                    <w:r>
                      <w:rPr>
                        <w:b/>
                        <w:w w:val="105"/>
                        <w:sz w:val="13"/>
                      </w:rPr>
                      <w:t>r</w:t>
                    </w:r>
                    <w:r>
                      <w:rPr>
                        <w:b/>
                        <w:spacing w:val="23"/>
                        <w:w w:val="105"/>
                        <w:sz w:val="13"/>
                      </w:rPr>
                      <w:t> </w:t>
                    </w:r>
                    <w:r>
                      <w:rPr>
                        <w:b/>
                        <w:spacing w:val="3"/>
                        <w:w w:val="105"/>
                        <w:sz w:val="13"/>
                      </w:rPr>
                      <w:t>vo</w:t>
                    </w:r>
                    <w:r>
                      <w:rPr>
                        <w:b/>
                        <w:spacing w:val="-13"/>
                        <w:w w:val="105"/>
                        <w:sz w:val="13"/>
                      </w:rPr>
                      <w:t> </w:t>
                    </w:r>
                    <w:r>
                      <w:rPr>
                        <w:b/>
                        <w:w w:val="105"/>
                        <w:sz w:val="13"/>
                      </w:rPr>
                      <w:t>l</w:t>
                    </w:r>
                    <w:r>
                      <w:rPr>
                        <w:b/>
                        <w:spacing w:val="-14"/>
                        <w:w w:val="105"/>
                        <w:sz w:val="13"/>
                      </w:rPr>
                      <w:t> </w:t>
                    </w:r>
                    <w:r>
                      <w:rPr>
                        <w:b/>
                        <w:w w:val="105"/>
                        <w:sz w:val="13"/>
                      </w:rPr>
                      <w:t>a</w:t>
                    </w:r>
                    <w:r>
                      <w:rPr>
                        <w:b/>
                        <w:spacing w:val="-13"/>
                        <w:w w:val="105"/>
                        <w:sz w:val="13"/>
                      </w:rPr>
                      <w:t> </w:t>
                    </w:r>
                    <w:r>
                      <w:rPr>
                        <w:b/>
                        <w:spacing w:val="7"/>
                        <w:w w:val="105"/>
                        <w:sz w:val="13"/>
                      </w:rPr>
                      <w:t>ti</w:t>
                    </w:r>
                    <w:r>
                      <w:rPr>
                        <w:b/>
                        <w:spacing w:val="-13"/>
                        <w:w w:val="105"/>
                        <w:sz w:val="13"/>
                      </w:rPr>
                      <w:t> </w:t>
                    </w:r>
                    <w:r>
                      <w:rPr>
                        <w:b/>
                        <w:w w:val="105"/>
                        <w:sz w:val="13"/>
                      </w:rPr>
                      <w:t>l</w:t>
                    </w:r>
                    <w:r>
                      <w:rPr>
                        <w:b/>
                        <w:spacing w:val="-14"/>
                        <w:w w:val="105"/>
                        <w:sz w:val="13"/>
                      </w:rPr>
                      <w:t> </w:t>
                    </w:r>
                    <w:r>
                      <w:rPr>
                        <w:b/>
                        <w:w w:val="105"/>
                        <w:sz w:val="13"/>
                      </w:rPr>
                      <w:t>i</w:t>
                    </w:r>
                    <w:r>
                      <w:rPr>
                        <w:b/>
                        <w:spacing w:val="-13"/>
                        <w:w w:val="105"/>
                        <w:sz w:val="13"/>
                      </w:rPr>
                      <w:t> </w:t>
                    </w:r>
                    <w:r>
                      <w:rPr>
                        <w:b/>
                        <w:spacing w:val="7"/>
                        <w:w w:val="105"/>
                        <w:sz w:val="13"/>
                      </w:rPr>
                      <w:t>ty</w:t>
                    </w:r>
                    <w:r>
                      <w:rPr>
                        <w:b/>
                        <w:spacing w:val="-18"/>
                        <w:sz w:val="13"/>
                      </w:rPr>
                      <w:t> </w:t>
                    </w:r>
                  </w:p>
                </w:txbxContent>
              </v:textbox>
              <w10:wrap type="none"/>
            </v:shape>
            <w10:wrap type="none"/>
          </v:group>
        </w:pict>
      </w:r>
      <w:r>
        <w:rPr>
          <w:b/>
          <w:spacing w:val="10"/>
          <w:w w:val="105"/>
          <w:sz w:val="13"/>
        </w:rPr>
        <w:t>30</w:t>
      </w:r>
      <w:r>
        <w:rPr>
          <w:b/>
          <w:spacing w:val="-14"/>
          <w:w w:val="105"/>
          <w:sz w:val="13"/>
        </w:rPr>
        <w:t> </w:t>
      </w:r>
      <w:r>
        <w:rPr>
          <w:b/>
          <w:w w:val="105"/>
          <w:sz w:val="13"/>
        </w:rPr>
        <w:t>0</w:t>
      </w:r>
    </w:p>
    <w:p>
      <w:pPr>
        <w:pStyle w:val="BodyText"/>
        <w:spacing w:before="2"/>
        <w:rPr>
          <w:b/>
          <w:sz w:val="22"/>
        </w:rPr>
      </w:pPr>
    </w:p>
    <w:p>
      <w:pPr>
        <w:spacing w:before="100"/>
        <w:ind w:left="0" w:right="1701" w:firstLine="0"/>
        <w:jc w:val="right"/>
        <w:rPr>
          <w:b/>
          <w:sz w:val="13"/>
        </w:rPr>
      </w:pPr>
      <w:r>
        <w:rPr>
          <w:b/>
          <w:spacing w:val="10"/>
          <w:w w:val="105"/>
          <w:sz w:val="13"/>
        </w:rPr>
        <w:t>25</w:t>
      </w:r>
      <w:r>
        <w:rPr>
          <w:b/>
          <w:spacing w:val="-14"/>
          <w:w w:val="105"/>
          <w:sz w:val="13"/>
        </w:rPr>
        <w:t> </w:t>
      </w:r>
      <w:r>
        <w:rPr>
          <w:b/>
          <w:w w:val="105"/>
          <w:sz w:val="13"/>
        </w:rPr>
        <w:t>0</w:t>
      </w:r>
    </w:p>
    <w:p>
      <w:pPr>
        <w:pStyle w:val="BodyText"/>
        <w:spacing w:before="2"/>
        <w:rPr>
          <w:b/>
          <w:sz w:val="23"/>
        </w:rPr>
      </w:pPr>
    </w:p>
    <w:p>
      <w:pPr>
        <w:spacing w:before="100"/>
        <w:ind w:left="0" w:right="1701" w:firstLine="0"/>
        <w:jc w:val="right"/>
        <w:rPr>
          <w:b/>
          <w:sz w:val="13"/>
        </w:rPr>
      </w:pPr>
      <w:r>
        <w:rPr>
          <w:b/>
          <w:spacing w:val="10"/>
          <w:w w:val="105"/>
          <w:sz w:val="13"/>
        </w:rPr>
        <w:t>20</w:t>
      </w:r>
      <w:r>
        <w:rPr>
          <w:b/>
          <w:spacing w:val="-14"/>
          <w:w w:val="105"/>
          <w:sz w:val="13"/>
        </w:rPr>
        <w:t> </w:t>
      </w:r>
      <w:r>
        <w:rPr>
          <w:b/>
          <w:w w:val="105"/>
          <w:sz w:val="13"/>
        </w:rPr>
        <w:t>0</w:t>
      </w:r>
    </w:p>
    <w:p>
      <w:pPr>
        <w:pStyle w:val="BodyText"/>
        <w:spacing w:before="1"/>
        <w:rPr>
          <w:b/>
          <w:sz w:val="22"/>
        </w:rPr>
      </w:pPr>
    </w:p>
    <w:p>
      <w:pPr>
        <w:spacing w:before="99"/>
        <w:ind w:left="0" w:right="1701" w:firstLine="0"/>
        <w:jc w:val="right"/>
        <w:rPr>
          <w:b/>
          <w:sz w:val="13"/>
        </w:rPr>
      </w:pPr>
      <w:r>
        <w:rPr>
          <w:b/>
          <w:spacing w:val="10"/>
          <w:w w:val="105"/>
          <w:sz w:val="13"/>
        </w:rPr>
        <w:t>15</w:t>
      </w:r>
      <w:r>
        <w:rPr>
          <w:b/>
          <w:spacing w:val="-14"/>
          <w:w w:val="105"/>
          <w:sz w:val="13"/>
        </w:rPr>
        <w:t> </w:t>
      </w:r>
      <w:r>
        <w:rPr>
          <w:b/>
          <w:w w:val="105"/>
          <w:sz w:val="13"/>
        </w:rPr>
        <w:t>0</w:t>
      </w:r>
    </w:p>
    <w:p>
      <w:pPr>
        <w:pStyle w:val="BodyText"/>
        <w:spacing w:before="2"/>
        <w:rPr>
          <w:b/>
          <w:sz w:val="22"/>
        </w:rPr>
      </w:pPr>
    </w:p>
    <w:p>
      <w:pPr>
        <w:spacing w:before="99"/>
        <w:ind w:left="0" w:right="1701" w:firstLine="0"/>
        <w:jc w:val="right"/>
        <w:rPr>
          <w:b/>
          <w:sz w:val="13"/>
        </w:rPr>
      </w:pPr>
      <w:r>
        <w:rPr>
          <w:b/>
          <w:spacing w:val="10"/>
          <w:w w:val="105"/>
          <w:sz w:val="13"/>
        </w:rPr>
        <w:t>10</w:t>
      </w:r>
      <w:r>
        <w:rPr>
          <w:b/>
          <w:spacing w:val="-14"/>
          <w:w w:val="105"/>
          <w:sz w:val="13"/>
        </w:rPr>
        <w:t> </w:t>
      </w:r>
      <w:r>
        <w:rPr>
          <w:b/>
          <w:w w:val="105"/>
          <w:sz w:val="13"/>
        </w:rPr>
        <w:t>0</w:t>
      </w:r>
    </w:p>
    <w:p>
      <w:pPr>
        <w:pStyle w:val="BodyText"/>
        <w:spacing w:before="3"/>
        <w:rPr>
          <w:b/>
          <w:sz w:val="23"/>
        </w:rPr>
      </w:pPr>
    </w:p>
    <w:p>
      <w:pPr>
        <w:spacing w:before="99"/>
        <w:ind w:left="0" w:right="1770" w:firstLine="0"/>
        <w:jc w:val="right"/>
        <w:rPr>
          <w:b/>
          <w:sz w:val="13"/>
        </w:rPr>
      </w:pPr>
      <w:r>
        <w:rPr>
          <w:b/>
          <w:sz w:val="13"/>
        </w:rPr>
        <w:t>50 </w:t>
      </w:r>
    </w:p>
    <w:p>
      <w:pPr>
        <w:pStyle w:val="BodyText"/>
        <w:spacing w:before="3"/>
        <w:rPr>
          <w:b/>
          <w:sz w:val="22"/>
        </w:rPr>
      </w:pPr>
    </w:p>
    <w:p>
      <w:pPr>
        <w:spacing w:before="99"/>
        <w:ind w:left="7110" w:right="0" w:firstLine="0"/>
        <w:jc w:val="left"/>
        <w:rPr>
          <w:b/>
          <w:sz w:val="13"/>
        </w:rPr>
      </w:pPr>
      <w:r>
        <w:rPr>
          <w:b/>
          <w:w w:val="103"/>
          <w:sz w:val="13"/>
        </w:rPr>
        <w:t>0</w:t>
      </w:r>
    </w:p>
    <w:p>
      <w:pPr>
        <w:tabs>
          <w:tab w:pos="1707" w:val="left" w:leader="none"/>
          <w:tab w:pos="2528" w:val="left" w:leader="none"/>
          <w:tab w:pos="3334" w:val="left" w:leader="none"/>
          <w:tab w:pos="4155" w:val="left" w:leader="none"/>
          <w:tab w:pos="4976" w:val="left" w:leader="none"/>
          <w:tab w:pos="5795" w:val="left" w:leader="none"/>
          <w:tab w:pos="6602" w:val="left" w:leader="none"/>
        </w:tabs>
        <w:spacing w:before="35"/>
        <w:ind w:left="888" w:right="0" w:firstLine="0"/>
        <w:jc w:val="left"/>
        <w:rPr>
          <w:b/>
          <w:sz w:val="13"/>
        </w:rPr>
      </w:pPr>
      <w:r>
        <w:rPr>
          <w:b/>
          <w:spacing w:val="10"/>
          <w:w w:val="105"/>
          <w:sz w:val="13"/>
        </w:rPr>
        <w:t>19</w:t>
      </w:r>
      <w:r>
        <w:rPr>
          <w:b/>
          <w:spacing w:val="-13"/>
          <w:w w:val="105"/>
          <w:sz w:val="13"/>
        </w:rPr>
        <w:t> </w:t>
      </w:r>
      <w:r>
        <w:rPr>
          <w:b/>
          <w:spacing w:val="10"/>
          <w:w w:val="105"/>
          <w:sz w:val="13"/>
        </w:rPr>
        <w:t>74</w:t>
        <w:tab/>
      </w:r>
      <w:r>
        <w:rPr>
          <w:b/>
          <w:w w:val="105"/>
          <w:sz w:val="13"/>
        </w:rPr>
        <w:t>1 9</w:t>
      </w:r>
      <w:r>
        <w:rPr>
          <w:b/>
          <w:spacing w:val="-26"/>
          <w:w w:val="105"/>
          <w:sz w:val="13"/>
        </w:rPr>
        <w:t> </w:t>
      </w:r>
      <w:r>
        <w:rPr>
          <w:b/>
          <w:w w:val="105"/>
          <w:sz w:val="13"/>
        </w:rPr>
        <w:t>7</w:t>
      </w:r>
      <w:r>
        <w:rPr>
          <w:b/>
          <w:spacing w:val="-14"/>
          <w:w w:val="105"/>
          <w:sz w:val="13"/>
        </w:rPr>
        <w:t> </w:t>
      </w:r>
      <w:r>
        <w:rPr>
          <w:b/>
          <w:w w:val="105"/>
          <w:sz w:val="13"/>
        </w:rPr>
        <w:t>8</w:t>
        <w:tab/>
        <w:t>1 9</w:t>
      </w:r>
      <w:r>
        <w:rPr>
          <w:b/>
          <w:spacing w:val="-26"/>
          <w:w w:val="105"/>
          <w:sz w:val="13"/>
        </w:rPr>
        <w:t> </w:t>
      </w:r>
      <w:r>
        <w:rPr>
          <w:b/>
          <w:w w:val="105"/>
          <w:sz w:val="13"/>
        </w:rPr>
        <w:t>8</w:t>
      </w:r>
      <w:r>
        <w:rPr>
          <w:b/>
          <w:spacing w:val="-14"/>
          <w:w w:val="105"/>
          <w:sz w:val="13"/>
        </w:rPr>
        <w:t> </w:t>
      </w:r>
      <w:r>
        <w:rPr>
          <w:b/>
          <w:w w:val="105"/>
          <w:sz w:val="13"/>
        </w:rPr>
        <w:t>2</w:t>
        <w:tab/>
        <w:t>1 9</w:t>
      </w:r>
      <w:r>
        <w:rPr>
          <w:b/>
          <w:spacing w:val="-28"/>
          <w:w w:val="105"/>
          <w:sz w:val="13"/>
        </w:rPr>
        <w:t> </w:t>
      </w:r>
      <w:r>
        <w:rPr>
          <w:b/>
          <w:w w:val="105"/>
          <w:sz w:val="13"/>
        </w:rPr>
        <w:t>8</w:t>
      </w:r>
      <w:r>
        <w:rPr>
          <w:b/>
          <w:spacing w:val="-13"/>
          <w:w w:val="105"/>
          <w:sz w:val="13"/>
        </w:rPr>
        <w:t> </w:t>
      </w:r>
      <w:r>
        <w:rPr>
          <w:b/>
          <w:w w:val="105"/>
          <w:sz w:val="13"/>
        </w:rPr>
        <w:t>6</w:t>
        <w:tab/>
      </w:r>
      <w:r>
        <w:rPr>
          <w:b/>
          <w:spacing w:val="10"/>
          <w:w w:val="105"/>
          <w:sz w:val="13"/>
        </w:rPr>
        <w:t>19</w:t>
      </w:r>
      <w:r>
        <w:rPr>
          <w:b/>
          <w:spacing w:val="-12"/>
          <w:w w:val="105"/>
          <w:sz w:val="13"/>
        </w:rPr>
        <w:t> </w:t>
      </w:r>
      <w:r>
        <w:rPr>
          <w:b/>
          <w:spacing w:val="10"/>
          <w:w w:val="105"/>
          <w:sz w:val="13"/>
        </w:rPr>
        <w:t>90</w:t>
        <w:tab/>
        <w:t>19</w:t>
      </w:r>
      <w:r>
        <w:rPr>
          <w:b/>
          <w:spacing w:val="-13"/>
          <w:w w:val="105"/>
          <w:sz w:val="13"/>
        </w:rPr>
        <w:t> </w:t>
      </w:r>
      <w:r>
        <w:rPr>
          <w:b/>
          <w:spacing w:val="10"/>
          <w:w w:val="105"/>
          <w:sz w:val="13"/>
        </w:rPr>
        <w:t>94</w:t>
        <w:tab/>
      </w:r>
      <w:r>
        <w:rPr>
          <w:b/>
          <w:w w:val="105"/>
          <w:sz w:val="13"/>
        </w:rPr>
        <w:t>1 9</w:t>
      </w:r>
      <w:r>
        <w:rPr>
          <w:b/>
          <w:spacing w:val="-26"/>
          <w:w w:val="105"/>
          <w:sz w:val="13"/>
        </w:rPr>
        <w:t> </w:t>
      </w:r>
      <w:r>
        <w:rPr>
          <w:b/>
          <w:w w:val="105"/>
          <w:sz w:val="13"/>
        </w:rPr>
        <w:t>9</w:t>
      </w:r>
      <w:r>
        <w:rPr>
          <w:b/>
          <w:spacing w:val="-14"/>
          <w:w w:val="105"/>
          <w:sz w:val="13"/>
        </w:rPr>
        <w:t> </w:t>
      </w:r>
      <w:r>
        <w:rPr>
          <w:b/>
          <w:w w:val="105"/>
          <w:sz w:val="13"/>
        </w:rPr>
        <w:t>8</w:t>
        <w:tab/>
        <w:t>2 </w:t>
      </w:r>
      <w:r>
        <w:rPr>
          <w:b/>
          <w:spacing w:val="10"/>
          <w:w w:val="105"/>
          <w:sz w:val="13"/>
        </w:rPr>
        <w:t>00</w:t>
      </w:r>
      <w:r>
        <w:rPr>
          <w:b/>
          <w:spacing w:val="-26"/>
          <w:w w:val="105"/>
          <w:sz w:val="13"/>
        </w:rPr>
        <w:t> </w:t>
      </w:r>
      <w:r>
        <w:rPr>
          <w:b/>
          <w:w w:val="105"/>
          <w:sz w:val="13"/>
        </w:rPr>
        <w:t>2</w:t>
      </w:r>
    </w:p>
    <w:p>
      <w:pPr>
        <w:spacing w:before="111"/>
        <w:ind w:left="768" w:right="0" w:firstLine="0"/>
        <w:jc w:val="left"/>
        <w:rPr>
          <w:sz w:val="18"/>
        </w:rPr>
      </w:pPr>
      <w:r>
        <w:rPr>
          <w:sz w:val="18"/>
        </w:rPr>
        <w:t>Sources: Thomson Financial Datastream and Bank calculations.</w:t>
      </w:r>
    </w:p>
    <w:p>
      <w:pPr>
        <w:spacing w:after="0"/>
        <w:jc w:val="left"/>
        <w:rPr>
          <w:sz w:val="18"/>
        </w:rPr>
        <w:sectPr>
          <w:pgSz w:w="11900" w:h="16840"/>
          <w:pgMar w:header="716" w:footer="0" w:top="1300" w:bottom="280" w:left="1680" w:right="1160"/>
        </w:sectPr>
      </w:pPr>
    </w:p>
    <w:p>
      <w:pPr>
        <w:pStyle w:val="Heading1"/>
      </w:pPr>
      <w:r>
        <w:rPr/>
        <w:t>Chart 3: Volatility of aggregate real sales growth (balanced panel)</w:t>
      </w:r>
    </w:p>
    <w:p>
      <w:pPr>
        <w:spacing w:line="244" w:lineRule="auto" w:before="39"/>
        <w:ind w:left="6194" w:right="1616" w:firstLine="0"/>
        <w:jc w:val="left"/>
        <w:rPr>
          <w:b/>
          <w:sz w:val="15"/>
        </w:rPr>
      </w:pPr>
      <w:r>
        <w:rPr>
          <w:b/>
          <w:sz w:val="15"/>
        </w:rPr>
        <w:t>Standard deviation Per cent</w:t>
      </w:r>
    </w:p>
    <w:p>
      <w:pPr>
        <w:spacing w:before="79"/>
        <w:ind w:left="0" w:right="1774" w:firstLine="0"/>
        <w:jc w:val="right"/>
        <w:rPr>
          <w:b/>
          <w:sz w:val="13"/>
        </w:rPr>
      </w:pPr>
      <w:r>
        <w:rPr/>
        <w:pict>
          <v:group style="position:absolute;margin-left:137.429993pt;margin-top:8.068535pt;width:303.6pt;height:156.9pt;mso-position-horizontal-relative:page;mso-position-vertical-relative:paragraph;z-index:251687936" coordorigin="2749,161" coordsize="6072,3138">
            <v:shape style="position:absolute;left:2749;top:161;width:6071;height:3137" coordorigin="2749,162" coordsize="6071,3137" path="m8774,162l8774,3262m8774,3262l8820,3262m8774,2874l8820,2874m8774,2486l8820,2486m8774,2099l8820,2099m8774,1711l8820,1711m8774,1324l8820,1324m8774,937l8820,937m8774,550l8820,550m8774,162l8820,162m2749,3262l8774,3262m2749,3299l2749,3262m3577,3299l3577,3262m4406,3299l4406,3262m5250,3299l5250,3262m6078,3299l6078,3262m6906,3299l6906,3262m7735,3299l7735,3262m8563,3299l8563,3262e" filled="false" stroked="true" strokeweight=".06pt" strokecolor="#000000">
              <v:path arrowok="t"/>
              <v:stroke dashstyle="solid"/>
            </v:shape>
            <v:shape style="position:absolute;left:5038;top:1348;width:3525;height:1613" coordorigin="5039,1349" coordsize="3525,1613" path="m5039,1724l5250,2186,5446,2561,5657,2149,5867,1549,6078,1962,6273,1450,6485,1362,6696,1386,6906,1450,7117,1649,7313,1649,7524,1349,7735,1586,7946,2736,8156,2724,8352,2962,8563,2837e" filled="false" stroked="true" strokeweight="1.294156pt" strokecolor="#000080">
              <v:path arrowok="t"/>
              <v:stroke dashstyle="solid"/>
            </v:shape>
            <v:line style="position:absolute" from="8563,2837" to="8774,2886" stroked="true" strokeweight="1.262949pt" strokecolor="#000080">
              <v:stroke dashstyle="solid"/>
            </v:line>
            <v:shape style="position:absolute;left:4210;top:574;width:4353;height:2362" coordorigin="4211,575" coordsize="4353,2362" path="m4211,1399l4406,2436,4618,2561,4828,2237,5039,2036,5250,2923,5446,2936,5657,2362,5867,1524,6078,1124,6273,712,6485,575,6696,587,6906,1012,7117,2662,7313,2574,7524,2837,7735,2662,7946,2786,8156,2812,8352,2549,8563,2586e" filled="false" stroked="true" strokeweight="1.308081pt" strokecolor="#ff00ff">
              <v:path arrowok="t"/>
              <v:stroke dashstyle="solid"/>
            </v:shape>
            <v:line style="position:absolute" from="8563,2586" to="8774,2986" stroked="true" strokeweight="1.450192pt" strokecolor="#ff00ff">
              <v:stroke dashstyle="solid"/>
            </v:line>
            <v:rect style="position:absolute;left:3004;top:574;width:2169;height:362" filled="true" fillcolor="#ffffff" stroked="false">
              <v:fill type="solid"/>
            </v:rect>
            <v:line style="position:absolute" from="3156,661" to="3517,661" stroked="true" strokeweight="1.249755pt" strokecolor="#000080">
              <v:stroke dashstyle="solid"/>
            </v:line>
            <v:line style="position:absolute" from="3156,836" to="3517,836" stroked="true" strokeweight="1.249755pt" strokecolor="#ff00ff">
              <v:stroke dashstyle="solid"/>
            </v:line>
            <v:shape style="position:absolute;left:3562;top:578;width:1475;height:327" type="#_x0000_t202" filled="false" stroked="false">
              <v:textbox inset="0,0,0,0">
                <w:txbxContent>
                  <w:p>
                    <w:pPr>
                      <w:spacing w:line="278" w:lineRule="auto" w:before="1"/>
                      <w:ind w:left="0" w:right="0" w:firstLine="0"/>
                      <w:jc w:val="left"/>
                      <w:rPr>
                        <w:b/>
                        <w:sz w:val="13"/>
                      </w:rPr>
                    </w:pPr>
                    <w:r>
                      <w:rPr>
                        <w:b/>
                        <w:w w:val="105"/>
                        <w:sz w:val="13"/>
                      </w:rPr>
                      <w:t>Te n - ye ar vo latility Fi ve - y e a r vo latility</w:t>
                    </w:r>
                  </w:p>
                </w:txbxContent>
              </v:textbox>
              <w10:wrap type="none"/>
            </v:shape>
            <w10:wrap type="none"/>
          </v:group>
        </w:pict>
      </w:r>
      <w:r>
        <w:rPr>
          <w:b/>
          <w:w w:val="105"/>
          <w:sz w:val="13"/>
        </w:rPr>
        <w:t>6</w:t>
      </w:r>
    </w:p>
    <w:p>
      <w:pPr>
        <w:pStyle w:val="BodyText"/>
        <w:spacing w:before="10"/>
        <w:rPr>
          <w:b/>
          <w:sz w:val="11"/>
        </w:rPr>
      </w:pPr>
    </w:p>
    <w:p>
      <w:pPr>
        <w:spacing w:before="101"/>
        <w:ind w:left="7214" w:right="0" w:firstLine="0"/>
        <w:jc w:val="left"/>
        <w:rPr>
          <w:b/>
          <w:sz w:val="13"/>
        </w:rPr>
      </w:pPr>
      <w:r>
        <w:rPr>
          <w:b/>
          <w:spacing w:val="10"/>
          <w:w w:val="105"/>
          <w:sz w:val="13"/>
        </w:rPr>
        <w:t>5.5</w:t>
      </w:r>
    </w:p>
    <w:p>
      <w:pPr>
        <w:pStyle w:val="BodyText"/>
        <w:spacing w:before="8"/>
        <w:rPr>
          <w:b/>
          <w:sz w:val="20"/>
        </w:rPr>
      </w:pPr>
    </w:p>
    <w:p>
      <w:pPr>
        <w:spacing w:before="0"/>
        <w:ind w:left="7214" w:right="0" w:firstLine="0"/>
        <w:jc w:val="left"/>
        <w:rPr>
          <w:b/>
          <w:sz w:val="13"/>
        </w:rPr>
      </w:pPr>
      <w:r>
        <w:rPr>
          <w:b/>
          <w:w w:val="105"/>
          <w:sz w:val="13"/>
        </w:rPr>
        <w:t>5</w:t>
      </w:r>
    </w:p>
    <w:p>
      <w:pPr>
        <w:pStyle w:val="BodyText"/>
        <w:spacing w:before="10"/>
        <w:rPr>
          <w:b/>
          <w:sz w:val="11"/>
        </w:rPr>
      </w:pPr>
    </w:p>
    <w:p>
      <w:pPr>
        <w:spacing w:before="101"/>
        <w:ind w:left="0" w:right="1639" w:firstLine="0"/>
        <w:jc w:val="right"/>
        <w:rPr>
          <w:b/>
          <w:sz w:val="13"/>
        </w:rPr>
      </w:pPr>
      <w:r>
        <w:rPr>
          <w:b/>
          <w:spacing w:val="10"/>
          <w:w w:val="105"/>
          <w:sz w:val="13"/>
        </w:rPr>
        <w:t>4.5</w:t>
      </w:r>
    </w:p>
    <w:p>
      <w:pPr>
        <w:pStyle w:val="BodyText"/>
        <w:spacing w:before="10"/>
        <w:rPr>
          <w:b/>
          <w:sz w:val="11"/>
        </w:rPr>
      </w:pPr>
    </w:p>
    <w:p>
      <w:pPr>
        <w:spacing w:before="102"/>
        <w:ind w:left="0" w:right="1774" w:firstLine="0"/>
        <w:jc w:val="right"/>
        <w:rPr>
          <w:b/>
          <w:sz w:val="13"/>
        </w:rPr>
      </w:pPr>
      <w:r>
        <w:rPr>
          <w:b/>
          <w:w w:val="105"/>
          <w:sz w:val="13"/>
        </w:rPr>
        <w:t>4</w:t>
      </w:r>
    </w:p>
    <w:p>
      <w:pPr>
        <w:pStyle w:val="BodyText"/>
        <w:spacing w:before="10"/>
        <w:rPr>
          <w:b/>
          <w:sz w:val="11"/>
        </w:rPr>
      </w:pPr>
    </w:p>
    <w:p>
      <w:pPr>
        <w:spacing w:before="101"/>
        <w:ind w:left="0" w:right="1639" w:firstLine="0"/>
        <w:jc w:val="right"/>
        <w:rPr>
          <w:b/>
          <w:sz w:val="13"/>
        </w:rPr>
      </w:pPr>
      <w:r>
        <w:rPr>
          <w:b/>
          <w:spacing w:val="10"/>
          <w:w w:val="105"/>
          <w:sz w:val="13"/>
        </w:rPr>
        <w:t>3.5</w:t>
      </w:r>
    </w:p>
    <w:p>
      <w:pPr>
        <w:pStyle w:val="BodyText"/>
        <w:spacing w:before="10"/>
        <w:rPr>
          <w:b/>
          <w:sz w:val="11"/>
        </w:rPr>
      </w:pPr>
    </w:p>
    <w:p>
      <w:pPr>
        <w:spacing w:before="102"/>
        <w:ind w:left="0" w:right="1774" w:firstLine="0"/>
        <w:jc w:val="right"/>
        <w:rPr>
          <w:b/>
          <w:sz w:val="13"/>
        </w:rPr>
      </w:pPr>
      <w:r>
        <w:rPr>
          <w:b/>
          <w:w w:val="105"/>
          <w:sz w:val="13"/>
        </w:rPr>
        <w:t>3</w:t>
      </w:r>
    </w:p>
    <w:p>
      <w:pPr>
        <w:pStyle w:val="BodyText"/>
        <w:spacing w:before="10"/>
        <w:rPr>
          <w:b/>
          <w:sz w:val="11"/>
        </w:rPr>
      </w:pPr>
    </w:p>
    <w:p>
      <w:pPr>
        <w:spacing w:before="101"/>
        <w:ind w:left="0" w:right="1639" w:firstLine="0"/>
        <w:jc w:val="right"/>
        <w:rPr>
          <w:b/>
          <w:sz w:val="13"/>
        </w:rPr>
      </w:pPr>
      <w:r>
        <w:rPr>
          <w:b/>
          <w:spacing w:val="10"/>
          <w:w w:val="105"/>
          <w:sz w:val="13"/>
        </w:rPr>
        <w:t>2.5</w:t>
      </w:r>
    </w:p>
    <w:p>
      <w:pPr>
        <w:pStyle w:val="BodyText"/>
        <w:spacing w:before="11"/>
        <w:rPr>
          <w:b/>
          <w:sz w:val="11"/>
        </w:rPr>
      </w:pPr>
    </w:p>
    <w:p>
      <w:pPr>
        <w:spacing w:before="101"/>
        <w:ind w:left="7214" w:right="0" w:firstLine="0"/>
        <w:jc w:val="left"/>
        <w:rPr>
          <w:b/>
          <w:sz w:val="13"/>
        </w:rPr>
      </w:pPr>
      <w:r>
        <w:rPr>
          <w:b/>
          <w:w w:val="105"/>
          <w:sz w:val="13"/>
        </w:rPr>
        <w:t>2</w:t>
      </w:r>
    </w:p>
    <w:p>
      <w:pPr>
        <w:tabs>
          <w:tab w:pos="1717" w:val="left" w:leader="none"/>
          <w:tab w:pos="2545" w:val="left" w:leader="none"/>
          <w:tab w:pos="3388" w:val="left" w:leader="none"/>
          <w:tab w:pos="4216" w:val="left" w:leader="none"/>
          <w:tab w:pos="5045" w:val="left" w:leader="none"/>
          <w:tab w:pos="5873" w:val="left" w:leader="none"/>
          <w:tab w:pos="6703" w:val="left" w:leader="none"/>
        </w:tabs>
        <w:spacing w:before="38"/>
        <w:ind w:left="887" w:right="0" w:firstLine="0"/>
        <w:jc w:val="left"/>
        <w:rPr>
          <w:b/>
          <w:sz w:val="13"/>
        </w:rPr>
      </w:pPr>
      <w:r>
        <w:rPr>
          <w:b/>
          <w:w w:val="105"/>
          <w:sz w:val="13"/>
        </w:rPr>
        <w:t>1</w:t>
      </w:r>
      <w:r>
        <w:rPr>
          <w:b/>
          <w:spacing w:val="-13"/>
          <w:w w:val="105"/>
          <w:sz w:val="13"/>
        </w:rPr>
        <w:t> </w:t>
      </w:r>
      <w:r>
        <w:rPr>
          <w:b/>
          <w:spacing w:val="14"/>
          <w:w w:val="105"/>
          <w:sz w:val="13"/>
        </w:rPr>
        <w:t>974</w:t>
        <w:tab/>
        <w:t>197</w:t>
      </w:r>
      <w:r>
        <w:rPr>
          <w:b/>
          <w:spacing w:val="-12"/>
          <w:w w:val="105"/>
          <w:sz w:val="13"/>
        </w:rPr>
        <w:t> </w:t>
      </w:r>
      <w:r>
        <w:rPr>
          <w:b/>
          <w:w w:val="105"/>
          <w:sz w:val="13"/>
        </w:rPr>
        <w:t>8</w:t>
        <w:tab/>
        <w:t>1 9</w:t>
      </w:r>
      <w:r>
        <w:rPr>
          <w:b/>
          <w:spacing w:val="-26"/>
          <w:w w:val="105"/>
          <w:sz w:val="13"/>
        </w:rPr>
        <w:t> </w:t>
      </w:r>
      <w:r>
        <w:rPr>
          <w:b/>
          <w:w w:val="105"/>
          <w:sz w:val="13"/>
        </w:rPr>
        <w:t>8</w:t>
      </w:r>
      <w:r>
        <w:rPr>
          <w:b/>
          <w:spacing w:val="-13"/>
          <w:w w:val="105"/>
          <w:sz w:val="13"/>
        </w:rPr>
        <w:t> </w:t>
      </w:r>
      <w:r>
        <w:rPr>
          <w:b/>
          <w:w w:val="105"/>
          <w:sz w:val="13"/>
        </w:rPr>
        <w:t>2</w:t>
        <w:tab/>
        <w:t>1 9</w:t>
      </w:r>
      <w:r>
        <w:rPr>
          <w:b/>
          <w:spacing w:val="-26"/>
          <w:w w:val="105"/>
          <w:sz w:val="13"/>
        </w:rPr>
        <w:t> </w:t>
      </w:r>
      <w:r>
        <w:rPr>
          <w:b/>
          <w:w w:val="105"/>
          <w:sz w:val="13"/>
        </w:rPr>
        <w:t>8</w:t>
      </w:r>
      <w:r>
        <w:rPr>
          <w:b/>
          <w:spacing w:val="-13"/>
          <w:w w:val="105"/>
          <w:sz w:val="13"/>
        </w:rPr>
        <w:t> </w:t>
      </w:r>
      <w:r>
        <w:rPr>
          <w:b/>
          <w:w w:val="105"/>
          <w:sz w:val="13"/>
        </w:rPr>
        <w:t>6</w:t>
        <w:tab/>
        <w:t>1</w:t>
      </w:r>
      <w:r>
        <w:rPr>
          <w:b/>
          <w:spacing w:val="-12"/>
          <w:w w:val="105"/>
          <w:sz w:val="13"/>
        </w:rPr>
        <w:t> </w:t>
      </w:r>
      <w:r>
        <w:rPr>
          <w:b/>
          <w:spacing w:val="14"/>
          <w:w w:val="105"/>
          <w:sz w:val="13"/>
        </w:rPr>
        <w:t>990</w:t>
        <w:tab/>
        <w:t>199</w:t>
      </w:r>
      <w:r>
        <w:rPr>
          <w:b/>
          <w:spacing w:val="-12"/>
          <w:w w:val="105"/>
          <w:sz w:val="13"/>
        </w:rPr>
        <w:t> </w:t>
      </w:r>
      <w:r>
        <w:rPr>
          <w:b/>
          <w:w w:val="105"/>
          <w:sz w:val="13"/>
        </w:rPr>
        <w:t>4</w:t>
        <w:tab/>
        <w:t>1</w:t>
      </w:r>
      <w:r>
        <w:rPr>
          <w:b/>
          <w:spacing w:val="-12"/>
          <w:w w:val="105"/>
          <w:sz w:val="13"/>
        </w:rPr>
        <w:t> </w:t>
      </w:r>
      <w:r>
        <w:rPr>
          <w:b/>
          <w:spacing w:val="14"/>
          <w:w w:val="105"/>
          <w:sz w:val="13"/>
        </w:rPr>
        <w:t>998</w:t>
        <w:tab/>
      </w:r>
      <w:r>
        <w:rPr>
          <w:b/>
          <w:spacing w:val="15"/>
          <w:w w:val="105"/>
          <w:sz w:val="13"/>
        </w:rPr>
        <w:t>2002</w:t>
      </w:r>
      <w:r>
        <w:rPr>
          <w:b/>
          <w:spacing w:val="-12"/>
          <w:sz w:val="13"/>
        </w:rPr>
        <w:t> </w:t>
      </w:r>
    </w:p>
    <w:p>
      <w:pPr>
        <w:spacing w:before="116"/>
        <w:ind w:left="768" w:right="0" w:firstLine="0"/>
        <w:jc w:val="left"/>
        <w:rPr>
          <w:sz w:val="18"/>
        </w:rPr>
      </w:pPr>
      <w:r>
        <w:rPr>
          <w:sz w:val="18"/>
        </w:rPr>
        <w:t>Sources: Thomson Financial Datastream and Bank calculations.</w:t>
      </w:r>
    </w:p>
    <w:p>
      <w:pPr>
        <w:pStyle w:val="BodyText"/>
        <w:rPr>
          <w:sz w:val="20"/>
        </w:rPr>
      </w:pPr>
    </w:p>
    <w:p>
      <w:pPr>
        <w:pStyle w:val="BodyText"/>
        <w:spacing w:before="4"/>
        <w:rPr>
          <w:sz w:val="28"/>
        </w:rPr>
      </w:pPr>
    </w:p>
    <w:p>
      <w:pPr>
        <w:pStyle w:val="Heading1"/>
        <w:spacing w:before="0"/>
        <w:ind w:right="2006"/>
      </w:pPr>
      <w:r>
        <w:rPr/>
        <w:t>Chart 4: Volatility of aggregate real profits growth (balanced panel)</w:t>
      </w:r>
    </w:p>
    <w:p>
      <w:pPr>
        <w:spacing w:line="244" w:lineRule="auto" w:before="41"/>
        <w:ind w:left="5889" w:right="1839" w:firstLine="0"/>
        <w:jc w:val="left"/>
        <w:rPr>
          <w:b/>
          <w:sz w:val="16"/>
        </w:rPr>
      </w:pPr>
      <w:r>
        <w:rPr>
          <w:b/>
          <w:sz w:val="16"/>
        </w:rPr>
        <w:t>Standard deviation Per cent</w:t>
      </w:r>
    </w:p>
    <w:p>
      <w:pPr>
        <w:spacing w:before="121"/>
        <w:ind w:left="0" w:right="1742" w:firstLine="0"/>
        <w:jc w:val="right"/>
        <w:rPr>
          <w:b/>
          <w:sz w:val="13"/>
        </w:rPr>
      </w:pPr>
      <w:r>
        <w:rPr/>
        <w:pict>
          <v:group style="position:absolute;margin-left:137.130005pt;margin-top:10.226317pt;width:300.150pt;height:154.35pt;mso-position-horizontal-relative:page;mso-position-vertical-relative:paragraph;z-index:251689984" coordorigin="2743,205" coordsize="6003,3087">
            <v:shape style="position:absolute;left:2743;top:205;width:6002;height:3087" coordorigin="2743,205" coordsize="6002,3087" path="m8700,205l8700,3256,8744,3256m8700,2950l8744,2950m8700,2642l8744,2642m8700,2336l8744,2336m8700,2030l8744,2030m8700,1724l8744,1724m8700,1430l8744,1430m8700,1124l8744,1124m8700,817l8744,817m8700,511l8744,511m8700,205l8744,205m2743,3256l8700,3256m2743,3292l2743,3256m3569,3292l3569,3256m4380,3292l4380,3256m5206,3292l5206,3256m6031,3292l6031,3256m6857,3292l6857,3256m7668,3292l7668,3256m8494,3292l8494,3256e" filled="false" stroked="true" strokeweight=".06pt" strokecolor="#000000">
              <v:path arrowok="t"/>
              <v:stroke dashstyle="solid"/>
            </v:shape>
            <v:shape style="position:absolute;left:4999;top:1430;width:3495;height:1188" coordorigin="4999,1430" coordsize="3495,1188" path="m4999,1466l5206,1614,5412,1504,5618,1430,5825,1430,6031,1760,6238,1589,6444,1589,6651,1602,6857,1687,7063,1712,7255,1774,7462,1981,7668,2153,7875,2226,8081,2324,8287,2520,8494,2618e" filled="false" stroked="true" strokeweight="1.250898pt" strokecolor="#000080">
              <v:path arrowok="t"/>
              <v:stroke dashstyle="solid"/>
            </v:shape>
            <v:line style="position:absolute" from="8481,2624" to="8712,2624" stroked="true" strokeweight="1.826953pt" strokecolor="#000080">
              <v:stroke dashstyle="solid"/>
            </v:line>
            <v:shape style="position:absolute;left:4188;top:1282;width:4306;height:1618" coordorigin="4188,1283" coordsize="4306,1618" path="m4188,1283l4380,2141,4586,1798,4793,1393,4999,1405,5206,1859,5412,1810,5618,2214,5825,2202,6031,1699,6238,1320,6444,1308,6651,1651,6857,1896,7063,1932,7255,2018,7462,2508,7668,2790,7875,2692,8081,2729,8287,2741,8494,2900e" filled="false" stroked="true" strokeweight="1.255908pt" strokecolor="#ff00ff">
              <v:path arrowok="t"/>
              <v:stroke dashstyle="solid"/>
            </v:shape>
            <v:line style="position:absolute" from="8494,2900" to="8700,2950" stroked="true" strokeweight="1.238468pt" strokecolor="#ff00ff">
              <v:stroke dashstyle="solid"/>
            </v:line>
            <v:line style="position:absolute" from="3142,695" to="3494,695" stroked="true" strokeweight="1.225056pt" strokecolor="#000080">
              <v:stroke dashstyle="solid"/>
            </v:line>
            <v:line style="position:absolute" from="3142,866" to="3494,866" stroked="true" strokeweight="1.225056pt" strokecolor="#ff00ff">
              <v:stroke dashstyle="solid"/>
            </v:line>
            <v:shape style="position:absolute;left:3538;top:613;width:1459;height:321" type="#_x0000_t202" filled="false" stroked="false">
              <v:textbox inset="0,0,0,0">
                <w:txbxContent>
                  <w:p>
                    <w:pPr>
                      <w:spacing w:line="276" w:lineRule="auto" w:before="0"/>
                      <w:ind w:left="0" w:right="0" w:firstLine="0"/>
                      <w:jc w:val="left"/>
                      <w:rPr>
                        <w:b/>
                        <w:sz w:val="13"/>
                      </w:rPr>
                    </w:pPr>
                    <w:r>
                      <w:rPr>
                        <w:b/>
                        <w:w w:val="105"/>
                        <w:sz w:val="13"/>
                      </w:rPr>
                      <w:t>Te</w:t>
                    </w:r>
                    <w:r>
                      <w:rPr>
                        <w:b/>
                        <w:spacing w:val="-7"/>
                        <w:w w:val="105"/>
                        <w:sz w:val="13"/>
                      </w:rPr>
                      <w:t> </w:t>
                    </w:r>
                    <w:r>
                      <w:rPr>
                        <w:b/>
                        <w:w w:val="105"/>
                        <w:sz w:val="13"/>
                      </w:rPr>
                      <w:t>n</w:t>
                    </w:r>
                    <w:r>
                      <w:rPr>
                        <w:b/>
                        <w:spacing w:val="-8"/>
                        <w:w w:val="105"/>
                        <w:sz w:val="13"/>
                      </w:rPr>
                      <w:t> </w:t>
                    </w:r>
                    <w:r>
                      <w:rPr>
                        <w:b/>
                        <w:w w:val="105"/>
                        <w:sz w:val="13"/>
                      </w:rPr>
                      <w:t>-</w:t>
                    </w:r>
                    <w:r>
                      <w:rPr>
                        <w:b/>
                        <w:spacing w:val="-21"/>
                        <w:w w:val="105"/>
                        <w:sz w:val="13"/>
                      </w:rPr>
                      <w:t> </w:t>
                    </w:r>
                    <w:r>
                      <w:rPr>
                        <w:b/>
                        <w:spacing w:val="10"/>
                        <w:w w:val="105"/>
                        <w:sz w:val="13"/>
                      </w:rPr>
                      <w:t>ye</w:t>
                    </w:r>
                    <w:r>
                      <w:rPr>
                        <w:b/>
                        <w:spacing w:val="-8"/>
                        <w:w w:val="105"/>
                        <w:sz w:val="13"/>
                      </w:rPr>
                      <w:t> </w:t>
                    </w:r>
                    <w:r>
                      <w:rPr>
                        <w:b/>
                        <w:spacing w:val="10"/>
                        <w:w w:val="105"/>
                        <w:sz w:val="13"/>
                      </w:rPr>
                      <w:t>ar</w:t>
                    </w:r>
                    <w:r>
                      <w:rPr>
                        <w:b/>
                        <w:spacing w:val="20"/>
                        <w:w w:val="105"/>
                        <w:sz w:val="13"/>
                      </w:rPr>
                      <w:t> </w:t>
                    </w:r>
                    <w:r>
                      <w:rPr>
                        <w:b/>
                        <w:spacing w:val="3"/>
                        <w:w w:val="105"/>
                        <w:sz w:val="13"/>
                      </w:rPr>
                      <w:t>vo</w:t>
                    </w:r>
                    <w:r>
                      <w:rPr>
                        <w:b/>
                        <w:spacing w:val="-14"/>
                        <w:w w:val="105"/>
                        <w:sz w:val="13"/>
                      </w:rPr>
                      <w:t> </w:t>
                    </w:r>
                    <w:r>
                      <w:rPr>
                        <w:b/>
                        <w:spacing w:val="10"/>
                        <w:w w:val="105"/>
                        <w:sz w:val="13"/>
                      </w:rPr>
                      <w:t>la</w:t>
                    </w:r>
                    <w:r>
                      <w:rPr>
                        <w:b/>
                        <w:spacing w:val="-15"/>
                        <w:w w:val="105"/>
                        <w:sz w:val="13"/>
                      </w:rPr>
                      <w:t> </w:t>
                    </w:r>
                    <w:r>
                      <w:rPr>
                        <w:b/>
                        <w:spacing w:val="15"/>
                        <w:w w:val="105"/>
                        <w:sz w:val="13"/>
                      </w:rPr>
                      <w:t>tility </w:t>
                    </w:r>
                    <w:r>
                      <w:rPr>
                        <w:b/>
                        <w:spacing w:val="3"/>
                        <w:w w:val="105"/>
                        <w:sz w:val="13"/>
                      </w:rPr>
                      <w:t>Fi</w:t>
                    </w:r>
                    <w:r>
                      <w:rPr>
                        <w:b/>
                        <w:spacing w:val="-15"/>
                        <w:w w:val="105"/>
                        <w:sz w:val="13"/>
                      </w:rPr>
                      <w:t> </w:t>
                    </w:r>
                    <w:r>
                      <w:rPr>
                        <w:b/>
                        <w:spacing w:val="3"/>
                        <w:w w:val="105"/>
                        <w:sz w:val="13"/>
                      </w:rPr>
                      <w:t>ve</w:t>
                    </w:r>
                    <w:r>
                      <w:rPr>
                        <w:b/>
                        <w:spacing w:val="-7"/>
                        <w:w w:val="105"/>
                        <w:sz w:val="13"/>
                      </w:rPr>
                      <w:t> </w:t>
                    </w:r>
                    <w:r>
                      <w:rPr>
                        <w:b/>
                        <w:w w:val="105"/>
                        <w:sz w:val="13"/>
                      </w:rPr>
                      <w:t>-</w:t>
                    </w:r>
                    <w:r>
                      <w:rPr>
                        <w:b/>
                        <w:spacing w:val="-20"/>
                        <w:w w:val="105"/>
                        <w:sz w:val="13"/>
                      </w:rPr>
                      <w:t> </w:t>
                    </w:r>
                    <w:r>
                      <w:rPr>
                        <w:b/>
                        <w:w w:val="105"/>
                        <w:sz w:val="13"/>
                      </w:rPr>
                      <w:t>y</w:t>
                    </w:r>
                    <w:r>
                      <w:rPr>
                        <w:b/>
                        <w:spacing w:val="-15"/>
                        <w:w w:val="105"/>
                        <w:sz w:val="13"/>
                      </w:rPr>
                      <w:t> </w:t>
                    </w:r>
                    <w:r>
                      <w:rPr>
                        <w:b/>
                        <w:w w:val="105"/>
                        <w:sz w:val="13"/>
                      </w:rPr>
                      <w:t>e</w:t>
                    </w:r>
                    <w:r>
                      <w:rPr>
                        <w:b/>
                        <w:spacing w:val="-7"/>
                        <w:w w:val="105"/>
                        <w:sz w:val="13"/>
                      </w:rPr>
                      <w:t> </w:t>
                    </w:r>
                    <w:r>
                      <w:rPr>
                        <w:b/>
                        <w:w w:val="105"/>
                        <w:sz w:val="13"/>
                      </w:rPr>
                      <w:t>a</w:t>
                    </w:r>
                    <w:r>
                      <w:rPr>
                        <w:b/>
                        <w:spacing w:val="-14"/>
                        <w:w w:val="105"/>
                        <w:sz w:val="13"/>
                      </w:rPr>
                      <w:t> </w:t>
                    </w:r>
                    <w:r>
                      <w:rPr>
                        <w:b/>
                        <w:w w:val="105"/>
                        <w:sz w:val="13"/>
                      </w:rPr>
                      <w:t>r</w:t>
                    </w:r>
                    <w:r>
                      <w:rPr>
                        <w:b/>
                        <w:spacing w:val="22"/>
                        <w:w w:val="105"/>
                        <w:sz w:val="13"/>
                      </w:rPr>
                      <w:t> </w:t>
                    </w:r>
                    <w:r>
                      <w:rPr>
                        <w:b/>
                        <w:spacing w:val="2"/>
                        <w:w w:val="105"/>
                        <w:sz w:val="13"/>
                      </w:rPr>
                      <w:t>vo</w:t>
                    </w:r>
                    <w:r>
                      <w:rPr>
                        <w:b/>
                        <w:spacing w:val="-14"/>
                        <w:w w:val="105"/>
                        <w:sz w:val="13"/>
                      </w:rPr>
                      <w:t> </w:t>
                    </w:r>
                    <w:r>
                      <w:rPr>
                        <w:b/>
                        <w:w w:val="105"/>
                        <w:sz w:val="13"/>
                      </w:rPr>
                      <w:t>l</w:t>
                    </w:r>
                    <w:r>
                      <w:rPr>
                        <w:b/>
                        <w:spacing w:val="-14"/>
                        <w:w w:val="105"/>
                        <w:sz w:val="13"/>
                      </w:rPr>
                      <w:t> </w:t>
                    </w:r>
                    <w:r>
                      <w:rPr>
                        <w:b/>
                        <w:w w:val="105"/>
                        <w:sz w:val="13"/>
                      </w:rPr>
                      <w:t>a</w:t>
                    </w:r>
                    <w:r>
                      <w:rPr>
                        <w:b/>
                        <w:spacing w:val="-14"/>
                        <w:w w:val="105"/>
                        <w:sz w:val="13"/>
                      </w:rPr>
                      <w:t> </w:t>
                    </w:r>
                    <w:r>
                      <w:rPr>
                        <w:b/>
                        <w:spacing w:val="6"/>
                        <w:w w:val="105"/>
                        <w:sz w:val="13"/>
                      </w:rPr>
                      <w:t>ti</w:t>
                    </w:r>
                    <w:r>
                      <w:rPr>
                        <w:b/>
                        <w:spacing w:val="-15"/>
                        <w:w w:val="105"/>
                        <w:sz w:val="13"/>
                      </w:rPr>
                      <w:t> </w:t>
                    </w:r>
                    <w:r>
                      <w:rPr>
                        <w:b/>
                        <w:w w:val="105"/>
                        <w:sz w:val="13"/>
                      </w:rPr>
                      <w:t>l</w:t>
                    </w:r>
                    <w:r>
                      <w:rPr>
                        <w:b/>
                        <w:spacing w:val="-12"/>
                        <w:w w:val="105"/>
                        <w:sz w:val="13"/>
                      </w:rPr>
                      <w:t> </w:t>
                    </w:r>
                    <w:r>
                      <w:rPr>
                        <w:b/>
                        <w:w w:val="105"/>
                        <w:sz w:val="13"/>
                      </w:rPr>
                      <w:t>i</w:t>
                    </w:r>
                    <w:r>
                      <w:rPr>
                        <w:b/>
                        <w:spacing w:val="-14"/>
                        <w:w w:val="105"/>
                        <w:sz w:val="13"/>
                      </w:rPr>
                      <w:t> </w:t>
                    </w:r>
                    <w:r>
                      <w:rPr>
                        <w:b/>
                        <w:spacing w:val="6"/>
                        <w:w w:val="105"/>
                        <w:sz w:val="13"/>
                      </w:rPr>
                      <w:t>ty</w:t>
                    </w:r>
                    <w:r>
                      <w:rPr>
                        <w:b/>
                        <w:spacing w:val="-19"/>
                        <w:sz w:val="13"/>
                      </w:rPr>
                      <w:t> </w:t>
                    </w:r>
                  </w:p>
                </w:txbxContent>
              </v:textbox>
              <w10:wrap type="none"/>
            </v:shape>
            <w10:wrap type="none"/>
          </v:group>
        </w:pict>
      </w:r>
      <w:r>
        <w:rPr>
          <w:b/>
          <w:spacing w:val="10"/>
          <w:sz w:val="13"/>
        </w:rPr>
        <w:t>20</w:t>
      </w:r>
      <w:r>
        <w:rPr>
          <w:b/>
          <w:spacing w:val="-12"/>
          <w:sz w:val="13"/>
        </w:rPr>
        <w:t> </w:t>
      </w:r>
    </w:p>
    <w:p>
      <w:pPr>
        <w:pStyle w:val="BodyText"/>
        <w:spacing w:before="8"/>
        <w:rPr>
          <w:b/>
          <w:sz w:val="13"/>
        </w:rPr>
      </w:pPr>
    </w:p>
    <w:p>
      <w:pPr>
        <w:spacing w:before="0"/>
        <w:ind w:left="0" w:right="1742" w:firstLine="0"/>
        <w:jc w:val="right"/>
        <w:rPr>
          <w:b/>
          <w:sz w:val="13"/>
        </w:rPr>
      </w:pPr>
      <w:r>
        <w:rPr>
          <w:b/>
          <w:spacing w:val="10"/>
          <w:sz w:val="13"/>
        </w:rPr>
        <w:t>18</w:t>
      </w:r>
      <w:r>
        <w:rPr>
          <w:b/>
          <w:spacing w:val="-12"/>
          <w:sz w:val="13"/>
        </w:rPr>
        <w:t> </w:t>
      </w:r>
    </w:p>
    <w:p>
      <w:pPr>
        <w:pStyle w:val="BodyText"/>
        <w:spacing w:before="7"/>
        <w:rPr>
          <w:b/>
          <w:sz w:val="13"/>
        </w:rPr>
      </w:pPr>
    </w:p>
    <w:p>
      <w:pPr>
        <w:spacing w:before="0"/>
        <w:ind w:left="0" w:right="1742" w:firstLine="0"/>
        <w:jc w:val="right"/>
        <w:rPr>
          <w:b/>
          <w:sz w:val="13"/>
        </w:rPr>
      </w:pPr>
      <w:r>
        <w:rPr>
          <w:b/>
          <w:spacing w:val="10"/>
          <w:sz w:val="13"/>
        </w:rPr>
        <w:t>16</w:t>
      </w:r>
      <w:r>
        <w:rPr>
          <w:b/>
          <w:spacing w:val="-12"/>
          <w:sz w:val="13"/>
        </w:rPr>
        <w:t> </w:t>
      </w:r>
    </w:p>
    <w:p>
      <w:pPr>
        <w:pStyle w:val="BodyText"/>
        <w:spacing w:before="7"/>
        <w:rPr>
          <w:b/>
          <w:sz w:val="13"/>
        </w:rPr>
      </w:pPr>
    </w:p>
    <w:p>
      <w:pPr>
        <w:spacing w:before="0"/>
        <w:ind w:left="0" w:right="1742" w:firstLine="0"/>
        <w:jc w:val="right"/>
        <w:rPr>
          <w:b/>
          <w:sz w:val="13"/>
        </w:rPr>
      </w:pPr>
      <w:r>
        <w:rPr>
          <w:b/>
          <w:spacing w:val="10"/>
          <w:sz w:val="13"/>
        </w:rPr>
        <w:t>14</w:t>
      </w:r>
      <w:r>
        <w:rPr>
          <w:b/>
          <w:spacing w:val="-12"/>
          <w:sz w:val="13"/>
        </w:rPr>
        <w:t> </w:t>
      </w:r>
    </w:p>
    <w:p>
      <w:pPr>
        <w:pStyle w:val="BodyText"/>
        <w:spacing w:before="7"/>
        <w:rPr>
          <w:b/>
          <w:sz w:val="13"/>
        </w:rPr>
      </w:pPr>
    </w:p>
    <w:p>
      <w:pPr>
        <w:spacing w:before="0"/>
        <w:ind w:left="0" w:right="1742" w:firstLine="0"/>
        <w:jc w:val="right"/>
        <w:rPr>
          <w:b/>
          <w:sz w:val="13"/>
        </w:rPr>
      </w:pPr>
      <w:r>
        <w:rPr>
          <w:b/>
          <w:spacing w:val="10"/>
          <w:sz w:val="13"/>
        </w:rPr>
        <w:t>12</w:t>
      </w:r>
      <w:r>
        <w:rPr>
          <w:b/>
          <w:spacing w:val="-12"/>
          <w:sz w:val="13"/>
        </w:rPr>
        <w:t> </w:t>
      </w:r>
    </w:p>
    <w:p>
      <w:pPr>
        <w:pStyle w:val="BodyText"/>
        <w:spacing w:before="7"/>
        <w:rPr>
          <w:b/>
          <w:sz w:val="12"/>
        </w:rPr>
      </w:pPr>
    </w:p>
    <w:p>
      <w:pPr>
        <w:spacing w:before="0"/>
        <w:ind w:left="0" w:right="1742" w:firstLine="0"/>
        <w:jc w:val="right"/>
        <w:rPr>
          <w:b/>
          <w:sz w:val="13"/>
        </w:rPr>
      </w:pPr>
      <w:r>
        <w:rPr>
          <w:b/>
          <w:spacing w:val="10"/>
          <w:sz w:val="13"/>
        </w:rPr>
        <w:t>10</w:t>
      </w:r>
      <w:r>
        <w:rPr>
          <w:b/>
          <w:spacing w:val="-12"/>
          <w:sz w:val="13"/>
        </w:rPr>
        <w:t> </w:t>
      </w:r>
    </w:p>
    <w:p>
      <w:pPr>
        <w:pStyle w:val="BodyText"/>
        <w:spacing w:before="8"/>
        <w:rPr>
          <w:b/>
          <w:sz w:val="13"/>
        </w:rPr>
      </w:pPr>
    </w:p>
    <w:p>
      <w:pPr>
        <w:spacing w:before="0"/>
        <w:ind w:left="0" w:right="1853" w:firstLine="0"/>
        <w:jc w:val="right"/>
        <w:rPr>
          <w:b/>
          <w:sz w:val="13"/>
        </w:rPr>
      </w:pPr>
      <w:r>
        <w:rPr>
          <w:b/>
          <w:w w:val="103"/>
          <w:sz w:val="13"/>
        </w:rPr>
        <w:t>8</w:t>
      </w:r>
    </w:p>
    <w:p>
      <w:pPr>
        <w:pStyle w:val="BodyText"/>
        <w:spacing w:before="7"/>
        <w:rPr>
          <w:b/>
          <w:sz w:val="13"/>
        </w:rPr>
      </w:pPr>
    </w:p>
    <w:p>
      <w:pPr>
        <w:spacing w:before="0"/>
        <w:ind w:left="0" w:right="1853" w:firstLine="0"/>
        <w:jc w:val="right"/>
        <w:rPr>
          <w:b/>
          <w:sz w:val="13"/>
        </w:rPr>
      </w:pPr>
      <w:r>
        <w:rPr>
          <w:b/>
          <w:w w:val="103"/>
          <w:sz w:val="13"/>
        </w:rPr>
        <w:t>6</w:t>
      </w:r>
    </w:p>
    <w:p>
      <w:pPr>
        <w:pStyle w:val="BodyText"/>
        <w:spacing w:before="7"/>
        <w:rPr>
          <w:b/>
          <w:sz w:val="13"/>
        </w:rPr>
      </w:pPr>
    </w:p>
    <w:p>
      <w:pPr>
        <w:spacing w:before="0"/>
        <w:ind w:left="0" w:right="1853" w:firstLine="0"/>
        <w:jc w:val="right"/>
        <w:rPr>
          <w:b/>
          <w:sz w:val="13"/>
        </w:rPr>
      </w:pPr>
      <w:r>
        <w:rPr>
          <w:b/>
          <w:w w:val="103"/>
          <w:sz w:val="13"/>
        </w:rPr>
        <w:t>4</w:t>
      </w:r>
    </w:p>
    <w:p>
      <w:pPr>
        <w:pStyle w:val="BodyText"/>
        <w:spacing w:before="7"/>
        <w:rPr>
          <w:b/>
          <w:sz w:val="13"/>
        </w:rPr>
      </w:pPr>
    </w:p>
    <w:p>
      <w:pPr>
        <w:spacing w:before="0"/>
        <w:ind w:left="0" w:right="1853" w:firstLine="0"/>
        <w:jc w:val="right"/>
        <w:rPr>
          <w:b/>
          <w:sz w:val="13"/>
        </w:rPr>
      </w:pPr>
      <w:r>
        <w:rPr>
          <w:b/>
          <w:w w:val="103"/>
          <w:sz w:val="13"/>
        </w:rPr>
        <w:t>2</w:t>
      </w:r>
    </w:p>
    <w:p>
      <w:pPr>
        <w:pStyle w:val="BodyText"/>
        <w:spacing w:before="7"/>
        <w:rPr>
          <w:b/>
          <w:sz w:val="13"/>
        </w:rPr>
      </w:pPr>
    </w:p>
    <w:p>
      <w:pPr>
        <w:spacing w:before="0"/>
        <w:ind w:left="7137" w:right="0" w:firstLine="0"/>
        <w:jc w:val="left"/>
        <w:rPr>
          <w:b/>
          <w:sz w:val="13"/>
        </w:rPr>
      </w:pPr>
      <w:r>
        <w:rPr>
          <w:b/>
          <w:w w:val="103"/>
          <w:sz w:val="13"/>
        </w:rPr>
        <w:t>0</w:t>
      </w:r>
    </w:p>
    <w:p>
      <w:pPr>
        <w:tabs>
          <w:tab w:pos="1711" w:val="left" w:leader="none"/>
          <w:tab w:pos="2522" w:val="left" w:leader="none"/>
          <w:tab w:pos="3347" w:val="left" w:leader="none"/>
          <w:tab w:pos="4173" w:val="left" w:leader="none"/>
          <w:tab w:pos="5000" w:val="left" w:leader="none"/>
          <w:tab w:pos="5810" w:val="left" w:leader="none"/>
          <w:tab w:pos="6637" w:val="left" w:leader="none"/>
        </w:tabs>
        <w:spacing w:before="34"/>
        <w:ind w:left="885" w:right="0" w:firstLine="0"/>
        <w:jc w:val="left"/>
        <w:rPr>
          <w:b/>
          <w:sz w:val="13"/>
        </w:rPr>
      </w:pPr>
      <w:r>
        <w:rPr>
          <w:b/>
          <w:spacing w:val="15"/>
          <w:w w:val="105"/>
          <w:sz w:val="13"/>
        </w:rPr>
        <w:t>1974</w:t>
        <w:tab/>
        <w:t>1978</w:t>
        <w:tab/>
      </w:r>
      <w:r>
        <w:rPr>
          <w:b/>
          <w:spacing w:val="14"/>
          <w:w w:val="105"/>
          <w:sz w:val="13"/>
        </w:rPr>
        <w:t>198</w:t>
      </w:r>
      <w:r>
        <w:rPr>
          <w:b/>
          <w:spacing w:val="-16"/>
          <w:w w:val="105"/>
          <w:sz w:val="13"/>
        </w:rPr>
        <w:t> </w:t>
      </w:r>
      <w:r>
        <w:rPr>
          <w:b/>
          <w:w w:val="105"/>
          <w:sz w:val="13"/>
        </w:rPr>
        <w:t>2</w:t>
        <w:tab/>
      </w:r>
      <w:r>
        <w:rPr>
          <w:b/>
          <w:spacing w:val="15"/>
          <w:w w:val="105"/>
          <w:sz w:val="13"/>
        </w:rPr>
        <w:t>1986</w:t>
        <w:tab/>
        <w:t>1990</w:t>
        <w:tab/>
      </w:r>
      <w:r>
        <w:rPr>
          <w:b/>
          <w:w w:val="105"/>
          <w:sz w:val="13"/>
        </w:rPr>
        <w:t>1</w:t>
      </w:r>
      <w:r>
        <w:rPr>
          <w:b/>
          <w:spacing w:val="-15"/>
          <w:w w:val="105"/>
          <w:sz w:val="13"/>
        </w:rPr>
        <w:t> </w:t>
      </w:r>
      <w:r>
        <w:rPr>
          <w:b/>
          <w:spacing w:val="14"/>
          <w:w w:val="105"/>
          <w:sz w:val="13"/>
        </w:rPr>
        <w:t>994</w:t>
        <w:tab/>
      </w:r>
      <w:r>
        <w:rPr>
          <w:b/>
          <w:spacing w:val="15"/>
          <w:w w:val="105"/>
          <w:sz w:val="13"/>
        </w:rPr>
        <w:t>1998</w:t>
        <w:tab/>
      </w:r>
      <w:r>
        <w:rPr>
          <w:b/>
          <w:w w:val="105"/>
          <w:sz w:val="13"/>
        </w:rPr>
        <w:t>2</w:t>
      </w:r>
      <w:r>
        <w:rPr>
          <w:b/>
          <w:spacing w:val="-15"/>
          <w:w w:val="105"/>
          <w:sz w:val="13"/>
        </w:rPr>
        <w:t> </w:t>
      </w:r>
      <w:r>
        <w:rPr>
          <w:b/>
          <w:spacing w:val="14"/>
          <w:w w:val="105"/>
          <w:sz w:val="13"/>
        </w:rPr>
        <w:t>002</w:t>
      </w:r>
      <w:r>
        <w:rPr>
          <w:b/>
          <w:spacing w:val="-12"/>
          <w:sz w:val="13"/>
        </w:rPr>
        <w:t> </w:t>
      </w:r>
    </w:p>
    <w:p>
      <w:pPr>
        <w:spacing w:before="115"/>
        <w:ind w:left="768" w:right="0" w:firstLine="0"/>
        <w:jc w:val="left"/>
        <w:rPr>
          <w:sz w:val="18"/>
        </w:rPr>
      </w:pPr>
      <w:r>
        <w:rPr>
          <w:sz w:val="18"/>
        </w:rPr>
        <w:t>Sources: Thomson Financial Datastream and Bank calculations.</w:t>
      </w:r>
    </w:p>
    <w:p>
      <w:pPr>
        <w:spacing w:after="0"/>
        <w:jc w:val="left"/>
        <w:rPr>
          <w:sz w:val="18"/>
        </w:rPr>
        <w:sectPr>
          <w:pgSz w:w="11900" w:h="16840"/>
          <w:pgMar w:header="716" w:footer="0" w:top="1300" w:bottom="280" w:left="1680" w:right="1160"/>
        </w:sectPr>
      </w:pPr>
    </w:p>
    <w:p>
      <w:pPr>
        <w:pStyle w:val="BodyText"/>
        <w:spacing w:before="8"/>
        <w:rPr>
          <w:sz w:val="26"/>
        </w:rPr>
      </w:pPr>
    </w:p>
    <w:p>
      <w:pPr>
        <w:spacing w:after="0"/>
        <w:rPr>
          <w:sz w:val="26"/>
        </w:rPr>
        <w:sectPr>
          <w:pgSz w:w="11900" w:h="16840"/>
          <w:pgMar w:header="716" w:footer="0" w:top="1300" w:bottom="280" w:left="1680" w:right="1160"/>
        </w:sectPr>
      </w:pPr>
    </w:p>
    <w:p>
      <w:pPr>
        <w:pStyle w:val="Heading1"/>
        <w:spacing w:before="90"/>
      </w:pPr>
      <w:r>
        <w:rPr/>
        <w:t>Chart 5: Business investment to output ratio</w:t>
      </w:r>
    </w:p>
    <w:p>
      <w:pPr>
        <w:pStyle w:val="BodyText"/>
        <w:rPr>
          <w:b/>
          <w:sz w:val="18"/>
        </w:rPr>
      </w:pPr>
      <w:r>
        <w:rPr/>
        <w:br w:type="column"/>
      </w:r>
      <w:r>
        <w:rPr>
          <w:b/>
          <w:sz w:val="18"/>
        </w:rPr>
      </w:r>
    </w:p>
    <w:p>
      <w:pPr>
        <w:pStyle w:val="BodyText"/>
        <w:spacing w:before="6"/>
        <w:rPr>
          <w:b/>
          <w:sz w:val="25"/>
        </w:rPr>
      </w:pPr>
    </w:p>
    <w:p>
      <w:pPr>
        <w:spacing w:before="0"/>
        <w:ind w:left="768" w:right="0" w:firstLine="0"/>
        <w:jc w:val="left"/>
        <w:rPr>
          <w:b/>
          <w:sz w:val="17"/>
        </w:rPr>
      </w:pPr>
      <w:r>
        <w:rPr>
          <w:b/>
          <w:sz w:val="17"/>
        </w:rPr>
        <w:t>Ratio</w:t>
      </w:r>
    </w:p>
    <w:p>
      <w:pPr>
        <w:pStyle w:val="BodyText"/>
        <w:rPr>
          <w:b/>
          <w:sz w:val="20"/>
        </w:rPr>
      </w:pPr>
      <w:r>
        <w:rPr/>
        <w:br w:type="column"/>
      </w:r>
      <w:r>
        <w:rPr>
          <w:b/>
          <w:sz w:val="20"/>
        </w:rPr>
      </w:r>
    </w:p>
    <w:p>
      <w:pPr>
        <w:pStyle w:val="BodyText"/>
        <w:rPr>
          <w:b/>
          <w:sz w:val="20"/>
        </w:rPr>
      </w:pPr>
    </w:p>
    <w:p>
      <w:pPr>
        <w:pStyle w:val="BodyText"/>
        <w:spacing w:before="3"/>
        <w:rPr>
          <w:b/>
          <w:sz w:val="18"/>
        </w:rPr>
      </w:pPr>
    </w:p>
    <w:p>
      <w:pPr>
        <w:spacing w:before="0"/>
        <w:ind w:left="92" w:right="0" w:firstLine="0"/>
        <w:jc w:val="left"/>
        <w:rPr>
          <w:b/>
          <w:sz w:val="19"/>
        </w:rPr>
      </w:pPr>
      <w:r>
        <w:rPr/>
        <w:pict>
          <v:group style="position:absolute;margin-left:155.326996pt;margin-top:5.301792pt;width:261.1500pt;height:159.050pt;mso-position-horizontal-relative:page;mso-position-vertical-relative:paragraph;z-index:251696128" coordorigin="3107,106" coordsize="5223,3181">
            <v:shape style="position:absolute;left:3121;top:106;width:5207;height:3180" coordorigin="3121,107" coordsize="5207,3180" path="m8269,107l8269,3228,8328,3228m8269,2876l8328,2876m8269,2539l8328,2539m8269,2187l8328,2187m8269,1836l8328,1836m8269,1499l8328,1499m8269,1147l8328,1147m8269,795l8328,795m8269,458l8328,458m8269,107l8328,107m3121,3228l8269,3228m3121,3287l3121,3228m3781,3287l3781,3228m4427,3287l4427,3228m5087,3287l5087,3228m5747,3287l5747,3228m6407,3287l6407,3228m7052,3287l7052,3228m7712,3287l7712,3228e" filled="false" stroked="true" strokeweight=".06pt" strokecolor="#000000">
              <v:path arrowok="t"/>
              <v:stroke dashstyle="solid"/>
            </v:shape>
            <v:line style="position:absolute" from="3121,1103" to="3150,1161" stroked="true" strokeweight="1.466pt" strokecolor="#000080">
              <v:stroke dashstyle="solid"/>
            </v:line>
            <v:shape style="position:absolute;left:3150;top:253;width:5091;height:1803" coordorigin="3150,253" coordsize="5091,1803" path="m3150,1161l3180,1088,3224,1103,3253,1001,3282,897,3312,1133,3356,1206,3385,1147,3414,1118,3444,1191,3488,897,3517,1249,3546,1206,3576,1176,3620,1118,3649,1045,3678,942,3708,1147,3737,1045,3781,1059,3810,1088,3840,1161,3869,1206,3913,1235,3942,1323,3972,1440,4001,1367,4045,1074,4074,1176,4104,1133,4133,927,4177,517,4206,605,4236,663,4265,487,4295,692,4339,869,4368,590,4397,869,4427,824,4471,751,4500,708,4529,751,4559,986,4603,722,4632,795,4661,678,4691,722,4735,722,4764,824,4793,897,4823,737,4852,810,4896,810,4925,897,4955,942,4984,956,5028,1029,5057,1088,5087,1293,5116,1323,5160,1352,5189,1425,5219,1440,5248,1425,5292,1308,5321,1440,5351,1543,5380,1543,5410,1616,5453,1470,5483,1529,5512,1249,5542,1249,5586,1176,5615,824,5644,1338,5674,1279,5747,1352,5776,1513,5806,1397,5850,1279,5879,1381,5908,1279,5938,1088,5982,897,6011,956,6040,869,6070,751,6098,722,6143,531,6172,414,6202,253,6230,399,6275,503,6304,517,6334,678,6362,722,6407,913,6436,1147,6466,1411,6494,1308,6539,1425,6568,1557,6598,1645,6626,1748,6656,1748,6700,1880,6730,1909,6758,1865,6788,1850,6833,1895,6862,1791,6890,1689,6920,1763,6965,1645,6994,1470,7022,1411,7052,1338,7097,1323,7126,1367,7154,1499,7184,1397,7213,1367,7258,1397,7286,1191,7316,986,7345,986m7345,986l7390,927,7418,971,7448,1045,7477,1118,7522,1029,7550,1147,7580,1279,7609,1279,7654,1176,7682,1074,7712,1279,7741,1338,7771,1397,7814,1645,7844,1631,7873,1675,7903,1733,7946,1631,7976,1923,8005,1895,8035,2055,8080,1968,8108,1997,8137,2041,8167,1982,8240,2055e" filled="false" stroked="true" strokeweight="1.466pt" strokecolor="#000080">
              <v:path arrowok="t"/>
              <v:stroke dashstyle="solid"/>
            </v:shape>
            <v:line style="position:absolute" from="8240,2055" to="8269,2027" stroked="true" strokeweight="1.466pt" strokecolor="#000080">
              <v:stroke dashstyle="solid"/>
            </v:line>
            <v:line style="position:absolute" from="3121,2905" to="3150,2935" stroked="true" strokeweight="1.466pt" strokecolor="#ff00ff">
              <v:stroke dashstyle="solid"/>
            </v:line>
            <v:shape style="position:absolute;left:3150;top:1381;width:5091;height:1656" coordorigin="3150,1381" coordsize="5091,1656" path="m3150,2935l3180,2876,3224,2876,3253,2803,3282,2744,3312,2803,3356,2862,3385,2847,3444,2847,3488,2685,3517,2905,3546,2832,3576,2817,3620,2803,3649,2774,3678,2715,3708,2803,3737,2744,3781,2803,3810,2789,3840,2817,3869,2876,3913,2935,3942,2935,3972,2978,4001,2949,4045,2891,4074,2964,4104,2921,4133,2847,4177,2759,4206,2715,4236,2789,4265,2657,4295,2744,4339,2789,4368,2642,4397,2803,4427,2803,4471,2715,4500,2730,4529,2789,4559,2905,4603,2700,4632,2803,4661,2730,4691,2715,4735,2715,4764,2817,4793,2876,4823,2744,4852,2817,4896,2715,4925,2789,4955,2803,4984,2803,5057,2876,5087,2978,5160,2978,5189,2994,5219,2964,5248,2978,5292,2891,5321,2921,5351,3008,5380,3008,5410,3037,5453,2905,5483,2921,5512,2789,5542,2744,5586,2685,5615,2421,5644,2803,5674,2730,5718,2744,5747,2774,5776,2935,5806,2803,5850,2774,5879,2832,5908,2759,5938,2598,5982,2480,6011,2480,6040,2407,6070,2319,6098,2275,6143,2143,6172,2100,6202,1997,6230,2085,6275,2114,6304,2085,6334,2129,6362,2159,6407,2216,6436,2334,6466,2451,6494,2378,6539,2378,6568,2437,6598,2451,6626,2598,6656,2539,6700,2657,6730,2685,6758,2657,6788,2642,6833,2685,6862,2627,6890,2553,6920,2627,6965,2553,6994,2421,7022,2393,7052,2305,7097,2261,7126,2261,7154,2319,7184,2202,7213,2114,7258,2100,7286,1938,7316,1733,7345,1645,7390,1543,7418,1529m7418,1529l7448,1586,7477,1645,7522,1543,7550,1616,7580,1689,7609,1689,7654,1557,7682,1381,7712,1529,7741,1557,7771,1586,7814,1748,7844,1689,7873,1675,7903,1704,7946,1602,7976,1821,8005,1777,8035,1909,8080,1821,8108,1850,8137,1865,8167,1791,8212,1807,8240,1807e" filled="false" stroked="true" strokeweight="1.466pt" strokecolor="#ff00ff">
              <v:path arrowok="t"/>
              <v:stroke dashstyle="solid"/>
            </v:shape>
            <v:line style="position:absolute" from="8240,1807" to="8269,1777" stroked="true" strokeweight="1.466pt" strokecolor="#ff00ff">
              <v:stroke dashstyle="solid"/>
            </v:line>
            <v:shape style="position:absolute;left:4089;top:228;width:1066;height:195" type="#_x0000_t202" filled="false" stroked="false">
              <v:textbox inset="0,0,0,0">
                <w:txbxContent>
                  <w:p>
                    <w:pPr>
                      <w:spacing w:line="193" w:lineRule="exact" w:before="0"/>
                      <w:ind w:left="0" w:right="0" w:firstLine="0"/>
                      <w:jc w:val="left"/>
                      <w:rPr>
                        <w:b/>
                        <w:sz w:val="17"/>
                      </w:rPr>
                    </w:pPr>
                    <w:r>
                      <w:rPr>
                        <w:b/>
                        <w:color w:val="000080"/>
                        <w:w w:val="105"/>
                        <w:sz w:val="17"/>
                      </w:rPr>
                      <w:t>Current price</w:t>
                    </w:r>
                  </w:p>
                </w:txbxContent>
              </v:textbox>
              <w10:wrap type="none"/>
            </v:shape>
            <v:shape style="position:absolute;left:6260;top:2792;width:1272;height:195" type="#_x0000_t202" filled="false" stroked="false">
              <v:textbox inset="0,0,0,0">
                <w:txbxContent>
                  <w:p>
                    <w:pPr>
                      <w:spacing w:line="193" w:lineRule="exact" w:before="0"/>
                      <w:ind w:left="0" w:right="0" w:firstLine="0"/>
                      <w:jc w:val="left"/>
                      <w:rPr>
                        <w:b/>
                        <w:sz w:val="17"/>
                      </w:rPr>
                    </w:pPr>
                    <w:r>
                      <w:rPr>
                        <w:b/>
                        <w:color w:val="FF00FF"/>
                        <w:w w:val="105"/>
                        <w:sz w:val="17"/>
                      </w:rPr>
                      <w:t>Chained volume</w:t>
                    </w:r>
                  </w:p>
                </w:txbxContent>
              </v:textbox>
              <w10:wrap type="none"/>
            </v:shape>
            <w10:wrap type="none"/>
          </v:group>
        </w:pict>
      </w:r>
      <w:r>
        <w:rPr>
          <w:b/>
          <w:spacing w:val="3"/>
          <w:sz w:val="19"/>
        </w:rPr>
        <w:t>0.15</w:t>
      </w:r>
    </w:p>
    <w:p>
      <w:pPr>
        <w:spacing w:before="135"/>
        <w:ind w:left="92" w:right="0" w:firstLine="0"/>
        <w:jc w:val="left"/>
        <w:rPr>
          <w:b/>
          <w:sz w:val="19"/>
        </w:rPr>
      </w:pPr>
      <w:r>
        <w:rPr>
          <w:b/>
          <w:spacing w:val="3"/>
          <w:sz w:val="19"/>
        </w:rPr>
        <w:t>0.14</w:t>
      </w:r>
    </w:p>
    <w:p>
      <w:pPr>
        <w:spacing w:before="117"/>
        <w:ind w:left="92" w:right="0" w:firstLine="0"/>
        <w:jc w:val="left"/>
        <w:rPr>
          <w:b/>
          <w:sz w:val="19"/>
        </w:rPr>
      </w:pPr>
      <w:r>
        <w:rPr>
          <w:b/>
          <w:spacing w:val="3"/>
          <w:sz w:val="19"/>
        </w:rPr>
        <w:t>0.13</w:t>
      </w:r>
    </w:p>
    <w:p>
      <w:pPr>
        <w:spacing w:before="135"/>
        <w:ind w:left="92" w:right="0" w:firstLine="0"/>
        <w:jc w:val="left"/>
        <w:rPr>
          <w:b/>
          <w:sz w:val="19"/>
        </w:rPr>
      </w:pPr>
      <w:r>
        <w:rPr>
          <w:b/>
          <w:spacing w:val="3"/>
          <w:sz w:val="19"/>
        </w:rPr>
        <w:t>0.12</w:t>
      </w:r>
    </w:p>
    <w:p>
      <w:pPr>
        <w:spacing w:before="133"/>
        <w:ind w:left="92" w:right="0" w:firstLine="0"/>
        <w:jc w:val="left"/>
        <w:rPr>
          <w:b/>
          <w:sz w:val="19"/>
        </w:rPr>
      </w:pPr>
      <w:r>
        <w:rPr>
          <w:b/>
          <w:spacing w:val="3"/>
          <w:sz w:val="19"/>
        </w:rPr>
        <w:t>0.11</w:t>
      </w:r>
    </w:p>
    <w:p>
      <w:pPr>
        <w:spacing w:before="117"/>
        <w:ind w:left="92" w:right="0" w:firstLine="0"/>
        <w:jc w:val="left"/>
        <w:rPr>
          <w:b/>
          <w:sz w:val="19"/>
        </w:rPr>
      </w:pPr>
      <w:r>
        <w:rPr>
          <w:b/>
          <w:spacing w:val="3"/>
          <w:sz w:val="19"/>
        </w:rPr>
        <w:t>0.10</w:t>
      </w:r>
    </w:p>
    <w:p>
      <w:pPr>
        <w:spacing w:before="135"/>
        <w:ind w:left="92" w:right="0" w:firstLine="0"/>
        <w:jc w:val="left"/>
        <w:rPr>
          <w:b/>
          <w:sz w:val="19"/>
        </w:rPr>
      </w:pPr>
      <w:r>
        <w:rPr>
          <w:b/>
          <w:spacing w:val="3"/>
          <w:sz w:val="19"/>
        </w:rPr>
        <w:t>0.09</w:t>
      </w:r>
    </w:p>
    <w:p>
      <w:pPr>
        <w:spacing w:before="133"/>
        <w:ind w:left="92" w:right="0" w:firstLine="0"/>
        <w:jc w:val="left"/>
        <w:rPr>
          <w:b/>
          <w:sz w:val="19"/>
        </w:rPr>
      </w:pPr>
      <w:r>
        <w:rPr>
          <w:b/>
          <w:spacing w:val="3"/>
          <w:sz w:val="19"/>
        </w:rPr>
        <w:t>0.08</w:t>
      </w:r>
    </w:p>
    <w:p>
      <w:pPr>
        <w:spacing w:before="118"/>
        <w:ind w:left="92" w:right="0" w:firstLine="0"/>
        <w:jc w:val="left"/>
        <w:rPr>
          <w:b/>
          <w:sz w:val="19"/>
        </w:rPr>
      </w:pPr>
      <w:r>
        <w:rPr>
          <w:b/>
          <w:spacing w:val="3"/>
          <w:sz w:val="19"/>
        </w:rPr>
        <w:t>0.07</w:t>
      </w:r>
    </w:p>
    <w:p>
      <w:pPr>
        <w:spacing w:before="133"/>
        <w:ind w:left="92" w:right="0" w:firstLine="0"/>
        <w:jc w:val="left"/>
        <w:rPr>
          <w:b/>
          <w:sz w:val="19"/>
        </w:rPr>
      </w:pPr>
      <w:r>
        <w:rPr>
          <w:b/>
          <w:spacing w:val="3"/>
          <w:sz w:val="19"/>
        </w:rPr>
        <w:t>0.06</w:t>
      </w:r>
    </w:p>
    <w:p>
      <w:pPr>
        <w:spacing w:after="0"/>
        <w:jc w:val="left"/>
        <w:rPr>
          <w:sz w:val="19"/>
        </w:rPr>
        <w:sectPr>
          <w:type w:val="continuous"/>
          <w:pgSz w:w="11900" w:h="16840"/>
          <w:pgMar w:top="1180" w:bottom="280" w:left="1680" w:right="1160"/>
          <w:cols w:num="3" w:equalWidth="0">
            <w:col w:w="5357" w:space="68"/>
            <w:col w:w="1179" w:space="40"/>
            <w:col w:w="2416"/>
          </w:cols>
        </w:sectPr>
      </w:pPr>
    </w:p>
    <w:p>
      <w:pPr>
        <w:tabs>
          <w:tab w:pos="1895" w:val="left" w:leader="none"/>
          <w:tab w:pos="2541" w:val="left" w:leader="none"/>
          <w:tab w:pos="3201" w:val="left" w:leader="none"/>
          <w:tab w:pos="3861" w:val="left" w:leader="none"/>
          <w:tab w:pos="4521" w:val="left" w:leader="none"/>
          <w:tab w:pos="5167" w:val="left" w:leader="none"/>
          <w:tab w:pos="5827" w:val="left" w:leader="none"/>
        </w:tabs>
        <w:spacing w:before="60"/>
        <w:ind w:left="1235" w:right="0" w:firstLine="0"/>
        <w:jc w:val="left"/>
        <w:rPr>
          <w:b/>
          <w:sz w:val="19"/>
        </w:rPr>
      </w:pPr>
      <w:r>
        <w:rPr>
          <w:b/>
          <w:spacing w:val="5"/>
          <w:sz w:val="19"/>
        </w:rPr>
        <w:t>1966</w:t>
        <w:tab/>
        <w:t>1971</w:t>
        <w:tab/>
      </w:r>
      <w:r>
        <w:rPr>
          <w:b/>
          <w:spacing w:val="4"/>
          <w:sz w:val="19"/>
        </w:rPr>
        <w:t>1976</w:t>
        <w:tab/>
        <w:t>1981</w:t>
        <w:tab/>
      </w:r>
      <w:r>
        <w:rPr>
          <w:b/>
          <w:spacing w:val="5"/>
          <w:sz w:val="19"/>
        </w:rPr>
        <w:t>1986</w:t>
        <w:tab/>
        <w:t>1991</w:t>
        <w:tab/>
      </w:r>
      <w:r>
        <w:rPr>
          <w:b/>
          <w:spacing w:val="4"/>
          <w:sz w:val="19"/>
        </w:rPr>
        <w:t>1996</w:t>
        <w:tab/>
      </w:r>
      <w:r>
        <w:rPr>
          <w:b/>
          <w:spacing w:val="6"/>
          <w:sz w:val="19"/>
        </w:rPr>
        <w:t>2001</w:t>
      </w:r>
    </w:p>
    <w:p>
      <w:pPr>
        <w:pStyle w:val="BodyText"/>
        <w:spacing w:before="5"/>
        <w:rPr>
          <w:b/>
          <w:sz w:val="17"/>
        </w:rPr>
      </w:pPr>
    </w:p>
    <w:p>
      <w:pPr>
        <w:spacing w:before="92"/>
        <w:ind w:left="768" w:right="0" w:firstLine="0"/>
        <w:jc w:val="left"/>
        <w:rPr>
          <w:sz w:val="18"/>
        </w:rPr>
      </w:pPr>
      <w:r>
        <w:rPr>
          <w:sz w:val="18"/>
        </w:rPr>
        <w:t>Source: 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900" w:h="16840"/>
          <w:pgMar w:top="1180" w:bottom="280" w:left="1680" w:right="1160"/>
        </w:sectPr>
      </w:pPr>
    </w:p>
    <w:p>
      <w:pPr>
        <w:pStyle w:val="BodyText"/>
        <w:spacing w:before="4"/>
        <w:rPr>
          <w:sz w:val="20"/>
        </w:rPr>
      </w:pPr>
    </w:p>
    <w:p>
      <w:pPr>
        <w:pStyle w:val="Heading1"/>
        <w:spacing w:before="0"/>
      </w:pPr>
      <w:r>
        <w:rPr/>
        <w:t>Chart 6: Annual GDP growth</w:t>
      </w:r>
    </w:p>
    <w:p>
      <w:pPr>
        <w:pStyle w:val="BodyText"/>
        <w:rPr>
          <w:b/>
          <w:sz w:val="20"/>
        </w:rPr>
      </w:pPr>
      <w:r>
        <w:rPr/>
        <w:br w:type="column"/>
      </w:r>
      <w:r>
        <w:rPr>
          <w:b/>
          <w:sz w:val="20"/>
        </w:rPr>
      </w:r>
    </w:p>
    <w:p>
      <w:pPr>
        <w:pStyle w:val="BodyText"/>
        <w:rPr>
          <w:b/>
          <w:sz w:val="20"/>
        </w:rPr>
      </w:pPr>
    </w:p>
    <w:p>
      <w:pPr>
        <w:pStyle w:val="BodyText"/>
        <w:spacing w:before="6"/>
        <w:rPr>
          <w:b/>
          <w:sz w:val="18"/>
        </w:rPr>
      </w:pPr>
    </w:p>
    <w:p>
      <w:pPr>
        <w:spacing w:before="0"/>
        <w:ind w:left="0" w:right="1998" w:firstLine="0"/>
        <w:jc w:val="right"/>
        <w:rPr>
          <w:b/>
          <w:sz w:val="18"/>
        </w:rPr>
      </w:pPr>
      <w:r>
        <w:rPr>
          <w:b/>
          <w:w w:val="105"/>
          <w:sz w:val="18"/>
        </w:rPr>
        <w:t>per cent</w:t>
      </w:r>
    </w:p>
    <w:p>
      <w:pPr>
        <w:spacing w:before="36"/>
        <w:ind w:left="0" w:right="1924" w:firstLine="0"/>
        <w:jc w:val="right"/>
        <w:rPr>
          <w:b/>
          <w:sz w:val="18"/>
        </w:rPr>
      </w:pPr>
      <w:r>
        <w:rPr/>
        <w:pict>
          <v:group style="position:absolute;margin-left:137.5215pt;margin-top:6.633673pt;width:294.2pt;height:157.4pt;mso-position-horizontal-relative:page;mso-position-vertical-relative:paragraph;z-index:251693056" coordorigin="2750,133" coordsize="5884,3148">
            <v:shape style="position:absolute;left:8576;top:133;width:58;height:3147" coordorigin="8576,133" coordsize="58,3147" path="m8576,133l8576,3280m8576,3280l8634,3280m8576,2834l8634,2834m8576,2375l8634,2375m8576,1930l8634,1930m8576,1483l8634,1483m8576,1038l8634,1038m8576,578l8634,578m8576,133l8634,133e" filled="false" stroked="true" strokeweight=".06pt" strokecolor="#000000">
              <v:path arrowok="t"/>
              <v:stroke dashstyle="solid"/>
            </v:shape>
            <v:line style="position:absolute" from="2765,1498" to="2822,2849" stroked="true" strokeweight="1.437pt" strokecolor="#000080">
              <v:stroke dashstyle="solid"/>
            </v:line>
            <v:shape style="position:absolute;left:2822;top:607;width:5697;height:2242" coordorigin="2822,607" coordsize="5697,2242" path="m2822,2849l2880,2360,2938,2834,2995,2806,3052,2360,3109,2044,3167,1800,3224,1541,3282,1326,3340,1627,3397,1498,3455,1254,3512,1340,3570,1052,3628,895,3685,1024,3743,1369,3800,1526,3858,1470,3916,1441,3973,910,4031,1009,4088,1168,4146,1081,4202,1182,4260,1067,4318,838,4375,1038,4433,1067,4490,679,4548,852,4606,607,4663,737,4721,924,4778,980,4836,1297,4894,1254,4951,1555,5009,1685,5066,1555,5124,1584,5182,1886,5239,2029,5297,2216,5353,2418,5411,2231,5468,2087,5526,1987,5584,2000,5641,1786,5699,1699,5756,1627,5814,1427,5872,1326,5929,1168,5987,1067,6044,866,6102,866,6160,966,6217,1124,6332,1384,6390,1369,6448,1268,6504,1441,6562,1340,6619,1225,6677,1297,6734,1153,6792,1182,6850,1254,6907,1225,6965,1240,7022,1153,7080,1196,7138,1268,7195,1283,7253,1283,7310,1168,7368,953,7426,938,7483,995,7541,1211,7597,1355,7655,1398,7712,1498,7770,1470,7828,1541,7885,1498,7943,1427,8000,1470,8058,1441,8116,1441,8173,1355,8231,1240,8288,1139,8346,1110,8404,1268,8461,1369,8519,1541e" filled="false" stroked="true" strokeweight="1.437pt" strokecolor="#000080">
              <v:path arrowok="t"/>
              <v:stroke dashstyle="solid"/>
            </v:shape>
            <v:line style="position:absolute" from="8519,1541" to="8576,1584" stroked="true" strokeweight="1.437pt" strokecolor="#000080">
              <v:stroke dashstyle="solid"/>
            </v:line>
            <v:line style="position:absolute" from="2765,1930" to="2822,1930" stroked="true" strokeweight="1.437pt" strokecolor="#000000">
              <v:stroke dashstyle="solid"/>
            </v:line>
            <v:line style="position:absolute" from="2822,1930" to="8519,1930" stroked="true" strokeweight="1.437pt" strokecolor="#000000">
              <v:stroke dashstyle="solid"/>
            </v:line>
            <v:line style="position:absolute" from="8519,1930" to="8576,1930" stroked="true" strokeweight="1.437pt" strokecolor="#000000">
              <v:stroke dashstyle="solid"/>
            </v:line>
            <v:shape style="position:absolute;left:2764;top:1383;width:5812;height:15" coordorigin="2765,1384" coordsize="5812,15" path="m2794,1384l2765,1384,2765,1398,2794,1398,2794,1384m2880,1384l2851,1384,2851,1398,2880,1398,2880,1384m2966,1384l2938,1384,2938,1398,2966,1398,2966,1384m3052,1384l3024,1384,3024,1398,3052,1398,3052,1384m3138,1384l3109,1384,3109,1398,3138,1398,3138,1384m3224,1384l3196,1384,3196,1398,3224,1398,3224,1384m3311,1384l3282,1384,3282,1398,3311,1398,3311,1384m3397,1384l3368,1384,3368,1398,3397,1398,3397,1384m3484,1384l3455,1384,3455,1398,3484,1398,3484,1384m3570,1384l3541,1384,3541,1398,3570,1398,3570,1384m3656,1384l3628,1384,3628,1398,3656,1398,3656,1384m3743,1384l3714,1384,3714,1398,3743,1398,3743,1384m3829,1384l3800,1384,3800,1398,3829,1398,3829,1384m3916,1384l3887,1384,3887,1398,3916,1398,3916,1384m4002,1384l3973,1384,3973,1398,4002,1398,4002,1384m4088,1384l4060,1384,4060,1398,4088,1398,4088,1384m4175,1384l4146,1384,4146,1398,4175,1398,4175,1384m4260,1384l4231,1384,4231,1398,4260,1398,4260,1384m4346,1384l4318,1384,4318,1398,4346,1398,4346,1384m4433,1384l4404,1384,4404,1398,4433,1398,4433,1384m4519,1384l4490,1384,4490,1398,4519,1398,4519,1384m4606,1384l4577,1384,4577,1398,4606,1398,4606,1384m4692,1384l4663,1384,4663,1398,4692,1398,4692,1384m4778,1384l4750,1384,4750,1398,4778,1398,4778,1384m4865,1384l4836,1384,4836,1398,4865,1398,4865,1384m4951,1384l4922,1384,4922,1398,4951,1398,4951,1384m5038,1384l5009,1384,5009,1398,5038,1398,5038,1384m5124,1384l5095,1384,5095,1398,5124,1398,5124,1384m5210,1384l5182,1384,5182,1398,5210,1398,5210,1384m5297,1384l5268,1384,5268,1398,5297,1398,5297,1384m5382,1384l5353,1384,5353,1398,5382,1398,5382,1384m5468,1384l5440,1384,5440,1398,5468,1398,5468,1384m5555,1384l5526,1384,5526,1398,5555,1398,5555,1384m5641,1384l5612,1384,5612,1398,5641,1398,5641,1384m5728,1384l5699,1384,5699,1398,5728,1398,5728,1384m5814,1384l5785,1384,5785,1398,5814,1398,5814,1384m5900,1384l5872,1384,5872,1398,5900,1398,5900,1384m5987,1384l5958,1384,5958,1398,5987,1398,5987,1384m6073,1384l6044,1384,6044,1398,6073,1398,6073,1384m6160,1384l6131,1384,6131,1398,6160,1398,6160,1384m6246,1384l6217,1384,6217,1398,6246,1398,6246,1384m6332,1384l6304,1384,6304,1398,6332,1398,6332,1384m6419,1384l6390,1384,6390,1398,6419,1398,6419,1384m6504,1384l6475,1384,6475,1398,6504,1398,6504,1384m6590,1384l6562,1384,6562,1398,6590,1398,6590,1384m6677,1384l6648,1384,6648,1398,6677,1398,6677,1384m6763,1384l6734,1384,6734,1398,6763,1398,6763,1384m6850,1384l6821,1384,6821,1398,6850,1398,6850,1384m6936,1384l6907,1384,6907,1398,6936,1398,6936,1384m7022,1384l6994,1384,6994,1398,7022,1398,7022,1384m7109,1384l7080,1384,7080,1398,7109,1398,7109,1384m7195,1384l7166,1384,7166,1398,7195,1398,7195,1384m7282,1384l7253,1384,7253,1398,7282,1398,7282,1384m7368,1384l7339,1384,7339,1398,7368,1398,7368,1384m7454,1384l7426,1384,7426,1398,7454,1398,7454,1384m7541,1384l7512,1384,7512,1398,7541,1398,7541,1384m7626,1384l7597,1384,7597,1398,7626,1398,7626,1384m7712,1384l7684,1384,7684,1398,7712,1398,7712,1384m7799,1384l7770,1384,7770,1398,7799,1398,7799,1384m7885,1384l7856,1384,7856,1398,7885,1398,7885,1384m7972,1384l7943,1384,7943,1398,7972,1398,7972,1384m8058,1384l8029,1384,8029,1398,8058,1398,8058,1384m8144,1384l8116,1384,8116,1398,8144,1398,8144,1384m8231,1384l8202,1384,8202,1398,8231,1398,8231,1384m8317,1384l8288,1384,8288,1398,8317,1398,8317,1384m8404,1384l8375,1384,8375,1398,8404,1398,8404,1384m8490,1384l8461,1384,8461,1398,8490,1398,8490,1384m8576,1384l8548,1384,8548,1398,8576,1398,8576,1384e" filled="true" fillcolor="#ff00ff" stroked="false">
              <v:path arrowok="t"/>
              <v:fill type="solid"/>
            </v:shape>
            <v:shape style="position:absolute;left:2764;top:1282;width:5812;height:15" coordorigin="2765,1283" coordsize="5812,15" path="m2794,1283l2765,1283,2765,1297,2794,1297,2794,1283m2880,1283l2851,1283,2851,1297,2880,1297,2880,1283m2966,1283l2938,1283,2938,1297,2966,1297,2966,1283m3052,1283l3024,1283,3024,1297,3052,1297,3052,1283m3138,1283l3109,1283,3109,1297,3138,1297,3138,1283m3224,1283l3196,1283,3196,1297,3224,1297,3224,1283m3311,1283l3282,1283,3282,1297,3311,1297,3311,1283m3397,1283l3368,1283,3368,1297,3397,1297,3397,1283m3484,1283l3455,1283,3455,1297,3484,1297,3484,1283m3570,1283l3541,1283,3541,1297,3570,1297,3570,1283m3656,1283l3628,1283,3628,1297,3656,1297,3656,1283m3743,1283l3714,1283,3714,1297,3743,1297,3743,1283m3829,1283l3800,1283,3800,1297,3829,1297,3829,1283m3916,1283l3887,1283,3887,1297,3916,1297,3916,1283m4002,1283l3973,1283,3973,1297,4002,1297,4002,1283m4088,1283l4060,1283,4060,1297,4088,1297,4088,1283m4175,1283l4146,1283,4146,1297,4175,1297,4175,1283m4260,1283l4231,1283,4231,1297,4260,1297,4260,1283m4346,1283l4318,1283,4318,1297,4346,1297,4346,1283m4433,1283l4404,1283,4404,1297,4433,1297,4433,1283m4519,1283l4490,1283,4490,1297,4519,1297,4519,1283m4606,1283l4577,1283,4577,1297,4606,1297,4606,1283m4692,1283l4663,1283,4663,1297,4692,1297,4692,1283m4778,1283l4750,1283,4750,1297,4778,1297,4778,1283m4865,1283l4836,1283,4836,1297,4865,1297,4865,1283m4951,1283l4922,1283,4922,1297,4951,1297,4951,1283m5038,1283l5009,1283,5009,1297,5038,1297,5038,1283m5124,1283l5095,1283,5095,1297,5124,1297,5124,1283m5210,1283l5182,1283,5182,1297,5210,1297,5210,1283m5297,1283l5268,1283,5268,1297,5297,1297,5297,1283m5382,1283l5353,1283,5353,1297,5382,1297,5382,1283m5468,1283l5440,1283,5440,1297,5468,1297,5468,1283m5555,1283l5526,1283,5526,1297,5555,1297,5555,1283m5641,1283l5612,1283,5612,1297,5641,1297,5641,1283m5728,1283l5699,1283,5699,1297,5728,1297,5728,1283m5814,1283l5785,1283,5785,1297,5814,1297,5814,1283m5900,1283l5872,1283,5872,1297,5900,1297,5900,1283m5987,1283l5958,1283,5958,1297,5987,1297,5987,1283m6073,1283l6044,1283,6044,1297,6073,1297,6073,1283m6160,1283l6131,1283,6131,1297,6160,1297,6160,1283m6246,1283l6217,1283,6217,1297,6246,1297,6246,1283m6332,1283l6304,1283,6304,1297,6332,1297,6332,1283m6419,1283l6390,1283,6390,1297,6419,1297,6419,1283m6504,1283l6475,1283,6475,1297,6504,1297,6504,1283m6590,1283l6562,1283,6562,1297,6590,1297,6590,1283m6677,1283l6648,1283,6648,1297,6677,1297,6677,1283m6763,1283l6734,1283,6734,1297,6763,1297,6763,1283m6850,1283l6821,1283,6821,1297,6850,1297,6850,1283m6936,1283l6907,1283,6907,1297,6936,1297,6936,1283m7022,1283l6994,1283,6994,1297,7022,1297,7022,1283m7109,1283l7080,1283,7080,1297,7109,1297,7109,1283m7195,1283l7166,1283,7166,1297,7195,1297,7195,1283m7282,1283l7253,1283,7253,1297,7282,1297,7282,1283m7368,1283l7339,1283,7339,1297,7368,1297,7368,1283m7454,1283l7426,1283,7426,1297,7454,1297,7454,1283m7541,1283l7512,1283,7512,1297,7541,1297,7541,1283m7626,1283l7597,1283,7597,1297,7626,1297,7626,1283m7712,1283l7684,1283,7684,1297,7712,1297,7712,1283m7799,1283l7770,1283,7770,1297,7799,1297,7799,1283m7885,1283l7856,1283,7856,1297,7885,1297,7885,1283m7972,1283l7943,1283,7943,1297,7972,1297,7972,1283m8058,1283l8029,1283,8029,1297,8058,1297,8058,1283m8144,1283l8116,1283,8116,1297,8144,1297,8144,1283m8231,1283l8202,1283,8202,1297,8231,1297,8231,1283m8317,1283l8288,1283,8288,1297,8317,1297,8317,1283m8404,1283l8375,1283,8375,1297,8404,1297,8404,1283m8490,1283l8461,1283,8461,1297,8490,1297,8490,1283m8576,1283l8548,1283,8548,1297,8576,1297,8576,1283e" filled="true" fillcolor="#008000" stroked="false">
              <v:path arrowok="t"/>
              <v:fill type="solid"/>
            </v:shape>
            <v:shape style="position:absolute;left:5410;top:708;width:72;height:431" coordorigin="5411,708" coordsize="72,431" path="m5440,1024l5411,1024,5454,1139,5468,1081,5440,1081,5440,1024xm5454,708l5440,708,5440,1081,5454,1081,5454,708xm5483,1024l5454,1024,5454,1081,5468,1081,5483,1024xe" filled="true" fillcolor="#008000" stroked="false">
              <v:path arrowok="t"/>
              <v:fill type="solid"/>
            </v:shape>
            <v:shape style="position:absolute;left:5410;top:708;width:72;height:431" coordorigin="5411,708" coordsize="72,431" path="m5454,722l5454,1081,5440,1081,5440,708,5454,708,5454,722xm5483,1024l5454,1139,5411,1024,5483,1024xe" filled="false" stroked="true" strokeweight=".719pt" strokecolor="#008000">
              <v:path arrowok="t"/>
              <v:stroke dashstyle="solid"/>
            </v:shape>
            <v:shape style="position:absolute;left:7065;top:1441;width:72;height:215" coordorigin="7066,1441" coordsize="72,215" path="m7109,1483l7094,1498,7094,1656,7109,1656,7109,1483xm7109,1441l7066,1555,7094,1555,7094,1498,7109,1483,7119,1483,7109,1441xm7119,1483l7109,1483,7109,1555,7138,1555,7119,1483xe" filled="true" fillcolor="#ff00ff" stroked="false">
              <v:path arrowok="t"/>
              <v:fill type="solid"/>
            </v:shape>
            <v:shape style="position:absolute;left:7065;top:1441;width:72;height:215" coordorigin="7066,1441" coordsize="72,215" path="m7094,1656l7094,1498,7109,1483,7109,1656,7094,1656xm7066,1555l7109,1441,7138,1555,7066,1555xe" filled="false" stroked="true" strokeweight=".719pt" strokecolor="#ff00ff">
              <v:path arrowok="t"/>
              <v:stroke dashstyle="solid"/>
            </v:shape>
            <v:shape style="position:absolute;left:5095;top:435;width:1287;height:176" type="#_x0000_t202" filled="false" stroked="false">
              <v:textbox inset="0,0,0,0">
                <w:txbxContent>
                  <w:p>
                    <w:pPr>
                      <w:spacing w:line="175" w:lineRule="exact" w:before="0"/>
                      <w:ind w:left="0" w:right="0" w:firstLine="0"/>
                      <w:jc w:val="left"/>
                      <w:rPr>
                        <w:sz w:val="16"/>
                      </w:rPr>
                    </w:pPr>
                    <w:r>
                      <w:rPr>
                        <w:color w:val="008000"/>
                        <w:sz w:val="16"/>
                      </w:rPr>
                      <w:t>average since 1997</w:t>
                    </w:r>
                  </w:p>
                </w:txbxContent>
              </v:textbox>
              <w10:wrap type="none"/>
            </v:shape>
            <v:shape style="position:absolute;left:2836;top:1398;width:5740;height:518" type="#_x0000_t202" filled="false" stroked="false">
              <v:textbox inset="0,0,0,0">
                <w:txbxContent>
                  <w:p>
                    <w:pPr>
                      <w:spacing w:line="240" w:lineRule="auto" w:before="0"/>
                      <w:rPr>
                        <w:sz w:val="23"/>
                      </w:rPr>
                    </w:pPr>
                  </w:p>
                  <w:p>
                    <w:pPr>
                      <w:spacing w:before="0"/>
                      <w:ind w:left="3452" w:right="0" w:firstLine="0"/>
                      <w:jc w:val="left"/>
                      <w:rPr>
                        <w:sz w:val="16"/>
                      </w:rPr>
                    </w:pPr>
                    <w:r>
                      <w:rPr>
                        <w:color w:val="FF00FF"/>
                        <w:sz w:val="16"/>
                      </w:rPr>
                      <w:t>average since 1980</w:t>
                    </w:r>
                  </w:p>
                </w:txbxContent>
              </v:textbox>
              <w10:wrap type="none"/>
            </v:shape>
            <w10:wrap type="none"/>
          </v:group>
        </w:pict>
      </w:r>
      <w:r>
        <w:rPr>
          <w:b/>
          <w:w w:val="103"/>
          <w:sz w:val="18"/>
        </w:rPr>
        <w:t>8</w:t>
      </w:r>
    </w:p>
    <w:p>
      <w:pPr>
        <w:pStyle w:val="BodyText"/>
        <w:spacing w:before="8"/>
        <w:rPr>
          <w:b/>
          <w:sz w:val="20"/>
        </w:rPr>
      </w:pPr>
    </w:p>
    <w:p>
      <w:pPr>
        <w:spacing w:before="1"/>
        <w:ind w:left="0" w:right="1924" w:firstLine="0"/>
        <w:jc w:val="right"/>
        <w:rPr>
          <w:b/>
          <w:sz w:val="18"/>
        </w:rPr>
      </w:pPr>
      <w:r>
        <w:rPr>
          <w:b/>
          <w:w w:val="103"/>
          <w:sz w:val="18"/>
        </w:rPr>
        <w:t>6</w:t>
      </w:r>
    </w:p>
    <w:p>
      <w:pPr>
        <w:pStyle w:val="BodyText"/>
        <w:spacing w:before="10"/>
        <w:rPr>
          <w:b/>
          <w:sz w:val="21"/>
        </w:rPr>
      </w:pPr>
    </w:p>
    <w:p>
      <w:pPr>
        <w:spacing w:before="0"/>
        <w:ind w:left="1369" w:right="1633" w:firstLine="0"/>
        <w:jc w:val="center"/>
        <w:rPr>
          <w:b/>
          <w:sz w:val="18"/>
        </w:rPr>
      </w:pPr>
      <w:r>
        <w:rPr>
          <w:b/>
          <w:w w:val="105"/>
          <w:position w:val="13"/>
          <w:sz w:val="18"/>
        </w:rPr>
        <w:t>4</w:t>
      </w:r>
      <w:r>
        <w:rPr>
          <w:b/>
          <w:spacing w:val="-14"/>
          <w:w w:val="105"/>
          <w:position w:val="13"/>
          <w:sz w:val="18"/>
        </w:rPr>
        <w:t> </w:t>
      </w:r>
      <w:r>
        <w:rPr>
          <w:b/>
          <w:color w:val="008000"/>
          <w:w w:val="105"/>
          <w:sz w:val="18"/>
        </w:rPr>
        <w:t>2.8</w:t>
      </w:r>
    </w:p>
    <w:p>
      <w:pPr>
        <w:spacing w:before="107"/>
        <w:ind w:left="1369" w:right="1633" w:firstLine="0"/>
        <w:jc w:val="center"/>
        <w:rPr>
          <w:b/>
          <w:sz w:val="18"/>
        </w:rPr>
      </w:pPr>
      <w:r>
        <w:rPr>
          <w:b/>
          <w:w w:val="105"/>
          <w:position w:val="9"/>
          <w:sz w:val="18"/>
        </w:rPr>
        <w:t>2</w:t>
      </w:r>
      <w:r>
        <w:rPr>
          <w:b/>
          <w:spacing w:val="-14"/>
          <w:w w:val="105"/>
          <w:position w:val="9"/>
          <w:sz w:val="18"/>
        </w:rPr>
        <w:t> </w:t>
      </w:r>
      <w:r>
        <w:rPr>
          <w:b/>
          <w:color w:val="FF00FF"/>
          <w:w w:val="105"/>
          <w:sz w:val="18"/>
        </w:rPr>
        <w:t>2.4</w:t>
      </w:r>
    </w:p>
    <w:p>
      <w:pPr>
        <w:spacing w:before="151"/>
        <w:ind w:left="0" w:right="1924" w:firstLine="0"/>
        <w:jc w:val="right"/>
        <w:rPr>
          <w:b/>
          <w:sz w:val="18"/>
        </w:rPr>
      </w:pPr>
      <w:r>
        <w:rPr>
          <w:b/>
          <w:w w:val="103"/>
          <w:sz w:val="18"/>
        </w:rPr>
        <w:t>0</w:t>
      </w:r>
    </w:p>
    <w:p>
      <w:pPr>
        <w:spacing w:after="0"/>
        <w:jc w:val="right"/>
        <w:rPr>
          <w:sz w:val="18"/>
        </w:rPr>
        <w:sectPr>
          <w:type w:val="continuous"/>
          <w:pgSz w:w="11900" w:h="16840"/>
          <w:pgMar w:top="1180" w:bottom="280" w:left="1680" w:right="1160"/>
          <w:cols w:num="2" w:equalWidth="0">
            <w:col w:w="3860" w:space="1793"/>
            <w:col w:w="3407"/>
          </w:cols>
        </w:sectPr>
      </w:pPr>
    </w:p>
    <w:p>
      <w:pPr>
        <w:pStyle w:val="BodyText"/>
        <w:spacing w:before="2"/>
        <w:rPr>
          <w:b/>
          <w:sz w:val="12"/>
        </w:rPr>
      </w:pPr>
    </w:p>
    <w:p>
      <w:pPr>
        <w:spacing w:before="99"/>
        <w:ind w:left="0" w:right="1873" w:firstLine="0"/>
        <w:jc w:val="right"/>
        <w:rPr>
          <w:b/>
          <w:sz w:val="18"/>
        </w:rPr>
      </w:pPr>
      <w:r>
        <w:rPr>
          <w:b/>
          <w:spacing w:val="-6"/>
          <w:sz w:val="18"/>
        </w:rPr>
        <w:t>-2</w:t>
      </w:r>
    </w:p>
    <w:p>
      <w:pPr>
        <w:pStyle w:val="BodyText"/>
        <w:spacing w:before="4"/>
        <w:rPr>
          <w:b/>
          <w:sz w:val="13"/>
        </w:rPr>
      </w:pPr>
    </w:p>
    <w:p>
      <w:pPr>
        <w:spacing w:before="99"/>
        <w:ind w:left="0" w:right="1873" w:firstLine="0"/>
        <w:jc w:val="right"/>
        <w:rPr>
          <w:b/>
          <w:sz w:val="18"/>
        </w:rPr>
      </w:pPr>
      <w:r>
        <w:rPr>
          <w:b/>
          <w:spacing w:val="-6"/>
          <w:sz w:val="18"/>
        </w:rPr>
        <w:t>-4</w:t>
      </w:r>
    </w:p>
    <w:p>
      <w:pPr>
        <w:pStyle w:val="BodyText"/>
        <w:spacing w:before="1"/>
        <w:rPr>
          <w:b/>
          <w:sz w:val="12"/>
        </w:rPr>
      </w:pPr>
    </w:p>
    <w:p>
      <w:pPr>
        <w:spacing w:before="99"/>
        <w:ind w:left="7040" w:right="0" w:firstLine="0"/>
        <w:jc w:val="left"/>
        <w:rPr>
          <w:b/>
          <w:sz w:val="18"/>
        </w:rPr>
      </w:pPr>
      <w:r>
        <w:rPr>
          <w:b/>
          <w:spacing w:val="-6"/>
          <w:w w:val="105"/>
          <w:sz w:val="18"/>
        </w:rPr>
        <w:t>-6</w:t>
      </w:r>
    </w:p>
    <w:p>
      <w:pPr>
        <w:tabs>
          <w:tab w:pos="1803" w:val="left" w:leader="none"/>
          <w:tab w:pos="2723" w:val="left" w:leader="none"/>
          <w:tab w:pos="3644" w:val="left" w:leader="none"/>
          <w:tab w:pos="4565" w:val="left" w:leader="none"/>
          <w:tab w:pos="5486" w:val="left" w:leader="none"/>
          <w:tab w:pos="6406" w:val="left" w:leader="none"/>
        </w:tabs>
        <w:spacing w:before="67"/>
        <w:ind w:left="883" w:right="0" w:firstLine="0"/>
        <w:jc w:val="left"/>
        <w:rPr>
          <w:b/>
          <w:sz w:val="18"/>
        </w:rPr>
      </w:pPr>
      <w:r>
        <w:rPr>
          <w:b/>
          <w:spacing w:val="5"/>
          <w:w w:val="105"/>
          <w:sz w:val="18"/>
        </w:rPr>
        <w:t>1980</w:t>
        <w:tab/>
        <w:t>1984</w:t>
        <w:tab/>
        <w:t>1988</w:t>
        <w:tab/>
        <w:t>1992</w:t>
        <w:tab/>
        <w:t>1996</w:t>
        <w:tab/>
        <w:t>2000</w:t>
        <w:tab/>
      </w:r>
      <w:r>
        <w:rPr>
          <w:b/>
          <w:spacing w:val="7"/>
          <w:w w:val="105"/>
          <w:sz w:val="18"/>
        </w:rPr>
        <w:t>2004</w:t>
      </w:r>
    </w:p>
    <w:p>
      <w:pPr>
        <w:spacing w:before="143"/>
        <w:ind w:left="768" w:right="0" w:firstLine="0"/>
        <w:jc w:val="left"/>
        <w:rPr>
          <w:sz w:val="18"/>
        </w:rPr>
      </w:pPr>
      <w:r>
        <w:rPr>
          <w:sz w:val="18"/>
        </w:rPr>
        <w:t>Source: ONS.</w:t>
      </w:r>
    </w:p>
    <w:p>
      <w:pPr>
        <w:spacing w:after="0"/>
        <w:jc w:val="left"/>
        <w:rPr>
          <w:sz w:val="18"/>
        </w:rPr>
        <w:sectPr>
          <w:type w:val="continuous"/>
          <w:pgSz w:w="11900" w:h="16840"/>
          <w:pgMar w:top="1180" w:bottom="280" w:left="1680" w:right="1160"/>
        </w:sectPr>
      </w:pPr>
    </w:p>
    <w:p>
      <w:pPr>
        <w:pStyle w:val="BodyText"/>
        <w:spacing w:before="8"/>
        <w:rPr>
          <w:sz w:val="26"/>
        </w:rPr>
      </w:pPr>
    </w:p>
    <w:p>
      <w:pPr>
        <w:pStyle w:val="Heading1"/>
        <w:spacing w:before="90"/>
      </w:pPr>
      <w:r>
        <w:rPr/>
        <w:t>Chart 7: UK terms of trade</w:t>
      </w:r>
    </w:p>
    <w:p>
      <w:pPr>
        <w:spacing w:before="40"/>
        <w:ind w:left="848" w:right="0" w:firstLine="0"/>
        <w:jc w:val="left"/>
        <w:rPr>
          <w:sz w:val="22"/>
        </w:rPr>
      </w:pPr>
      <w:r>
        <w:rPr>
          <w:sz w:val="22"/>
        </w:rPr>
        <w:t>Index ratio of export price deflator to import price deflator</w:t>
      </w:r>
    </w:p>
    <w:p>
      <w:pPr>
        <w:pStyle w:val="BodyText"/>
        <w:spacing w:before="5"/>
        <w:rPr>
          <w:sz w:val="14"/>
        </w:rPr>
      </w:pPr>
    </w:p>
    <w:p>
      <w:pPr>
        <w:spacing w:before="0"/>
        <w:ind w:left="0" w:right="1674" w:firstLine="0"/>
        <w:jc w:val="right"/>
        <w:rPr>
          <w:b/>
          <w:sz w:val="15"/>
        </w:rPr>
      </w:pPr>
      <w:r>
        <w:rPr>
          <w:b/>
          <w:w w:val="95"/>
          <w:sz w:val="15"/>
        </w:rPr>
        <w:t>2001=100</w:t>
      </w:r>
    </w:p>
    <w:p>
      <w:pPr>
        <w:pStyle w:val="BodyText"/>
        <w:spacing w:before="10"/>
        <w:rPr>
          <w:b/>
          <w:sz w:val="9"/>
        </w:rPr>
      </w:pPr>
    </w:p>
    <w:p>
      <w:pPr>
        <w:spacing w:before="92"/>
        <w:ind w:left="0" w:right="1844" w:firstLine="0"/>
        <w:jc w:val="right"/>
        <w:rPr>
          <w:b/>
          <w:sz w:val="15"/>
        </w:rPr>
      </w:pPr>
      <w:r>
        <w:rPr/>
        <w:pict>
          <v:group style="position:absolute;margin-left:171.044006pt;margin-top:-.60634pt;width:258.5pt;height:154.15pt;mso-position-horizontal-relative:page;mso-position-vertical-relative:paragraph;z-index:251700224" coordorigin="3421,-12" coordsize="5170,3083">
            <v:shape style="position:absolute;left:3434;top:-12;width:5156;height:3082" coordorigin="3434,-12" coordsize="5156,3082" path="m8549,-12l8549,3070,8590,3070m8549,2664l8590,2664m8549,2246l8590,2246m8549,1840l8590,1840m8549,1421l8590,1421m8549,1016l8590,1016m8549,610l8590,610m8549,191l8590,191m3434,3070l8549,3070m3434,3070l3434,3029m4436,3070l4436,3029m5437,3070l5437,3029m6425,3070l6425,3029m7426,3070l7426,3029m8426,3070l8426,3029e" filled="false" stroked="true" strokeweight=".06pt" strokecolor="#000000">
              <v:path arrowok="t"/>
              <v:stroke dashstyle="solid"/>
            </v:shape>
            <v:line style="position:absolute" from="3434,1976" to="3557,2030" stroked="true" strokeweight="1.352pt" strokecolor="#000080">
              <v:stroke dashstyle="solid"/>
            </v:line>
            <v:shape style="position:absolute;left:3556;top:150;width:4870;height:2217" coordorigin="3557,150" coordsize="4870,2217" path="m3557,2030l3678,2367,3814,2110,3936,2016,4057,2016,4180,1786,4314,1760,4436,1394,4558,1191,4680,1300,4801,1124,4937,1016,5058,826,5180,692,5302,786,5437,692,5558,623,5681,759,5802,746,5924,772,6060,840,6181,880,6302,1002,6425,934,6546,988,6682,1394,6804,746,6925,502,7046,474,7182,340,7304,461,7426,218,7548,164,7669,150,7805,327,7926,232,8048,299,8170,366,8305,178,8426,312e" filled="false" stroked="true" strokeweight="1.352pt" strokecolor="#000080">
              <v:path arrowok="t"/>
              <v:stroke dashstyle="solid"/>
            </v:shape>
            <v:line style="position:absolute" from="8426,312" to="8549,394" stroked="true" strokeweight="1.352pt" strokecolor="#000080">
              <v:stroke dashstyle="solid"/>
            </v:line>
            <w10:wrap type="none"/>
          </v:group>
        </w:pict>
      </w:r>
      <w:r>
        <w:rPr>
          <w:b/>
          <w:spacing w:val="4"/>
          <w:w w:val="95"/>
          <w:sz w:val="15"/>
        </w:rPr>
        <w:t>104</w:t>
      </w:r>
    </w:p>
    <w:p>
      <w:pPr>
        <w:pStyle w:val="BodyText"/>
        <w:spacing w:before="5"/>
        <w:rPr>
          <w:b/>
          <w:sz w:val="13"/>
        </w:rPr>
      </w:pPr>
    </w:p>
    <w:p>
      <w:pPr>
        <w:spacing w:before="92"/>
        <w:ind w:left="0" w:right="1844" w:firstLine="0"/>
        <w:jc w:val="right"/>
        <w:rPr>
          <w:b/>
          <w:sz w:val="15"/>
        </w:rPr>
      </w:pPr>
      <w:r>
        <w:rPr>
          <w:b/>
          <w:spacing w:val="4"/>
          <w:w w:val="95"/>
          <w:sz w:val="15"/>
        </w:rPr>
        <w:t>102</w:t>
      </w:r>
    </w:p>
    <w:p>
      <w:pPr>
        <w:pStyle w:val="BodyText"/>
        <w:spacing w:before="3"/>
        <w:rPr>
          <w:b/>
          <w:sz w:val="12"/>
        </w:rPr>
      </w:pPr>
    </w:p>
    <w:p>
      <w:pPr>
        <w:spacing w:before="92"/>
        <w:ind w:left="0" w:right="1844" w:firstLine="0"/>
        <w:jc w:val="right"/>
        <w:rPr>
          <w:b/>
          <w:sz w:val="15"/>
        </w:rPr>
      </w:pPr>
      <w:r>
        <w:rPr>
          <w:b/>
          <w:spacing w:val="4"/>
          <w:w w:val="95"/>
          <w:sz w:val="15"/>
        </w:rPr>
        <w:t>100</w:t>
      </w:r>
    </w:p>
    <w:p>
      <w:pPr>
        <w:pStyle w:val="BodyText"/>
        <w:spacing w:before="3"/>
        <w:rPr>
          <w:b/>
          <w:sz w:val="12"/>
        </w:rPr>
      </w:pPr>
    </w:p>
    <w:p>
      <w:pPr>
        <w:spacing w:before="92"/>
        <w:ind w:left="0" w:right="1919" w:firstLine="0"/>
        <w:jc w:val="right"/>
        <w:rPr>
          <w:b/>
          <w:sz w:val="15"/>
        </w:rPr>
      </w:pPr>
      <w:r>
        <w:rPr>
          <w:b/>
          <w:spacing w:val="7"/>
          <w:w w:val="95"/>
          <w:sz w:val="15"/>
        </w:rPr>
        <w:t>98</w:t>
      </w:r>
    </w:p>
    <w:p>
      <w:pPr>
        <w:pStyle w:val="BodyText"/>
        <w:spacing w:before="5"/>
        <w:rPr>
          <w:b/>
          <w:sz w:val="13"/>
        </w:rPr>
      </w:pPr>
    </w:p>
    <w:p>
      <w:pPr>
        <w:spacing w:before="92"/>
        <w:ind w:left="0" w:right="1919" w:firstLine="0"/>
        <w:jc w:val="right"/>
        <w:rPr>
          <w:b/>
          <w:sz w:val="15"/>
        </w:rPr>
      </w:pPr>
      <w:r>
        <w:rPr>
          <w:b/>
          <w:spacing w:val="7"/>
          <w:w w:val="95"/>
          <w:sz w:val="15"/>
        </w:rPr>
        <w:t>96</w:t>
      </w:r>
    </w:p>
    <w:p>
      <w:pPr>
        <w:pStyle w:val="BodyText"/>
        <w:spacing w:before="3"/>
        <w:rPr>
          <w:b/>
          <w:sz w:val="12"/>
        </w:rPr>
      </w:pPr>
    </w:p>
    <w:p>
      <w:pPr>
        <w:spacing w:before="92"/>
        <w:ind w:left="0" w:right="1919" w:firstLine="0"/>
        <w:jc w:val="right"/>
        <w:rPr>
          <w:b/>
          <w:sz w:val="15"/>
        </w:rPr>
      </w:pPr>
      <w:r>
        <w:rPr>
          <w:b/>
          <w:spacing w:val="7"/>
          <w:w w:val="95"/>
          <w:sz w:val="15"/>
        </w:rPr>
        <w:t>94</w:t>
      </w:r>
    </w:p>
    <w:p>
      <w:pPr>
        <w:pStyle w:val="BodyText"/>
        <w:spacing w:before="5"/>
        <w:rPr>
          <w:b/>
          <w:sz w:val="13"/>
        </w:rPr>
      </w:pPr>
    </w:p>
    <w:p>
      <w:pPr>
        <w:spacing w:before="92"/>
        <w:ind w:left="0" w:right="1919" w:firstLine="0"/>
        <w:jc w:val="right"/>
        <w:rPr>
          <w:b/>
          <w:sz w:val="15"/>
        </w:rPr>
      </w:pPr>
      <w:r>
        <w:rPr>
          <w:b/>
          <w:spacing w:val="7"/>
          <w:w w:val="95"/>
          <w:sz w:val="15"/>
        </w:rPr>
        <w:t>92</w:t>
      </w:r>
    </w:p>
    <w:p>
      <w:pPr>
        <w:pStyle w:val="BodyText"/>
        <w:spacing w:before="3"/>
        <w:rPr>
          <w:b/>
          <w:sz w:val="12"/>
        </w:rPr>
      </w:pPr>
    </w:p>
    <w:p>
      <w:pPr>
        <w:spacing w:before="92"/>
        <w:ind w:left="6976" w:right="0" w:firstLine="0"/>
        <w:jc w:val="left"/>
        <w:rPr>
          <w:b/>
          <w:sz w:val="15"/>
        </w:rPr>
      </w:pPr>
      <w:r>
        <w:rPr>
          <w:b/>
          <w:spacing w:val="7"/>
          <w:sz w:val="15"/>
        </w:rPr>
        <w:t>90</w:t>
      </w:r>
    </w:p>
    <w:p>
      <w:pPr>
        <w:tabs>
          <w:tab w:pos="2593" w:val="left" w:leader="none"/>
          <w:tab w:pos="3595" w:val="left" w:leader="none"/>
          <w:tab w:pos="4582" w:val="left" w:leader="none"/>
          <w:tab w:pos="5583" w:val="left" w:leader="none"/>
          <w:tab w:pos="6584" w:val="left" w:leader="none"/>
        </w:tabs>
        <w:spacing w:before="31"/>
        <w:ind w:left="1592" w:right="0" w:firstLine="0"/>
        <w:jc w:val="left"/>
        <w:rPr>
          <w:b/>
          <w:sz w:val="15"/>
        </w:rPr>
      </w:pPr>
      <w:r>
        <w:rPr>
          <w:b/>
          <w:spacing w:val="5"/>
          <w:sz w:val="15"/>
        </w:rPr>
        <w:t>1995</w:t>
        <w:tab/>
        <w:t>1997</w:t>
        <w:tab/>
        <w:t>1999</w:t>
        <w:tab/>
        <w:t>2001</w:t>
        <w:tab/>
        <w:t>2003</w:t>
        <w:tab/>
      </w:r>
      <w:r>
        <w:rPr>
          <w:b/>
          <w:spacing w:val="6"/>
          <w:sz w:val="15"/>
        </w:rPr>
        <w:t>2005</w:t>
      </w:r>
    </w:p>
    <w:p>
      <w:pPr>
        <w:pStyle w:val="BodyText"/>
        <w:spacing w:before="6"/>
        <w:rPr>
          <w:b/>
          <w:sz w:val="11"/>
        </w:rPr>
      </w:pPr>
    </w:p>
    <w:p>
      <w:pPr>
        <w:spacing w:before="93"/>
        <w:ind w:left="768" w:right="0" w:firstLine="0"/>
        <w:jc w:val="left"/>
        <w:rPr>
          <w:sz w:val="18"/>
        </w:rPr>
      </w:pPr>
      <w:r>
        <w:rPr>
          <w:sz w:val="18"/>
        </w:rPr>
        <w:t>Source: 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Heading1"/>
        <w:spacing w:before="0"/>
      </w:pPr>
      <w:r>
        <w:rPr/>
        <w:t>Chart 8: Unemployment rate</w:t>
      </w:r>
    </w:p>
    <w:p>
      <w:pPr>
        <w:pStyle w:val="BodyText"/>
        <w:spacing w:before="11"/>
        <w:rPr>
          <w:b/>
          <w:sz w:val="22"/>
        </w:rPr>
      </w:pPr>
    </w:p>
    <w:p>
      <w:pPr>
        <w:spacing w:after="0"/>
        <w:rPr>
          <w:sz w:val="22"/>
        </w:rPr>
        <w:sectPr>
          <w:pgSz w:w="11900" w:h="16840"/>
          <w:pgMar w:header="716" w:footer="0" w:top="1300" w:bottom="280" w:left="1680" w:right="1160"/>
        </w:sectPr>
      </w:pPr>
    </w:p>
    <w:p>
      <w:pPr>
        <w:spacing w:line="273" w:lineRule="auto" w:before="98"/>
        <w:ind w:left="3502" w:right="0" w:hanging="406"/>
        <w:jc w:val="left"/>
        <w:rPr>
          <w:b/>
          <w:sz w:val="16"/>
        </w:rPr>
      </w:pPr>
      <w:r>
        <w:rPr>
          <w:b/>
          <w:w w:val="105"/>
          <w:sz w:val="16"/>
        </w:rPr>
        <w:t>Bank inde pe ndence May 1997</w:t>
      </w:r>
    </w:p>
    <w:p>
      <w:pPr>
        <w:spacing w:before="98"/>
        <w:ind w:left="0" w:right="1961" w:firstLine="0"/>
        <w:jc w:val="right"/>
        <w:rPr>
          <w:b/>
          <w:sz w:val="16"/>
        </w:rPr>
      </w:pPr>
      <w:r>
        <w:rPr/>
        <w:br w:type="column"/>
      </w:r>
      <w:r>
        <w:rPr>
          <w:b/>
          <w:w w:val="105"/>
          <w:sz w:val="16"/>
        </w:rPr>
        <w:t>per cent</w:t>
      </w:r>
    </w:p>
    <w:p>
      <w:pPr>
        <w:pStyle w:val="BodyText"/>
        <w:spacing w:before="6"/>
        <w:rPr>
          <w:b/>
          <w:sz w:val="16"/>
        </w:rPr>
      </w:pPr>
    </w:p>
    <w:p>
      <w:pPr>
        <w:spacing w:before="0"/>
        <w:ind w:left="0" w:right="2032" w:firstLine="0"/>
        <w:jc w:val="right"/>
        <w:rPr>
          <w:b/>
          <w:sz w:val="16"/>
        </w:rPr>
      </w:pPr>
      <w:r>
        <w:rPr/>
        <w:pict>
          <v:group style="position:absolute;margin-left:139.050003pt;margin-top:5.158066pt;width:283.5pt;height:153.85pt;mso-position-horizontal-relative:page;mso-position-vertical-relative:paragraph;z-index:251699200" coordorigin="2781,103" coordsize="5670,3077">
            <v:shape style="position:absolute;left:2781;top:103;width:5669;height:3075" coordorigin="2782,104" coordsize="5669,3075" path="m8406,104l8406,3178m8406,3178l8450,3178m8406,2668l8450,2668m8406,2159l8450,2159m8406,1649l8450,1649m8406,1124l8450,1124m8406,614l8450,614m8406,104l8450,104m2782,3178l8406,3178m2782,3178l2782,3134m3517,3178l3517,3134m4252,3178l4252,3134m5002,3178l5002,3134m5736,3178l5736,3134m6472,3178l6472,3134m7206,3178l7206,3134m7940,3178l7940,3134e" filled="false" stroked="true" strokeweight=".06pt" strokecolor="#000000">
              <v:path arrowok="t"/>
              <v:stroke dashstyle="solid"/>
            </v:shape>
            <v:shape style="position:absolute;left:2871;top:463;width:5445;height:1516" coordorigin="2872,464" coordsize="5445,1516" path="m2872,1409l2962,1364,3052,1259,3157,1124,3247,944,3337,824,3427,749,3517,689,3607,674,3697,644,3802,509,3892,464,3982,509,4162,569,4252,644,4357,689,4447,764,4537,869,4627,899,4717,944,4807,974,4897,1049,5002,1079,5092,1079,5182,1124,5272,1184,5362,1304,5452,1334,5542,1439,5646,1514,5736,1544,5826,1559,6006,1619,6096,1589,6186,1649,6292,1664,6382,1694,6472,1694,6562,1769,6652,1814,6832,1874,6936,1904,7116,1844,7296,1844,7386,1814,7492,1874,7582,1874,7672,1919,7762,1904,7850,1919,7940,1949,8030,1949,8136,1979,8316,1979e" filled="false" stroked="true" strokeweight="1.5pt" strokecolor="#000080">
              <v:path arrowok="t"/>
              <v:stroke dashstyle="solid"/>
            </v:shape>
            <v:line style="position:absolute" from="8316,1979" to="8406,1949" stroked="true" strokeweight="1.5pt" strokecolor="#000080">
              <v:stroke dashstyle="solid"/>
            </v:line>
            <v:shape style="position:absolute;left:5451;top:1319;width:2939;height:30" coordorigin="5452,1319" coordsize="2939,30" path="m5512,1319l5452,1319,5452,1349,5512,1349,5512,1319m5692,1319l5632,1319,5632,1349,5692,1349,5692,1319m5872,1319l5812,1319,5812,1349,5872,1349,5872,1319m6052,1319l5992,1319,5992,1349,6052,1349,6052,1319m6232,1319l6172,1319,6172,1349,6232,1349,6232,1319m6412,1319l6352,1319,6352,1349,6412,1349,6412,1319m6592,1319l6532,1319,6532,1349,6592,1349,6592,1319m6772,1319l6712,1319,6712,1349,6772,1349,6772,1319m6952,1319l6892,1319,6892,1349,6952,1349,6952,1319m7132,1319l7072,1319,7072,1349,7132,1349,7132,1319m7312,1319l7252,1319,7252,1349,7312,1349,7312,1319m7492,1319l7432,1319,7432,1349,7492,1349,7492,1319m7672,1319l7612,1319,7612,1349,7672,1349,7672,1319m7850,1319l7790,1319,7790,1349,7850,1349,7850,1319m8030,1319l7970,1319,7970,1349,8030,1349,8030,1319m8210,1319l8150,1319,8150,1349,8210,1349,8210,1319m8390,1319l8330,1319,8330,1349,8390,1349,8390,1319e" filled="true" fillcolor="#ff00ff" stroked="false">
              <v:path arrowok="t"/>
              <v:fill type="solid"/>
            </v:shape>
            <v:shape style="position:absolute;left:5451;top:343;width:2;height:2836" coordorigin="5451,344" coordsize="0,2836" path="m5451,2984l5451,3179m5451,2654l5451,2864m5451,2324l5451,2534m5451,1994l5451,2204m5451,1664l5451,1874m5451,1334l5451,1544m5451,1004l5451,1214m5451,674l5451,884m5451,344l5451,554e" filled="false" stroked="true" strokeweight="1.5pt" strokecolor="#000080">
              <v:path arrowok="t"/>
              <v:stroke dashstyle="solid"/>
            </v:shape>
            <v:rect style="position:absolute;left:5436;top:104;width:30;height:119" filled="true" fillcolor="#000080" stroked="false">
              <v:fill type="solid"/>
            </v:rect>
            <v:shape style="position:absolute;left:2781;top:1082;width:110;height:183" type="#_x0000_t202" filled="false" stroked="false">
              <v:textbox inset="0,0,0,0">
                <w:txbxContent>
                  <w:p>
                    <w:pPr>
                      <w:spacing w:line="182" w:lineRule="exact" w:before="0"/>
                      <w:ind w:left="0" w:right="0" w:firstLine="0"/>
                      <w:jc w:val="left"/>
                      <w:rPr>
                        <w:b/>
                        <w:sz w:val="16"/>
                      </w:rPr>
                    </w:pPr>
                    <w:r>
                      <w:rPr>
                        <w:b/>
                        <w:color w:val="000080"/>
                        <w:w w:val="102"/>
                        <w:sz w:val="16"/>
                        <w:u w:val="thick" w:color="000080"/>
                      </w:rPr>
                      <w:t> </w:t>
                    </w:r>
                    <w:r>
                      <w:rPr>
                        <w:b/>
                        <w:color w:val="000080"/>
                        <w:spacing w:val="8"/>
                        <w:sz w:val="16"/>
                        <w:u w:val="thick" w:color="000080"/>
                      </w:rPr>
                      <w:t> </w:t>
                    </w:r>
                  </w:p>
                </w:txbxContent>
              </v:textbox>
              <w10:wrap type="none"/>
            </v:shape>
            <v:shape style="position:absolute;left:3292;top:1082;width:1545;height:183" type="#_x0000_t202" filled="false" stroked="false">
              <v:textbox inset="0,0,0,0">
                <w:txbxContent>
                  <w:p>
                    <w:pPr>
                      <w:spacing w:line="182" w:lineRule="exact" w:before="0"/>
                      <w:ind w:left="0" w:right="0" w:firstLine="0"/>
                      <w:jc w:val="left"/>
                      <w:rPr>
                        <w:b/>
                        <w:sz w:val="16"/>
                      </w:rPr>
                    </w:pPr>
                    <w:r>
                      <w:rPr>
                        <w:b/>
                        <w:color w:val="000080"/>
                        <w:w w:val="105"/>
                        <w:sz w:val="16"/>
                      </w:rPr>
                      <w:t>LFS unemployment</w:t>
                    </w:r>
                  </w:p>
                </w:txbxContent>
              </v:textbox>
              <w10:wrap type="none"/>
            </v:shape>
            <w10:wrap type="none"/>
          </v:group>
        </w:pict>
      </w:r>
      <w:r>
        <w:rPr>
          <w:b/>
          <w:sz w:val="16"/>
        </w:rPr>
        <w:t>12</w:t>
      </w:r>
    </w:p>
    <w:p>
      <w:pPr>
        <w:spacing w:after="0"/>
        <w:jc w:val="right"/>
        <w:rPr>
          <w:sz w:val="16"/>
        </w:rPr>
        <w:sectPr>
          <w:type w:val="continuous"/>
          <w:pgSz w:w="11900" w:h="16840"/>
          <w:pgMar w:top="1180" w:bottom="280" w:left="1680" w:right="1160"/>
          <w:cols w:num="2" w:equalWidth="0">
            <w:col w:w="4625" w:space="40"/>
            <w:col w:w="4395"/>
          </w:cols>
        </w:sectPr>
      </w:pPr>
    </w:p>
    <w:p>
      <w:pPr>
        <w:pStyle w:val="BodyText"/>
        <w:spacing w:before="10"/>
        <w:rPr>
          <w:b/>
          <w:sz w:val="19"/>
        </w:rPr>
      </w:pPr>
    </w:p>
    <w:p>
      <w:pPr>
        <w:spacing w:before="98"/>
        <w:ind w:left="6846" w:right="0" w:firstLine="0"/>
        <w:jc w:val="left"/>
        <w:rPr>
          <w:b/>
          <w:sz w:val="16"/>
        </w:rPr>
      </w:pPr>
      <w:r>
        <w:rPr>
          <w:b/>
          <w:w w:val="105"/>
          <w:sz w:val="16"/>
        </w:rPr>
        <w:t>10</w:t>
      </w:r>
    </w:p>
    <w:p>
      <w:pPr>
        <w:pStyle w:val="BodyText"/>
        <w:rPr>
          <w:b/>
          <w:sz w:val="18"/>
        </w:rPr>
      </w:pPr>
    </w:p>
    <w:p>
      <w:pPr>
        <w:spacing w:line="182" w:lineRule="exact" w:before="119"/>
        <w:ind w:left="6846" w:right="0" w:firstLine="0"/>
        <w:jc w:val="left"/>
        <w:rPr>
          <w:b/>
          <w:sz w:val="16"/>
        </w:rPr>
      </w:pPr>
      <w:r>
        <w:rPr>
          <w:b/>
          <w:w w:val="102"/>
          <w:sz w:val="16"/>
        </w:rPr>
        <w:t>8</w:t>
      </w:r>
    </w:p>
    <w:p>
      <w:pPr>
        <w:spacing w:line="182" w:lineRule="exact" w:before="0"/>
        <w:ind w:left="7025" w:right="0" w:firstLine="0"/>
        <w:jc w:val="left"/>
        <w:rPr>
          <w:b/>
          <w:sz w:val="16"/>
        </w:rPr>
      </w:pPr>
      <w:r>
        <w:rPr>
          <w:b/>
          <w:color w:val="FF00FF"/>
          <w:spacing w:val="6"/>
          <w:w w:val="105"/>
          <w:sz w:val="16"/>
        </w:rPr>
        <w:t>7.2%</w:t>
      </w:r>
    </w:p>
    <w:p>
      <w:pPr>
        <w:spacing w:before="161"/>
        <w:ind w:left="6846" w:right="0" w:firstLine="0"/>
        <w:jc w:val="left"/>
        <w:rPr>
          <w:b/>
          <w:sz w:val="16"/>
        </w:rPr>
      </w:pPr>
      <w:r>
        <w:rPr>
          <w:b/>
          <w:w w:val="102"/>
          <w:sz w:val="16"/>
        </w:rPr>
        <w:t>6</w:t>
      </w:r>
    </w:p>
    <w:p>
      <w:pPr>
        <w:spacing w:line="175" w:lineRule="exact" w:before="161"/>
        <w:ind w:left="7011" w:right="0" w:firstLine="0"/>
        <w:jc w:val="left"/>
        <w:rPr>
          <w:b/>
          <w:sz w:val="16"/>
        </w:rPr>
      </w:pPr>
      <w:r>
        <w:rPr>
          <w:b/>
          <w:color w:val="000080"/>
          <w:spacing w:val="6"/>
          <w:w w:val="105"/>
          <w:sz w:val="16"/>
        </w:rPr>
        <w:t>4.8%</w:t>
      </w:r>
    </w:p>
    <w:p>
      <w:pPr>
        <w:spacing w:line="175" w:lineRule="exact" w:before="0"/>
        <w:ind w:left="6846" w:right="0" w:firstLine="0"/>
        <w:jc w:val="left"/>
        <w:rPr>
          <w:b/>
          <w:sz w:val="16"/>
        </w:rPr>
      </w:pPr>
      <w:r>
        <w:rPr>
          <w:b/>
          <w:w w:val="102"/>
          <w:sz w:val="16"/>
        </w:rPr>
        <w:t>4</w:t>
      </w:r>
    </w:p>
    <w:p>
      <w:pPr>
        <w:pStyle w:val="BodyText"/>
        <w:spacing w:before="8"/>
        <w:rPr>
          <w:b/>
          <w:sz w:val="19"/>
        </w:rPr>
      </w:pPr>
    </w:p>
    <w:p>
      <w:pPr>
        <w:spacing w:before="98"/>
        <w:ind w:left="0" w:right="2129" w:firstLine="0"/>
        <w:jc w:val="right"/>
        <w:rPr>
          <w:b/>
          <w:sz w:val="16"/>
        </w:rPr>
      </w:pPr>
      <w:r>
        <w:rPr>
          <w:b/>
          <w:w w:val="102"/>
          <w:sz w:val="16"/>
        </w:rPr>
        <w:t>2</w:t>
      </w:r>
    </w:p>
    <w:p>
      <w:pPr>
        <w:pStyle w:val="BodyText"/>
        <w:spacing w:before="10"/>
        <w:rPr>
          <w:b/>
          <w:sz w:val="19"/>
        </w:rPr>
      </w:pPr>
    </w:p>
    <w:p>
      <w:pPr>
        <w:spacing w:after="0"/>
        <w:rPr>
          <w:sz w:val="19"/>
        </w:rPr>
        <w:sectPr>
          <w:type w:val="continuous"/>
          <w:pgSz w:w="11900" w:h="16840"/>
          <w:pgMar w:top="1180" w:bottom="280" w:left="1680" w:right="1160"/>
        </w:sectPr>
      </w:pPr>
    </w:p>
    <w:p>
      <w:pPr>
        <w:pStyle w:val="BodyText"/>
        <w:rPr>
          <w:b/>
          <w:sz w:val="18"/>
        </w:rPr>
      </w:pPr>
    </w:p>
    <w:p>
      <w:pPr>
        <w:tabs>
          <w:tab w:pos="1657" w:val="left" w:leader="none"/>
          <w:tab w:pos="2392" w:val="left" w:leader="none"/>
          <w:tab w:pos="3142" w:val="left" w:leader="none"/>
        </w:tabs>
        <w:spacing w:before="116"/>
        <w:ind w:left="922" w:right="0" w:firstLine="0"/>
        <w:jc w:val="left"/>
        <w:rPr>
          <w:b/>
          <w:sz w:val="16"/>
        </w:rPr>
      </w:pPr>
      <w:r>
        <w:rPr>
          <w:b/>
          <w:spacing w:val="5"/>
          <w:w w:val="105"/>
          <w:sz w:val="16"/>
        </w:rPr>
        <w:t>1990</w:t>
        <w:tab/>
        <w:t>1992</w:t>
        <w:tab/>
        <w:t>1994</w:t>
        <w:tab/>
      </w:r>
      <w:r>
        <w:rPr>
          <w:b/>
          <w:w w:val="105"/>
          <w:sz w:val="16"/>
        </w:rPr>
        <w:t>1996</w:t>
      </w:r>
    </w:p>
    <w:p>
      <w:pPr>
        <w:spacing w:before="126"/>
        <w:ind w:left="768" w:right="0" w:firstLine="0"/>
        <w:jc w:val="left"/>
        <w:rPr>
          <w:sz w:val="18"/>
        </w:rPr>
      </w:pPr>
      <w:r>
        <w:rPr>
          <w:sz w:val="18"/>
        </w:rPr>
        <w:t>Source: ONS.</w:t>
      </w:r>
    </w:p>
    <w:p>
      <w:pPr>
        <w:spacing w:before="98"/>
        <w:ind w:left="3282" w:right="2111" w:firstLine="0"/>
        <w:jc w:val="center"/>
        <w:rPr>
          <w:b/>
          <w:sz w:val="16"/>
        </w:rPr>
      </w:pPr>
      <w:r>
        <w:rPr/>
        <w:br w:type="column"/>
      </w:r>
      <w:r>
        <w:rPr>
          <w:b/>
          <w:w w:val="105"/>
          <w:sz w:val="16"/>
        </w:rPr>
        <w:t>0</w:t>
      </w:r>
    </w:p>
    <w:p>
      <w:pPr>
        <w:tabs>
          <w:tab w:pos="734" w:val="left" w:leader="none"/>
          <w:tab w:pos="1469" w:val="left" w:leader="none"/>
          <w:tab w:pos="2204" w:val="left" w:leader="none"/>
        </w:tabs>
        <w:spacing w:before="41"/>
        <w:ind w:left="0" w:right="2282" w:firstLine="0"/>
        <w:jc w:val="center"/>
        <w:rPr>
          <w:b/>
          <w:sz w:val="16"/>
        </w:rPr>
      </w:pPr>
      <w:r>
        <w:rPr>
          <w:b/>
          <w:spacing w:val="5"/>
          <w:w w:val="105"/>
          <w:sz w:val="16"/>
        </w:rPr>
        <w:t>1998</w:t>
        <w:tab/>
        <w:t>2000</w:t>
        <w:tab/>
        <w:t>2002</w:t>
        <w:tab/>
      </w:r>
      <w:r>
        <w:rPr>
          <w:b/>
          <w:spacing w:val="7"/>
          <w:w w:val="105"/>
          <w:sz w:val="16"/>
        </w:rPr>
        <w:t>2004</w:t>
      </w:r>
    </w:p>
    <w:p>
      <w:pPr>
        <w:spacing w:after="0"/>
        <w:jc w:val="center"/>
        <w:rPr>
          <w:sz w:val="16"/>
        </w:rPr>
        <w:sectPr>
          <w:type w:val="continuous"/>
          <w:pgSz w:w="11900" w:h="16840"/>
          <w:pgMar w:top="1180" w:bottom="280" w:left="1680" w:right="1160"/>
          <w:cols w:num="2" w:equalWidth="0">
            <w:col w:w="3503" w:space="40"/>
            <w:col w:w="5517"/>
          </w:cols>
        </w:sectPr>
      </w:pPr>
    </w:p>
    <w:p>
      <w:pPr>
        <w:pStyle w:val="Heading1"/>
        <w:ind w:right="1885"/>
      </w:pPr>
      <w:r>
        <w:rPr/>
        <w:t>Chart 9: The inflation rate of imported finished manufactured goods</w:t>
      </w:r>
    </w:p>
    <w:p>
      <w:pPr>
        <w:spacing w:after="0"/>
        <w:sectPr>
          <w:pgSz w:w="11900" w:h="16840"/>
          <w:pgMar w:header="716" w:footer="0" w:top="1300" w:bottom="280" w:left="1680" w:right="1160"/>
        </w:sectPr>
      </w:pPr>
    </w:p>
    <w:p>
      <w:pPr>
        <w:pStyle w:val="BodyText"/>
        <w:rPr>
          <w:b/>
          <w:sz w:val="16"/>
        </w:rPr>
      </w:pPr>
    </w:p>
    <w:p>
      <w:pPr>
        <w:spacing w:before="131"/>
        <w:ind w:left="1150" w:right="0" w:firstLine="0"/>
        <w:jc w:val="left"/>
        <w:rPr>
          <w:b/>
          <w:sz w:val="15"/>
        </w:rPr>
      </w:pPr>
      <w:r>
        <w:rPr>
          <w:b/>
          <w:sz w:val="15"/>
        </w:rPr>
        <w:t>Imported finished manufactures</w:t>
      </w:r>
    </w:p>
    <w:p>
      <w:pPr>
        <w:spacing w:before="81"/>
        <w:ind w:left="1103" w:right="0" w:firstLine="0"/>
        <w:jc w:val="left"/>
        <w:rPr>
          <w:b/>
          <w:sz w:val="15"/>
        </w:rPr>
      </w:pPr>
      <w:r>
        <w:rPr/>
        <w:br w:type="column"/>
      </w:r>
      <w:r>
        <w:rPr>
          <w:b/>
          <w:sz w:val="15"/>
        </w:rPr>
        <w:t>Percentage change on a year earlier</w:t>
      </w:r>
    </w:p>
    <w:p>
      <w:pPr>
        <w:spacing w:before="90"/>
        <w:ind w:left="1230" w:right="0" w:firstLine="0"/>
        <w:jc w:val="center"/>
        <w:rPr>
          <w:b/>
          <w:sz w:val="15"/>
        </w:rPr>
      </w:pPr>
      <w:r>
        <w:rPr/>
        <w:pict>
          <v:group style="position:absolute;margin-left:146.37323pt;margin-top:9.429296pt;width:277.2pt;height:131.85pt;mso-position-horizontal-relative:page;mso-position-vertical-relative:paragraph;z-index:-252412928" coordorigin="2927,189" coordsize="5544,2637">
            <v:shape style="position:absolute;left:2941;top:189;width:5530;height:2636" coordorigin="2941,189" coordsize="5530,2636" path="m8429,189l8429,2824m8429,2824l8471,2824m8429,2563l8471,2563m8429,2300l8471,2300m8429,2038l8471,2038m8429,1776l8471,1776m8429,1514l8471,1514m8429,1238l8471,1238m8429,975l8471,975m8429,714l8471,714m8429,451l8471,451m8429,189l8471,189m2941,2824l8429,2824m2941,2824l2941,2784m3910,2824l3910,2784m4877,2824l4877,2784m5844,2824l5844,2784m6812,2824l6812,2784m7780,2824l7780,2784e" filled="false" stroked="true" strokeweight=".06pt" strokecolor="#000000">
              <v:path arrowok="t"/>
              <v:stroke dashstyle="solid"/>
            </v:shape>
            <v:line style="position:absolute" from="2941,1500" to="3025,1238" stroked="true" strokeweight="1.38201pt" strokecolor="#000080">
              <v:stroke dashstyle="solid"/>
            </v:line>
            <v:shape style="position:absolute;left:3025;top:465;width:5321;height:2084" coordorigin="3025,466" coordsize="5321,2084" path="m3025,1238l3108,1238,3191,1500,3259,990,3342,727,3426,990,3509,990,3592,479,3675,466,3743,727,3827,727,3910,466,3993,727,4075,727,4158,466,4228,1238,4311,1238,4393,1500,4476,1997,4559,2480,4642,2245,4711,2245,4794,2494,4877,1997,5043,1997,5125,2245,5195,1997,5278,2245,5361,2508,5443,2024,5526,1763,5609,2024,5693,2024,5761,1776,5844,2536,5927,2536,6010,2273,6094,2024,6177,2287,6245,2549,6328,1776,6412,1514,6660,1514,6729,1776,6813,2052,6895,2328,6978,2315,7061,2315,7144,1790,7213,1790,7296,2052,7379,2315,7462,2052,7545,1790,7627,2052,7697,2066,7780,1238,7863,962,7945,1528,8028,1528,8111,1804,8181,1528,8263,962,8346,1238e" filled="false" stroked="true" strokeweight="1.380088pt" strokecolor="#000080">
              <v:path arrowok="t"/>
              <v:stroke dashstyle="solid"/>
            </v:shape>
            <v:line style="position:absolute" from="8346,1238" to="8429,1528" stroked="true" strokeweight="1.382055pt" strokecolor="#000080">
              <v:stroke dashstyle="solid"/>
            </v:line>
            <v:line style="position:absolute" from="2941,1238" to="3025,1238" stroked="true" strokeweight="1.379757pt" strokecolor="#000000">
              <v:stroke dashstyle="solid"/>
            </v:line>
            <v:line style="position:absolute" from="3025,1238" to="8346,1238" stroked="true" strokeweight="1.379757pt" strokecolor="#000000">
              <v:stroke dashstyle="solid"/>
            </v:line>
            <v:line style="position:absolute" from="8346,1238" to="8429,1238" stroked="true" strokeweight="1.379757pt" strokecolor="#000000">
              <v:stroke dashstyle="solid"/>
            </v:line>
            <v:shape style="position:absolute;left:4338;top:826;width:1225;height:169" type="#_x0000_t202" filled="false" stroked="false">
              <v:textbox inset="0,0,0,0">
                <w:txbxContent>
                  <w:p>
                    <w:pPr>
                      <w:spacing w:line="168" w:lineRule="exact" w:before="0"/>
                      <w:ind w:left="0" w:right="0" w:firstLine="0"/>
                      <w:jc w:val="left"/>
                      <w:rPr>
                        <w:b/>
                        <w:sz w:val="15"/>
                      </w:rPr>
                    </w:pPr>
                    <w:r>
                      <w:rPr>
                        <w:b/>
                        <w:color w:val="000080"/>
                        <w:sz w:val="15"/>
                      </w:rPr>
                      <w:t>Annual inflation</w:t>
                    </w:r>
                  </w:p>
                </w:txbxContent>
              </v:textbox>
              <w10:wrap type="none"/>
            </v:shape>
            <w10:wrap type="none"/>
          </v:group>
        </w:pict>
      </w:r>
      <w:r>
        <w:rPr>
          <w:b/>
          <w:w w:val="101"/>
          <w:sz w:val="15"/>
        </w:rPr>
        <w:t>4</w:t>
      </w:r>
    </w:p>
    <w:p>
      <w:pPr>
        <w:spacing w:before="90"/>
        <w:ind w:left="1230" w:right="0" w:firstLine="0"/>
        <w:jc w:val="center"/>
        <w:rPr>
          <w:b/>
          <w:sz w:val="15"/>
        </w:rPr>
      </w:pPr>
      <w:r>
        <w:rPr>
          <w:b/>
          <w:w w:val="101"/>
          <w:sz w:val="15"/>
        </w:rPr>
        <w:t>3</w:t>
      </w:r>
    </w:p>
    <w:p>
      <w:pPr>
        <w:spacing w:before="89"/>
        <w:ind w:left="1230" w:right="0" w:firstLine="0"/>
        <w:jc w:val="center"/>
        <w:rPr>
          <w:b/>
          <w:sz w:val="15"/>
        </w:rPr>
      </w:pPr>
      <w:r>
        <w:rPr>
          <w:b/>
          <w:w w:val="101"/>
          <w:sz w:val="15"/>
        </w:rPr>
        <w:t>2</w:t>
      </w:r>
    </w:p>
    <w:p>
      <w:pPr>
        <w:spacing w:before="90"/>
        <w:ind w:left="1230" w:right="0" w:firstLine="0"/>
        <w:jc w:val="center"/>
        <w:rPr>
          <w:b/>
          <w:sz w:val="15"/>
        </w:rPr>
      </w:pPr>
      <w:r>
        <w:rPr>
          <w:b/>
          <w:w w:val="101"/>
          <w:sz w:val="15"/>
        </w:rPr>
        <w:t>1</w:t>
      </w:r>
    </w:p>
    <w:p>
      <w:pPr>
        <w:spacing w:before="89"/>
        <w:ind w:left="1230" w:right="0" w:firstLine="0"/>
        <w:jc w:val="center"/>
        <w:rPr>
          <w:b/>
          <w:sz w:val="15"/>
        </w:rPr>
      </w:pPr>
      <w:r>
        <w:rPr>
          <w:b/>
          <w:w w:val="101"/>
          <w:sz w:val="15"/>
        </w:rPr>
        <w:t>0</w:t>
      </w:r>
    </w:p>
    <w:p>
      <w:pPr>
        <w:spacing w:before="104"/>
        <w:ind w:left="3336" w:right="2046" w:firstLine="0"/>
        <w:jc w:val="center"/>
        <w:rPr>
          <w:b/>
          <w:sz w:val="15"/>
        </w:rPr>
      </w:pPr>
      <w:r>
        <w:rPr>
          <w:b/>
          <w:spacing w:val="4"/>
          <w:sz w:val="15"/>
        </w:rPr>
        <w:t>-1</w:t>
      </w:r>
    </w:p>
    <w:p>
      <w:pPr>
        <w:spacing w:before="90"/>
        <w:ind w:left="3336" w:right="2046" w:firstLine="0"/>
        <w:jc w:val="center"/>
        <w:rPr>
          <w:b/>
          <w:sz w:val="15"/>
        </w:rPr>
      </w:pPr>
      <w:r>
        <w:rPr>
          <w:b/>
          <w:spacing w:val="4"/>
          <w:sz w:val="15"/>
        </w:rPr>
        <w:t>-2</w:t>
      </w:r>
    </w:p>
    <w:p>
      <w:pPr>
        <w:spacing w:before="89"/>
        <w:ind w:left="3336" w:right="2046" w:firstLine="0"/>
        <w:jc w:val="center"/>
        <w:rPr>
          <w:b/>
          <w:sz w:val="15"/>
        </w:rPr>
      </w:pPr>
      <w:r>
        <w:rPr>
          <w:b/>
          <w:spacing w:val="4"/>
          <w:sz w:val="15"/>
        </w:rPr>
        <w:t>-3</w:t>
      </w:r>
    </w:p>
    <w:p>
      <w:pPr>
        <w:spacing w:before="91"/>
        <w:ind w:left="3336" w:right="2046" w:firstLine="0"/>
        <w:jc w:val="center"/>
        <w:rPr>
          <w:b/>
          <w:sz w:val="15"/>
        </w:rPr>
      </w:pPr>
      <w:r>
        <w:rPr>
          <w:b/>
          <w:spacing w:val="4"/>
          <w:sz w:val="15"/>
        </w:rPr>
        <w:t>-4</w:t>
      </w:r>
    </w:p>
    <w:p>
      <w:pPr>
        <w:spacing w:before="89"/>
        <w:ind w:left="3336" w:right="2046" w:firstLine="0"/>
        <w:jc w:val="center"/>
        <w:rPr>
          <w:b/>
          <w:sz w:val="15"/>
        </w:rPr>
      </w:pPr>
      <w:r>
        <w:rPr>
          <w:b/>
          <w:spacing w:val="4"/>
          <w:sz w:val="15"/>
        </w:rPr>
        <w:t>-5</w:t>
      </w:r>
    </w:p>
    <w:p>
      <w:pPr>
        <w:spacing w:before="90"/>
        <w:ind w:left="3336" w:right="2046" w:firstLine="0"/>
        <w:jc w:val="center"/>
        <w:rPr>
          <w:b/>
          <w:sz w:val="15"/>
        </w:rPr>
      </w:pPr>
      <w:r>
        <w:rPr>
          <w:b/>
          <w:spacing w:val="4"/>
          <w:sz w:val="15"/>
        </w:rPr>
        <w:t>-6</w:t>
      </w:r>
    </w:p>
    <w:p>
      <w:pPr>
        <w:spacing w:after="0"/>
        <w:jc w:val="center"/>
        <w:rPr>
          <w:sz w:val="15"/>
        </w:rPr>
        <w:sectPr>
          <w:type w:val="continuous"/>
          <w:pgSz w:w="11900" w:h="16840"/>
          <w:pgMar w:top="1180" w:bottom="280" w:left="1680" w:right="1160"/>
          <w:cols w:num="2" w:equalWidth="0">
            <w:col w:w="3464" w:space="40"/>
            <w:col w:w="5556"/>
          </w:cols>
        </w:sectPr>
      </w:pPr>
    </w:p>
    <w:p>
      <w:pPr>
        <w:tabs>
          <w:tab w:pos="2062" w:val="left" w:leader="none"/>
          <w:tab w:pos="3031" w:val="left" w:leader="none"/>
          <w:tab w:pos="3998" w:val="left" w:leader="none"/>
          <w:tab w:pos="4965" w:val="left" w:leader="none"/>
          <w:tab w:pos="5933" w:val="left" w:leader="none"/>
        </w:tabs>
        <w:spacing w:before="34"/>
        <w:ind w:left="1095" w:right="0" w:firstLine="0"/>
        <w:jc w:val="left"/>
        <w:rPr>
          <w:b/>
          <w:sz w:val="15"/>
        </w:rPr>
      </w:pPr>
      <w:r>
        <w:rPr>
          <w:b/>
          <w:spacing w:val="4"/>
          <w:sz w:val="15"/>
        </w:rPr>
        <w:t>2000</w:t>
        <w:tab/>
      </w:r>
      <w:r>
        <w:rPr>
          <w:b/>
          <w:spacing w:val="5"/>
          <w:sz w:val="15"/>
        </w:rPr>
        <w:t>2001</w:t>
        <w:tab/>
      </w:r>
      <w:r>
        <w:rPr>
          <w:b/>
          <w:spacing w:val="4"/>
          <w:sz w:val="15"/>
        </w:rPr>
        <w:t>2002</w:t>
        <w:tab/>
        <w:t>2003</w:t>
        <w:tab/>
      </w:r>
      <w:r>
        <w:rPr>
          <w:b/>
          <w:spacing w:val="5"/>
          <w:sz w:val="15"/>
        </w:rPr>
        <w:t>2004</w:t>
        <w:tab/>
      </w:r>
      <w:r>
        <w:rPr>
          <w:b/>
          <w:spacing w:val="6"/>
          <w:sz w:val="15"/>
        </w:rPr>
        <w:t>2005</w:t>
      </w:r>
    </w:p>
    <w:p>
      <w:pPr>
        <w:spacing w:before="131"/>
        <w:ind w:left="768" w:right="0" w:firstLine="0"/>
        <w:jc w:val="left"/>
        <w:rPr>
          <w:sz w:val="18"/>
        </w:rPr>
      </w:pPr>
      <w:r>
        <w:rPr>
          <w:sz w:val="18"/>
        </w:rPr>
        <w:t>Source: ONS.</w:t>
      </w:r>
    </w:p>
    <w:sectPr>
      <w:type w:val="continuous"/>
      <w:pgSz w:w="11900" w:h="16840"/>
      <w:pgMar w:top="1180" w:bottom="280" w:left="16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6pt;margin-top:34.806339pt;width:18pt;height:15.3pt;mso-position-horizontal-relative:page;mso-position-vertical-relative:page;z-index:-2524569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92" w:hanging="192"/>
      </w:pPr>
      <w:rPr>
        <w:rFonts w:hint="default" w:ascii="Symbol" w:hAnsi="Symbol" w:eastAsia="Symbol" w:cs="Symbol"/>
        <w:w w:val="99"/>
        <w:sz w:val="24"/>
        <w:szCs w:val="24"/>
      </w:rPr>
    </w:lvl>
    <w:lvl w:ilvl="1">
      <w:start w:val="0"/>
      <w:numFmt w:val="bullet"/>
      <w:lvlText w:val="•"/>
      <w:lvlJc w:val="left"/>
      <w:pPr>
        <w:ind w:left="228" w:hanging="192"/>
      </w:pPr>
      <w:rPr>
        <w:rFonts w:hint="default"/>
      </w:rPr>
    </w:lvl>
    <w:lvl w:ilvl="2">
      <w:start w:val="0"/>
      <w:numFmt w:val="bullet"/>
      <w:lvlText w:val="•"/>
      <w:lvlJc w:val="left"/>
      <w:pPr>
        <w:ind w:left="257" w:hanging="192"/>
      </w:pPr>
      <w:rPr>
        <w:rFonts w:hint="default"/>
      </w:rPr>
    </w:lvl>
    <w:lvl w:ilvl="3">
      <w:start w:val="0"/>
      <w:numFmt w:val="bullet"/>
      <w:lvlText w:val="•"/>
      <w:lvlJc w:val="left"/>
      <w:pPr>
        <w:ind w:left="285" w:hanging="192"/>
      </w:pPr>
      <w:rPr>
        <w:rFonts w:hint="default"/>
      </w:rPr>
    </w:lvl>
    <w:lvl w:ilvl="4">
      <w:start w:val="0"/>
      <w:numFmt w:val="bullet"/>
      <w:lvlText w:val="•"/>
      <w:lvlJc w:val="left"/>
      <w:pPr>
        <w:ind w:left="313" w:hanging="192"/>
      </w:pPr>
      <w:rPr>
        <w:rFonts w:hint="default"/>
      </w:rPr>
    </w:lvl>
    <w:lvl w:ilvl="5">
      <w:start w:val="0"/>
      <w:numFmt w:val="bullet"/>
      <w:lvlText w:val="•"/>
      <w:lvlJc w:val="left"/>
      <w:pPr>
        <w:ind w:left="342" w:hanging="192"/>
      </w:pPr>
      <w:rPr>
        <w:rFonts w:hint="default"/>
      </w:rPr>
    </w:lvl>
    <w:lvl w:ilvl="6">
      <w:start w:val="0"/>
      <w:numFmt w:val="bullet"/>
      <w:lvlText w:val="•"/>
      <w:lvlJc w:val="left"/>
      <w:pPr>
        <w:ind w:left="370" w:hanging="192"/>
      </w:pPr>
      <w:rPr>
        <w:rFonts w:hint="default"/>
      </w:rPr>
    </w:lvl>
    <w:lvl w:ilvl="7">
      <w:start w:val="0"/>
      <w:numFmt w:val="bullet"/>
      <w:lvlText w:val="•"/>
      <w:lvlJc w:val="left"/>
      <w:pPr>
        <w:ind w:left="399" w:hanging="192"/>
      </w:pPr>
      <w:rPr>
        <w:rFonts w:hint="default"/>
      </w:rPr>
    </w:lvl>
    <w:lvl w:ilvl="8">
      <w:start w:val="0"/>
      <w:numFmt w:val="bullet"/>
      <w:lvlText w:val="•"/>
      <w:lvlJc w:val="left"/>
      <w:pPr>
        <w:ind w:left="427" w:hanging="19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21"/>
      <w:ind w:left="76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Kate Barker at the Managing Directors' Club</dc:subject>
  <dc:title>Economic Stability and the Business Climate - Speech by Kate Barker at Managing Directors' Club, Sheffield University</dc:title>
  <dcterms:created xsi:type="dcterms:W3CDTF">2020-06-02T17:26:14Z</dcterms:created>
  <dcterms:modified xsi:type="dcterms:W3CDTF">2020-06-02T17:26:14Z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2005-11-24T00:00:00Z</vt:filetime>
  </property>
  <property fmtid="{D5CDD505-2E9C-101B-9397-08002B2CF9AE}" pid="3" name="Creator">
    <vt:lpwstr>PScript5.dll Version 5.2</vt:lpwstr>
  </property>
  <property fmtid="{D5CDD505-2E9C-101B-9397-08002B2CF9AE}" pid="4" name="LastSaved">
    <vt:filetime>2020-06-02T00:00:00Z</vt:filetime>
  </property>
</Properties>
</file>