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Financial Markets and Household Consumption</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Timothy Besley,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5242"/>
        <w:rPr>
          <w:rFonts w:ascii="Arial"/>
        </w:rPr>
      </w:pPr>
      <w:r>
        <w:rPr>
          <w:rFonts w:ascii="Arial"/>
        </w:rPr>
        <w:t>At the Institute for Fiscal Studies, London 18 February 2008</w:t>
      </w:r>
    </w:p>
    <w:p>
      <w:pPr>
        <w:pStyle w:val="BodyText"/>
        <w:rPr>
          <w:rFonts w:ascii="Arial"/>
          <w:sz w:val="26"/>
        </w:rPr>
      </w:pPr>
    </w:p>
    <w:p>
      <w:pPr>
        <w:pStyle w:val="BodyText"/>
        <w:spacing w:before="220"/>
        <w:ind w:left="352"/>
        <w:rPr>
          <w:rFonts w:ascii="Arial"/>
        </w:rPr>
      </w:pPr>
      <w:hyperlink r:id="rId6">
        <w:r>
          <w:rPr>
            <w:rFonts w:ascii="Arial"/>
            <w:color w:val="0000FF"/>
            <w:u w:val="single" w:color="0000FF"/>
          </w:rPr>
          <w:t>Accompanying paper</w:t>
        </w:r>
      </w:hyperlink>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19"/>
        </w:rPr>
      </w:pPr>
    </w:p>
    <w:p>
      <w:pPr>
        <w:spacing w:before="93"/>
        <w:ind w:left="352" w:right="91" w:firstLine="0"/>
        <w:jc w:val="left"/>
        <w:rPr>
          <w:rFonts w:ascii="Arial"/>
          <w:sz w:val="20"/>
        </w:rPr>
      </w:pPr>
      <w:r>
        <w:rPr>
          <w:rFonts w:ascii="Arial"/>
          <w:sz w:val="20"/>
        </w:rPr>
        <w:t>I would like to thank Charlie Bean, Andrew Holder, Neil Meads, Sally Reid, Nicola Scott, Paolo Surico and Garry Young for comments and assistance. The views expressed are my own and do not necessarily reflect those of the Bank of England or other members of the Monetary Policy Committee.</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22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7">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140"/>
        </w:sectPr>
      </w:pPr>
    </w:p>
    <w:p>
      <w:pPr>
        <w:pStyle w:val="BodyText"/>
        <w:spacing w:line="360" w:lineRule="auto" w:before="78"/>
        <w:ind w:left="1180" w:right="1291"/>
      </w:pPr>
      <w:r>
        <w:rPr/>
        <w:t>Ladies and Gentlemen, thank you for coming. It </w:t>
      </w:r>
      <w:r>
        <w:rPr>
          <w:spacing w:val="-5"/>
        </w:rPr>
        <w:t>is </w:t>
      </w:r>
      <w:r>
        <w:rPr/>
        <w:t>a great pleasure </w:t>
      </w:r>
      <w:r>
        <w:rPr>
          <w:spacing w:val="3"/>
        </w:rPr>
        <w:t>to </w:t>
      </w:r>
      <w:r>
        <w:rPr>
          <w:spacing w:val="-3"/>
        </w:rPr>
        <w:t>be </w:t>
      </w:r>
      <w:r>
        <w:rPr/>
        <w:t>addressing you here at the IFS with which I am proud to have had a long­standing association as a Research Fellow. The IFS provides formidable commentaries on economic policy issues </w:t>
      </w:r>
      <w:r>
        <w:rPr>
          <w:spacing w:val="-3"/>
        </w:rPr>
        <w:t>in </w:t>
      </w:r>
      <w:r>
        <w:rPr/>
        <w:t>the UK and brings </w:t>
      </w:r>
      <w:r>
        <w:rPr>
          <w:spacing w:val="2"/>
        </w:rPr>
        <w:t>to </w:t>
      </w:r>
      <w:r>
        <w:rPr/>
        <w:t>bear the best economic analysis and evidence </w:t>
      </w:r>
      <w:r>
        <w:rPr>
          <w:spacing w:val="2"/>
        </w:rPr>
        <w:t>to </w:t>
      </w:r>
      <w:r>
        <w:rPr/>
        <w:t>issues that </w:t>
      </w:r>
      <w:r>
        <w:rPr>
          <w:spacing w:val="-5"/>
        </w:rPr>
        <w:t>it </w:t>
      </w:r>
      <w:r>
        <w:rPr/>
        <w:t>studies. When </w:t>
      </w:r>
      <w:r>
        <w:rPr>
          <w:spacing w:val="-5"/>
        </w:rPr>
        <w:t>it </w:t>
      </w:r>
      <w:r>
        <w:rPr/>
        <w:t>comes to formulating policy, I am firmly </w:t>
      </w:r>
      <w:r>
        <w:rPr>
          <w:spacing w:val="4"/>
        </w:rPr>
        <w:t>of </w:t>
      </w:r>
      <w:r>
        <w:rPr/>
        <w:t>the view that there </w:t>
      </w:r>
      <w:r>
        <w:rPr>
          <w:spacing w:val="-3"/>
        </w:rPr>
        <w:t>is no </w:t>
      </w:r>
      <w:r>
        <w:rPr/>
        <w:t>substitute for a good balance </w:t>
      </w:r>
      <w:r>
        <w:rPr>
          <w:spacing w:val="4"/>
        </w:rPr>
        <w:t>of </w:t>
      </w:r>
      <w:r>
        <w:rPr/>
        <w:t>economic analysis and</w:t>
      </w:r>
      <w:r>
        <w:rPr>
          <w:spacing w:val="-8"/>
        </w:rPr>
        <w:t> </w:t>
      </w:r>
      <w:r>
        <w:rPr/>
        <w:t>evidence.</w:t>
      </w:r>
    </w:p>
    <w:p>
      <w:pPr>
        <w:pStyle w:val="BodyText"/>
        <w:spacing w:before="1"/>
        <w:rPr>
          <w:sz w:val="36"/>
        </w:rPr>
      </w:pPr>
    </w:p>
    <w:p>
      <w:pPr>
        <w:pStyle w:val="BodyText"/>
        <w:spacing w:line="360" w:lineRule="auto"/>
        <w:ind w:left="1180" w:right="1244"/>
      </w:pPr>
      <w:r>
        <w:rPr/>
        <w:t>Recent events are making the job of the MPC extremely challenging. </w:t>
      </w:r>
      <w:r>
        <w:rPr>
          <w:spacing w:val="-3"/>
        </w:rPr>
        <w:t>As </w:t>
      </w:r>
      <w:r>
        <w:rPr/>
        <w:t>you are well aware, the UK economy has </w:t>
      </w:r>
      <w:r>
        <w:rPr>
          <w:spacing w:val="-3"/>
        </w:rPr>
        <w:t>in </w:t>
      </w:r>
      <w:r>
        <w:rPr/>
        <w:t>the past </w:t>
      </w:r>
      <w:r>
        <w:rPr>
          <w:spacing w:val="-3"/>
        </w:rPr>
        <w:t>few </w:t>
      </w:r>
      <w:r>
        <w:rPr/>
        <w:t>months experienced significant shocks with implications for both inflation and activity. Rising energy and food prices, along with a lower exchange rate, </w:t>
      </w:r>
      <w:r>
        <w:rPr>
          <w:spacing w:val="-3"/>
        </w:rPr>
        <w:t>will </w:t>
      </w:r>
      <w:r>
        <w:rPr/>
        <w:t>increase inflation </w:t>
      </w:r>
      <w:r>
        <w:rPr>
          <w:spacing w:val="-3"/>
        </w:rPr>
        <w:t>in </w:t>
      </w:r>
      <w:r>
        <w:rPr/>
        <w:t>the near term. </w:t>
      </w:r>
      <w:r>
        <w:rPr>
          <w:spacing w:val="-3"/>
        </w:rPr>
        <w:t>At </w:t>
      </w:r>
      <w:r>
        <w:rPr/>
        <w:t>the </w:t>
      </w:r>
      <w:r>
        <w:rPr>
          <w:spacing w:val="-3"/>
        </w:rPr>
        <w:t>same </w:t>
      </w:r>
      <w:r>
        <w:rPr/>
        <w:t>time, recent turmoil </w:t>
      </w:r>
      <w:r>
        <w:rPr>
          <w:spacing w:val="-3"/>
        </w:rPr>
        <w:t>in </w:t>
      </w:r>
      <w:r>
        <w:rPr/>
        <w:t>financial markets </w:t>
      </w:r>
      <w:r>
        <w:rPr>
          <w:spacing w:val="-5"/>
        </w:rPr>
        <w:t>is </w:t>
      </w:r>
      <w:r>
        <w:rPr/>
        <w:t>resulting </w:t>
      </w:r>
      <w:r>
        <w:rPr>
          <w:spacing w:val="-3"/>
        </w:rPr>
        <w:t>in </w:t>
      </w:r>
      <w:r>
        <w:rPr/>
        <w:t>tighter credit conditions. This </w:t>
      </w:r>
      <w:r>
        <w:rPr>
          <w:spacing w:val="-3"/>
        </w:rPr>
        <w:t>is </w:t>
      </w:r>
      <w:r>
        <w:rPr/>
        <w:t>leading </w:t>
      </w:r>
      <w:r>
        <w:rPr>
          <w:spacing w:val="2"/>
        </w:rPr>
        <w:t>to </w:t>
      </w:r>
      <w:r>
        <w:rPr/>
        <w:t>a weaker picture for </w:t>
      </w:r>
      <w:r>
        <w:rPr>
          <w:spacing w:val="-3"/>
        </w:rPr>
        <w:t>world </w:t>
      </w:r>
      <w:r>
        <w:rPr/>
        <w:t>growth which, along with its direct effect on the </w:t>
      </w:r>
      <w:r>
        <w:rPr>
          <w:spacing w:val="-3"/>
        </w:rPr>
        <w:t>UK, is </w:t>
      </w:r>
      <w:r>
        <w:rPr/>
        <w:t>posing a downside risk to growth </w:t>
      </w:r>
      <w:r>
        <w:rPr>
          <w:spacing w:val="-3"/>
        </w:rPr>
        <w:t>in </w:t>
      </w:r>
      <w:r>
        <w:rPr/>
        <w:t>demand and output. Responding </w:t>
      </w:r>
      <w:r>
        <w:rPr>
          <w:spacing w:val="2"/>
        </w:rPr>
        <w:t>to </w:t>
      </w:r>
      <w:r>
        <w:rPr/>
        <w:t>either of these events on its own </w:t>
      </w:r>
      <w:r>
        <w:rPr>
          <w:spacing w:val="-3"/>
        </w:rPr>
        <w:t>would be </w:t>
      </w:r>
      <w:r>
        <w:rPr/>
        <w:t>challenging. But the combination creates extra complications with which we are now coming to terms. Against this background, the MPC decided </w:t>
      </w:r>
      <w:r>
        <w:rPr>
          <w:spacing w:val="3"/>
        </w:rPr>
        <w:t>on </w:t>
      </w:r>
      <w:r>
        <w:rPr/>
        <w:t>a 25bps cut </w:t>
      </w:r>
      <w:r>
        <w:rPr>
          <w:spacing w:val="-3"/>
        </w:rPr>
        <w:t>in </w:t>
      </w:r>
      <w:r>
        <w:rPr/>
        <w:t>Bank rate </w:t>
      </w:r>
      <w:r>
        <w:rPr>
          <w:spacing w:val="-3"/>
        </w:rPr>
        <w:t>at </w:t>
      </w:r>
      <w:r>
        <w:rPr/>
        <w:t>its meeting of February 7th. The Inflation Report, published </w:t>
      </w:r>
      <w:r>
        <w:rPr>
          <w:spacing w:val="-3"/>
        </w:rPr>
        <w:t>last </w:t>
      </w:r>
      <w:r>
        <w:rPr/>
        <w:t>Wednesday, elucidated the current </w:t>
      </w:r>
      <w:r>
        <w:rPr>
          <w:spacing w:val="-3"/>
        </w:rPr>
        <w:t>best </w:t>
      </w:r>
      <w:r>
        <w:rPr/>
        <w:t>collective judgement of the MPC and the minutes to </w:t>
      </w:r>
      <w:r>
        <w:rPr>
          <w:spacing w:val="-3"/>
        </w:rPr>
        <w:t>be </w:t>
      </w:r>
      <w:r>
        <w:rPr/>
        <w:t>published next Wednesday will explain further the thinking of the committee at its </w:t>
      </w:r>
      <w:r>
        <w:rPr>
          <w:spacing w:val="-4"/>
        </w:rPr>
        <w:t>last</w:t>
      </w:r>
      <w:r>
        <w:rPr>
          <w:spacing w:val="9"/>
        </w:rPr>
        <w:t> </w:t>
      </w:r>
      <w:r>
        <w:rPr/>
        <w:t>meeting.</w:t>
      </w:r>
    </w:p>
    <w:p>
      <w:pPr>
        <w:pStyle w:val="BodyText"/>
        <w:spacing w:before="10"/>
        <w:rPr>
          <w:sz w:val="35"/>
        </w:rPr>
      </w:pPr>
    </w:p>
    <w:p>
      <w:pPr>
        <w:pStyle w:val="BodyText"/>
        <w:spacing w:line="360" w:lineRule="auto"/>
        <w:ind w:left="1180" w:right="1199"/>
      </w:pPr>
      <w:r>
        <w:rPr/>
        <w:t>The shocks to the UK economy that I have just described have created a challenge to policy. As a member of the MPC, I will be trying to judge what level of Bank Rate is needed, in line with our mandate, to achieve the inflation target of 2% CPI inflation in the medium term. Among other things, this will mean forming a judgement on how conditions in financial markets are affecting the real economy.</w:t>
      </w:r>
    </w:p>
    <w:p>
      <w:pPr>
        <w:pStyle w:val="BodyText"/>
        <w:spacing w:before="2"/>
        <w:rPr>
          <w:sz w:val="36"/>
        </w:rPr>
      </w:pPr>
    </w:p>
    <w:p>
      <w:pPr>
        <w:pStyle w:val="BodyText"/>
        <w:spacing w:line="360" w:lineRule="auto" w:before="1"/>
        <w:ind w:left="1180" w:right="1204"/>
      </w:pPr>
      <w:r>
        <w:rPr/>
        <w:t>Many commentaries on these issues offer qualitative judgements about the effect of either shock described above </w:t>
      </w:r>
      <w:r>
        <w:rPr>
          <w:spacing w:val="3"/>
        </w:rPr>
        <w:t>on </w:t>
      </w:r>
      <w:r>
        <w:rPr/>
        <w:t>inflation and output growth. </w:t>
      </w:r>
      <w:r>
        <w:rPr>
          <w:spacing w:val="-3"/>
        </w:rPr>
        <w:t>But in </w:t>
      </w:r>
      <w:r>
        <w:rPr/>
        <w:t>making monetary policy work, </w:t>
      </w:r>
      <w:r>
        <w:rPr>
          <w:spacing w:val="-5"/>
        </w:rPr>
        <w:t>it </w:t>
      </w:r>
      <w:r>
        <w:rPr>
          <w:spacing w:val="-3"/>
        </w:rPr>
        <w:t>is </w:t>
      </w:r>
      <w:r>
        <w:rPr/>
        <w:t>necessary </w:t>
      </w:r>
      <w:r>
        <w:rPr>
          <w:spacing w:val="2"/>
        </w:rPr>
        <w:t>to </w:t>
      </w:r>
      <w:r>
        <w:rPr>
          <w:spacing w:val="-3"/>
        </w:rPr>
        <w:t>go beyond </w:t>
      </w:r>
      <w:r>
        <w:rPr/>
        <w:t>this and to form </w:t>
      </w:r>
      <w:r>
        <w:rPr>
          <w:i/>
        </w:rPr>
        <w:t>quantitative </w:t>
      </w:r>
      <w:r>
        <w:rPr/>
        <w:t>judgements to get a feel for the balance </w:t>
      </w:r>
      <w:r>
        <w:rPr>
          <w:spacing w:val="3"/>
        </w:rPr>
        <w:t>of </w:t>
      </w:r>
      <w:r>
        <w:rPr/>
        <w:t>risks.  While we are confronted with large amounts of data on a </w:t>
      </w:r>
      <w:r>
        <w:rPr>
          <w:spacing w:val="-3"/>
        </w:rPr>
        <w:t>wide </w:t>
      </w:r>
      <w:r>
        <w:rPr/>
        <w:t>variety </w:t>
      </w:r>
      <w:r>
        <w:rPr>
          <w:spacing w:val="4"/>
        </w:rPr>
        <w:t>of </w:t>
      </w:r>
      <w:r>
        <w:rPr/>
        <w:t>indicators on an almost daily basis, the difficult job </w:t>
      </w:r>
      <w:r>
        <w:rPr>
          <w:spacing w:val="-3"/>
        </w:rPr>
        <w:t>is </w:t>
      </w:r>
      <w:r>
        <w:rPr>
          <w:spacing w:val="2"/>
        </w:rPr>
        <w:t>to </w:t>
      </w:r>
      <w:r>
        <w:rPr/>
        <w:t>analyze and process this </w:t>
      </w:r>
      <w:r>
        <w:rPr>
          <w:spacing w:val="2"/>
        </w:rPr>
        <w:t>to </w:t>
      </w:r>
      <w:r>
        <w:rPr/>
        <w:t>form a coherent </w:t>
      </w:r>
      <w:r>
        <w:rPr>
          <w:spacing w:val="-3"/>
        </w:rPr>
        <w:t>view </w:t>
      </w:r>
      <w:r>
        <w:rPr/>
        <w:t>of where the economy </w:t>
      </w:r>
      <w:r>
        <w:rPr>
          <w:spacing w:val="-3"/>
        </w:rPr>
        <w:t>is </w:t>
      </w:r>
      <w:r>
        <w:rPr/>
        <w:t>heading. A key judgement </w:t>
      </w:r>
      <w:r>
        <w:rPr>
          <w:spacing w:val="-3"/>
        </w:rPr>
        <w:t>is </w:t>
      </w:r>
      <w:r>
        <w:rPr/>
        <w:t>when and whether a piece </w:t>
      </w:r>
      <w:r>
        <w:rPr>
          <w:spacing w:val="3"/>
        </w:rPr>
        <w:t>of </w:t>
      </w:r>
      <w:r>
        <w:rPr/>
        <w:t>data coming from any particular</w:t>
      </w:r>
      <w:r>
        <w:rPr>
          <w:spacing w:val="-25"/>
        </w:rPr>
        <w:t> </w:t>
      </w:r>
      <w:r>
        <w:rPr/>
        <w:t>source</w:t>
      </w:r>
    </w:p>
    <w:p>
      <w:pPr>
        <w:spacing w:after="0" w:line="360" w:lineRule="auto"/>
        <w:sectPr>
          <w:footerReference w:type="default" r:id="rId8"/>
          <w:pgSz w:w="11910" w:h="16840"/>
          <w:pgMar w:footer="697" w:header="0" w:top="1340" w:bottom="880" w:left="620" w:right="620"/>
          <w:pgNumType w:start="2"/>
        </w:sectPr>
      </w:pPr>
    </w:p>
    <w:p>
      <w:pPr>
        <w:pStyle w:val="BodyText"/>
        <w:spacing w:line="360" w:lineRule="auto" w:before="78"/>
        <w:ind w:left="1180" w:right="1253"/>
      </w:pPr>
      <w:r>
        <w:rPr/>
        <w:t>contains sufficient news </w:t>
      </w:r>
      <w:r>
        <w:rPr>
          <w:spacing w:val="2"/>
        </w:rPr>
        <w:t>to </w:t>
      </w:r>
      <w:r>
        <w:rPr/>
        <w:t>challenge one’s view about the outlook for the economy. The MPC process </w:t>
      </w:r>
      <w:r>
        <w:rPr>
          <w:spacing w:val="-3"/>
        </w:rPr>
        <w:t>makes </w:t>
      </w:r>
      <w:r>
        <w:rPr/>
        <w:t>much use of economic models and quantitative analysis as a guide to its decision making. </w:t>
      </w:r>
      <w:r>
        <w:rPr>
          <w:spacing w:val="-3"/>
        </w:rPr>
        <w:t>As </w:t>
      </w:r>
      <w:r>
        <w:rPr/>
        <w:t>an academic economist, I am used </w:t>
      </w:r>
      <w:r>
        <w:rPr>
          <w:spacing w:val="3"/>
        </w:rPr>
        <w:t>to </w:t>
      </w:r>
      <w:r>
        <w:rPr/>
        <w:t>formulating and estimating quantitative models that </w:t>
      </w:r>
      <w:r>
        <w:rPr>
          <w:spacing w:val="-3"/>
        </w:rPr>
        <w:t>allow </w:t>
      </w:r>
      <w:r>
        <w:rPr/>
        <w:t>us </w:t>
      </w:r>
      <w:r>
        <w:rPr>
          <w:spacing w:val="2"/>
        </w:rPr>
        <w:t>to </w:t>
      </w:r>
      <w:r>
        <w:rPr/>
        <w:t>think about policy</w:t>
      </w:r>
      <w:r>
        <w:rPr>
          <w:spacing w:val="1"/>
        </w:rPr>
        <w:t> </w:t>
      </w:r>
      <w:r>
        <w:rPr/>
        <w:t>issues.</w:t>
      </w:r>
    </w:p>
    <w:p>
      <w:pPr>
        <w:pStyle w:val="BodyText"/>
        <w:spacing w:before="10"/>
        <w:rPr>
          <w:sz w:val="35"/>
        </w:rPr>
      </w:pPr>
    </w:p>
    <w:p>
      <w:pPr>
        <w:pStyle w:val="BodyText"/>
        <w:spacing w:line="360" w:lineRule="auto" w:before="1"/>
        <w:ind w:left="1180" w:right="1216"/>
      </w:pPr>
      <w:r>
        <w:rPr/>
        <w:t>Today, I </w:t>
      </w:r>
      <w:r>
        <w:rPr>
          <w:spacing w:val="-3"/>
        </w:rPr>
        <w:t>would like </w:t>
      </w:r>
      <w:r>
        <w:rPr>
          <w:spacing w:val="3"/>
        </w:rPr>
        <w:t>to </w:t>
      </w:r>
      <w:r>
        <w:rPr/>
        <w:t>report on </w:t>
      </w:r>
      <w:r>
        <w:rPr>
          <w:spacing w:val="-3"/>
        </w:rPr>
        <w:t>some </w:t>
      </w:r>
      <w:r>
        <w:rPr/>
        <w:t>research that I </w:t>
      </w:r>
      <w:r>
        <w:rPr>
          <w:spacing w:val="-3"/>
        </w:rPr>
        <w:t>have </w:t>
      </w:r>
      <w:r>
        <w:rPr/>
        <w:t>been doing with Neil Meads and Paolo Surico </w:t>
      </w:r>
      <w:r>
        <w:rPr>
          <w:spacing w:val="-3"/>
        </w:rPr>
        <w:t>who </w:t>
      </w:r>
      <w:r>
        <w:rPr/>
        <w:t>are staff members </w:t>
      </w:r>
      <w:r>
        <w:rPr>
          <w:spacing w:val="-3"/>
        </w:rPr>
        <w:t>in </w:t>
      </w:r>
      <w:r>
        <w:rPr/>
        <w:t>the External MPC Unit at the Bank of England.</w:t>
      </w:r>
      <w:r>
        <w:rPr>
          <w:vertAlign w:val="superscript"/>
        </w:rPr>
        <w:t>1</w:t>
      </w:r>
      <w:r>
        <w:rPr>
          <w:vertAlign w:val="baseline"/>
        </w:rPr>
        <w:t> The results that I am discussing today are helping to shape </w:t>
      </w:r>
      <w:r>
        <w:rPr>
          <w:spacing w:val="-3"/>
          <w:vertAlign w:val="baseline"/>
        </w:rPr>
        <w:t>my </w:t>
      </w:r>
      <w:r>
        <w:rPr>
          <w:vertAlign w:val="baseline"/>
        </w:rPr>
        <w:t>view </w:t>
      </w:r>
      <w:r>
        <w:rPr>
          <w:spacing w:val="2"/>
          <w:vertAlign w:val="baseline"/>
        </w:rPr>
        <w:t>of </w:t>
      </w:r>
      <w:r>
        <w:rPr>
          <w:vertAlign w:val="baseline"/>
        </w:rPr>
        <w:t>how developments </w:t>
      </w:r>
      <w:r>
        <w:rPr>
          <w:spacing w:val="-3"/>
          <w:vertAlign w:val="baseline"/>
        </w:rPr>
        <w:t>in </w:t>
      </w:r>
      <w:r>
        <w:rPr>
          <w:vertAlign w:val="baseline"/>
        </w:rPr>
        <w:t>financial markets are likely </w:t>
      </w:r>
      <w:r>
        <w:rPr>
          <w:spacing w:val="2"/>
          <w:vertAlign w:val="baseline"/>
        </w:rPr>
        <w:t>to </w:t>
      </w:r>
      <w:r>
        <w:rPr>
          <w:vertAlign w:val="baseline"/>
        </w:rPr>
        <w:t>affect the path of household consumption </w:t>
      </w:r>
      <w:r>
        <w:rPr>
          <w:spacing w:val="-3"/>
          <w:vertAlign w:val="baseline"/>
        </w:rPr>
        <w:t>in </w:t>
      </w:r>
      <w:r>
        <w:rPr>
          <w:vertAlign w:val="baseline"/>
        </w:rPr>
        <w:t>the next year or</w:t>
      </w:r>
      <w:r>
        <w:rPr>
          <w:spacing w:val="20"/>
          <w:vertAlign w:val="baseline"/>
        </w:rPr>
        <w:t> </w:t>
      </w:r>
      <w:r>
        <w:rPr>
          <w:vertAlign w:val="baseline"/>
        </w:rPr>
        <w:t>so.</w:t>
      </w:r>
    </w:p>
    <w:p>
      <w:pPr>
        <w:pStyle w:val="BodyText"/>
        <w:spacing w:before="2"/>
        <w:rPr>
          <w:sz w:val="36"/>
        </w:rPr>
      </w:pPr>
    </w:p>
    <w:p>
      <w:pPr>
        <w:pStyle w:val="BodyText"/>
        <w:spacing w:line="360" w:lineRule="auto"/>
        <w:ind w:left="1180" w:right="1438"/>
      </w:pPr>
      <w:r>
        <w:rPr/>
        <w:t>Before turning to what we have found, it will be useful to discuss some background issues in order to set the scene for the work that we have been doing.</w:t>
      </w:r>
    </w:p>
    <w:p>
      <w:pPr>
        <w:pStyle w:val="BodyText"/>
        <w:spacing w:before="8"/>
        <w:rPr>
          <w:sz w:val="35"/>
        </w:rPr>
      </w:pPr>
    </w:p>
    <w:p>
      <w:pPr>
        <w:pStyle w:val="BodyText"/>
        <w:spacing w:line="360" w:lineRule="auto"/>
        <w:ind w:left="1180" w:right="1346"/>
      </w:pPr>
      <w:r>
        <w:rPr/>
        <w:t>The economic theory of consumption­smoothing says that consumers will wish to manage any mismatch between their desired pattern of consumption and earnings. For example, consumers who anticipate a rising income profile may wish to borrow early in life (external finance) and save later in anticipation of retirement (internal finance). Access to financial markets also allows consumers to smooth expenditures associated with purchases of durable goods such as housing. The development of financial markets has allowed for greater opportunities for borrowing and/or better opportunities for saving. Over the past twenty years or so, such opportunities have expanded and have been made available to a wider group of households.</w:t>
      </w:r>
    </w:p>
    <w:p>
      <w:pPr>
        <w:pStyle w:val="BodyText"/>
        <w:spacing w:before="3"/>
        <w:rPr>
          <w:sz w:val="36"/>
        </w:rPr>
      </w:pPr>
    </w:p>
    <w:p>
      <w:pPr>
        <w:pStyle w:val="BodyText"/>
        <w:spacing w:line="360" w:lineRule="auto"/>
        <w:ind w:left="1180" w:right="1216"/>
      </w:pPr>
      <w:r>
        <w:rPr/>
        <w:pict>
          <v:shape style="position:absolute;margin-left:90.00206pt;margin-top:172.72081pt;width:144.050pt;height:.1pt;mso-position-horizontal-relative:page;mso-position-vertical-relative:paragraph;z-index:-251656192;mso-wrap-distance-left:0;mso-wrap-distance-right:0" coordorigin="1800,3454" coordsize="2881,0" path="m1800,3454l4680,3454e" filled="false" stroked="true" strokeweight=".480011pt" strokecolor="#000000">
            <v:path arrowok="t"/>
            <v:stroke dashstyle="solid"/>
            <w10:wrap type="topAndBottom"/>
          </v:shape>
        </w:pict>
      </w:r>
      <w:r>
        <w:rPr/>
        <w:t>Focusing on the past 10 years, credit conditions </w:t>
      </w:r>
      <w:r>
        <w:rPr>
          <w:spacing w:val="2"/>
        </w:rPr>
        <w:t>to </w:t>
      </w:r>
      <w:r>
        <w:rPr/>
        <w:t>households do appear to </w:t>
      </w:r>
      <w:r>
        <w:rPr>
          <w:spacing w:val="-3"/>
        </w:rPr>
        <w:t>have </w:t>
      </w:r>
      <w:r>
        <w:rPr/>
        <w:t>relaxed rather markedly. Given developments </w:t>
      </w:r>
      <w:r>
        <w:rPr>
          <w:spacing w:val="-3"/>
        </w:rPr>
        <w:t>in </w:t>
      </w:r>
      <w:r>
        <w:rPr/>
        <w:t>the wider economy over this period, this qualitative picture makes sense. The economy has been remarkably stable. The fall </w:t>
      </w:r>
      <w:r>
        <w:rPr>
          <w:spacing w:val="-3"/>
        </w:rPr>
        <w:t>in </w:t>
      </w:r>
      <w:r>
        <w:rPr/>
        <w:t>unemployment from 7.2% </w:t>
      </w:r>
      <w:r>
        <w:rPr>
          <w:spacing w:val="-3"/>
        </w:rPr>
        <w:t>in </w:t>
      </w:r>
      <w:r>
        <w:rPr/>
        <w:t>1997 to 4.7% </w:t>
      </w:r>
      <w:r>
        <w:rPr>
          <w:spacing w:val="-3"/>
        </w:rPr>
        <w:t>in </w:t>
      </w:r>
      <w:r>
        <w:rPr/>
        <w:t>2005 reduced a key risk from lending to households. Low nominal interest rates against the backdrop of low and stable inflation reduced carrying costs of a given loan. Greater securitization </w:t>
      </w:r>
      <w:r>
        <w:rPr>
          <w:spacing w:val="-3"/>
        </w:rPr>
        <w:t>in </w:t>
      </w:r>
      <w:r>
        <w:rPr/>
        <w:t>the market for asset­backed securities and structured credit products allowed the possibility of greater </w:t>
      </w:r>
      <w:r>
        <w:rPr>
          <w:spacing w:val="-3"/>
        </w:rPr>
        <w:t>risk </w:t>
      </w:r>
      <w:r>
        <w:rPr/>
        <w:t>sharing from a given lending portfolio.  There has also</w:t>
      </w:r>
      <w:r>
        <w:rPr>
          <w:spacing w:val="-22"/>
        </w:rPr>
        <w:t> </w:t>
      </w:r>
      <w:r>
        <w:rPr/>
        <w:t>been</w:t>
      </w:r>
    </w:p>
    <w:p>
      <w:pPr>
        <w:spacing w:before="47"/>
        <w:ind w:left="1180" w:right="0" w:firstLine="0"/>
        <w:jc w:val="left"/>
        <w:rPr>
          <w:sz w:val="20"/>
        </w:rPr>
      </w:pPr>
      <w:r>
        <w:rPr>
          <w:position w:val="9"/>
          <w:sz w:val="13"/>
        </w:rPr>
        <w:t>1 </w:t>
      </w:r>
      <w:r>
        <w:rPr>
          <w:spacing w:val="-2"/>
          <w:sz w:val="20"/>
        </w:rPr>
        <w:t>See </w:t>
      </w:r>
      <w:r>
        <w:rPr>
          <w:sz w:val="20"/>
        </w:rPr>
        <w:t>Timothy Besley, Neil Meads and Paolo Surico, “</w:t>
      </w:r>
      <w:hyperlink r:id="rId9">
        <w:r>
          <w:rPr>
            <w:color w:val="0000FF"/>
            <w:sz w:val="20"/>
            <w:u w:val="single" w:color="0000FF"/>
          </w:rPr>
          <w:t>Household External Finance and</w:t>
        </w:r>
        <w:r>
          <w:rPr>
            <w:color w:val="0000FF"/>
            <w:spacing w:val="-13"/>
            <w:sz w:val="20"/>
            <w:u w:val="single" w:color="0000FF"/>
          </w:rPr>
          <w:t> </w:t>
        </w:r>
        <w:r>
          <w:rPr>
            <w:color w:val="0000FF"/>
            <w:sz w:val="20"/>
            <w:u w:val="single" w:color="0000FF"/>
          </w:rPr>
          <w:t>Consumption</w:t>
        </w:r>
      </w:hyperlink>
      <w:r>
        <w:rPr>
          <w:sz w:val="20"/>
        </w:rPr>
        <w:t>”.</w:t>
      </w:r>
    </w:p>
    <w:p>
      <w:pPr>
        <w:spacing w:after="0"/>
        <w:jc w:val="left"/>
        <w:rPr>
          <w:sz w:val="20"/>
        </w:rPr>
        <w:sectPr>
          <w:pgSz w:w="11910" w:h="16840"/>
          <w:pgMar w:header="0" w:footer="697" w:top="1340" w:bottom="960" w:left="620" w:right="620"/>
        </w:sectPr>
      </w:pPr>
    </w:p>
    <w:p>
      <w:pPr>
        <w:pStyle w:val="BodyText"/>
        <w:spacing w:line="360" w:lineRule="auto" w:before="78"/>
        <w:ind w:left="1180" w:right="1172"/>
      </w:pPr>
      <w:r>
        <w:rPr/>
        <w:t>increased competition among lenders which may have driven down margins and made credit terms more attractive to borrowers.</w:t>
      </w:r>
    </w:p>
    <w:p>
      <w:pPr>
        <w:pStyle w:val="BodyText"/>
        <w:spacing w:before="1"/>
        <w:rPr>
          <w:sz w:val="36"/>
        </w:rPr>
      </w:pPr>
    </w:p>
    <w:p>
      <w:pPr>
        <w:pStyle w:val="BodyText"/>
        <w:spacing w:line="360" w:lineRule="auto"/>
        <w:ind w:left="1180" w:right="1210"/>
      </w:pPr>
      <w:r>
        <w:rPr/>
        <w:t>The consequences of relaxed credit conditions are reflected </w:t>
      </w:r>
      <w:r>
        <w:rPr>
          <w:spacing w:val="-3"/>
        </w:rPr>
        <w:t>in </w:t>
      </w:r>
      <w:r>
        <w:rPr/>
        <w:t>what happened to the price and quantity of credit over this period. This </w:t>
      </w:r>
      <w:r>
        <w:rPr>
          <w:spacing w:val="-3"/>
        </w:rPr>
        <w:t>is </w:t>
      </w:r>
      <w:r>
        <w:rPr/>
        <w:t>illustrated </w:t>
      </w:r>
      <w:r>
        <w:rPr>
          <w:spacing w:val="-3"/>
        </w:rPr>
        <w:t>in </w:t>
      </w:r>
      <w:r>
        <w:rPr/>
        <w:t>Charts 1 and 2. The first shows that the quantity </w:t>
      </w:r>
      <w:r>
        <w:rPr>
          <w:spacing w:val="4"/>
        </w:rPr>
        <w:t>of</w:t>
      </w:r>
      <w:r>
        <w:rPr>
          <w:spacing w:val="-43"/>
        </w:rPr>
        <w:t> </w:t>
      </w:r>
      <w:r>
        <w:rPr/>
        <w:t>both secured and unsecured debt, relative to disposable income, increased over this period. The second shows that, for mortgages, the spread between borrowing rates and Libor diminished, up to the summer of 2007. </w:t>
      </w:r>
      <w:r>
        <w:rPr>
          <w:spacing w:val="-3"/>
        </w:rPr>
        <w:t>At </w:t>
      </w:r>
      <w:r>
        <w:rPr/>
        <w:t>the same time, household net financial assets have largely kept pace with increasing debt levels over the recent past (see Chart 3).  Nonetheless, over this period, concerns about the aggregate level of household indebtedness have been voiced</w:t>
      </w:r>
      <w:r>
        <w:rPr>
          <w:spacing w:val="-15"/>
        </w:rPr>
        <w:t> </w:t>
      </w:r>
      <w:r>
        <w:rPr/>
        <w:t>frequently.</w:t>
      </w:r>
    </w:p>
    <w:p>
      <w:pPr>
        <w:pStyle w:val="BodyText"/>
        <w:spacing w:line="360" w:lineRule="auto" w:before="1"/>
        <w:ind w:left="1180" w:right="1721"/>
        <w:jc w:val="both"/>
      </w:pPr>
      <w:r>
        <w:rPr/>
        <w:t>However, the aggregate values are probably not very helpful in assessing the full macro­economic risks associated with these developments, which depend on the proportion of borrowers at the riskier end of the spectrum.</w:t>
      </w:r>
    </w:p>
    <w:p>
      <w:pPr>
        <w:pStyle w:val="BodyText"/>
        <w:rPr>
          <w:sz w:val="36"/>
        </w:rPr>
      </w:pPr>
    </w:p>
    <w:p>
      <w:pPr>
        <w:pStyle w:val="BodyText"/>
        <w:spacing w:line="360" w:lineRule="auto"/>
        <w:ind w:left="1180" w:right="1199"/>
      </w:pPr>
      <w:r>
        <w:rPr/>
        <w:t>The developments in financial markets that I have described were the backdrop to the early period of my membership of the MPC. The rapid expansion of credit and increases in a wide variety of asset prices in part underpinned my judgement that we needed to raise rates quite quickly to lean against such developments in order to meet the inflation target in the medium term. I claim no special prescience ­­ puzzlement at the compression of risk premia in a variety of financial markets had been a frequent refrain of central bankers (including the Bank of England) throughout this period.</w:t>
      </w:r>
    </w:p>
    <w:p>
      <w:pPr>
        <w:pStyle w:val="BodyText"/>
        <w:spacing w:line="362" w:lineRule="auto"/>
        <w:ind w:left="1180" w:right="1346"/>
      </w:pPr>
      <w:r>
        <w:rPr/>
        <w:t>Some re­appraisal of risk was, however, already taking place as evidenced in the fall in the rate of growth of unsecured lending from mid 2005 onwards depicted in</w:t>
      </w:r>
    </w:p>
    <w:p>
      <w:pPr>
        <w:pStyle w:val="BodyText"/>
        <w:spacing w:line="273" w:lineRule="exact"/>
        <w:ind w:left="1180"/>
      </w:pPr>
      <w:r>
        <w:rPr/>
        <w:t>Chart 4.</w:t>
      </w:r>
    </w:p>
    <w:p>
      <w:pPr>
        <w:pStyle w:val="BodyText"/>
        <w:rPr>
          <w:sz w:val="26"/>
        </w:rPr>
      </w:pPr>
    </w:p>
    <w:p>
      <w:pPr>
        <w:pStyle w:val="BodyText"/>
        <w:spacing w:before="5"/>
        <w:rPr>
          <w:sz w:val="21"/>
        </w:rPr>
      </w:pPr>
    </w:p>
    <w:p>
      <w:pPr>
        <w:pStyle w:val="BodyText"/>
        <w:spacing w:line="360" w:lineRule="auto" w:before="1"/>
        <w:ind w:left="1180" w:right="1234"/>
      </w:pPr>
      <w:r>
        <w:rPr/>
        <w:t>Since the middle </w:t>
      </w:r>
      <w:r>
        <w:rPr>
          <w:spacing w:val="3"/>
        </w:rPr>
        <w:t>of </w:t>
      </w:r>
      <w:r>
        <w:rPr>
          <w:spacing w:val="-3"/>
        </w:rPr>
        <w:t>last </w:t>
      </w:r>
      <w:r>
        <w:rPr/>
        <w:t>summer, there has been a more general reappraisal of risk </w:t>
      </w:r>
      <w:r>
        <w:rPr>
          <w:spacing w:val="-3"/>
        </w:rPr>
        <w:t>in </w:t>
      </w:r>
      <w:r>
        <w:rPr/>
        <w:t>financial markets whose consequences are still working through to households and businesses. </w:t>
      </w:r>
      <w:r>
        <w:rPr>
          <w:spacing w:val="-3"/>
        </w:rPr>
        <w:t>One </w:t>
      </w:r>
      <w:r>
        <w:rPr/>
        <w:t>consequence of the disruption that this has created </w:t>
      </w:r>
      <w:r>
        <w:rPr>
          <w:spacing w:val="-4"/>
        </w:rPr>
        <w:t>is </w:t>
      </w:r>
      <w:r>
        <w:rPr/>
        <w:t>that markets for asset backed securities </w:t>
      </w:r>
      <w:r>
        <w:rPr>
          <w:spacing w:val="-3"/>
        </w:rPr>
        <w:t>in </w:t>
      </w:r>
      <w:r>
        <w:rPr/>
        <w:t>the UK have all but closed.  Spreads have widened, at </w:t>
      </w:r>
      <w:r>
        <w:rPr>
          <w:spacing w:val="-4"/>
        </w:rPr>
        <w:t>first </w:t>
      </w:r>
      <w:r>
        <w:rPr/>
        <w:t>to reflect a liquidity premium but latterly to reflect increased credit</w:t>
      </w:r>
      <w:r>
        <w:rPr>
          <w:spacing w:val="2"/>
        </w:rPr>
        <w:t> </w:t>
      </w:r>
      <w:r>
        <w:rPr/>
        <w:t>risk.</w:t>
      </w:r>
    </w:p>
    <w:p>
      <w:pPr>
        <w:pStyle w:val="BodyText"/>
        <w:spacing w:before="2"/>
        <w:rPr>
          <w:sz w:val="36"/>
        </w:rPr>
      </w:pPr>
    </w:p>
    <w:p>
      <w:pPr>
        <w:pStyle w:val="BodyText"/>
        <w:spacing w:line="360" w:lineRule="auto"/>
        <w:ind w:left="1180" w:right="1405"/>
      </w:pPr>
      <w:r>
        <w:rPr/>
        <w:t>The Bank’s credit conditions survey for 2007Q4 confirmed that these developments are likely to worsen the prices and quantities of credit available to households in the</w:t>
      </w:r>
    </w:p>
    <w:p>
      <w:pPr>
        <w:spacing w:after="0" w:line="360" w:lineRule="auto"/>
        <w:sectPr>
          <w:pgSz w:w="11910" w:h="16840"/>
          <w:pgMar w:header="0" w:footer="697" w:top="1340" w:bottom="960" w:left="620" w:right="620"/>
        </w:sectPr>
      </w:pPr>
    </w:p>
    <w:p>
      <w:pPr>
        <w:pStyle w:val="BodyText"/>
        <w:spacing w:line="360" w:lineRule="auto" w:before="98"/>
        <w:ind w:left="1180" w:right="1199"/>
      </w:pPr>
      <w:r>
        <w:rPr/>
        <w:t>UK.</w:t>
      </w:r>
      <w:r>
        <w:rPr>
          <w:vertAlign w:val="superscript"/>
        </w:rPr>
        <w:t>2</w:t>
      </w:r>
      <w:r>
        <w:rPr>
          <w:vertAlign w:val="baseline"/>
        </w:rPr>
        <w:t>. But it is very difficult to judge what the path of adjustment might be and what kind of ‘normal’ market conditions will emerge in the end. But it seems like a fair judgement that a return to the conditions seen for secured lending in the first half of 2007 is not imminent.</w:t>
      </w:r>
    </w:p>
    <w:p>
      <w:pPr>
        <w:pStyle w:val="BodyText"/>
        <w:spacing w:before="10"/>
        <w:rPr>
          <w:sz w:val="35"/>
        </w:rPr>
      </w:pPr>
    </w:p>
    <w:p>
      <w:pPr>
        <w:pStyle w:val="BodyText"/>
        <w:spacing w:line="360" w:lineRule="auto" w:before="1"/>
        <w:ind w:left="1180" w:right="1199"/>
      </w:pPr>
      <w:r>
        <w:rPr/>
        <w:t>The period of relaxed credit conditions that I have described also saw robust consumption growth. The flip side of this is the fairly persistent fall in the household savings rate over this period, as shown in Chart 5. This had reached 3.4% in 2007 down from 9.4% in 1997.</w:t>
      </w:r>
    </w:p>
    <w:p>
      <w:pPr>
        <w:pStyle w:val="BodyText"/>
        <w:spacing w:before="10"/>
        <w:rPr>
          <w:sz w:val="35"/>
        </w:rPr>
      </w:pPr>
    </w:p>
    <w:p>
      <w:pPr>
        <w:pStyle w:val="BodyText"/>
        <w:spacing w:line="360" w:lineRule="auto"/>
        <w:ind w:left="1180" w:right="1191"/>
      </w:pPr>
      <w:r>
        <w:rPr/>
        <w:t>Among the motives for saving </w:t>
      </w:r>
      <w:r>
        <w:rPr>
          <w:spacing w:val="-3"/>
        </w:rPr>
        <w:t>is </w:t>
      </w:r>
      <w:r>
        <w:rPr/>
        <w:t>as a precautionary measure against unforeseen future events. By substituting for precautionary savings, increased economic stability and the ability </w:t>
      </w:r>
      <w:r>
        <w:rPr>
          <w:spacing w:val="2"/>
        </w:rPr>
        <w:t>to </w:t>
      </w:r>
      <w:r>
        <w:rPr/>
        <w:t>access credit </w:t>
      </w:r>
      <w:r>
        <w:rPr>
          <w:spacing w:val="-3"/>
        </w:rPr>
        <w:t>may </w:t>
      </w:r>
      <w:r>
        <w:rPr/>
        <w:t>well have contributed to the fall </w:t>
      </w:r>
      <w:r>
        <w:rPr>
          <w:spacing w:val="-3"/>
        </w:rPr>
        <w:t>in </w:t>
      </w:r>
      <w:r>
        <w:rPr/>
        <w:t>the saving</w:t>
      </w:r>
      <w:r>
        <w:rPr>
          <w:spacing w:val="-9"/>
        </w:rPr>
        <w:t> </w:t>
      </w:r>
      <w:r>
        <w:rPr/>
        <w:t>ratio.</w:t>
      </w:r>
    </w:p>
    <w:p>
      <w:pPr>
        <w:pStyle w:val="BodyText"/>
        <w:spacing w:line="360" w:lineRule="auto" w:before="1"/>
        <w:ind w:left="1180" w:right="1199"/>
      </w:pPr>
      <w:r>
        <w:rPr/>
        <w:t>For example, flexible mortgage lending to homeowners with significant housing equity may allow access to housing equity in times of need. Thus, there is a plausible economic story linking credit availability and consumption growth over the period in question.</w:t>
      </w:r>
    </w:p>
    <w:p>
      <w:pPr>
        <w:pStyle w:val="BodyText"/>
        <w:spacing w:before="11"/>
        <w:rPr>
          <w:sz w:val="35"/>
        </w:rPr>
      </w:pPr>
    </w:p>
    <w:p>
      <w:pPr>
        <w:pStyle w:val="BodyText"/>
        <w:spacing w:line="360" w:lineRule="auto"/>
        <w:ind w:left="1180" w:right="1165"/>
      </w:pPr>
      <w:r>
        <w:rPr/>
        <w:t>In the research that we have been doing, we attempt to quantify how much of the consumption growth that we have seen in the UK can be attributed to better household access to external finance. Previous work in this area has been hampered by the difficulty of finding a suitable measure of household access to external finance. We follow an idea of the Oxford­based economist – John Muellbauer – who together with his co­authors has used data from mortgage lending to creating a measure of credit conditions.</w:t>
      </w:r>
      <w:r>
        <w:rPr>
          <w:vertAlign w:val="superscript"/>
        </w:rPr>
        <w:t>3</w:t>
      </w:r>
      <w:r>
        <w:rPr>
          <w:vertAlign w:val="baseline"/>
        </w:rPr>
        <w:t> However, the measure that we extract from the data is rather different from theirs.</w:t>
      </w:r>
    </w:p>
    <w:p>
      <w:pPr>
        <w:pStyle w:val="BodyText"/>
        <w:spacing w:before="3"/>
        <w:rPr>
          <w:sz w:val="36"/>
        </w:rPr>
      </w:pPr>
    </w:p>
    <w:p>
      <w:pPr>
        <w:pStyle w:val="BodyText"/>
        <w:spacing w:line="360" w:lineRule="auto" w:before="1"/>
        <w:ind w:left="1180" w:right="1293"/>
      </w:pPr>
      <w:r>
        <w:rPr/>
        <w:t>The underlying source of data is the Survey of Mortgage Lenders, which contains information on an average of 40,000 randomly selected borrowers per each year over the period 1975­2005.</w:t>
      </w:r>
    </w:p>
    <w:p>
      <w:pPr>
        <w:pStyle w:val="BodyText"/>
        <w:rPr>
          <w:sz w:val="20"/>
        </w:rPr>
      </w:pPr>
    </w:p>
    <w:p>
      <w:pPr>
        <w:pStyle w:val="BodyText"/>
        <w:spacing w:before="4"/>
        <w:rPr>
          <w:sz w:val="20"/>
        </w:rPr>
      </w:pPr>
      <w:r>
        <w:rPr/>
        <w:pict>
          <v:shape style="position:absolute;margin-left:90.00206pt;margin-top:13.92574pt;width:144.050pt;height:.1pt;mso-position-horizontal-relative:page;mso-position-vertical-relative:paragraph;z-index:-251655168;mso-wrap-distance-left:0;mso-wrap-distance-right:0" coordorigin="1800,279" coordsize="2881,0" path="m1800,279l4680,279e" filled="false" stroked="true" strokeweight=".480011pt" strokecolor="#000000">
            <v:path arrowok="t"/>
            <v:stroke dashstyle="solid"/>
            <w10:wrap type="topAndBottom"/>
          </v:shape>
        </w:pict>
      </w:r>
    </w:p>
    <w:p>
      <w:pPr>
        <w:spacing w:line="243" w:lineRule="exact" w:before="47"/>
        <w:ind w:left="1180" w:right="0" w:firstLine="0"/>
        <w:jc w:val="left"/>
        <w:rPr>
          <w:sz w:val="20"/>
        </w:rPr>
      </w:pPr>
      <w:r>
        <w:rPr>
          <w:position w:val="9"/>
          <w:sz w:val="13"/>
        </w:rPr>
        <w:t>2 </w:t>
      </w:r>
      <w:r>
        <w:rPr>
          <w:sz w:val="20"/>
        </w:rPr>
        <w:t>Available at </w:t>
      </w:r>
      <w:hyperlink r:id="rId10">
        <w:r>
          <w:rPr>
            <w:color w:val="0000FF"/>
            <w:sz w:val="20"/>
            <w:u w:val="single" w:color="0000FF"/>
          </w:rPr>
          <w:t>http://www.bankofengland.co.uk/publications/other/monetary/creditconditions.htm</w:t>
        </w:r>
      </w:hyperlink>
      <w:r>
        <w:rPr>
          <w:sz w:val="20"/>
        </w:rPr>
        <w:t>.</w:t>
      </w:r>
    </w:p>
    <w:p>
      <w:pPr>
        <w:spacing w:line="230" w:lineRule="exact" w:before="15"/>
        <w:ind w:left="1180" w:right="1199" w:firstLine="0"/>
        <w:jc w:val="left"/>
        <w:rPr>
          <w:sz w:val="20"/>
        </w:rPr>
      </w:pPr>
      <w:r>
        <w:rPr>
          <w:position w:val="9"/>
          <w:sz w:val="13"/>
        </w:rPr>
        <w:t>3 </w:t>
      </w:r>
      <w:r>
        <w:rPr>
          <w:sz w:val="20"/>
        </w:rPr>
        <w:t>See Emilio Fernandez­Corugedo and John Muellbauer (2006). “</w:t>
      </w:r>
      <w:r>
        <w:rPr>
          <w:color w:val="0000FF"/>
          <w:sz w:val="20"/>
          <w:u w:val="single" w:color="0000FF"/>
        </w:rPr>
        <w:t>Consumer Credit Conditions in the</w:t>
      </w:r>
      <w:r>
        <w:rPr>
          <w:color w:val="0000FF"/>
          <w:sz w:val="20"/>
        </w:rPr>
        <w:t> </w:t>
      </w:r>
      <w:r>
        <w:rPr>
          <w:color w:val="0000FF"/>
          <w:sz w:val="20"/>
          <w:u w:val="single" w:color="0000FF"/>
        </w:rPr>
        <w:t>UK</w:t>
      </w:r>
      <w:r>
        <w:rPr>
          <w:sz w:val="20"/>
        </w:rPr>
        <w:t>”, Bank of England Working Paper No. 314.</w:t>
      </w:r>
    </w:p>
    <w:p>
      <w:pPr>
        <w:spacing w:after="0" w:line="230" w:lineRule="exact"/>
        <w:jc w:val="left"/>
        <w:rPr>
          <w:sz w:val="20"/>
        </w:rPr>
        <w:sectPr>
          <w:pgSz w:w="11910" w:h="16840"/>
          <w:pgMar w:header="0" w:footer="697" w:top="1320" w:bottom="960" w:left="620" w:right="620"/>
        </w:sectPr>
      </w:pPr>
    </w:p>
    <w:p>
      <w:pPr>
        <w:pStyle w:val="BodyText"/>
        <w:spacing w:line="360" w:lineRule="auto" w:before="78"/>
        <w:ind w:left="1180" w:right="1192"/>
      </w:pPr>
      <w:r>
        <w:rPr/>
        <w:t>Our measure </w:t>
      </w:r>
      <w:r>
        <w:rPr>
          <w:spacing w:val="3"/>
        </w:rPr>
        <w:t>of </w:t>
      </w:r>
      <w:r>
        <w:rPr/>
        <w:t>household access to external finance </w:t>
      </w:r>
      <w:r>
        <w:rPr>
          <w:spacing w:val="-5"/>
        </w:rPr>
        <w:t>is </w:t>
      </w:r>
      <w:r>
        <w:rPr/>
        <w:t>created </w:t>
      </w:r>
      <w:r>
        <w:rPr>
          <w:spacing w:val="-3"/>
        </w:rPr>
        <w:t>in </w:t>
      </w:r>
      <w:r>
        <w:rPr/>
        <w:t>two steps. </w:t>
      </w:r>
      <w:r>
        <w:rPr>
          <w:spacing w:val="-3"/>
        </w:rPr>
        <w:t>At </w:t>
      </w:r>
      <w:r>
        <w:rPr/>
        <w:t>step one, we look </w:t>
      </w:r>
      <w:r>
        <w:rPr>
          <w:spacing w:val="-3"/>
        </w:rPr>
        <w:t>at </w:t>
      </w:r>
      <w:r>
        <w:rPr/>
        <w:t>the average relationship between the spread over Bank Rate that an individual pays on their mortgage when they take </w:t>
      </w:r>
      <w:r>
        <w:rPr>
          <w:spacing w:val="-3"/>
        </w:rPr>
        <w:t>it </w:t>
      </w:r>
      <w:r>
        <w:rPr/>
        <w:t>out. This spread can </w:t>
      </w:r>
      <w:r>
        <w:rPr>
          <w:spacing w:val="-3"/>
        </w:rPr>
        <w:t>be </w:t>
      </w:r>
      <w:r>
        <w:rPr/>
        <w:t>interpreted as a risk premium, telling us how much the lender demands as compensation for </w:t>
      </w:r>
      <w:r>
        <w:rPr>
          <w:spacing w:val="-3"/>
        </w:rPr>
        <w:t>risk in </w:t>
      </w:r>
      <w:r>
        <w:rPr/>
        <w:t>order to </w:t>
      </w:r>
      <w:r>
        <w:rPr>
          <w:spacing w:val="-3"/>
        </w:rPr>
        <w:t>lend </w:t>
      </w:r>
      <w:r>
        <w:rPr>
          <w:spacing w:val="2"/>
        </w:rPr>
        <w:t>to </w:t>
      </w:r>
      <w:r>
        <w:rPr/>
        <w:t>any particular borrower. </w:t>
      </w:r>
      <w:r>
        <w:rPr>
          <w:spacing w:val="-3"/>
        </w:rPr>
        <w:t>We </w:t>
      </w:r>
      <w:r>
        <w:rPr/>
        <w:t>find, consistent with conventional wisdom, that individuals pay a smaller spread </w:t>
      </w:r>
      <w:r>
        <w:rPr>
          <w:spacing w:val="-3"/>
        </w:rPr>
        <w:t>if </w:t>
      </w:r>
      <w:r>
        <w:rPr/>
        <w:t>their income </w:t>
      </w:r>
      <w:r>
        <w:rPr>
          <w:spacing w:val="-3"/>
        </w:rPr>
        <w:t>is </w:t>
      </w:r>
      <w:r>
        <w:rPr/>
        <w:t>higher and they have more collateral. </w:t>
      </w:r>
      <w:r>
        <w:rPr>
          <w:spacing w:val="-3"/>
        </w:rPr>
        <w:t>We </w:t>
      </w:r>
      <w:r>
        <w:rPr/>
        <w:t>also </w:t>
      </w:r>
      <w:r>
        <w:rPr>
          <w:spacing w:val="-3"/>
        </w:rPr>
        <w:t>find </w:t>
      </w:r>
      <w:r>
        <w:rPr/>
        <w:t>that regional house price developments affect the spread with higher house prices being associated with a lower spread, other things being</w:t>
      </w:r>
      <w:r>
        <w:rPr>
          <w:spacing w:val="4"/>
        </w:rPr>
        <w:t> </w:t>
      </w:r>
      <w:r>
        <w:rPr/>
        <w:t>equal.</w:t>
      </w:r>
    </w:p>
    <w:p>
      <w:pPr>
        <w:pStyle w:val="BodyText"/>
        <w:spacing w:before="9"/>
        <w:rPr>
          <w:sz w:val="35"/>
        </w:rPr>
      </w:pPr>
    </w:p>
    <w:p>
      <w:pPr>
        <w:pStyle w:val="BodyText"/>
        <w:spacing w:line="360" w:lineRule="auto"/>
        <w:ind w:left="1180" w:right="1181"/>
      </w:pPr>
      <w:r>
        <w:rPr/>
        <w:t>Our second step </w:t>
      </w:r>
      <w:r>
        <w:rPr>
          <w:spacing w:val="-4"/>
        </w:rPr>
        <w:t>is </w:t>
      </w:r>
      <w:r>
        <w:rPr/>
        <w:t>to focus </w:t>
      </w:r>
      <w:r>
        <w:rPr>
          <w:spacing w:val="-3"/>
        </w:rPr>
        <w:t>in </w:t>
      </w:r>
      <w:r>
        <w:rPr/>
        <w:t>on borrowers </w:t>
      </w:r>
      <w:r>
        <w:rPr>
          <w:spacing w:val="-3"/>
        </w:rPr>
        <w:t>who have </w:t>
      </w:r>
      <w:r>
        <w:rPr/>
        <w:t>‘above average spread’ mortgage deals </w:t>
      </w:r>
      <w:r>
        <w:rPr>
          <w:spacing w:val="-3"/>
        </w:rPr>
        <w:t>in </w:t>
      </w:r>
      <w:r>
        <w:rPr/>
        <w:t>the following specific sense – given their characteristics such as age, income and collateral, they </w:t>
      </w:r>
      <w:r>
        <w:rPr>
          <w:spacing w:val="-3"/>
        </w:rPr>
        <w:t>face </w:t>
      </w:r>
      <w:r>
        <w:rPr>
          <w:spacing w:val="2"/>
        </w:rPr>
        <w:t>an </w:t>
      </w:r>
      <w:r>
        <w:rPr/>
        <w:t>interest rate spread on their mortgage which </w:t>
      </w:r>
      <w:r>
        <w:rPr>
          <w:spacing w:val="-3"/>
        </w:rPr>
        <w:t>is </w:t>
      </w:r>
      <w:r>
        <w:rPr/>
        <w:t>higher than the spread faced by an individual with characteristics equal </w:t>
      </w:r>
      <w:r>
        <w:rPr>
          <w:spacing w:val="2"/>
        </w:rPr>
        <w:t>to </w:t>
      </w:r>
      <w:r>
        <w:rPr/>
        <w:t>the average of the population of borrowers. Since ‘above average spread’ borrowers are </w:t>
      </w:r>
      <w:r>
        <w:rPr>
          <w:spacing w:val="-3"/>
        </w:rPr>
        <w:t>among </w:t>
      </w:r>
      <w:r>
        <w:rPr/>
        <w:t>those </w:t>
      </w:r>
      <w:r>
        <w:rPr>
          <w:spacing w:val="-3"/>
        </w:rPr>
        <w:t>who </w:t>
      </w:r>
      <w:r>
        <w:rPr/>
        <w:t>appear riskier, their mortgage terms may be more indicative of the lender’s willingness to tolerate risky lending than the terms of lending to average</w:t>
      </w:r>
      <w:r>
        <w:rPr>
          <w:spacing w:val="-19"/>
        </w:rPr>
        <w:t> </w:t>
      </w:r>
      <w:r>
        <w:rPr/>
        <w:t>borrowers.</w:t>
      </w:r>
    </w:p>
    <w:p>
      <w:pPr>
        <w:pStyle w:val="BodyText"/>
        <w:spacing w:line="360" w:lineRule="auto" w:before="2"/>
        <w:ind w:left="1180" w:right="1199"/>
      </w:pPr>
      <w:r>
        <w:rPr/>
        <w:t>In fact, we take only the top 10% of borrowers on this basis and look at their spread relative to Bank Rate. However, the main findings of the research are robust if we set the threshold to capture the top 25%. We call this measure the Household External Finance (HEF) index. It gives a specific quantitative measure of the terms on which households can access the credit market over a period of 31 years.</w:t>
      </w:r>
    </w:p>
    <w:p>
      <w:pPr>
        <w:pStyle w:val="BodyText"/>
        <w:spacing w:before="2"/>
        <w:rPr>
          <w:sz w:val="36"/>
        </w:rPr>
      </w:pPr>
    </w:p>
    <w:p>
      <w:pPr>
        <w:pStyle w:val="BodyText"/>
        <w:spacing w:line="360" w:lineRule="auto" w:before="1"/>
        <w:ind w:left="1180" w:right="1432"/>
      </w:pPr>
      <w:r>
        <w:rPr/>
        <w:t>The useful thing about having this measure is that we can ask whether the terms of household credit access have influenced consumption growth over this period. For this, we use data from the Family Expenditure Survey (FES), which covers a randomly selected sample of around 7000 British households per year over a longer period than that covered by the SML.</w:t>
      </w:r>
      <w:r>
        <w:rPr>
          <w:vertAlign w:val="superscript"/>
        </w:rPr>
        <w:t>4</w:t>
      </w:r>
    </w:p>
    <w:p>
      <w:pPr>
        <w:pStyle w:val="BodyText"/>
        <w:spacing w:before="9"/>
        <w:rPr>
          <w:sz w:val="35"/>
        </w:rPr>
      </w:pPr>
    </w:p>
    <w:p>
      <w:pPr>
        <w:pStyle w:val="BodyText"/>
        <w:spacing w:line="360" w:lineRule="auto"/>
        <w:ind w:left="1180" w:right="1199"/>
      </w:pPr>
      <w:r>
        <w:rPr/>
        <w:pict>
          <v:shape style="position:absolute;margin-left:90.00206pt;margin-top:69.280830pt;width:144.050pt;height:.1pt;mso-position-horizontal-relative:page;mso-position-vertical-relative:paragraph;z-index:-251654144;mso-wrap-distance-left:0;mso-wrap-distance-right:0" coordorigin="1800,1386" coordsize="2881,0" path="m1800,1386l4680,1386e" filled="false" stroked="true" strokeweight=".480011pt" strokecolor="#000000">
            <v:path arrowok="t"/>
            <v:stroke dashstyle="solid"/>
            <w10:wrap type="topAndBottom"/>
          </v:shape>
        </w:pict>
      </w:r>
      <w:r>
        <w:rPr/>
        <w:t>The reason we use FES rather ONS consumption data is that these are data on households and thus they allow us to look at how different cohorts of households respond to the HEF index as well as looking at aggregate consumption. However,</w:t>
      </w:r>
    </w:p>
    <w:p>
      <w:pPr>
        <w:spacing w:before="47"/>
        <w:ind w:left="1180" w:right="1199" w:firstLine="0"/>
        <w:jc w:val="left"/>
        <w:rPr>
          <w:sz w:val="20"/>
        </w:rPr>
      </w:pPr>
      <w:r>
        <w:rPr>
          <w:position w:val="9"/>
          <w:sz w:val="13"/>
        </w:rPr>
        <w:t>4 </w:t>
      </w:r>
      <w:r>
        <w:rPr>
          <w:sz w:val="20"/>
        </w:rPr>
        <w:t>We look specifically at data on non­durable consumption. We are particularly grateful to Andrew Leicester from the IFS for initial help with these data.</w:t>
      </w:r>
    </w:p>
    <w:p>
      <w:pPr>
        <w:spacing w:after="0"/>
        <w:jc w:val="left"/>
        <w:rPr>
          <w:sz w:val="20"/>
        </w:rPr>
        <w:sectPr>
          <w:pgSz w:w="11910" w:h="16840"/>
          <w:pgMar w:header="0" w:footer="697" w:top="1340" w:bottom="960" w:left="620" w:right="620"/>
        </w:sectPr>
      </w:pPr>
    </w:p>
    <w:p>
      <w:pPr>
        <w:pStyle w:val="BodyText"/>
        <w:spacing w:line="360" w:lineRule="auto" w:before="78"/>
        <w:ind w:left="1180" w:right="1225"/>
      </w:pPr>
      <w:r>
        <w:rPr/>
        <w:t>today I will focus on the aggregate results and only mention the cohort level results in passing.</w:t>
      </w:r>
      <w:r>
        <w:rPr>
          <w:vertAlign w:val="superscript"/>
        </w:rPr>
        <w:t>5</w:t>
      </w:r>
    </w:p>
    <w:p>
      <w:pPr>
        <w:pStyle w:val="BodyText"/>
        <w:spacing w:before="1"/>
        <w:rPr>
          <w:sz w:val="36"/>
        </w:rPr>
      </w:pPr>
    </w:p>
    <w:p>
      <w:pPr>
        <w:pStyle w:val="BodyText"/>
        <w:spacing w:line="360" w:lineRule="auto"/>
        <w:ind w:left="1180" w:right="1185"/>
      </w:pPr>
      <w:r>
        <w:rPr/>
        <w:t>Chart 6 graphs the HEF index against aggregate FES consumption growth over the time period. If the information contained in the HEF index is relevant to explaining consumption growth, we should expect that when the interest rate spread is high then credit conditions are tougher so that riskier households face higher than usual borrowing rates and hence may find it more difficult to smooth consumption from one year to another. The general sense that one gets from Chart 6 is that periods of credit market tightness, as measured by high values of the HEF index, are indeed associated with periods of weak consumption growth.</w:t>
      </w:r>
    </w:p>
    <w:p>
      <w:pPr>
        <w:pStyle w:val="BodyText"/>
        <w:spacing w:before="11"/>
        <w:rPr>
          <w:sz w:val="35"/>
        </w:rPr>
      </w:pPr>
    </w:p>
    <w:p>
      <w:pPr>
        <w:pStyle w:val="BodyText"/>
        <w:spacing w:line="360" w:lineRule="auto"/>
        <w:ind w:left="1180" w:right="1199"/>
      </w:pPr>
      <w:r>
        <w:rPr/>
        <w:t>But in looking at the relationship between consumption growth and the HEF index it would be wise to control for other factors that could be relevant in shaping consumption growth over this period – these might include changes in income, real interest rates and house prices. One can also use more or less sophisticated econometric methods to study the relationship to worry about the exact specification.</w:t>
      </w:r>
    </w:p>
    <w:p>
      <w:pPr>
        <w:pStyle w:val="BodyText"/>
        <w:spacing w:before="9"/>
        <w:rPr>
          <w:sz w:val="35"/>
        </w:rPr>
      </w:pPr>
    </w:p>
    <w:p>
      <w:pPr>
        <w:pStyle w:val="BodyText"/>
        <w:spacing w:line="360" w:lineRule="auto"/>
        <w:ind w:left="1180" w:right="1465"/>
      </w:pPr>
      <w:r>
        <w:rPr/>
        <w:t>The bottom line that emerges is that the HEF index does seem to play a role in explaining household consumption alongside the more standard variables. This relationship is highly statistically significant and robust to a wide variety of specifications. Moreover, the effect is quantitatively important with a one standard deviation change in the HEF index being associated, on average across households, with a change in the annual growth rate of consumption between 0.7% and 1.5%.</w:t>
      </w:r>
    </w:p>
    <w:p>
      <w:pPr>
        <w:pStyle w:val="BodyText"/>
        <w:spacing w:before="2"/>
        <w:rPr>
          <w:sz w:val="36"/>
        </w:rPr>
      </w:pPr>
    </w:p>
    <w:p>
      <w:pPr>
        <w:pStyle w:val="BodyText"/>
        <w:spacing w:line="360" w:lineRule="auto"/>
        <w:ind w:left="1180" w:right="1227"/>
      </w:pPr>
      <w:r>
        <w:rPr/>
        <w:t>A further sense </w:t>
      </w:r>
      <w:r>
        <w:rPr>
          <w:spacing w:val="5"/>
        </w:rPr>
        <w:t>of </w:t>
      </w:r>
      <w:r>
        <w:rPr/>
        <w:t>this can </w:t>
      </w:r>
      <w:r>
        <w:rPr>
          <w:spacing w:val="-3"/>
        </w:rPr>
        <w:t>be </w:t>
      </w:r>
      <w:r>
        <w:rPr/>
        <w:t>gained by looking at Chart 7 which plots the</w:t>
      </w:r>
      <w:r>
        <w:rPr>
          <w:spacing w:val="-42"/>
        </w:rPr>
        <w:t> </w:t>
      </w:r>
      <w:r>
        <w:rPr/>
        <w:t>component of consumption growth not predicted from more standard variables against the HEF index. The straight </w:t>
      </w:r>
      <w:r>
        <w:rPr>
          <w:spacing w:val="-3"/>
        </w:rPr>
        <w:t>line </w:t>
      </w:r>
      <w:r>
        <w:rPr/>
        <w:t>illustrates the partial regression relationship between these two variables which </w:t>
      </w:r>
      <w:r>
        <w:rPr>
          <w:spacing w:val="-5"/>
        </w:rPr>
        <w:t>is </w:t>
      </w:r>
      <w:r>
        <w:rPr/>
        <w:t>downward</w:t>
      </w:r>
      <w:r>
        <w:rPr>
          <w:spacing w:val="9"/>
        </w:rPr>
        <w:t> </w:t>
      </w:r>
      <w:r>
        <w:rPr/>
        <w:t>sloping.</w:t>
      </w:r>
    </w:p>
    <w:p>
      <w:pPr>
        <w:pStyle w:val="BodyText"/>
        <w:spacing w:before="10"/>
        <w:rPr>
          <w:sz w:val="35"/>
        </w:rPr>
      </w:pPr>
    </w:p>
    <w:p>
      <w:pPr>
        <w:pStyle w:val="BodyText"/>
        <w:spacing w:line="362" w:lineRule="auto"/>
        <w:ind w:left="1180" w:right="1199"/>
      </w:pPr>
      <w:r>
        <w:rPr/>
        <w:t>When we look at different birth cohorts, we find that these relationships are most prevalent among younger households. However, we find little evidence that there is</w:t>
      </w:r>
    </w:p>
    <w:p>
      <w:pPr>
        <w:pStyle w:val="BodyText"/>
        <w:spacing w:before="4"/>
        <w:rPr>
          <w:sz w:val="28"/>
        </w:rPr>
      </w:pPr>
      <w:r>
        <w:rPr/>
        <w:pict>
          <v:shape style="position:absolute;margin-left:90.00206pt;margin-top:18.513092pt;width:144.050pt;height:.1pt;mso-position-horizontal-relative:page;mso-position-vertical-relative:paragraph;z-index:-251653120;mso-wrap-distance-left:0;mso-wrap-distance-right:0" coordorigin="1800,370" coordsize="2881,0" path="m1800,370l4680,370e" filled="false" stroked="true" strokeweight=".480011pt" strokecolor="#000000">
            <v:path arrowok="t"/>
            <v:stroke dashstyle="solid"/>
            <w10:wrap type="topAndBottom"/>
          </v:shape>
        </w:pict>
      </w:r>
    </w:p>
    <w:p>
      <w:pPr>
        <w:spacing w:before="47"/>
        <w:ind w:left="1180" w:right="0" w:firstLine="0"/>
        <w:jc w:val="left"/>
        <w:rPr>
          <w:sz w:val="20"/>
        </w:rPr>
      </w:pPr>
      <w:r>
        <w:rPr>
          <w:position w:val="9"/>
          <w:sz w:val="13"/>
        </w:rPr>
        <w:t>5 </w:t>
      </w:r>
      <w:r>
        <w:rPr>
          <w:sz w:val="20"/>
        </w:rPr>
        <w:t>See our paper for details.</w:t>
      </w:r>
    </w:p>
    <w:p>
      <w:pPr>
        <w:spacing w:after="0"/>
        <w:jc w:val="left"/>
        <w:rPr>
          <w:sz w:val="20"/>
        </w:rPr>
        <w:sectPr>
          <w:pgSz w:w="11910" w:h="16840"/>
          <w:pgMar w:header="0" w:footer="697" w:top="1340" w:bottom="960" w:left="620" w:right="620"/>
        </w:sectPr>
      </w:pPr>
    </w:p>
    <w:p>
      <w:pPr>
        <w:pStyle w:val="BodyText"/>
        <w:spacing w:line="360" w:lineRule="auto" w:before="78"/>
        <w:ind w:left="1180" w:right="1578"/>
      </w:pPr>
      <w:r>
        <w:rPr/>
        <w:t>any different impact of credit conditions, measured through the HEF index, on the consumption of home owners and renters.</w:t>
      </w:r>
    </w:p>
    <w:p>
      <w:pPr>
        <w:pStyle w:val="BodyText"/>
        <w:spacing w:before="1"/>
        <w:rPr>
          <w:sz w:val="36"/>
        </w:rPr>
      </w:pPr>
    </w:p>
    <w:p>
      <w:pPr>
        <w:pStyle w:val="BodyText"/>
        <w:spacing w:line="360" w:lineRule="auto"/>
        <w:ind w:left="1180" w:right="1184"/>
      </w:pPr>
      <w:r>
        <w:rPr/>
        <w:t>So what do I conclude from this and how can it be useful in shaping my assessment of the future?</w:t>
      </w:r>
    </w:p>
    <w:p>
      <w:pPr>
        <w:pStyle w:val="BodyText"/>
        <w:spacing w:before="8"/>
        <w:rPr>
          <w:sz w:val="35"/>
        </w:rPr>
      </w:pPr>
    </w:p>
    <w:p>
      <w:pPr>
        <w:pStyle w:val="BodyText"/>
        <w:spacing w:line="360" w:lineRule="auto"/>
        <w:ind w:left="1180" w:right="1171"/>
      </w:pPr>
      <w:r>
        <w:rPr/>
        <w:t>First, the work does provide a quantitative assessment of the proposition that there is a link between availability of household external finance and the buoyancy of consumption growth.</w:t>
      </w:r>
    </w:p>
    <w:p>
      <w:pPr>
        <w:pStyle w:val="BodyText"/>
        <w:rPr>
          <w:sz w:val="36"/>
        </w:rPr>
      </w:pPr>
    </w:p>
    <w:p>
      <w:pPr>
        <w:pStyle w:val="BodyText"/>
        <w:spacing w:line="360" w:lineRule="auto"/>
        <w:ind w:left="1180" w:right="1199"/>
      </w:pPr>
      <w:r>
        <w:rPr/>
        <w:t>While the results from this work are based on historical relationships, they suggest implications for future consumption growth. With credit conditions tightening, we might expect a significant reduction in consumption growth over the coming months.</w:t>
      </w:r>
    </w:p>
    <w:p>
      <w:pPr>
        <w:pStyle w:val="BodyText"/>
        <w:rPr>
          <w:sz w:val="36"/>
        </w:rPr>
      </w:pPr>
    </w:p>
    <w:p>
      <w:pPr>
        <w:pStyle w:val="BodyText"/>
        <w:spacing w:line="360" w:lineRule="auto" w:before="1"/>
        <w:ind w:left="1180" w:right="1305"/>
      </w:pPr>
      <w:r>
        <w:rPr/>
        <w:t>The following illustrative calculation gives a feel for how much of the decline in savings that we have observed might be explained by more relaxed credit conditions. Suppose the Libor­spread increased by 20 basis points over a year. This implies an increase in the HEF index of 0.3, which according to a one standard error around the estimates of column (2) in Table 2 of our paper brings about a reduction in consumption growth between 0.7% and 1.5% per annum. If we assume that all other variables, including income, remain equal to their historical values, then the saving rate would be between 4.1% and 4.9% compared to the value of 3.4% observed in 2007. Thus our estimates suggest that credit conditions can be a quantitatively significant determinant of savings.</w:t>
      </w:r>
    </w:p>
    <w:p>
      <w:pPr>
        <w:pStyle w:val="BodyText"/>
        <w:spacing w:before="1"/>
        <w:rPr>
          <w:sz w:val="36"/>
        </w:rPr>
      </w:pPr>
    </w:p>
    <w:p>
      <w:pPr>
        <w:pStyle w:val="BodyText"/>
        <w:spacing w:line="360" w:lineRule="auto"/>
        <w:ind w:left="1180" w:right="1298"/>
      </w:pPr>
      <w:r>
        <w:rPr/>
        <w:t>These findings are consistent with the view that households will rebuild their savings over the medium term. Depending on how credit market conditions stabilise, this may have only a temporary effect on consumption growth. However, there is a great deal of uncertainty.</w:t>
      </w:r>
    </w:p>
    <w:p>
      <w:pPr>
        <w:pStyle w:val="BodyText"/>
        <w:spacing w:before="11"/>
        <w:rPr>
          <w:sz w:val="35"/>
        </w:rPr>
      </w:pPr>
    </w:p>
    <w:p>
      <w:pPr>
        <w:pStyle w:val="BodyText"/>
        <w:spacing w:line="360" w:lineRule="auto"/>
        <w:ind w:left="1180" w:right="1178"/>
      </w:pPr>
      <w:r>
        <w:rPr/>
        <w:t>The research that I have reported today is only a small part of a larger picture. There are many aspects of the relationship between financial conditions and the real economy, each of which needs to be assessed on its own merits in order to take a view of how financial market conditions will act upon the economy.</w:t>
      </w:r>
    </w:p>
    <w:p>
      <w:pPr>
        <w:spacing w:after="0" w:line="360" w:lineRule="auto"/>
        <w:sectPr>
          <w:pgSz w:w="11910" w:h="16840"/>
          <w:pgMar w:header="0" w:footer="697" w:top="1340" w:bottom="960" w:left="620" w:right="620"/>
        </w:sectPr>
      </w:pPr>
    </w:p>
    <w:p>
      <w:pPr>
        <w:pStyle w:val="BodyText"/>
        <w:spacing w:line="360" w:lineRule="auto" w:before="78"/>
        <w:ind w:left="1180" w:right="1205"/>
      </w:pPr>
      <w:r>
        <w:rPr/>
        <w:t>Debates about monetary policy tend to reveal a wide variety </w:t>
      </w:r>
      <w:r>
        <w:rPr>
          <w:spacing w:val="4"/>
        </w:rPr>
        <w:t>of </w:t>
      </w:r>
      <w:r>
        <w:rPr/>
        <w:t>opinions on</w:t>
      </w:r>
      <w:r>
        <w:rPr>
          <w:spacing w:val="-44"/>
        </w:rPr>
        <w:t> </w:t>
      </w:r>
      <w:r>
        <w:rPr/>
        <w:t>how much weight should be placed </w:t>
      </w:r>
      <w:r>
        <w:rPr>
          <w:spacing w:val="3"/>
        </w:rPr>
        <w:t>on </w:t>
      </w:r>
      <w:r>
        <w:rPr/>
        <w:t>financial conditions </w:t>
      </w:r>
      <w:r>
        <w:rPr>
          <w:spacing w:val="-3"/>
        </w:rPr>
        <w:t>in </w:t>
      </w:r>
      <w:r>
        <w:rPr/>
        <w:t>the monetary transmission mechanism. My time on the MPC, before and after the events of </w:t>
      </w:r>
      <w:r>
        <w:rPr>
          <w:spacing w:val="-3"/>
        </w:rPr>
        <w:t>last </w:t>
      </w:r>
      <w:r>
        <w:rPr/>
        <w:t>summer, has reinforced </w:t>
      </w:r>
      <w:r>
        <w:rPr>
          <w:spacing w:val="-3"/>
        </w:rPr>
        <w:t>my </w:t>
      </w:r>
      <w:r>
        <w:rPr/>
        <w:t>view that considerable weight should </w:t>
      </w:r>
      <w:r>
        <w:rPr>
          <w:spacing w:val="-3"/>
        </w:rPr>
        <w:t>be </w:t>
      </w:r>
      <w:r>
        <w:rPr/>
        <w:t>placed </w:t>
      </w:r>
      <w:r>
        <w:rPr>
          <w:spacing w:val="3"/>
        </w:rPr>
        <w:t>on </w:t>
      </w:r>
      <w:r>
        <w:rPr/>
        <w:t>conditions </w:t>
      </w:r>
      <w:r>
        <w:rPr>
          <w:spacing w:val="-3"/>
        </w:rPr>
        <w:t>in </w:t>
      </w:r>
      <w:r>
        <w:rPr/>
        <w:t>financial markets </w:t>
      </w:r>
      <w:r>
        <w:rPr>
          <w:spacing w:val="-3"/>
        </w:rPr>
        <w:t>in </w:t>
      </w:r>
      <w:r>
        <w:rPr/>
        <w:t>understanding the transmission of monetary policy </w:t>
      </w:r>
      <w:r>
        <w:rPr>
          <w:spacing w:val="2"/>
        </w:rPr>
        <w:t>to </w:t>
      </w:r>
      <w:r>
        <w:rPr/>
        <w:t>the real economy. The MPC sets Bank Rate.  </w:t>
      </w:r>
      <w:r>
        <w:rPr>
          <w:spacing w:val="-3"/>
        </w:rPr>
        <w:t>But </w:t>
      </w:r>
      <w:r>
        <w:rPr/>
        <w:t>the impact that the level </w:t>
      </w:r>
      <w:r>
        <w:rPr>
          <w:spacing w:val="4"/>
        </w:rPr>
        <w:t>of </w:t>
      </w:r>
      <w:r>
        <w:rPr/>
        <w:t>Bank Rate has on activity will depend, to </w:t>
      </w:r>
      <w:r>
        <w:rPr>
          <w:spacing w:val="-4"/>
        </w:rPr>
        <w:t>some </w:t>
      </w:r>
      <w:r>
        <w:rPr/>
        <w:t>extent, on the conditions that obtain </w:t>
      </w:r>
      <w:r>
        <w:rPr>
          <w:spacing w:val="-3"/>
        </w:rPr>
        <w:t>in </w:t>
      </w:r>
      <w:r>
        <w:rPr/>
        <w:t>financial markets. Judging whether a given level </w:t>
      </w:r>
      <w:r>
        <w:rPr>
          <w:spacing w:val="4"/>
        </w:rPr>
        <w:t>of </w:t>
      </w:r>
      <w:r>
        <w:rPr/>
        <w:t>Bank Rate </w:t>
      </w:r>
      <w:r>
        <w:rPr>
          <w:spacing w:val="-4"/>
        </w:rPr>
        <w:t>is </w:t>
      </w:r>
      <w:r>
        <w:rPr/>
        <w:t>restrictive depends importantly upon the conditions that prevail </w:t>
      </w:r>
      <w:r>
        <w:rPr>
          <w:spacing w:val="-3"/>
        </w:rPr>
        <w:t>in </w:t>
      </w:r>
      <w:r>
        <w:rPr/>
        <w:t>financial markets </w:t>
      </w:r>
      <w:r>
        <w:rPr>
          <w:spacing w:val="-3"/>
        </w:rPr>
        <w:t>at </w:t>
      </w:r>
      <w:r>
        <w:rPr/>
        <w:t>the</w:t>
      </w:r>
      <w:r>
        <w:rPr>
          <w:spacing w:val="-1"/>
        </w:rPr>
        <w:t> </w:t>
      </w:r>
      <w:r>
        <w:rPr/>
        <w:t>time.</w:t>
      </w:r>
    </w:p>
    <w:p>
      <w:pPr>
        <w:pStyle w:val="BodyText"/>
        <w:spacing w:before="9"/>
        <w:rPr>
          <w:sz w:val="35"/>
        </w:rPr>
      </w:pPr>
    </w:p>
    <w:p>
      <w:pPr>
        <w:pStyle w:val="BodyText"/>
        <w:spacing w:line="360" w:lineRule="auto"/>
        <w:ind w:left="1180" w:right="1178"/>
      </w:pPr>
      <w:r>
        <w:rPr/>
        <w:t>The research that I </w:t>
      </w:r>
      <w:r>
        <w:rPr>
          <w:spacing w:val="-3"/>
        </w:rPr>
        <w:t>have </w:t>
      </w:r>
      <w:r>
        <w:rPr/>
        <w:t>reported on today further reinforces this view.  Our HEF index gives a specific condition that one </w:t>
      </w:r>
      <w:r>
        <w:rPr>
          <w:spacing w:val="-4"/>
        </w:rPr>
        <w:t>might </w:t>
      </w:r>
      <w:r>
        <w:rPr/>
        <w:t>look at to assess conditions </w:t>
      </w:r>
      <w:r>
        <w:rPr>
          <w:spacing w:val="-3"/>
        </w:rPr>
        <w:t>in </w:t>
      </w:r>
      <w:r>
        <w:rPr/>
        <w:t>financial markets and their likely effect on consumption growth apart from standard indicators such as the level </w:t>
      </w:r>
      <w:r>
        <w:rPr>
          <w:spacing w:val="4"/>
        </w:rPr>
        <w:t>of </w:t>
      </w:r>
      <w:r>
        <w:rPr/>
        <w:t>interest rates and the growth of disposable</w:t>
      </w:r>
      <w:r>
        <w:rPr>
          <w:spacing w:val="-17"/>
        </w:rPr>
        <w:t> </w:t>
      </w:r>
      <w:r>
        <w:rPr/>
        <w:t>income.</w:t>
      </w:r>
    </w:p>
    <w:p>
      <w:pPr>
        <w:pStyle w:val="BodyText"/>
        <w:spacing w:before="4"/>
        <w:rPr>
          <w:sz w:val="36"/>
        </w:rPr>
      </w:pPr>
    </w:p>
    <w:p>
      <w:pPr>
        <w:pStyle w:val="BodyText"/>
        <w:spacing w:line="360" w:lineRule="auto"/>
        <w:ind w:left="1180" w:right="1173"/>
      </w:pPr>
      <w:r>
        <w:rPr/>
        <w:t>In conclusion, </w:t>
      </w:r>
      <w:r>
        <w:rPr>
          <w:spacing w:val="-4"/>
        </w:rPr>
        <w:t>let </w:t>
      </w:r>
      <w:r>
        <w:rPr>
          <w:spacing w:val="-5"/>
        </w:rPr>
        <w:t>me </w:t>
      </w:r>
      <w:r>
        <w:rPr/>
        <w:t>return to the prospects for policy </w:t>
      </w:r>
      <w:r>
        <w:rPr>
          <w:spacing w:val="-3"/>
        </w:rPr>
        <w:t>in </w:t>
      </w:r>
      <w:r>
        <w:rPr/>
        <w:t>the difficult period ahead.  As a member of the MPC, I will continue to monitor all aspects of the economy affecting inflation and output growth. Meeting the inflation target </w:t>
      </w:r>
      <w:r>
        <w:rPr>
          <w:spacing w:val="-3"/>
        </w:rPr>
        <w:t>in </w:t>
      </w:r>
      <w:r>
        <w:rPr/>
        <w:t>the medium </w:t>
      </w:r>
      <w:r>
        <w:rPr>
          <w:spacing w:val="2"/>
        </w:rPr>
        <w:t>term </w:t>
      </w:r>
      <w:r>
        <w:rPr/>
        <w:t>will continue </w:t>
      </w:r>
      <w:r>
        <w:rPr>
          <w:spacing w:val="3"/>
        </w:rPr>
        <w:t>to </w:t>
      </w:r>
      <w:r>
        <w:rPr/>
        <w:t>anchor </w:t>
      </w:r>
      <w:r>
        <w:rPr>
          <w:spacing w:val="-3"/>
        </w:rPr>
        <w:t>my </w:t>
      </w:r>
      <w:r>
        <w:rPr/>
        <w:t>voting decisions. I make a month­by­month assessment of the balance of risks created by above­target inflation </w:t>
      </w:r>
      <w:r>
        <w:rPr>
          <w:spacing w:val="-3"/>
        </w:rPr>
        <w:t>in </w:t>
      </w:r>
      <w:r>
        <w:rPr/>
        <w:t>the near term against a backdrop of softer prospects for demand and output growth.  It </w:t>
      </w:r>
      <w:r>
        <w:rPr>
          <w:spacing w:val="-5"/>
        </w:rPr>
        <w:t>is </w:t>
      </w:r>
      <w:r>
        <w:rPr/>
        <w:t>important </w:t>
      </w:r>
      <w:r>
        <w:rPr>
          <w:spacing w:val="-3"/>
        </w:rPr>
        <w:t>in </w:t>
      </w:r>
      <w:r>
        <w:rPr/>
        <w:t>doing so to remain forward­looking and to </w:t>
      </w:r>
      <w:r>
        <w:rPr>
          <w:spacing w:val="-3"/>
        </w:rPr>
        <w:t>bring </w:t>
      </w:r>
      <w:r>
        <w:rPr>
          <w:spacing w:val="2"/>
        </w:rPr>
        <w:t>to </w:t>
      </w:r>
      <w:r>
        <w:rPr/>
        <w:t>bear the </w:t>
      </w:r>
      <w:r>
        <w:rPr>
          <w:spacing w:val="-3"/>
        </w:rPr>
        <w:t>best </w:t>
      </w:r>
      <w:r>
        <w:rPr/>
        <w:t>evidence and</w:t>
      </w:r>
      <w:r>
        <w:rPr>
          <w:spacing w:val="13"/>
        </w:rPr>
        <w:t> </w:t>
      </w:r>
      <w:r>
        <w:rPr/>
        <w:t>analysis.</w:t>
      </w:r>
    </w:p>
    <w:p>
      <w:pPr>
        <w:spacing w:after="0" w:line="360" w:lineRule="auto"/>
        <w:sectPr>
          <w:pgSz w:w="11910" w:h="16840"/>
          <w:pgMar w:header="0" w:footer="697" w:top="1340" w:bottom="960" w:left="620" w:right="620"/>
        </w:sect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6"/>
        <w:gridCol w:w="642"/>
        <w:gridCol w:w="1223"/>
        <w:gridCol w:w="423"/>
        <w:gridCol w:w="908"/>
        <w:gridCol w:w="594"/>
        <w:gridCol w:w="3901"/>
      </w:tblGrid>
      <w:tr>
        <w:trPr>
          <w:trHeight w:val="278" w:hRule="atLeast"/>
        </w:trPr>
        <w:tc>
          <w:tcPr>
            <w:tcW w:w="4974" w:type="dxa"/>
            <w:gridSpan w:val="4"/>
          </w:tcPr>
          <w:p>
            <w:pPr>
              <w:pStyle w:val="TableParagraph"/>
              <w:spacing w:line="258" w:lineRule="exact"/>
              <w:ind w:left="110"/>
              <w:rPr>
                <w:sz w:val="24"/>
              </w:rPr>
            </w:pPr>
            <w:r>
              <w:rPr>
                <w:sz w:val="24"/>
              </w:rPr>
              <w:t>Chart 1: Household debt to income ratios</w:t>
            </w:r>
          </w:p>
        </w:tc>
        <w:tc>
          <w:tcPr>
            <w:tcW w:w="5403" w:type="dxa"/>
            <w:gridSpan w:val="3"/>
          </w:tcPr>
          <w:p>
            <w:pPr>
              <w:pStyle w:val="TableParagraph"/>
              <w:spacing w:line="258" w:lineRule="exact"/>
              <w:ind w:left="104"/>
              <w:rPr>
                <w:sz w:val="24"/>
              </w:rPr>
            </w:pPr>
            <w:r>
              <w:rPr>
                <w:sz w:val="24"/>
              </w:rPr>
              <w:t>Chart 2: Change in borrowing rate spreads since 2001</w:t>
            </w:r>
          </w:p>
        </w:tc>
      </w:tr>
      <w:tr>
        <w:trPr>
          <w:trHeight w:val="4185" w:hRule="atLeast"/>
        </w:trPr>
        <w:tc>
          <w:tcPr>
            <w:tcW w:w="2686" w:type="dxa"/>
            <w:tcBorders>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
              <w:rPr>
                <w:sz w:val="19"/>
              </w:rPr>
            </w:pPr>
          </w:p>
          <w:p>
            <w:pPr>
              <w:pStyle w:val="TableParagraph"/>
              <w:ind w:left="2371"/>
              <w:rPr>
                <w:sz w:val="19"/>
              </w:rPr>
            </w:pPr>
            <w:r>
              <w:rPr>
                <w:w w:val="106"/>
                <w:sz w:val="19"/>
                <w:u w:val="thick" w:color="FF00FF"/>
              </w:rPr>
              <w:t> </w:t>
            </w:r>
            <w:r>
              <w:rPr>
                <w:spacing w:val="4"/>
                <w:sz w:val="19"/>
                <w:u w:val="thick" w:color="FF00FF"/>
              </w:rPr>
              <w:t> </w:t>
            </w:r>
          </w:p>
          <w:p>
            <w:pPr>
              <w:pStyle w:val="TableParagraph"/>
              <w:spacing w:before="55"/>
              <w:ind w:left="99"/>
              <w:jc w:val="center"/>
              <w:rPr>
                <w:b/>
                <w:sz w:val="19"/>
              </w:rPr>
            </w:pPr>
            <w:r>
              <w:rPr>
                <w:b/>
                <w:color w:val="FF00FF"/>
                <w:spacing w:val="5"/>
                <w:w w:val="105"/>
                <w:sz w:val="19"/>
              </w:rPr>
              <w:t>Secured </w:t>
            </w:r>
            <w:r>
              <w:rPr>
                <w:b/>
                <w:color w:val="FF00FF"/>
                <w:w w:val="105"/>
                <w:sz w:val="19"/>
              </w:rPr>
              <w:t>on</w:t>
            </w:r>
            <w:r>
              <w:rPr>
                <w:b/>
                <w:color w:val="FF00FF"/>
                <w:spacing w:val="18"/>
                <w:w w:val="105"/>
                <w:sz w:val="19"/>
              </w:rPr>
              <w:t> </w:t>
            </w:r>
            <w:r>
              <w:rPr>
                <w:b/>
                <w:color w:val="FF00FF"/>
                <w:spacing w:val="5"/>
                <w:w w:val="105"/>
                <w:sz w:val="19"/>
              </w:rPr>
              <w:t>dwellings</w:t>
            </w:r>
          </w:p>
          <w:p>
            <w:pPr>
              <w:pStyle w:val="TableParagraph"/>
              <w:spacing w:before="9"/>
              <w:rPr>
                <w:sz w:val="29"/>
              </w:rPr>
            </w:pPr>
          </w:p>
          <w:p>
            <w:pPr>
              <w:pStyle w:val="TableParagraph"/>
              <w:spacing w:before="1"/>
              <w:ind w:left="2419"/>
              <w:rPr>
                <w:sz w:val="19"/>
              </w:rPr>
            </w:pPr>
            <w:r>
              <w:rPr>
                <w:w w:val="106"/>
                <w:sz w:val="19"/>
                <w:u w:val="thick" w:color="008000"/>
              </w:rPr>
              <w:t> </w:t>
            </w:r>
            <w:r>
              <w:rPr>
                <w:spacing w:val="9"/>
                <w:sz w:val="19"/>
                <w:u w:val="thick" w:color="008000"/>
              </w:rPr>
              <w:t> </w:t>
            </w:r>
          </w:p>
          <w:p>
            <w:pPr>
              <w:pStyle w:val="TableParagraph"/>
              <w:spacing w:before="4"/>
              <w:rPr>
                <w:sz w:val="29"/>
              </w:rPr>
            </w:pPr>
          </w:p>
          <w:p>
            <w:pPr>
              <w:pStyle w:val="TableParagraph"/>
              <w:tabs>
                <w:tab w:pos="760" w:val="left" w:leader="none"/>
                <w:tab w:pos="1417" w:val="left" w:leader="none"/>
                <w:tab w:pos="2056" w:val="left" w:leader="none"/>
              </w:tabs>
              <w:ind w:left="121"/>
              <w:jc w:val="center"/>
              <w:rPr>
                <w:sz w:val="19"/>
              </w:rPr>
            </w:pPr>
            <w:r>
              <w:rPr>
                <w:w w:val="105"/>
                <w:sz w:val="19"/>
              </w:rPr>
              <w:t>1989</w:t>
              <w:tab/>
              <w:t>1992</w:t>
              <w:tab/>
              <w:t>1995</w:t>
              <w:tab/>
              <w:t>1998</w:t>
            </w:r>
          </w:p>
        </w:tc>
        <w:tc>
          <w:tcPr>
            <w:tcW w:w="642" w:type="dxa"/>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16"/>
              </w:rPr>
            </w:pPr>
          </w:p>
          <w:p>
            <w:pPr>
              <w:pStyle w:val="TableParagraph"/>
              <w:ind w:left="203"/>
              <w:rPr>
                <w:b/>
                <w:sz w:val="19"/>
              </w:rPr>
            </w:pPr>
            <w:r>
              <w:rPr>
                <w:b/>
                <w:color w:val="000080"/>
                <w:spacing w:val="-5"/>
                <w:w w:val="105"/>
                <w:sz w:val="19"/>
              </w:rPr>
              <w:t>Total</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ind w:left="117"/>
              <w:rPr>
                <w:sz w:val="19"/>
              </w:rPr>
            </w:pPr>
            <w:r>
              <w:rPr>
                <w:w w:val="105"/>
                <w:sz w:val="19"/>
              </w:rPr>
              <w:t>2001</w:t>
            </w:r>
          </w:p>
        </w:tc>
        <w:tc>
          <w:tcPr>
            <w:tcW w:w="1223" w:type="dxa"/>
            <w:tcBorders>
              <w:left w:val="nil"/>
              <w:right w:val="nil"/>
            </w:tcBorders>
          </w:tcPr>
          <w:p>
            <w:pPr>
              <w:pStyle w:val="TableParagraph"/>
              <w:spacing w:line="285" w:lineRule="auto" w:before="102"/>
              <w:ind w:left="209" w:right="153" w:firstLine="134"/>
              <w:jc w:val="right"/>
              <w:rPr>
                <w:sz w:val="19"/>
              </w:rPr>
            </w:pPr>
            <w:r>
              <w:rPr>
                <w:w w:val="105"/>
                <w:sz w:val="19"/>
              </w:rPr>
              <w:t>Ratio of</w:t>
            </w:r>
            <w:r>
              <w:rPr>
                <w:w w:val="106"/>
                <w:sz w:val="19"/>
              </w:rPr>
              <w:t> </w:t>
            </w:r>
            <w:r>
              <w:rPr>
                <w:w w:val="105"/>
                <w:sz w:val="19"/>
              </w:rPr>
              <w:t>disposable income</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78"/>
              <w:ind w:left="12"/>
              <w:rPr>
                <w:b/>
                <w:sz w:val="19"/>
              </w:rPr>
            </w:pPr>
            <w:r>
              <w:rPr>
                <w:b/>
                <w:color w:val="008000"/>
                <w:w w:val="105"/>
                <w:sz w:val="19"/>
              </w:rPr>
              <w:t>Unsecured</w:t>
            </w:r>
          </w:p>
          <w:p>
            <w:pPr>
              <w:pStyle w:val="TableParagraph"/>
              <w:rPr>
                <w:sz w:val="20"/>
              </w:rPr>
            </w:pPr>
          </w:p>
          <w:p>
            <w:pPr>
              <w:pStyle w:val="TableParagraph"/>
              <w:rPr>
                <w:sz w:val="29"/>
              </w:rPr>
            </w:pPr>
          </w:p>
          <w:p>
            <w:pPr>
              <w:pStyle w:val="TableParagraph"/>
              <w:tabs>
                <w:tab w:pos="771" w:val="left" w:leader="none"/>
              </w:tabs>
              <w:ind w:left="113"/>
              <w:rPr>
                <w:sz w:val="19"/>
              </w:rPr>
            </w:pPr>
            <w:r>
              <w:rPr>
                <w:w w:val="105"/>
                <w:sz w:val="19"/>
              </w:rPr>
              <w:t>2004</w:t>
              <w:tab/>
              <w:t>2007</w:t>
            </w:r>
          </w:p>
        </w:tc>
        <w:tc>
          <w:tcPr>
            <w:tcW w:w="423" w:type="dxa"/>
            <w:tcBorders>
              <w:left w:val="nil"/>
            </w:tcBorders>
          </w:tcPr>
          <w:p>
            <w:pPr>
              <w:pStyle w:val="TableParagraph"/>
              <w:rPr>
                <w:sz w:val="20"/>
              </w:rPr>
            </w:pPr>
          </w:p>
          <w:p>
            <w:pPr>
              <w:pStyle w:val="TableParagraph"/>
              <w:spacing w:before="160"/>
              <w:ind w:left="47"/>
              <w:rPr>
                <w:sz w:val="19"/>
              </w:rPr>
            </w:pPr>
            <w:r>
              <w:rPr>
                <w:w w:val="105"/>
                <w:sz w:val="19"/>
              </w:rPr>
              <w:t>2.0</w:t>
            </w:r>
          </w:p>
          <w:p>
            <w:pPr>
              <w:pStyle w:val="TableParagraph"/>
              <w:spacing w:before="60"/>
              <w:ind w:left="47"/>
              <w:rPr>
                <w:sz w:val="19"/>
              </w:rPr>
            </w:pPr>
            <w:r>
              <w:rPr>
                <w:w w:val="105"/>
                <w:sz w:val="19"/>
              </w:rPr>
              <w:t>1.8</w:t>
            </w:r>
          </w:p>
          <w:p>
            <w:pPr>
              <w:pStyle w:val="TableParagraph"/>
              <w:spacing w:before="64"/>
              <w:ind w:left="47"/>
              <w:rPr>
                <w:sz w:val="19"/>
              </w:rPr>
            </w:pPr>
            <w:r>
              <w:rPr>
                <w:w w:val="105"/>
                <w:sz w:val="19"/>
              </w:rPr>
              <w:t>1.6</w:t>
            </w:r>
          </w:p>
          <w:p>
            <w:pPr>
              <w:pStyle w:val="TableParagraph"/>
              <w:spacing w:before="60"/>
              <w:ind w:left="47"/>
              <w:rPr>
                <w:sz w:val="19"/>
              </w:rPr>
            </w:pPr>
            <w:r>
              <w:rPr>
                <w:w w:val="105"/>
                <w:sz w:val="19"/>
              </w:rPr>
              <w:t>1.4</w:t>
            </w:r>
          </w:p>
          <w:p>
            <w:pPr>
              <w:pStyle w:val="TableParagraph"/>
              <w:spacing w:before="60"/>
              <w:ind w:left="47"/>
              <w:rPr>
                <w:sz w:val="19"/>
              </w:rPr>
            </w:pPr>
            <w:r>
              <w:rPr>
                <w:w w:val="105"/>
                <w:sz w:val="19"/>
              </w:rPr>
              <w:t>1.2</w:t>
            </w:r>
          </w:p>
          <w:p>
            <w:pPr>
              <w:pStyle w:val="TableParagraph"/>
              <w:spacing w:before="60"/>
              <w:ind w:left="47"/>
              <w:rPr>
                <w:sz w:val="19"/>
              </w:rPr>
            </w:pPr>
            <w:r>
              <w:rPr>
                <w:w w:val="105"/>
                <w:sz w:val="19"/>
              </w:rPr>
              <w:t>1.0</w:t>
            </w:r>
          </w:p>
          <w:p>
            <w:pPr>
              <w:pStyle w:val="TableParagraph"/>
              <w:spacing w:before="55"/>
              <w:ind w:left="47"/>
              <w:rPr>
                <w:sz w:val="19"/>
              </w:rPr>
            </w:pPr>
            <w:r>
              <w:rPr>
                <w:w w:val="105"/>
                <w:sz w:val="19"/>
              </w:rPr>
              <w:t>0.8</w:t>
            </w:r>
          </w:p>
          <w:p>
            <w:pPr>
              <w:pStyle w:val="TableParagraph"/>
              <w:spacing w:before="55"/>
              <w:ind w:left="47"/>
              <w:rPr>
                <w:sz w:val="19"/>
              </w:rPr>
            </w:pPr>
            <w:r>
              <w:rPr>
                <w:w w:val="105"/>
                <w:sz w:val="19"/>
              </w:rPr>
              <w:t>0.6</w:t>
            </w:r>
          </w:p>
          <w:p>
            <w:pPr>
              <w:pStyle w:val="TableParagraph"/>
              <w:spacing w:before="60"/>
              <w:ind w:left="47"/>
              <w:rPr>
                <w:sz w:val="19"/>
              </w:rPr>
            </w:pPr>
            <w:r>
              <w:rPr>
                <w:w w:val="105"/>
                <w:sz w:val="19"/>
              </w:rPr>
              <w:t>0.4</w:t>
            </w:r>
          </w:p>
          <w:p>
            <w:pPr>
              <w:pStyle w:val="TableParagraph"/>
              <w:spacing w:before="65"/>
              <w:ind w:left="47"/>
              <w:rPr>
                <w:sz w:val="19"/>
              </w:rPr>
            </w:pPr>
            <w:r>
              <w:rPr>
                <w:w w:val="105"/>
                <w:sz w:val="19"/>
              </w:rPr>
              <w:t>0.2</w:t>
            </w:r>
          </w:p>
          <w:p>
            <w:pPr>
              <w:pStyle w:val="TableParagraph"/>
              <w:spacing w:before="60"/>
              <w:ind w:left="47"/>
              <w:rPr>
                <w:sz w:val="19"/>
              </w:rPr>
            </w:pPr>
            <w:r>
              <w:rPr>
                <w:w w:val="105"/>
                <w:sz w:val="19"/>
              </w:rPr>
              <w:t>0.0</w:t>
            </w:r>
          </w:p>
        </w:tc>
        <w:tc>
          <w:tcPr>
            <w:tcW w:w="908" w:type="dxa"/>
            <w:tcBorders>
              <w:righ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4"/>
              <w:rPr>
                <w:sz w:val="16"/>
              </w:rPr>
            </w:pPr>
          </w:p>
          <w:p>
            <w:pPr>
              <w:pStyle w:val="TableParagraph"/>
              <w:ind w:left="435"/>
              <w:rPr>
                <w:b/>
                <w:sz w:val="16"/>
              </w:rPr>
            </w:pPr>
            <w:r>
              <w:rPr>
                <w:b/>
                <w:w w:val="110"/>
                <w:sz w:val="16"/>
              </w:rPr>
              <w:t>2001</w:t>
            </w:r>
          </w:p>
        </w:tc>
        <w:tc>
          <w:tcPr>
            <w:tcW w:w="594" w:type="dxa"/>
            <w:tcBorders>
              <w:left w:val="nil"/>
              <w:righ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4"/>
              <w:rPr>
                <w:sz w:val="16"/>
              </w:rPr>
            </w:pPr>
          </w:p>
          <w:p>
            <w:pPr>
              <w:pStyle w:val="TableParagraph"/>
              <w:ind w:left="117"/>
              <w:rPr>
                <w:b/>
                <w:sz w:val="16"/>
              </w:rPr>
            </w:pPr>
            <w:r>
              <w:rPr>
                <w:b/>
                <w:w w:val="110"/>
                <w:sz w:val="16"/>
              </w:rPr>
              <w:t>2002</w:t>
            </w:r>
          </w:p>
        </w:tc>
        <w:tc>
          <w:tcPr>
            <w:tcW w:w="3901" w:type="dxa"/>
            <w:tcBorders>
              <w:left w:val="nil"/>
            </w:tcBorders>
          </w:tcPr>
          <w:p>
            <w:pPr>
              <w:pStyle w:val="TableParagraph"/>
              <w:spacing w:before="155"/>
              <w:ind w:right="488"/>
              <w:jc w:val="right"/>
              <w:rPr>
                <w:sz w:val="18"/>
              </w:rPr>
            </w:pPr>
            <w:r>
              <w:rPr>
                <w:spacing w:val="-6"/>
                <w:w w:val="105"/>
                <w:sz w:val="18"/>
              </w:rPr>
              <w:t>Basis</w:t>
            </w:r>
            <w:r>
              <w:rPr>
                <w:spacing w:val="6"/>
                <w:w w:val="105"/>
                <w:sz w:val="18"/>
              </w:rPr>
              <w:t> </w:t>
            </w:r>
            <w:r>
              <w:rPr>
                <w:w w:val="105"/>
                <w:sz w:val="18"/>
              </w:rPr>
              <w:t>points</w:t>
            </w:r>
          </w:p>
          <w:p>
            <w:pPr>
              <w:pStyle w:val="TableParagraph"/>
              <w:tabs>
                <w:tab w:pos="3431" w:val="right" w:leader="none"/>
              </w:tabs>
              <w:spacing w:before="115"/>
              <w:ind w:left="1530"/>
              <w:rPr>
                <w:b/>
                <w:sz w:val="16"/>
              </w:rPr>
            </w:pPr>
            <w:r>
              <w:rPr>
                <w:b/>
                <w:color w:val="000080"/>
                <w:spacing w:val="-4"/>
                <w:w w:val="110"/>
                <w:sz w:val="19"/>
              </w:rPr>
              <w:t>SVR</w:t>
              <w:tab/>
            </w:r>
            <w:r>
              <w:rPr>
                <w:b/>
                <w:w w:val="110"/>
                <w:sz w:val="16"/>
              </w:rPr>
              <w:t>50</w:t>
            </w:r>
          </w:p>
          <w:p>
            <w:pPr>
              <w:pStyle w:val="TableParagraph"/>
              <w:tabs>
                <w:tab w:pos="3431" w:val="right" w:leader="none"/>
              </w:tabs>
              <w:spacing w:before="273"/>
              <w:ind w:left="1904"/>
              <w:rPr>
                <w:b/>
                <w:sz w:val="16"/>
              </w:rPr>
            </w:pPr>
            <w:r>
              <w:rPr>
                <w:b/>
                <w:color w:val="008000"/>
                <w:w w:val="110"/>
                <w:sz w:val="19"/>
              </w:rPr>
              <w:t>5</w:t>
            </w:r>
            <w:r>
              <w:rPr>
                <w:b/>
                <w:color w:val="008000"/>
                <w:spacing w:val="-8"/>
                <w:w w:val="110"/>
                <w:sz w:val="19"/>
              </w:rPr>
              <w:t> </w:t>
            </w:r>
            <w:r>
              <w:rPr>
                <w:b/>
                <w:color w:val="008000"/>
                <w:spacing w:val="-6"/>
                <w:w w:val="110"/>
                <w:sz w:val="19"/>
              </w:rPr>
              <w:t>yr</w:t>
            </w:r>
            <w:r>
              <w:rPr>
                <w:b/>
                <w:color w:val="008000"/>
                <w:spacing w:val="-10"/>
                <w:w w:val="110"/>
                <w:sz w:val="19"/>
              </w:rPr>
              <w:t> </w:t>
            </w:r>
            <w:r>
              <w:rPr>
                <w:b/>
                <w:color w:val="008000"/>
                <w:spacing w:val="-4"/>
                <w:w w:val="110"/>
                <w:sz w:val="19"/>
              </w:rPr>
              <w:t>fixed</w:t>
              <w:tab/>
            </w:r>
            <w:r>
              <w:rPr>
                <w:b/>
                <w:w w:val="110"/>
                <w:position w:val="5"/>
                <w:sz w:val="16"/>
              </w:rPr>
              <w:t>30</w:t>
            </w:r>
          </w:p>
          <w:p>
            <w:pPr>
              <w:pStyle w:val="TableParagraph"/>
              <w:spacing w:before="8"/>
              <w:rPr>
                <w:sz w:val="19"/>
              </w:rPr>
            </w:pPr>
          </w:p>
          <w:p>
            <w:pPr>
              <w:pStyle w:val="TableParagraph"/>
              <w:spacing w:before="1"/>
              <w:ind w:right="462"/>
              <w:jc w:val="right"/>
              <w:rPr>
                <w:b/>
                <w:sz w:val="16"/>
              </w:rPr>
            </w:pPr>
            <w:r>
              <w:rPr>
                <w:b/>
                <w:w w:val="110"/>
                <w:sz w:val="16"/>
              </w:rPr>
              <w:t>10</w:t>
            </w:r>
          </w:p>
          <w:p>
            <w:pPr>
              <w:pStyle w:val="TableParagraph"/>
              <w:spacing w:before="5"/>
              <w:rPr>
                <w:sz w:val="24"/>
              </w:rPr>
            </w:pPr>
          </w:p>
          <w:p>
            <w:pPr>
              <w:pStyle w:val="TableParagraph"/>
              <w:spacing w:line="160" w:lineRule="exact"/>
              <w:ind w:left="3253"/>
              <w:rPr>
                <w:b/>
                <w:sz w:val="16"/>
              </w:rPr>
            </w:pPr>
            <w:r>
              <w:rPr>
                <w:b/>
                <w:w w:val="110"/>
                <w:sz w:val="16"/>
              </w:rPr>
              <w:t>­10</w:t>
            </w:r>
          </w:p>
          <w:p>
            <w:pPr>
              <w:pStyle w:val="TableParagraph"/>
              <w:spacing w:line="194" w:lineRule="exact"/>
              <w:ind w:left="258"/>
              <w:rPr>
                <w:b/>
                <w:sz w:val="19"/>
              </w:rPr>
            </w:pPr>
            <w:r>
              <w:rPr>
                <w:b/>
                <w:color w:val="FF00FF"/>
                <w:w w:val="110"/>
                <w:sz w:val="19"/>
              </w:rPr>
              <w:t>2 yr fixed</w:t>
            </w:r>
          </w:p>
          <w:p>
            <w:pPr>
              <w:pStyle w:val="TableParagraph"/>
              <w:spacing w:before="98"/>
              <w:ind w:right="405"/>
              <w:jc w:val="right"/>
              <w:rPr>
                <w:b/>
                <w:sz w:val="16"/>
              </w:rPr>
            </w:pPr>
            <w:r>
              <w:rPr>
                <w:b/>
                <w:w w:val="105"/>
                <w:sz w:val="16"/>
              </w:rPr>
              <w:t>­30</w:t>
            </w:r>
          </w:p>
          <w:p>
            <w:pPr>
              <w:pStyle w:val="TableParagraph"/>
              <w:spacing w:before="10"/>
              <w:rPr>
                <w:sz w:val="17"/>
              </w:rPr>
            </w:pPr>
          </w:p>
          <w:p>
            <w:pPr>
              <w:pStyle w:val="TableParagraph"/>
              <w:tabs>
                <w:tab w:pos="3253" w:val="left" w:leader="none"/>
              </w:tabs>
              <w:ind w:left="527"/>
              <w:rPr>
                <w:b/>
                <w:sz w:val="16"/>
              </w:rPr>
            </w:pPr>
            <w:r>
              <w:rPr>
                <w:b/>
                <w:color w:val="00CCFF"/>
                <w:spacing w:val="-7"/>
                <w:w w:val="110"/>
                <w:sz w:val="19"/>
              </w:rPr>
              <w:t>Bank</w:t>
            </w:r>
            <w:r>
              <w:rPr>
                <w:b/>
                <w:color w:val="00CCFF"/>
                <w:spacing w:val="-8"/>
                <w:w w:val="110"/>
                <w:sz w:val="19"/>
              </w:rPr>
              <w:t> </w:t>
            </w:r>
            <w:r>
              <w:rPr>
                <w:b/>
                <w:color w:val="00CCFF"/>
                <w:spacing w:val="-10"/>
                <w:w w:val="110"/>
                <w:sz w:val="19"/>
              </w:rPr>
              <w:t>Rate</w:t>
            </w:r>
            <w:r>
              <w:rPr>
                <w:b/>
                <w:color w:val="00CCFF"/>
                <w:spacing w:val="-8"/>
                <w:w w:val="110"/>
                <w:sz w:val="19"/>
              </w:rPr>
              <w:t> </w:t>
            </w:r>
            <w:r>
              <w:rPr>
                <w:b/>
                <w:color w:val="00CCFF"/>
                <w:spacing w:val="-6"/>
                <w:w w:val="110"/>
                <w:sz w:val="19"/>
              </w:rPr>
              <w:t>Tracker</w:t>
              <w:tab/>
            </w:r>
            <w:r>
              <w:rPr>
                <w:b/>
                <w:w w:val="110"/>
                <w:position w:val="-4"/>
                <w:sz w:val="16"/>
              </w:rPr>
              <w:t>­50</w:t>
            </w:r>
          </w:p>
          <w:p>
            <w:pPr>
              <w:pStyle w:val="TableParagraph"/>
              <w:spacing w:before="3"/>
              <w:rPr>
                <w:sz w:val="24"/>
              </w:rPr>
            </w:pPr>
          </w:p>
          <w:p>
            <w:pPr>
              <w:pStyle w:val="TableParagraph"/>
              <w:spacing w:before="1"/>
              <w:ind w:left="3253"/>
              <w:rPr>
                <w:b/>
                <w:sz w:val="16"/>
              </w:rPr>
            </w:pPr>
            <w:r>
              <w:rPr>
                <w:b/>
                <w:w w:val="110"/>
                <w:sz w:val="16"/>
              </w:rPr>
              <w:t>­70</w:t>
            </w:r>
          </w:p>
          <w:p>
            <w:pPr>
              <w:pStyle w:val="TableParagraph"/>
              <w:tabs>
                <w:tab w:pos="709" w:val="left" w:leader="none"/>
                <w:tab w:pos="1304" w:val="left" w:leader="none"/>
                <w:tab w:pos="1890" w:val="left" w:leader="none"/>
                <w:tab w:pos="2490" w:val="left" w:leader="none"/>
              </w:tabs>
              <w:spacing w:before="32"/>
              <w:ind w:left="123"/>
              <w:rPr>
                <w:b/>
                <w:sz w:val="16"/>
              </w:rPr>
            </w:pPr>
            <w:r>
              <w:rPr>
                <w:b/>
                <w:w w:val="110"/>
                <w:sz w:val="16"/>
              </w:rPr>
              <w:t>2003</w:t>
              <w:tab/>
              <w:t>2004</w:t>
              <w:tab/>
            </w:r>
            <w:r>
              <w:rPr>
                <w:b/>
                <w:spacing w:val="3"/>
                <w:w w:val="110"/>
                <w:sz w:val="16"/>
              </w:rPr>
              <w:t>2005</w:t>
              <w:tab/>
            </w:r>
            <w:r>
              <w:rPr>
                <w:b/>
                <w:w w:val="110"/>
                <w:sz w:val="16"/>
              </w:rPr>
              <w:t>2006</w:t>
              <w:tab/>
              <w:t>2007</w:t>
            </w:r>
          </w:p>
        </w:tc>
      </w:tr>
    </w:tbl>
    <w:p>
      <w:pPr>
        <w:pStyle w:val="BodyText"/>
        <w:rPr>
          <w:sz w:val="20"/>
        </w:rPr>
      </w:pPr>
      <w:r>
        <w:rPr/>
        <w:drawing>
          <wp:anchor distT="0" distB="0" distL="0" distR="0" allowOverlap="1" layoutInCell="1" locked="0" behindDoc="1" simplePos="0" relativeHeight="250541056">
            <wp:simplePos x="0" y="0"/>
            <wp:positionH relativeFrom="page">
              <wp:posOffset>736108</wp:posOffset>
            </wp:positionH>
            <wp:positionV relativeFrom="page">
              <wp:posOffset>1433872</wp:posOffset>
            </wp:positionV>
            <wp:extent cx="2591449" cy="1762125"/>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2591449" cy="1762125"/>
                    </a:xfrm>
                    <a:prstGeom prst="rect">
                      <a:avLst/>
                    </a:prstGeom>
                  </pic:spPr>
                </pic:pic>
              </a:graphicData>
            </a:graphic>
          </wp:anchor>
        </w:drawing>
      </w:r>
      <w:r>
        <w:rPr/>
        <w:drawing>
          <wp:anchor distT="0" distB="0" distL="0" distR="0" allowOverlap="1" layoutInCell="1" locked="0" behindDoc="1" simplePos="0" relativeHeight="250542080">
            <wp:simplePos x="0" y="0"/>
            <wp:positionH relativeFrom="page">
              <wp:posOffset>3997543</wp:posOffset>
            </wp:positionH>
            <wp:positionV relativeFrom="page">
              <wp:posOffset>1417065</wp:posOffset>
            </wp:positionV>
            <wp:extent cx="2602426" cy="1838325"/>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2602426" cy="1838325"/>
                    </a:xfrm>
                    <a:prstGeom prst="rect">
                      <a:avLst/>
                    </a:prstGeom>
                  </pic:spPr>
                </pic:pic>
              </a:graphicData>
            </a:graphic>
          </wp:anchor>
        </w:drawing>
      </w:r>
      <w:r>
        <w:rPr/>
        <w:drawing>
          <wp:anchor distT="0" distB="0" distL="0" distR="0" allowOverlap="1" layoutInCell="1" locked="0" behindDoc="1" simplePos="0" relativeHeight="250543104">
            <wp:simplePos x="0" y="0"/>
            <wp:positionH relativeFrom="page">
              <wp:posOffset>797070</wp:posOffset>
            </wp:positionH>
            <wp:positionV relativeFrom="page">
              <wp:posOffset>5018402</wp:posOffset>
            </wp:positionV>
            <wp:extent cx="2523389" cy="1709737"/>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2523389" cy="1709737"/>
                    </a:xfrm>
                    <a:prstGeom prst="rect">
                      <a:avLst/>
                    </a:prstGeom>
                  </pic:spPr>
                </pic:pic>
              </a:graphicData>
            </a:graphic>
          </wp:anchor>
        </w:drawing>
      </w:r>
      <w:r>
        <w:rPr/>
        <w:drawing>
          <wp:anchor distT="0" distB="0" distL="0" distR="0" allowOverlap="1" layoutInCell="1" locked="0" behindDoc="1" simplePos="0" relativeHeight="250544128">
            <wp:simplePos x="0" y="0"/>
            <wp:positionH relativeFrom="page">
              <wp:posOffset>3896957</wp:posOffset>
            </wp:positionH>
            <wp:positionV relativeFrom="page">
              <wp:posOffset>4859902</wp:posOffset>
            </wp:positionV>
            <wp:extent cx="2690395" cy="1914525"/>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4" cstate="print"/>
                    <a:stretch>
                      <a:fillRect/>
                    </a:stretch>
                  </pic:blipFill>
                  <pic:spPr>
                    <a:xfrm>
                      <a:off x="0" y="0"/>
                      <a:ext cx="2690395" cy="1914525"/>
                    </a:xfrm>
                    <a:prstGeom prst="rect">
                      <a:avLst/>
                    </a:prstGeom>
                  </pic:spPr>
                </pic:pic>
              </a:graphicData>
            </a:graphic>
          </wp:anchor>
        </w:drawing>
      </w:r>
    </w:p>
    <w:p>
      <w:pPr>
        <w:pStyle w:val="BodyText"/>
        <w:rPr>
          <w:sz w:val="20"/>
        </w:rPr>
      </w:pPr>
    </w:p>
    <w:p>
      <w:pPr>
        <w:pStyle w:val="BodyText"/>
        <w:rPr>
          <w:sz w:val="20"/>
        </w:rPr>
      </w:pPr>
    </w:p>
    <w:p>
      <w:pPr>
        <w:pStyle w:val="BodyText"/>
        <w:spacing w:before="8"/>
        <w:rPr>
          <w:sz w:val="12"/>
        </w:r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7"/>
        <w:gridCol w:w="1389"/>
        <w:gridCol w:w="2797"/>
        <w:gridCol w:w="778"/>
        <w:gridCol w:w="615"/>
        <w:gridCol w:w="495"/>
        <w:gridCol w:w="668"/>
        <w:gridCol w:w="2847"/>
      </w:tblGrid>
      <w:tr>
        <w:trPr>
          <w:trHeight w:val="551" w:hRule="atLeast"/>
        </w:trPr>
        <w:tc>
          <w:tcPr>
            <w:tcW w:w="4973" w:type="dxa"/>
            <w:gridSpan w:val="3"/>
          </w:tcPr>
          <w:p>
            <w:pPr>
              <w:pStyle w:val="TableParagraph"/>
              <w:spacing w:line="267" w:lineRule="exact"/>
              <w:ind w:left="110"/>
              <w:rPr>
                <w:sz w:val="24"/>
              </w:rPr>
            </w:pPr>
            <w:r>
              <w:rPr>
                <w:sz w:val="24"/>
              </w:rPr>
              <w:t>Chart 3: Financial and housing wealth to income</w:t>
            </w:r>
          </w:p>
          <w:p>
            <w:pPr>
              <w:pStyle w:val="TableParagraph"/>
              <w:spacing w:line="265" w:lineRule="exact"/>
              <w:ind w:left="110"/>
              <w:rPr>
                <w:sz w:val="24"/>
              </w:rPr>
            </w:pPr>
            <w:r>
              <w:rPr>
                <w:sz w:val="24"/>
              </w:rPr>
              <w:t>ratios</w:t>
            </w:r>
          </w:p>
        </w:tc>
        <w:tc>
          <w:tcPr>
            <w:tcW w:w="5403" w:type="dxa"/>
            <w:gridSpan w:val="5"/>
          </w:tcPr>
          <w:p>
            <w:pPr>
              <w:pStyle w:val="TableParagraph"/>
              <w:spacing w:line="268" w:lineRule="exact"/>
              <w:ind w:left="57"/>
              <w:rPr>
                <w:sz w:val="24"/>
              </w:rPr>
            </w:pPr>
            <w:r>
              <w:rPr>
                <w:sz w:val="24"/>
              </w:rPr>
              <w:t>Chart 4: Secured and unsecured lending growth</w:t>
            </w:r>
          </w:p>
        </w:tc>
      </w:tr>
      <w:tr>
        <w:trPr>
          <w:trHeight w:val="4420" w:hRule="atLeast"/>
        </w:trPr>
        <w:tc>
          <w:tcPr>
            <w:tcW w:w="787" w:type="dxa"/>
            <w:tcBorders>
              <w:right w:val="nil"/>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41"/>
              <w:ind w:left="326"/>
              <w:rPr>
                <w:sz w:val="20"/>
              </w:rPr>
            </w:pPr>
            <w:r>
              <w:rPr>
                <w:sz w:val="20"/>
              </w:rPr>
              <w:t>1989</w:t>
            </w:r>
          </w:p>
        </w:tc>
        <w:tc>
          <w:tcPr>
            <w:tcW w:w="1389" w:type="dxa"/>
            <w:tcBorders>
              <w:left w:val="nil"/>
              <w:right w:val="nil"/>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38"/>
              <w:ind w:left="20"/>
              <w:jc w:val="center"/>
              <w:rPr>
                <w:b/>
                <w:sz w:val="20"/>
              </w:rPr>
            </w:pPr>
            <w:r>
              <w:rPr>
                <w:b/>
                <w:color w:val="FF00FF"/>
                <w:sz w:val="20"/>
              </w:rPr>
              <w:t>Total financial</w:t>
            </w: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3"/>
              <w:rPr>
                <w:sz w:val="24"/>
              </w:rPr>
            </w:pPr>
          </w:p>
          <w:p>
            <w:pPr>
              <w:pStyle w:val="TableParagraph"/>
              <w:tabs>
                <w:tab w:pos="651" w:val="left" w:leader="none"/>
              </w:tabs>
              <w:ind w:left="12"/>
              <w:jc w:val="center"/>
              <w:rPr>
                <w:sz w:val="20"/>
              </w:rPr>
            </w:pPr>
            <w:r>
              <w:rPr>
                <w:sz w:val="20"/>
              </w:rPr>
              <w:t>1992</w:t>
              <w:tab/>
              <w:t>1995</w:t>
            </w:r>
          </w:p>
        </w:tc>
        <w:tc>
          <w:tcPr>
            <w:tcW w:w="2797" w:type="dxa"/>
            <w:tcBorders>
              <w:left w:val="nil"/>
            </w:tcBorders>
          </w:tcPr>
          <w:p>
            <w:pPr>
              <w:pStyle w:val="TableParagraph"/>
              <w:spacing w:before="3"/>
              <w:rPr>
                <w:sz w:val="20"/>
              </w:rPr>
            </w:pPr>
          </w:p>
          <w:p>
            <w:pPr>
              <w:pStyle w:val="TableParagraph"/>
              <w:spacing w:line="221" w:lineRule="exact"/>
              <w:ind w:right="316"/>
              <w:jc w:val="right"/>
              <w:rPr>
                <w:sz w:val="20"/>
              </w:rPr>
            </w:pPr>
            <w:r>
              <w:rPr>
                <w:sz w:val="20"/>
              </w:rPr>
              <w:t>Per</w:t>
            </w:r>
            <w:r>
              <w:rPr>
                <w:spacing w:val="5"/>
                <w:sz w:val="20"/>
              </w:rPr>
              <w:t> </w:t>
            </w:r>
            <w:r>
              <w:rPr>
                <w:sz w:val="20"/>
              </w:rPr>
              <w:t>cent</w:t>
            </w:r>
          </w:p>
          <w:p>
            <w:pPr>
              <w:pStyle w:val="TableParagraph"/>
              <w:spacing w:line="221" w:lineRule="exact"/>
              <w:ind w:right="290"/>
              <w:jc w:val="right"/>
              <w:rPr>
                <w:sz w:val="20"/>
              </w:rPr>
            </w:pPr>
            <w:r>
              <w:rPr>
                <w:w w:val="100"/>
                <w:sz w:val="20"/>
              </w:rPr>
              <w:t>6</w:t>
            </w:r>
          </w:p>
          <w:p>
            <w:pPr>
              <w:pStyle w:val="TableParagraph"/>
              <w:spacing w:before="3"/>
              <w:rPr>
                <w:sz w:val="19"/>
              </w:rPr>
            </w:pPr>
          </w:p>
          <w:p>
            <w:pPr>
              <w:pStyle w:val="TableParagraph"/>
              <w:ind w:right="290"/>
              <w:jc w:val="right"/>
              <w:rPr>
                <w:sz w:val="20"/>
              </w:rPr>
            </w:pPr>
            <w:r>
              <w:rPr>
                <w:w w:val="100"/>
                <w:sz w:val="20"/>
              </w:rPr>
              <w:t>5</w:t>
            </w:r>
          </w:p>
          <w:p>
            <w:pPr>
              <w:pStyle w:val="TableParagraph"/>
              <w:spacing w:before="5"/>
              <w:rPr>
                <w:sz w:val="18"/>
              </w:rPr>
            </w:pPr>
          </w:p>
          <w:p>
            <w:pPr>
              <w:pStyle w:val="TableParagraph"/>
              <w:tabs>
                <w:tab w:pos="878" w:val="left" w:leader="none"/>
              </w:tabs>
              <w:ind w:right="290"/>
              <w:jc w:val="right"/>
              <w:rPr>
                <w:sz w:val="20"/>
              </w:rPr>
            </w:pPr>
            <w:r>
              <w:rPr>
                <w:w w:val="100"/>
                <w:sz w:val="20"/>
                <w:u w:val="thick" w:color="FF00FF"/>
              </w:rPr>
              <w:t> </w:t>
            </w:r>
            <w:r>
              <w:rPr>
                <w:sz w:val="20"/>
                <w:u w:val="thick" w:color="FF00FF"/>
              </w:rPr>
              <w:t> </w:t>
            </w:r>
            <w:r>
              <w:rPr>
                <w:spacing w:val="4"/>
                <w:sz w:val="20"/>
                <w:u w:val="thick" w:color="FF00FF"/>
              </w:rPr>
              <w:t> </w:t>
            </w:r>
            <w:r>
              <w:rPr>
                <w:sz w:val="20"/>
              </w:rPr>
              <w:tab/>
              <w:t>4</w:t>
            </w:r>
          </w:p>
          <w:p>
            <w:pPr>
              <w:pStyle w:val="TableParagraph"/>
              <w:spacing w:before="7"/>
              <w:rPr>
                <w:sz w:val="19"/>
              </w:rPr>
            </w:pPr>
          </w:p>
          <w:p>
            <w:pPr>
              <w:pStyle w:val="TableParagraph"/>
              <w:ind w:right="290"/>
              <w:jc w:val="right"/>
              <w:rPr>
                <w:sz w:val="20"/>
              </w:rPr>
            </w:pPr>
            <w:r>
              <w:rPr>
                <w:w w:val="100"/>
                <w:sz w:val="20"/>
              </w:rPr>
              <w:t>3</w:t>
            </w:r>
          </w:p>
          <w:p>
            <w:pPr>
              <w:pStyle w:val="TableParagraph"/>
              <w:spacing w:before="5"/>
              <w:rPr>
                <w:sz w:val="18"/>
              </w:rPr>
            </w:pPr>
          </w:p>
          <w:p>
            <w:pPr>
              <w:pStyle w:val="TableParagraph"/>
              <w:spacing w:line="194" w:lineRule="exact"/>
              <w:ind w:left="2398"/>
              <w:rPr>
                <w:sz w:val="20"/>
              </w:rPr>
            </w:pPr>
            <w:r>
              <w:rPr>
                <w:w w:val="100"/>
                <w:sz w:val="20"/>
              </w:rPr>
              <w:t>2</w:t>
            </w:r>
          </w:p>
          <w:p>
            <w:pPr>
              <w:pStyle w:val="TableParagraph"/>
              <w:spacing w:line="194" w:lineRule="exact"/>
              <w:ind w:left="79"/>
              <w:rPr>
                <w:b/>
                <w:sz w:val="20"/>
              </w:rPr>
            </w:pPr>
            <w:r>
              <w:rPr>
                <w:b/>
                <w:color w:val="000080"/>
                <w:sz w:val="20"/>
              </w:rPr>
              <w:t>Net financial wealth</w:t>
            </w:r>
          </w:p>
          <w:p>
            <w:pPr>
              <w:pStyle w:val="TableParagraph"/>
              <w:spacing w:before="68"/>
              <w:ind w:left="2398"/>
              <w:rPr>
                <w:sz w:val="20"/>
              </w:rPr>
            </w:pPr>
            <w:r>
              <w:rPr>
                <w:w w:val="100"/>
                <w:sz w:val="20"/>
              </w:rPr>
              <w:t>1</w:t>
            </w:r>
          </w:p>
          <w:p>
            <w:pPr>
              <w:pStyle w:val="TableParagraph"/>
              <w:spacing w:before="6"/>
              <w:rPr>
                <w:sz w:val="17"/>
              </w:rPr>
            </w:pPr>
          </w:p>
          <w:p>
            <w:pPr>
              <w:pStyle w:val="TableParagraph"/>
              <w:ind w:left="2398"/>
              <w:rPr>
                <w:sz w:val="20"/>
              </w:rPr>
            </w:pPr>
            <w:r>
              <w:rPr>
                <w:w w:val="100"/>
                <w:sz w:val="20"/>
              </w:rPr>
              <w:t>0</w:t>
            </w:r>
          </w:p>
          <w:p>
            <w:pPr>
              <w:pStyle w:val="TableParagraph"/>
              <w:tabs>
                <w:tab w:pos="679" w:val="left" w:leader="none"/>
                <w:tab w:pos="1313" w:val="left" w:leader="none"/>
                <w:tab w:pos="1951" w:val="left" w:leader="none"/>
              </w:tabs>
              <w:spacing w:before="77"/>
              <w:ind w:left="46"/>
              <w:rPr>
                <w:sz w:val="20"/>
              </w:rPr>
            </w:pPr>
            <w:r>
              <w:rPr>
                <w:sz w:val="20"/>
              </w:rPr>
              <w:t>1998</w:t>
              <w:tab/>
              <w:t>2001</w:t>
              <w:tab/>
              <w:t>2004</w:t>
              <w:tab/>
              <w:t>2007</w:t>
            </w:r>
          </w:p>
        </w:tc>
        <w:tc>
          <w:tcPr>
            <w:tcW w:w="778" w:type="dxa"/>
            <w:tcBorders>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23"/>
              </w:rPr>
            </w:pPr>
          </w:p>
          <w:p>
            <w:pPr>
              <w:pStyle w:val="TableParagraph"/>
              <w:ind w:left="301"/>
              <w:rPr>
                <w:sz w:val="19"/>
              </w:rPr>
            </w:pPr>
            <w:r>
              <w:rPr>
                <w:sz w:val="19"/>
              </w:rPr>
              <w:t>2001</w:t>
            </w:r>
          </w:p>
        </w:tc>
        <w:tc>
          <w:tcPr>
            <w:tcW w:w="615" w:type="dxa"/>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23"/>
              </w:rPr>
            </w:pPr>
          </w:p>
          <w:p>
            <w:pPr>
              <w:pStyle w:val="TableParagraph"/>
              <w:ind w:left="148"/>
              <w:rPr>
                <w:sz w:val="19"/>
              </w:rPr>
            </w:pPr>
            <w:r>
              <w:rPr>
                <w:sz w:val="19"/>
              </w:rPr>
              <w:t>2002</w:t>
            </w:r>
          </w:p>
        </w:tc>
        <w:tc>
          <w:tcPr>
            <w:tcW w:w="495" w:type="dxa"/>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23"/>
              </w:rPr>
            </w:pPr>
          </w:p>
          <w:p>
            <w:pPr>
              <w:pStyle w:val="TableParagraph"/>
              <w:ind w:left="147"/>
              <w:rPr>
                <w:sz w:val="19"/>
              </w:rPr>
            </w:pPr>
            <w:r>
              <w:rPr>
                <w:spacing w:val="-9"/>
                <w:w w:val="95"/>
                <w:sz w:val="19"/>
              </w:rPr>
              <w:t>2003</w:t>
            </w:r>
          </w:p>
        </w:tc>
        <w:tc>
          <w:tcPr>
            <w:tcW w:w="668" w:type="dxa"/>
            <w:tcBorders>
              <w:left w:val="nil"/>
              <w:righ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09"/>
              <w:ind w:left="22"/>
              <w:rPr>
                <w:b/>
                <w:sz w:val="16"/>
              </w:rPr>
            </w:pPr>
            <w:r>
              <w:rPr>
                <w:b/>
                <w:color w:val="339933"/>
                <w:sz w:val="16"/>
              </w:rPr>
              <w:t>Total</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5"/>
              <w:rPr>
                <w:sz w:val="26"/>
              </w:rPr>
            </w:pPr>
          </w:p>
          <w:p>
            <w:pPr>
              <w:pStyle w:val="TableParagraph"/>
              <w:ind w:left="271"/>
              <w:rPr>
                <w:sz w:val="19"/>
              </w:rPr>
            </w:pPr>
            <w:r>
              <w:rPr>
                <w:sz w:val="19"/>
              </w:rPr>
              <w:t>2004</w:t>
            </w:r>
          </w:p>
        </w:tc>
        <w:tc>
          <w:tcPr>
            <w:tcW w:w="2847" w:type="dxa"/>
            <w:tcBorders>
              <w:left w:val="nil"/>
            </w:tcBorders>
          </w:tcPr>
          <w:p>
            <w:pPr>
              <w:pStyle w:val="TableParagraph"/>
              <w:spacing w:before="210"/>
              <w:ind w:right="466"/>
              <w:jc w:val="right"/>
              <w:rPr>
                <w:sz w:val="19"/>
              </w:rPr>
            </w:pPr>
            <w:r>
              <w:rPr>
                <w:sz w:val="16"/>
              </w:rPr>
              <w:t>Percentage changes oya </w:t>
            </w:r>
            <w:r>
              <w:rPr>
                <w:spacing w:val="16"/>
                <w:sz w:val="16"/>
              </w:rPr>
              <w:t> </w:t>
            </w:r>
            <w:r>
              <w:rPr>
                <w:spacing w:val="-5"/>
                <w:position w:val="3"/>
                <w:sz w:val="19"/>
              </w:rPr>
              <w:t>20</w:t>
            </w:r>
          </w:p>
          <w:p>
            <w:pPr>
              <w:pStyle w:val="TableParagraph"/>
              <w:rPr>
                <w:sz w:val="24"/>
              </w:rPr>
            </w:pPr>
          </w:p>
          <w:p>
            <w:pPr>
              <w:pStyle w:val="TableParagraph"/>
              <w:spacing w:before="2"/>
              <w:rPr>
                <w:sz w:val="20"/>
              </w:rPr>
            </w:pPr>
          </w:p>
          <w:p>
            <w:pPr>
              <w:pStyle w:val="TableParagraph"/>
              <w:ind w:right="466"/>
              <w:jc w:val="right"/>
              <w:rPr>
                <w:sz w:val="19"/>
              </w:rPr>
            </w:pPr>
            <w:r>
              <w:rPr>
                <w:spacing w:val="-6"/>
                <w:w w:val="95"/>
                <w:sz w:val="19"/>
              </w:rPr>
              <w:t>16</w:t>
            </w:r>
          </w:p>
          <w:p>
            <w:pPr>
              <w:pStyle w:val="TableParagraph"/>
              <w:tabs>
                <w:tab w:pos="2373" w:val="right" w:leader="none"/>
              </w:tabs>
              <w:spacing w:before="491"/>
              <w:ind w:left="1139"/>
              <w:rPr>
                <w:sz w:val="19"/>
              </w:rPr>
            </w:pPr>
            <w:r>
              <w:rPr>
                <w:b/>
                <w:color w:val="333399"/>
                <w:spacing w:val="3"/>
                <w:sz w:val="16"/>
              </w:rPr>
              <w:t>Secured</w:t>
              <w:tab/>
            </w:r>
            <w:r>
              <w:rPr>
                <w:spacing w:val="-5"/>
                <w:position w:val="-7"/>
                <w:sz w:val="19"/>
              </w:rPr>
              <w:t>12</w:t>
            </w:r>
          </w:p>
          <w:p>
            <w:pPr>
              <w:pStyle w:val="TableParagraph"/>
              <w:rPr>
                <w:sz w:val="26"/>
              </w:rPr>
            </w:pPr>
          </w:p>
          <w:p>
            <w:pPr>
              <w:pStyle w:val="TableParagraph"/>
              <w:spacing w:before="219"/>
              <w:ind w:right="548"/>
              <w:jc w:val="right"/>
              <w:rPr>
                <w:sz w:val="19"/>
              </w:rPr>
            </w:pPr>
            <w:r>
              <w:rPr>
                <w:w w:val="96"/>
                <w:sz w:val="19"/>
              </w:rPr>
              <w:t>8</w:t>
            </w:r>
          </w:p>
          <w:p>
            <w:pPr>
              <w:pStyle w:val="TableParagraph"/>
              <w:spacing w:before="141"/>
              <w:ind w:left="74"/>
              <w:rPr>
                <w:b/>
                <w:sz w:val="16"/>
              </w:rPr>
            </w:pPr>
            <w:r>
              <w:rPr>
                <w:b/>
                <w:color w:val="FF00FF"/>
                <w:sz w:val="16"/>
              </w:rPr>
              <w:t>Unsecured</w:t>
            </w:r>
          </w:p>
          <w:p>
            <w:pPr>
              <w:pStyle w:val="TableParagraph"/>
              <w:spacing w:before="8"/>
              <w:rPr>
                <w:sz w:val="18"/>
              </w:rPr>
            </w:pPr>
          </w:p>
          <w:p>
            <w:pPr>
              <w:pStyle w:val="TableParagraph"/>
              <w:ind w:left="2200"/>
              <w:rPr>
                <w:sz w:val="19"/>
              </w:rPr>
            </w:pPr>
            <w:r>
              <w:rPr>
                <w:w w:val="96"/>
                <w:sz w:val="19"/>
              </w:rPr>
              <w:t>4</w:t>
            </w:r>
          </w:p>
          <w:p>
            <w:pPr>
              <w:pStyle w:val="TableParagraph"/>
              <w:tabs>
                <w:tab w:pos="851" w:val="left" w:leader="none"/>
                <w:tab w:pos="1466" w:val="left" w:leader="none"/>
              </w:tabs>
              <w:spacing w:before="60"/>
              <w:ind w:left="218"/>
              <w:rPr>
                <w:sz w:val="19"/>
              </w:rPr>
            </w:pPr>
            <w:r>
              <w:rPr>
                <w:spacing w:val="-9"/>
                <w:sz w:val="19"/>
              </w:rPr>
              <w:t>2005</w:t>
              <w:tab/>
            </w:r>
            <w:r>
              <w:rPr>
                <w:spacing w:val="-10"/>
                <w:sz w:val="19"/>
              </w:rPr>
              <w:t>2006</w:t>
              <w:tab/>
              <w:t>2007</w:t>
            </w:r>
          </w:p>
        </w:tc>
      </w:tr>
    </w:tbl>
    <w:p>
      <w:pPr>
        <w:spacing w:after="0"/>
        <w:rPr>
          <w:sz w:val="19"/>
        </w:rPr>
        <w:sectPr>
          <w:pgSz w:w="11910" w:h="16840"/>
          <w:pgMar w:header="0" w:footer="697" w:top="1420" w:bottom="880" w:left="620" w:right="620"/>
        </w:sectPr>
      </w:pPr>
    </w:p>
    <w:p>
      <w:pPr>
        <w:pStyle w:val="BodyText"/>
        <w:spacing w:before="4"/>
        <w:rPr>
          <w:sz w:val="10"/>
        </w:rPr>
      </w:pPr>
      <w:r>
        <w:rPr/>
        <w:pict>
          <v:group style="position:absolute;margin-left:60.841393pt;margin-top:141.703979pt;width:196.45pt;height:146.8pt;mso-position-horizontal-relative:page;mso-position-vertical-relative:page;z-index:-252770304" coordorigin="1217,2834" coordsize="3929,2936">
            <v:shape style="position:absolute;left:5080;top:-41487;width:16360;height:12220" coordorigin="5080,-41486" coordsize="16360,12220" path="m5088,2836l5088,5717m5035,5717l5146,5717m5035,5237l5146,5237m5035,4757l5146,4757m5035,4277l5146,4277m5035,3797l5146,3797m5035,3316l5146,3316m5035,2836l5146,2836m1219,5717l5088,5717m1219,5769l1219,5717m1834,5769l1834,5717m2458,5769l2458,5717m3072,5769l3072,5717m3686,5769l3686,5717m4296,5769l4296,5717m4925,5769l4925,5717e" filled="false" stroked="true" strokeweight=".240005pt" strokecolor="#000000">
              <v:path arrowok="t"/>
              <v:stroke dashstyle="solid"/>
            </v:shape>
            <v:shape style="position:absolute;left:5120;top:-38427;width:2320;height:5760" coordorigin="5120,-38426" coordsize="2320,5760" path="m1229,4843l1272,4953m1272,4953l1330,4243m1330,4243l1387,4344m1387,4344l1430,4329m1430,4329l1488,4430m1488,4430l1531,4243m1531,4243l1584,4075m1584,4075l1642,3931m1642,3931l1685,3849m1685,3849l1742,3571m1742,3571l1786,3585e" filled="false" stroked="true" strokeweight=".480011pt" strokecolor="#000080">
              <v:path arrowok="t"/>
              <v:stroke dashstyle="solid"/>
            </v:shape>
            <v:line style="position:absolute" from="1814,2952" to="1814,3590" stroked="true" strokeweight="3.360077pt" strokecolor="#000080">
              <v:stroke dashstyle="solid"/>
            </v:line>
            <v:line style="position:absolute" from="1843,2956" to="1901,3652" stroked="true" strokeweight=".480011pt" strokecolor="#000080">
              <v:stroke dashstyle="solid"/>
            </v:line>
            <v:shape style="position:absolute;left:1896;top:3412;width:308;height:255" type="#_x0000_t75" stroked="false">
              <v:imagedata r:id="rId15" o:title=""/>
            </v:shape>
            <v:line style="position:absolute" from="2198,3652" to="2256,4099" stroked="true" strokeweight=".480011pt" strokecolor="#000080">
              <v:stroke dashstyle="solid"/>
            </v:line>
            <v:shape style="position:absolute;left:2256;top:3498;width:519;height:605" type="#_x0000_t75" stroked="false">
              <v:imagedata r:id="rId16" o:title=""/>
            </v:shape>
            <v:shape style="position:absolute;left:11540;top:-37487;width:9440;height:7620" coordorigin="11540,-37486" coordsize="9440,7620" path="m2770,3917l2827,4445m2827,4445l2870,4229m2870,4229l2923,3797m2923,3797l2971,3797m2971,3797l3024,3897m3024,3897l3082,4277m3082,4277l3125,4565m3125,4565l3182,4478m3182,4478l3226,4723m3226,4723l3283,5145m3283,5145l3336,4387m3336,4387l3384,5121m3384,5121l3437,5035m3437,5035l3485,5121m3485,5121l3538,5189m3538,5189l3595,4867m3595,4867l3638,4699m3638,4699l3696,4488m3696,4488l3739,4689m3739,4689l3797,4689m3797,4689l3850,4742m3850,4742l3898,4987m3898,4987l3950,4953m3950,4953l4008,4968m4008,4968l4051,5088m4051,5088l4109,4843m4109,4843l4152,5136m4152,5136l4210,5155m4210,5155l4262,4920m4262,4920l4310,5121m4310,5121l4363,5448m4363,5448l4411,5333m4411,5333l4464,5313m4464,5313l4522,5054m4522,5054l4565,4953m4565,4953l4623,4757m4623,4757l4666,4675m4666,4675l4723,4766m4723,4766l4776,5045m4776,5045l4824,5011m4824,5011l4877,5366m4877,5366l4925,5625m4925,5625l4978,5237m4978,5237l5035,5381e" filled="false" stroked="true" strokeweight=".480011pt" strokecolor="#000080">
              <v:path arrowok="t"/>
              <v:stroke dashstyle="solid"/>
            </v:shape>
            <w10:wrap type="none"/>
          </v:group>
        </w:pict>
      </w:r>
      <w:r>
        <w:rPr/>
        <w:pict>
          <v:group style="position:absolute;margin-left:98.642258pt;margin-top:383.749542pt;width:397.25pt;height:288.25pt;mso-position-horizontal-relative:page;mso-position-vertical-relative:page;z-index:-252769280" coordorigin="1973,7675" coordsize="7945,5765">
            <v:rect style="position:absolute;left:1972;top:7675;width:7945;height:5765" filled="true" fillcolor="#eaf1f3" stroked="false">
              <v:fill type="solid"/>
            </v:rect>
            <v:rect style="position:absolute;left:2760;top:7876;width:6961;height:4277" filled="true" fillcolor="#ffffff" stroked="false">
              <v:fill type="solid"/>
            </v:rect>
            <v:shape style="position:absolute;left:2760;top:8798;width:6961;height:2429" coordorigin="2760,8798" coordsize="6961,2429" path="m9720,11208l2760,11208,2760,11227,9720,11227,9720,11208m9720,10406l2760,10406,2760,10425,9720,10425,9720,10406m9720,9600l2760,9600,2760,9619,9720,9619,9720,9600m9720,8798l2760,8798,2760,8817,9720,8817,9720,8798e" filled="true" fillcolor="#eaf1f3" stroked="false">
              <v:path arrowok="t"/>
              <v:fill type="solid"/>
            </v:shape>
            <v:shape style="position:absolute;left:4627;top:9470;width:101;height:106" type="#_x0000_t75" stroked="false">
              <v:imagedata r:id="rId17" o:title=""/>
            </v:shape>
            <v:shape style="position:absolute;left:9413;top:9614;width:106;height:106" type="#_x0000_t75" stroked="false">
              <v:imagedata r:id="rId18" o:title=""/>
            </v:shape>
            <v:shape style="position:absolute;left:7497;top:8620;width:101;height:106" type="#_x0000_t75" stroked="false">
              <v:imagedata r:id="rId19" o:title=""/>
            </v:shape>
            <v:shape style="position:absolute;left:5289;top:9484;width:101;height:106" type="#_x0000_t75" stroked="false">
              <v:imagedata r:id="rId20" o:title=""/>
            </v:shape>
            <v:shape style="position:absolute;left:3076;top:8769;width:101;height:101" type="#_x0000_t75" stroked="false">
              <v:imagedata r:id="rId21" o:title=""/>
            </v:shape>
            <v:shape style="position:absolute;left:9129;top:11179;width:106;height:101" type="#_x0000_t75" stroked="false">
              <v:imagedata r:id="rId22" o:title=""/>
            </v:shape>
            <v:shape style="position:absolute;left:7344;top:10449;width:101;height:101" type="#_x0000_t75" stroked="false">
              <v:imagedata r:id="rId21" o:title=""/>
            </v:shape>
            <v:shape style="position:absolute;left:6955;top:10171;width:101;height:101" type="#_x0000_t75" stroked="false">
              <v:imagedata r:id="rId23" o:title=""/>
            </v:shape>
            <v:shape style="position:absolute;left:7608;top:9359;width:101;height:101" type="#_x0000_t75" stroked="false">
              <v:imagedata r:id="rId24" o:title=""/>
            </v:shape>
            <v:shape style="position:absolute;left:5832;top:9364;width:101;height:101" type="#_x0000_t75" stroked="false">
              <v:imagedata r:id="rId25" o:title=""/>
            </v:shape>
            <v:shape style="position:absolute;left:6292;top:9767;width:101;height:106" type="#_x0000_t75" stroked="false">
              <v:imagedata r:id="rId19" o:title=""/>
            </v:shape>
            <v:shape style="position:absolute;left:3412;top:8591;width:101;height:106" type="#_x0000_t75" stroked="false">
              <v:imagedata r:id="rId26" o:title=""/>
            </v:shape>
            <v:shape style="position:absolute;left:4948;top:10387;width:101;height:101" type="#_x0000_t75" stroked="false">
              <v:imagedata r:id="rId27" o:title=""/>
            </v:shape>
            <v:shape style="position:absolute;left:7315;top:10127;width:106;height:106" type="#_x0000_t75" stroked="false">
              <v:imagedata r:id="rId18" o:title=""/>
            </v:shape>
            <v:shape style="position:absolute;left:4982;top:9235;width:82;height:82" coordorigin="4983,9235" coordsize="82,82" path="m5021,9235l5007,9238,4995,9248,4986,9261,4983,9278,4986,9292,4995,9305,5007,9313,5021,9317,5038,9313,5052,9305,5061,9292,5064,9278,5061,9261,5052,9248,5038,9238,5021,9235xe" filled="true" fillcolor="#1a466e" stroked="false">
              <v:path arrowok="t"/>
              <v:fill type="solid"/>
            </v:shape>
            <v:shape style="position:absolute;left:4982;top:9235;width:82;height:82" coordorigin="4983,9235" coordsize="82,82" path="m5064,9278l5061,9261,5052,9248,5038,9238,5021,9235,5007,9238,4995,9248,4986,9261,4983,9278,4986,9292,4995,9305,5007,9313,5021,9317,5038,9313,5052,9305,5061,9292,5064,9278e" filled="false" stroked="true" strokeweight=".960022pt" strokecolor="#1a466e">
              <v:path arrowok="t"/>
              <v:stroke dashstyle="solid"/>
            </v:shape>
            <v:shape style="position:absolute;left:4531;top:8774;width:111;height:101" type="#_x0000_t75" stroked="false">
              <v:imagedata r:id="rId28" o:title=""/>
            </v:shape>
            <v:shape style="position:absolute;left:6163;top:10449;width:101;height:101" type="#_x0000_t75" stroked="false">
              <v:imagedata r:id="rId29" o:title=""/>
            </v:shape>
            <v:shape style="position:absolute;left:6576;top:8884;width:106;height:106" type="#_x0000_t75" stroked="false">
              <v:imagedata r:id="rId18" o:title=""/>
            </v:shape>
            <v:shape style="position:absolute;left:5092;top:9335;width:82;height:87" coordorigin="5093,9336" coordsize="82,87" path="m5131,9336l5117,9339,5105,9348,5096,9362,5093,9379,5096,9396,5106,9410,5119,9419,5136,9422,5150,9419,5163,9410,5171,9396,5175,9379,5171,9362,5162,9348,5148,9339,5131,9336xe" filled="true" fillcolor="#1a466e" stroked="false">
              <v:path arrowok="t"/>
              <v:fill type="solid"/>
            </v:shape>
            <v:shape style="position:absolute;left:5092;top:9335;width:82;height:87" coordorigin="5093,9336" coordsize="82,87" path="m5175,9379l5171,9362,5162,9348,5148,9339,5131,9336,5117,9339,5105,9348,5096,9362,5093,9379,5096,9396,5106,9410,5119,9419,5136,9422,5150,9419,5163,9410,5171,9396,5175,9379e" filled="false" stroked="true" strokeweight=".960022pt" strokecolor="#1a466e">
              <v:path arrowok="t"/>
              <v:stroke dashstyle="solid"/>
            </v:shape>
            <v:shape style="position:absolute;left:6096;top:9695;width:106;height:106" type="#_x0000_t75" stroked="false">
              <v:imagedata r:id="rId18" o:title=""/>
            </v:shape>
            <v:shape style="position:absolute;left:6211;top:10185;width:106;height:106" type="#_x0000_t75" stroked="false">
              <v:imagedata r:id="rId18" o:title=""/>
            </v:shape>
            <v:shape style="position:absolute;left:4041;top:8654;width:106;height:101" type="#_x0000_t75" stroked="false">
              <v:imagedata r:id="rId30" o:title=""/>
            </v:shape>
            <v:shape style="position:absolute;left:4516;top:8582;width:106;height:101" type="#_x0000_t75" stroked="false">
              <v:imagedata r:id="rId31" o:title=""/>
            </v:shape>
            <v:shape style="position:absolute;left:5534;top:9878;width:106;height:101" type="#_x0000_t75" stroked="false">
              <v:imagedata r:id="rId32" o:title=""/>
            </v:shape>
            <v:shape style="position:absolute;left:4732;top:8961;width:101;height:106" type="#_x0000_t75" stroked="false">
              <v:imagedata r:id="rId17" o:title=""/>
            </v:shape>
            <v:shape style="position:absolute;left:5587;top:8620;width:106;height:106" type="#_x0000_t75" stroked="false">
              <v:imagedata r:id="rId18" o:title=""/>
            </v:shape>
            <v:shape style="position:absolute;left:5323;top:10252;width:106;height:106" type="#_x0000_t75" stroked="false">
              <v:imagedata r:id="rId18" o:title=""/>
            </v:shape>
            <v:shape style="position:absolute;left:5121;top:10137;width:101;height:106" type="#_x0000_t75" stroked="false">
              <v:imagedata r:id="rId33" o:title=""/>
            </v:shape>
            <v:shape style="position:absolute;left:3614;top:9633;width:87;height:87" coordorigin="3614,9633" coordsize="87,87" path="m3658,9633l3641,9637,3627,9646,3618,9660,3614,9677,3618,9694,3627,9707,3641,9716,3658,9720,3675,9716,3688,9707,3698,9694,3701,9677,3698,9660,3688,9646,3675,9637,3658,9633xe" filled="true" fillcolor="#1a466e" stroked="false">
              <v:path arrowok="t"/>
              <v:fill type="solid"/>
            </v:shape>
            <v:shape style="position:absolute;left:3614;top:9633;width:87;height:87" coordorigin="3614,9633" coordsize="87,87" path="m3701,9677l3698,9660,3688,9646,3675,9637,3658,9633,3641,9637,3627,9646,3618,9660,3614,9677,3618,9694,3627,9707,3641,9716,3658,9720,3675,9716,3688,9707,3698,9694,3701,9677e" filled="false" stroked="true" strokeweight=".960022pt" strokecolor="#1a466e">
              <v:path arrowok="t"/>
              <v:stroke dashstyle="solid"/>
            </v:shape>
            <v:shape style="position:absolute;left:5774;top:10089;width:101;height:101" type="#_x0000_t75" stroked="false">
              <v:imagedata r:id="rId34" o:title=""/>
            </v:shape>
            <v:shape style="position:absolute;left:3720;top:9695;width:87;height:87" coordorigin="3720,9696" coordsize="87,87" path="m3763,9696l3746,9699,3733,9708,3723,9722,3720,9739,3723,9756,3733,9770,3746,9779,3763,9782,3780,9779,3794,9770,3803,9756,3806,9739,3803,9722,3794,9708,3780,9699,3763,9696xe" filled="true" fillcolor="#1a466e" stroked="false">
              <v:path arrowok="t"/>
              <v:fill type="solid"/>
            </v:shape>
            <v:shape style="position:absolute;left:3720;top:9695;width:87;height:87" coordorigin="3720,9696" coordsize="87,87" path="m3806,9739l3803,9722,3794,9708,3780,9699,3763,9696,3746,9699,3733,9708,3723,9722,3720,9739,3723,9756,3733,9770,3746,9779,3763,9782,3780,9779,3794,9770,3803,9756,3806,9739e" filled="false" stroked="true" strokeweight=".960022pt" strokecolor="#1a466e">
              <v:path arrowok="t"/>
              <v:stroke dashstyle="solid"/>
            </v:shape>
            <v:shape style="position:absolute;left:13040;top:-15467;width:26400;height:5380" coordorigin="13040,-15466" coordsize="26400,5380" path="m3130,9081l6298,9725m6298,9725l9466,10373e" filled="false" stroked="true" strokeweight=".960022pt" strokecolor="#90353a">
              <v:path arrowok="t"/>
              <v:stroke dashstyle="solid"/>
            </v:shape>
            <v:shape style="position:absolute;left:11160;top:-20487;width:29340;height:18160" coordorigin="11160,-20486" coordsize="29340,18160" path="m2760,12153l2760,7877m2760,11217l2678,11217m2760,10416l2678,10416m2760,9609l2678,9609m2760,8808l2678,8808m2760,12153l9720,12153m2885,12153l2885,12235m5122,12153l5122,12235m7359,12153l7359,12235m9595,12153l9595,12235e" filled="false" stroked="true" strokeweight=".480011pt" strokecolor="#000000">
              <v:path arrowok="t"/>
              <v:stroke dashstyle="solid"/>
            </v:shape>
            <v:rect style="position:absolute;left:3345;top:12801;width:5780;height:375" filled="true" fillcolor="#ffffff" stroked="false">
              <v:fill type="solid"/>
            </v:rect>
            <v:rect style="position:absolute;left:3345;top:12801;width:5780;height:375" filled="false" stroked="true" strokeweight=".480011pt" strokecolor="#000000">
              <v:stroke dashstyle="solid"/>
            </v:rect>
            <v:shape style="position:absolute;left:3422;top:12935;width:106;height:106" type="#_x0000_t75" stroked="false">
              <v:imagedata r:id="rId18" o:title=""/>
            </v:shape>
            <v:line style="position:absolute" from="6999,12989" to="7747,12989" stroked="true" strokeweight=".960022pt" strokecolor="#90353a">
              <v:stroke dashstyle="solid"/>
            </v:line>
            <w10:wrap type="none"/>
          </v:group>
        </w:pict>
      </w:r>
      <w:r>
        <w:rPr/>
        <w:pict>
          <v:shape style="position:absolute;margin-left:108.272552pt;margin-top:423.473969pt;width:13.25pt;height:154.5pt;mso-position-horizontal-relative:page;mso-position-vertical-relative:page;z-index:-252768256" type="#_x0000_t202" filled="false" stroked="false">
            <v:textbox inset="0,0,0,0" style="layout-flow:vertical;mso-layout-flow-alt:bottom-to-top">
              <w:txbxContent>
                <w:p>
                  <w:pPr>
                    <w:spacing w:before="14"/>
                    <w:ind w:left="20" w:right="0" w:firstLine="0"/>
                    <w:jc w:val="left"/>
                    <w:rPr>
                      <w:rFonts w:ascii="Arial"/>
                      <w:sz w:val="20"/>
                    </w:rPr>
                  </w:pPr>
                  <w:r>
                    <w:rPr>
                      <w:rFonts w:ascii="Arial"/>
                      <w:sz w:val="20"/>
                    </w:rPr>
                    <w:t>Unexplained Consumption growth</w:t>
                  </w:r>
                </w:p>
              </w:txbxContent>
            </v:textbox>
            <w10:wrap type="none"/>
          </v:shape>
        </w:pict>
      </w:r>
      <w:r>
        <w:rPr/>
        <w:pict>
          <v:shape style="position:absolute;margin-left:119.552551pt;margin-top:555.477417pt;width:13.25pt;height:11pt;mso-position-horizontal-relative:page;mso-position-vertical-relative:page;z-index:-252767232" type="#_x0000_t202" filled="false" stroked="false">
            <v:textbox inset="0,0,0,0" style="layout-flow:vertical;mso-layout-flow-alt:bottom-to-top">
              <w:txbxContent>
                <w:p>
                  <w:pPr>
                    <w:spacing w:before="14"/>
                    <w:ind w:left="20" w:right="0" w:firstLine="0"/>
                    <w:jc w:val="left"/>
                    <w:rPr>
                      <w:rFonts w:ascii="Arial" w:hAnsi="Arial"/>
                      <w:sz w:val="20"/>
                    </w:rPr>
                  </w:pPr>
                  <w:r>
                    <w:rPr>
                      <w:rFonts w:ascii="Arial" w:hAnsi="Arial"/>
                      <w:sz w:val="20"/>
                    </w:rPr>
                    <w:t>­4</w:t>
                  </w:r>
                </w:p>
              </w:txbxContent>
            </v:textbox>
            <w10:wrap type="none"/>
          </v:shape>
        </w:pict>
      </w:r>
      <w:r>
        <w:rPr/>
        <w:pict>
          <v:shape style="position:absolute;margin-left:119.552551pt;margin-top:515.397400pt;width:13.25pt;height:11pt;mso-position-horizontal-relative:page;mso-position-vertical-relative:page;z-index:-252766208" type="#_x0000_t202" filled="false" stroked="false">
            <v:textbox inset="0,0,0,0" style="layout-flow:vertical;mso-layout-flow-alt:bottom-to-top">
              <w:txbxContent>
                <w:p>
                  <w:pPr>
                    <w:spacing w:before="14"/>
                    <w:ind w:left="20" w:right="0" w:firstLine="0"/>
                    <w:jc w:val="left"/>
                    <w:rPr>
                      <w:rFonts w:ascii="Arial" w:hAnsi="Arial"/>
                      <w:sz w:val="20"/>
                    </w:rPr>
                  </w:pPr>
                  <w:r>
                    <w:rPr>
                      <w:rFonts w:ascii="Arial" w:hAnsi="Arial"/>
                      <w:sz w:val="20"/>
                    </w:rPr>
                    <w:t>­2</w:t>
                  </w:r>
                </w:p>
              </w:txbxContent>
            </v:textbox>
            <w10:wrap type="none"/>
          </v:shape>
        </w:pict>
      </w:r>
      <w:r>
        <w:rPr/>
        <w:pict>
          <v:shape style="position:absolute;margin-left:119.552551pt;margin-top:476.753967pt;width:13.25pt;height:7.65pt;mso-position-horizontal-relative:page;mso-position-vertical-relative:page;z-index:-252765184" type="#_x0000_t202" filled="false" stroked="false">
            <v:textbox inset="0,0,0,0" style="layout-flow:vertical;mso-layout-flow-alt:bottom-to-top">
              <w:txbxContent>
                <w:p>
                  <w:pPr>
                    <w:spacing w:before="14"/>
                    <w:ind w:left="20" w:right="0" w:firstLine="0"/>
                    <w:jc w:val="left"/>
                    <w:rPr>
                      <w:rFonts w:ascii="Arial"/>
                      <w:sz w:val="20"/>
                    </w:rPr>
                  </w:pPr>
                  <w:r>
                    <w:rPr>
                      <w:rFonts w:ascii="Arial"/>
                      <w:w w:val="100"/>
                      <w:sz w:val="20"/>
                    </w:rPr>
                    <w:t>0</w:t>
                  </w:r>
                </w:p>
              </w:txbxContent>
            </v:textbox>
            <w10:wrap type="none"/>
          </v:shape>
        </w:pict>
      </w:r>
      <w:r>
        <w:rPr/>
        <w:pict>
          <v:shape style="position:absolute;margin-left:119.552551pt;margin-top:436.673981pt;width:13.25pt;height:7.65pt;mso-position-horizontal-relative:page;mso-position-vertical-relative:page;z-index:-252764160" type="#_x0000_t202" filled="false" stroked="false">
            <v:textbox inset="0,0,0,0" style="layout-flow:vertical;mso-layout-flow-alt:bottom-to-top">
              <w:txbxContent>
                <w:p>
                  <w:pPr>
                    <w:spacing w:before="14"/>
                    <w:ind w:left="20" w:right="0" w:firstLine="0"/>
                    <w:jc w:val="left"/>
                    <w:rPr>
                      <w:rFonts w:ascii="Arial"/>
                      <w:sz w:val="20"/>
                    </w:rPr>
                  </w:pPr>
                  <w:r>
                    <w:rPr>
                      <w:rFonts w:ascii="Arial"/>
                      <w:w w:val="100"/>
                      <w:sz w:val="20"/>
                    </w:rPr>
                    <w:t>2</w:t>
                  </w:r>
                </w:p>
              </w:txbxContent>
            </v:textbox>
            <w10:wrap type="none"/>
          </v:shape>
        </w:pict>
      </w: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
        <w:gridCol w:w="614"/>
        <w:gridCol w:w="616"/>
        <w:gridCol w:w="621"/>
        <w:gridCol w:w="611"/>
        <w:gridCol w:w="611"/>
        <w:gridCol w:w="1095"/>
        <w:gridCol w:w="5399"/>
      </w:tblGrid>
      <w:tr>
        <w:trPr>
          <w:trHeight w:val="556" w:hRule="atLeast"/>
        </w:trPr>
        <w:tc>
          <w:tcPr>
            <w:tcW w:w="4968" w:type="dxa"/>
            <w:gridSpan w:val="7"/>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10"/>
              <w:rPr>
                <w:sz w:val="24"/>
              </w:rPr>
            </w:pPr>
            <w:r>
              <w:rPr>
                <w:sz w:val="24"/>
              </w:rPr>
              <w:t>Chart 5: Household saving to income ratio</w:t>
            </w:r>
          </w:p>
        </w:tc>
        <w:tc>
          <w:tcPr>
            <w:tcW w:w="539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10"/>
              <w:rPr>
                <w:sz w:val="24"/>
              </w:rPr>
            </w:pPr>
            <w:r>
              <w:rPr>
                <w:sz w:val="24"/>
              </w:rPr>
              <w:t>Chart 6: HEF index and aggregate FES consumption</w:t>
            </w:r>
          </w:p>
          <w:p>
            <w:pPr>
              <w:pStyle w:val="TableParagraph"/>
              <w:spacing w:line="266" w:lineRule="exact" w:before="2"/>
              <w:ind w:left="110"/>
              <w:rPr>
                <w:sz w:val="24"/>
              </w:rPr>
            </w:pPr>
            <w:r>
              <w:rPr>
                <w:sz w:val="24"/>
              </w:rPr>
              <w:t>growth</w:t>
            </w:r>
          </w:p>
        </w:tc>
      </w:tr>
      <w:tr>
        <w:trPr>
          <w:trHeight w:val="380" w:hRule="atLeast"/>
        </w:trPr>
        <w:tc>
          <w:tcPr>
            <w:tcW w:w="800" w:type="dxa"/>
            <w:tcBorders>
              <w:top w:val="single" w:sz="4" w:space="0" w:color="000000"/>
              <w:left w:val="single" w:sz="4" w:space="0" w:color="000000"/>
            </w:tcBorders>
          </w:tcPr>
          <w:p>
            <w:pPr>
              <w:pStyle w:val="TableParagraph"/>
              <w:rPr>
                <w:sz w:val="20"/>
              </w:rPr>
            </w:pPr>
          </w:p>
        </w:tc>
        <w:tc>
          <w:tcPr>
            <w:tcW w:w="614" w:type="dxa"/>
            <w:tcBorders>
              <w:top w:val="single" w:sz="4" w:space="0" w:color="000000"/>
            </w:tcBorders>
          </w:tcPr>
          <w:p>
            <w:pPr>
              <w:pStyle w:val="TableParagraph"/>
              <w:rPr>
                <w:sz w:val="20"/>
              </w:rPr>
            </w:pPr>
          </w:p>
        </w:tc>
        <w:tc>
          <w:tcPr>
            <w:tcW w:w="616" w:type="dxa"/>
            <w:tcBorders>
              <w:top w:val="single" w:sz="4" w:space="0" w:color="000000"/>
            </w:tcBorders>
          </w:tcPr>
          <w:p>
            <w:pPr>
              <w:pStyle w:val="TableParagraph"/>
              <w:rPr>
                <w:sz w:val="20"/>
              </w:rPr>
            </w:pPr>
          </w:p>
        </w:tc>
        <w:tc>
          <w:tcPr>
            <w:tcW w:w="621" w:type="dxa"/>
            <w:tcBorders>
              <w:top w:val="single" w:sz="4" w:space="0" w:color="000000"/>
            </w:tcBorders>
          </w:tcPr>
          <w:p>
            <w:pPr>
              <w:pStyle w:val="TableParagraph"/>
              <w:rPr>
                <w:sz w:val="20"/>
              </w:rPr>
            </w:pPr>
          </w:p>
        </w:tc>
        <w:tc>
          <w:tcPr>
            <w:tcW w:w="611" w:type="dxa"/>
            <w:tcBorders>
              <w:top w:val="single" w:sz="4" w:space="0" w:color="000000"/>
            </w:tcBorders>
          </w:tcPr>
          <w:p>
            <w:pPr>
              <w:pStyle w:val="TableParagraph"/>
              <w:rPr>
                <w:sz w:val="20"/>
              </w:rPr>
            </w:pPr>
          </w:p>
        </w:tc>
        <w:tc>
          <w:tcPr>
            <w:tcW w:w="611" w:type="dxa"/>
            <w:tcBorders>
              <w:top w:val="single" w:sz="4" w:space="0" w:color="000000"/>
            </w:tcBorders>
          </w:tcPr>
          <w:p>
            <w:pPr>
              <w:pStyle w:val="TableParagraph"/>
              <w:rPr>
                <w:sz w:val="20"/>
              </w:rPr>
            </w:pPr>
          </w:p>
        </w:tc>
        <w:tc>
          <w:tcPr>
            <w:tcW w:w="1095" w:type="dxa"/>
            <w:tcBorders>
              <w:top w:val="single" w:sz="4" w:space="0" w:color="000000"/>
              <w:right w:val="single" w:sz="4" w:space="0" w:color="000000"/>
            </w:tcBorders>
          </w:tcPr>
          <w:p>
            <w:pPr>
              <w:pStyle w:val="TableParagraph"/>
              <w:spacing w:before="124"/>
              <w:ind w:left="149"/>
              <w:rPr>
                <w:sz w:val="17"/>
              </w:rPr>
            </w:pPr>
            <w:r>
              <w:rPr>
                <w:w w:val="110"/>
                <w:sz w:val="17"/>
              </w:rPr>
              <w:t>Per cent</w:t>
            </w:r>
          </w:p>
        </w:tc>
        <w:tc>
          <w:tcPr>
            <w:tcW w:w="5399" w:type="dxa"/>
            <w:vMerge w:val="restart"/>
            <w:tcBorders>
              <w:top w:val="single" w:sz="4" w:space="0" w:color="000000"/>
              <w:left w:val="single" w:sz="4" w:space="0" w:color="000000"/>
              <w:bottom w:val="single" w:sz="4" w:space="0" w:color="000000"/>
              <w:right w:val="single" w:sz="4" w:space="0" w:color="000000"/>
            </w:tcBorders>
          </w:tcPr>
          <w:p>
            <w:pPr>
              <w:pStyle w:val="TableParagraph"/>
              <w:ind w:left="107"/>
              <w:rPr>
                <w:sz w:val="20"/>
              </w:rPr>
            </w:pPr>
            <w:r>
              <w:rPr>
                <w:sz w:val="20"/>
              </w:rPr>
              <w:pict>
                <v:group style="width:258.05pt;height:197.05pt;mso-position-horizontal-relative:char;mso-position-vertical-relative:line" coordorigin="0,0" coordsize="5161,3941">
                  <v:rect style="position:absolute;left:2;top:2;width:5156;height:3937" filled="true" fillcolor="#efefef" stroked="false">
                    <v:fill type="solid"/>
                  </v:rect>
                  <v:rect style="position:absolute;left:2;top:2;width:5156;height:3937" filled="false" stroked="true" strokeweight=".240005pt" strokecolor="#efefef">
                    <v:stroke dashstyle="solid"/>
                  </v:rect>
                  <v:rect style="position:absolute;left:535;top:136;width:4085;height:2914" filled="true" fillcolor="#ffffff" stroked="false">
                    <v:fill type="solid"/>
                  </v:rect>
                  <v:rect style="position:absolute;left:535;top:136;width:4085;height:2914" filled="false" stroked="true" strokeweight=".240005pt" strokecolor="#ffffff">
                    <v:stroke dashstyle="solid"/>
                  </v:rect>
                  <v:line style="position:absolute" from="535,2969" to="4620,2969" stroked="true" strokeweight=".480011pt" strokecolor="#e8e8e8">
                    <v:stroke dashstyle="solid"/>
                  </v:line>
                  <v:line style="position:absolute" from="535,2052" to="4620,2052" stroked="true" strokeweight=".480011pt" strokecolor="#e8e8e8">
                    <v:stroke dashstyle="solid"/>
                  </v:line>
                  <v:line style="position:absolute" from="535,1140" to="4620,1140" stroked="true" strokeweight=".480011pt" strokecolor="#e8e8e8">
                    <v:stroke dashstyle="solid"/>
                  </v:line>
                  <v:line style="position:absolute" from="535,223" to="4620,223" stroked="true" strokeweight=".480011pt" strokecolor="#e8e8e8">
                    <v:stroke dashstyle="solid"/>
                  </v:line>
                  <v:line style="position:absolute" from="746,2234" to="866,276" stroked="true" strokeweight=".720016pt" strokecolor="#b3d9b3">
                    <v:stroke dashstyle="solid"/>
                  </v:line>
                  <v:line style="position:absolute" from="866,276" to="991,1058" stroked="true" strokeweight=".720016pt" strokecolor="#b3d9b3">
                    <v:stroke dashstyle="solid"/>
                  </v:line>
                  <v:line style="position:absolute" from="991,1058" to="1236,2868" stroked="true" strokeweight=".720016pt" strokecolor="#b3d9b3">
                    <v:stroke dashstyle="solid"/>
                  </v:line>
                  <v:line style="position:absolute" from="1236,2868" to="1356,396" stroked="true" strokeweight=".720016pt" strokecolor="#b3d9b3">
                    <v:stroke dashstyle="solid"/>
                  </v:line>
                  <v:line style="position:absolute" from="1356,396" to="1481,1126" stroked="true" strokeweight=".720016pt" strokecolor="#b3d9b3">
                    <v:stroke dashstyle="solid"/>
                  </v:line>
                  <v:line style="position:absolute" from="1481,1126" to="1601,1289" stroked="true" strokeweight=".720016pt" strokecolor="#b3d9b3">
                    <v:stroke dashstyle="solid"/>
                  </v:line>
                  <v:line style="position:absolute" from="1601,1289" to="1721,1010" stroked="true" strokeweight=".720016pt" strokecolor="#b3d9b3">
                    <v:stroke dashstyle="solid"/>
                  </v:line>
                  <v:line style="position:absolute" from="1721,1010" to="1850,1745" stroked="true" strokeweight=".720016pt" strokecolor="#b3d9b3">
                    <v:stroke dashstyle="solid"/>
                  </v:line>
                  <v:line style="position:absolute" from="1850,1745" to="1970,1553" stroked="true" strokeweight=".720016pt" strokecolor="#b3d9b3">
                    <v:stroke dashstyle="solid"/>
                  </v:line>
                  <v:line style="position:absolute" from="1970,1553" to="2090,2729" stroked="true" strokeweight=".720016pt" strokecolor="#b3d9b3">
                    <v:stroke dashstyle="solid"/>
                  </v:line>
                  <v:line style="position:absolute" from="2090,2729" to="2210,2105" stroked="true" strokeweight=".720016pt" strokecolor="#b3d9b3">
                    <v:stroke dashstyle="solid"/>
                  </v:line>
                  <v:line style="position:absolute" from="2210,2105" to="2335,1130" stroked="true" strokeweight=".720016pt" strokecolor="#b3d9b3">
                    <v:stroke dashstyle="solid"/>
                  </v:line>
                  <v:line style="position:absolute" from="2335,1130" to="2455,2090" stroked="true" strokeweight=".720016pt" strokecolor="#b3d9b3">
                    <v:stroke dashstyle="solid"/>
                  </v:line>
                  <v:line style="position:absolute" from="2455,2090" to="2575,2278" stroked="true" strokeweight=".720016pt" strokecolor="#b3d9b3">
                    <v:stroke dashstyle="solid"/>
                  </v:line>
                  <v:line style="position:absolute" from="2575,2278" to="2705,1606" stroked="true" strokeweight=".720016pt" strokecolor="#b3d9b3">
                    <v:stroke dashstyle="solid"/>
                  </v:line>
                  <v:line style="position:absolute" from="2705,1606" to="2825,1433" stroked="true" strokeweight=".720016pt" strokecolor="#b3d9b3">
                    <v:stroke dashstyle="solid"/>
                  </v:line>
                  <v:line style="position:absolute" from="2825,1433" to="2945,2047" stroked="true" strokeweight=".720016pt" strokecolor="#b3d9b3">
                    <v:stroke dashstyle="solid"/>
                  </v:line>
                  <v:line style="position:absolute" from="2945,2047" to="3065,1634" stroked="true" strokeweight=".720016pt" strokecolor="#b3d9b3">
                    <v:stroke dashstyle="solid"/>
                  </v:line>
                  <v:line style="position:absolute" from="3065,1634" to="3190,1582" stroked="true" strokeweight=".720016pt" strokecolor="#b3d9b3">
                    <v:stroke dashstyle="solid"/>
                  </v:line>
                  <v:line style="position:absolute" from="3190,1582" to="3310,2474" stroked="true" strokeweight=".720016pt" strokecolor="#b3d9b3">
                    <v:stroke dashstyle="solid"/>
                  </v:line>
                  <v:line style="position:absolute" from="3310,2474" to="3430,2282" stroked="true" strokeweight=".720016pt" strokecolor="#b3d9b3">
                    <v:stroke dashstyle="solid"/>
                  </v:line>
                  <v:line style="position:absolute" from="3430,2282" to="3559,1865" stroked="true" strokeweight=".720016pt" strokecolor="#b3d9b3">
                    <v:stroke dashstyle="solid"/>
                  </v:line>
                  <v:line style="position:absolute" from="3559,1865" to="3679,2191" stroked="true" strokeweight=".720016pt" strokecolor="#b3d9b3">
                    <v:stroke dashstyle="solid"/>
                  </v:line>
                  <v:line style="position:absolute" from="3679,2191" to="3799,1841" stroked="true" strokeweight=".720016pt" strokecolor="#b3d9b3">
                    <v:stroke dashstyle="solid"/>
                  </v:line>
                  <v:line style="position:absolute" from="3799,1841" to="3919,1951" stroked="true" strokeweight=".720016pt" strokecolor="#b3d9b3">
                    <v:stroke dashstyle="solid"/>
                  </v:line>
                  <v:line style="position:absolute" from="3919,1951" to="4044,2038" stroked="true" strokeweight=".720016pt" strokecolor="#b3d9b3">
                    <v:stroke dashstyle="solid"/>
                  </v:line>
                  <v:line style="position:absolute" from="4044,2038" to="4164,2652" stroked="true" strokeweight=".720016pt" strokecolor="#b3d9b3">
                    <v:stroke dashstyle="solid"/>
                  </v:line>
                  <v:line style="position:absolute" from="4164,2652" to="4284,1769" stroked="true" strokeweight=".720016pt" strokecolor="#b3d9b3">
                    <v:stroke dashstyle="solid"/>
                  </v:line>
                  <v:line style="position:absolute" from="4284,1769" to="4414,2609" stroked="true" strokeweight=".720016pt" strokecolor="#b3d9b3">
                    <v:stroke dashstyle="solid"/>
                  </v:line>
                  <v:line style="position:absolute" from="746,2662" to="866,2498" stroked="true" strokeweight=".480011pt" strokecolor="#aa0000">
                    <v:stroke dashstyle="solid"/>
                  </v:line>
                  <v:line style="position:absolute" from="866,2498" to="991,1889" stroked="true" strokeweight=".480011pt" strokecolor="#aa0000">
                    <v:stroke dashstyle="solid"/>
                  </v:line>
                  <v:line style="position:absolute" from="991,1889" to="1116,886" stroked="true" strokeweight=".480011pt" strokecolor="#aa0000">
                    <v:stroke dashstyle="solid"/>
                  </v:line>
                  <v:line style="position:absolute" from="1116,886" to="1236,833" stroked="true" strokeweight=".480011pt" strokecolor="#aa0000">
                    <v:stroke dashstyle="solid"/>
                  </v:line>
                  <v:line style="position:absolute" from="1236,833" to="1356,1865" stroked="true" strokeweight=".480011pt" strokecolor="#aa0000">
                    <v:stroke dashstyle="solid"/>
                  </v:line>
                  <v:line style="position:absolute" from="1356,1865" to="1481,2047" stroked="true" strokeweight=".480011pt" strokecolor="#aa0000">
                    <v:stroke dashstyle="solid"/>
                  </v:line>
                  <v:line style="position:absolute" from="1481,2047" to="1601,2206" stroked="true" strokeweight=".480011pt" strokecolor="#aa0000">
                    <v:stroke dashstyle="solid"/>
                  </v:line>
                  <v:line style="position:absolute" from="1601,2206" to="1721,1102" stroked="true" strokeweight=".480011pt" strokecolor="#aa0000">
                    <v:stroke dashstyle="solid"/>
                  </v:line>
                  <v:line style="position:absolute" from="1721,1102" to="1850,1030" stroked="true" strokeweight=".480011pt" strokecolor="#aa0000">
                    <v:stroke dashstyle="solid"/>
                  </v:line>
                  <v:line style="position:absolute" from="1850,1030" to="1970,1097" stroked="true" strokeweight=".480011pt" strokecolor="#aa0000">
                    <v:stroke dashstyle="solid"/>
                  </v:line>
                  <v:line style="position:absolute" from="1970,1097" to="2090,602" stroked="true" strokeweight=".480011pt" strokecolor="#aa0000">
                    <v:stroke dashstyle="solid"/>
                  </v:line>
                  <v:line style="position:absolute" from="2090,602" to="2210,1322" stroked="true" strokeweight=".480011pt" strokecolor="#aa0000">
                    <v:stroke dashstyle="solid"/>
                  </v:line>
                  <v:line style="position:absolute" from="2210,1322" to="2335,1274" stroked="true" strokeweight=".480011pt" strokecolor="#aa0000">
                    <v:stroke dashstyle="solid"/>
                  </v:line>
                  <v:line style="position:absolute" from="2335,1274" to="2455,252" stroked="true" strokeweight=".480011pt" strokecolor="#aa0000">
                    <v:stroke dashstyle="solid"/>
                  </v:line>
                  <v:line style="position:absolute" from="2455,252" to="2575,1222" stroked="true" strokeweight=".480011pt" strokecolor="#aa0000">
                    <v:stroke dashstyle="solid"/>
                  </v:line>
                  <v:line style="position:absolute" from="2575,1222" to="2705,2062" stroked="true" strokeweight=".480011pt" strokecolor="#aa0000">
                    <v:stroke dashstyle="solid"/>
                  </v:line>
                  <v:line style="position:absolute" from="2705,2062" to="2825,1682" stroked="true" strokeweight=".480011pt" strokecolor="#aa0000">
                    <v:stroke dashstyle="solid"/>
                  </v:line>
                  <v:line style="position:absolute" from="2825,1682" to="2945,1788" stroked="true" strokeweight=".480011pt" strokecolor="#aa0000">
                    <v:stroke dashstyle="solid"/>
                  </v:line>
                  <v:line style="position:absolute" from="2945,1788" to="3065,2014" stroked="true" strokeweight=".480011pt" strokecolor="#aa0000">
                    <v:stroke dashstyle="solid"/>
                  </v:line>
                  <v:line style="position:absolute" from="3065,2014" to="3190,2134" stroked="true" strokeweight=".480011pt" strokecolor="#aa0000">
                    <v:stroke dashstyle="solid"/>
                  </v:line>
                  <v:line style="position:absolute" from="3190,2134" to="3310,1476" stroked="true" strokeweight=".480011pt" strokecolor="#aa0000">
                    <v:stroke dashstyle="solid"/>
                  </v:line>
                  <v:line style="position:absolute" from="3310,1476" to="3430,564" stroked="true" strokeweight=".480011pt" strokecolor="#aa0000">
                    <v:stroke dashstyle="solid"/>
                  </v:line>
                  <v:line style="position:absolute" from="3430,564" to="3559,1236" stroked="true" strokeweight=".480011pt" strokecolor="#aa0000">
                    <v:stroke dashstyle="solid"/>
                  </v:line>
                  <v:line style="position:absolute" from="3559,1236" to="3679,1270" stroked="true" strokeweight=".480011pt" strokecolor="#aa0000">
                    <v:stroke dashstyle="solid"/>
                  </v:line>
                  <v:line style="position:absolute" from="3679,1270" to="3799,722" stroked="true" strokeweight=".480011pt" strokecolor="#aa0000">
                    <v:stroke dashstyle="solid"/>
                  </v:line>
                  <v:line style="position:absolute" from="3799,722" to="3919,1908" stroked="true" strokeweight=".480011pt" strokecolor="#aa0000">
                    <v:stroke dashstyle="solid"/>
                  </v:line>
                  <v:line style="position:absolute" from="3919,1908" to="4044,1817" stroked="true" strokeweight=".480011pt" strokecolor="#aa0000">
                    <v:stroke dashstyle="solid"/>
                  </v:line>
                  <v:line style="position:absolute" from="4044,1817" to="4164,1817" stroked="true" strokeweight=".480011pt" strokecolor="#aa0000">
                    <v:stroke dashstyle="solid"/>
                  </v:line>
                  <v:line style="position:absolute" from="4164,1817" to="4284,2090" stroked="true" strokeweight=".480011pt" strokecolor="#aa0000">
                    <v:stroke dashstyle="solid"/>
                  </v:line>
                  <v:line style="position:absolute" from="4284,2090" to="4414,1577" stroked="true" strokeweight=".480011pt" strokecolor="#aa0000">
                    <v:stroke dashstyle="solid"/>
                  </v:line>
                  <v:shape style="position:absolute;left:4617;top:136;width:360;height:2914" type="#_x0000_t75" stroked="false">
                    <v:imagedata r:id="rId35" o:title=""/>
                  </v:shape>
                  <v:shape style="position:absolute;left:158;top:136;width:380;height:2914" type="#_x0000_t75" stroked="false">
                    <v:imagedata r:id="rId36" o:title=""/>
                  </v:shape>
                  <v:line style="position:absolute" from="535,3050" to="4620,3050" stroked="true" strokeweight=".240005pt" strokecolor="#000000">
                    <v:stroke dashstyle="solid"/>
                  </v:line>
                  <v:shape style="position:absolute;left:609;top:3050;width:284;height:190" type="#_x0000_t75" stroked="false">
                    <v:imagedata r:id="rId37" o:title=""/>
                  </v:shape>
                  <v:line style="position:absolute" from="1236,3050" to="1236,3108" stroked="true" strokeweight=".240005pt" strokecolor="#000000">
                    <v:stroke dashstyle="solid"/>
                  </v:line>
                  <v:shape style="position:absolute;left:1096;top:3132;width:34;height:106" coordorigin="1097,3132" coordsize="34,106" path="m1130,3156l1121,3156,1121,3238,1130,3238,1130,3156xm1130,3132l1126,3132,1121,3137,1116,3151,1111,3156,1097,3161,1097,3170,1102,3166,1111,3166,1121,3156,1130,3156,1130,3132xe" filled="true" fillcolor="#000000" stroked="false">
                    <v:path arrowok="t"/>
                    <v:fill type="solid"/>
                  </v:shape>
                  <v:shape style="position:absolute;left:1096;top:3132;width:34;height:106" coordorigin="1097,3132" coordsize="34,106" path="m1130,3238l1121,3238,1121,3156,1116,3161,1111,3166,1102,3166,1097,3170,1097,3161,1111,3156,1116,3151,1121,3137,1126,3132,1130,3132,1130,3238e" filled="false" stroked="true" strokeweight=".240005pt" strokecolor="#000000">
                    <v:path arrowok="t"/>
                    <v:stroke dashstyle="solid"/>
                  </v:shape>
                  <v:shape style="position:absolute;left:1168;top:3132;width:63;height:106" coordorigin="1169,3132" coordsize="63,106" path="m1207,3228l1183,3228,1198,3238,1207,3228xm1178,3209l1169,3209,1178,3228,1212,3228,1214,3223,1188,3223,1183,3218,1183,3214,1178,3209xm1226,3146l1202,3146,1207,3151,1212,3151,1217,3161,1217,3180,1207,3190,1217,3190,1217,3199,1212,3209,1212,3214,1202,3223,1214,3223,1217,3218,1226,3214,1231,3199,1231,3166,1226,3156,1226,3146xm1198,3132l1183,3137,1174,3146,1169,3156,1169,3180,1174,3190,1183,3194,1198,3199,1202,3199,1212,3190,1188,3190,1178,3180,1178,3161,1183,3151,1188,3151,1202,3146,1226,3146,1212,3137,1207,3137,1198,3132xe" filled="true" fillcolor="#000000" stroked="false">
                    <v:path arrowok="t"/>
                    <v:fill type="solid"/>
                  </v:shape>
                  <v:shape style="position:absolute;left:1168;top:3132;width:63;height:106" coordorigin="1169,3132" coordsize="63,106" path="m1169,3209l1178,3209,1183,3214,1183,3218,1188,3223,1198,3223,1202,3223,1207,3218,1212,3214,1212,3209,1217,3199,1217,3194,1217,3190,1212,3190,1207,3194,1202,3199,1198,3199,1183,3194,1174,3190,1169,3180,1169,3166,1169,3156,1174,3146,1183,3137,1198,3132,1207,3137,1212,3137,1226,3146,1226,3156,1231,3166,1231,3185,1231,3199,1226,3214,1217,3218,1212,3228,1207,3228,1198,3238,1183,3228,1178,3228,1174,3218,1169,3209e" filled="false" stroked="true" strokeweight=".240005pt" strokecolor="#000000">
                    <v:path arrowok="t"/>
                    <v:stroke dashstyle="solid"/>
                  </v:shape>
                  <v:shape style="position:absolute;left:1178;top:3146;width:39;height:44" coordorigin="1178,3146" coordsize="39,44" path="m1217,3166l1217,3161,1212,3151,1207,3151,1202,3146,1188,3151,1183,3151,1178,3161,1178,3166,1178,3180,1183,3185,1188,3190,1202,3190,1207,3190,1212,3185,1217,3180,1217,3166e" filled="false" stroked="true" strokeweight=".240005pt" strokecolor="#000000">
                    <v:path arrowok="t"/>
                    <v:stroke dashstyle="solid"/>
                  </v:shape>
                  <v:shape style="position:absolute;left:1240;top:3136;width:63;height:101" coordorigin="1241,3137" coordsize="63,101" path="m1303,3137l1241,3137,1241,3151,1294,3151,1279,3161,1274,3170,1265,3209,1260,3218,1260,3238,1270,3238,1270,3218,1274,3209,1279,3190,1289,3170,1298,3156,1303,3146,1303,3137xe" filled="true" fillcolor="#000000" stroked="false">
                    <v:path arrowok="t"/>
                    <v:fill type="solid"/>
                  </v:shape>
                  <v:shape style="position:absolute;left:1240;top:3136;width:63;height:101" coordorigin="1241,3137" coordsize="63,101" path="m1241,3151l1241,3137,1303,3137,1303,3146,1298,3156,1289,3170,1279,3190,1274,3209,1270,3218,1270,3238,1260,3238,1260,3218,1265,3209,1270,3190,1274,3170,1279,3161,1294,3151,1241,3151e" filled="false" stroked="true" strokeweight=".240005pt" strokecolor="#000000">
                    <v:path arrowok="t"/>
                    <v:stroke dashstyle="solid"/>
                  </v:shape>
                  <v:shape style="position:absolute;left:1317;top:3132;width:68;height:106" coordorigin="1318,3132" coordsize="68,106" path="m1356,3228l1337,3228,1346,3238,1356,3228xm1332,3209l1322,3209,1322,3218,1327,3228,1366,3228,1370,3223,1346,3223,1337,3218,1332,3214,1332,3209xm1375,3146l1351,3146,1356,3151,1361,3151,1366,3161,1366,3180,1356,3190,1366,3190,1366,3209,1361,3214,1361,3218,1356,3218,1351,3223,1370,3223,1380,3214,1380,3199,1385,3185,1380,3166,1380,3156,1375,3146xm1351,3132l1337,3137,1327,3146,1318,3166,1322,3180,1327,3190,1332,3194,1346,3199,1351,3199,1361,3194,1366,3190,1346,3190,1332,3185,1332,3161,1337,3151,1346,3151,1351,3146,1375,3146,1366,3137,1356,3137,1351,3132xe" filled="true" fillcolor="#000000" stroked="false">
                    <v:path arrowok="t"/>
                    <v:fill type="solid"/>
                  </v:shape>
                  <v:shape style="position:absolute;left:1317;top:3132;width:68;height:106" coordorigin="1318,3132" coordsize="68,106" path="m1322,3209l1332,3209,1332,3214,1337,3218,1346,3223,1351,3223,1356,3218,1361,3218,1361,3214,1366,3209,1366,3199,1366,3194,1366,3190,1361,3194,1351,3199,1346,3199,1332,3194,1327,3190,1322,3180,1318,3166,1322,3156,1327,3146,1337,3137,1351,3132,1356,3137,1366,3137,1375,3146,1380,3156,1380,3166,1385,3185,1380,3199,1380,3214,1375,3218,1366,3228,1356,3228,1346,3238,1337,3228,1327,3228,1322,3218,1322,3209e" filled="false" stroked="true" strokeweight=".240005pt" strokecolor="#000000">
                    <v:path arrowok="t"/>
                    <v:stroke dashstyle="solid"/>
                  </v:shape>
                  <v:shape style="position:absolute;left:1332;top:3146;width:34;height:44" coordorigin="1332,3146" coordsize="34,44" path="m1366,3166l1366,3161,1361,3151,1356,3151,1351,3146,1346,3151,1337,3151,1332,3161,1332,3166,1332,3180,1332,3185,1346,3190,1351,3190,1356,3190,1361,3185,1366,3180,1366,3166e" filled="false" stroked="true" strokeweight=".240005pt" strokecolor="#000000">
                    <v:path arrowok="t"/>
                    <v:stroke dashstyle="solid"/>
                  </v:shape>
                  <v:shape style="position:absolute;left:1584;top:3050;width:293;height:190" type="#_x0000_t75" stroked="false">
                    <v:imagedata r:id="rId38" o:title=""/>
                  </v:shape>
                  <v:shape style="position:absolute;left:2068;top:3050;width:759;height:363" type="#_x0000_t75" stroked="false">
                    <v:imagedata r:id="rId39" o:title=""/>
                  </v:shape>
                  <v:shape style="position:absolute;left:3052;top:3050;width:284;height:190" type="#_x0000_t75" stroked="false">
                    <v:imagedata r:id="rId40" o:title=""/>
                  </v:shape>
                  <v:shape style="position:absolute;left:3537;top:3050;width:288;height:190" type="#_x0000_t75" stroked="false">
                    <v:imagedata r:id="rId41" o:title=""/>
                  </v:shape>
                  <v:shape style="position:absolute;left:4012;top:3050;width:298;height:190" type="#_x0000_t75" stroked="false">
                    <v:imagedata r:id="rId42" o:title=""/>
                  </v:shape>
                  <v:rect style="position:absolute;left:856;top:3496;width:3447;height:260" filled="true" fillcolor="#ffffff" stroked="false">
                    <v:fill type="solid"/>
                  </v:rect>
                  <v:rect style="position:absolute;left:856;top:3496;width:3447;height:260" filled="false" stroked="true" strokeweight=".240005pt" strokecolor="#000000">
                    <v:stroke dashstyle="solid"/>
                  </v:rect>
                  <v:line style="position:absolute" from="914,3626" to="1433,3626" stroked="true" strokeweight=".720016pt" strokecolor="#b3d9b3">
                    <v:stroke dashstyle="solid"/>
                  </v:line>
                </v:group>
              </w:pict>
            </w:r>
            <w:r>
              <w:rPr>
                <w:sz w:val="20"/>
              </w:rPr>
            </w:r>
          </w:p>
        </w:tc>
      </w:tr>
      <w:tr>
        <w:trPr>
          <w:trHeight w:val="390" w:hRule="atLeast"/>
        </w:trPr>
        <w:tc>
          <w:tcPr>
            <w:tcW w:w="800" w:type="dxa"/>
            <w:tcBorders>
              <w:left w:val="single" w:sz="4" w:space="0" w:color="000000"/>
            </w:tcBorders>
          </w:tcPr>
          <w:p>
            <w:pPr>
              <w:pStyle w:val="TableParagraph"/>
              <w:rPr>
                <w:sz w:val="20"/>
              </w:rPr>
            </w:pPr>
          </w:p>
        </w:tc>
        <w:tc>
          <w:tcPr>
            <w:tcW w:w="614" w:type="dxa"/>
          </w:tcPr>
          <w:p>
            <w:pPr>
              <w:pStyle w:val="TableParagraph"/>
              <w:rPr>
                <w:sz w:val="20"/>
              </w:rPr>
            </w:pPr>
          </w:p>
        </w:tc>
        <w:tc>
          <w:tcPr>
            <w:tcW w:w="616" w:type="dxa"/>
          </w:tcPr>
          <w:p>
            <w:pPr>
              <w:pStyle w:val="TableParagraph"/>
              <w:rPr>
                <w:sz w:val="20"/>
              </w:rPr>
            </w:pPr>
          </w:p>
        </w:tc>
        <w:tc>
          <w:tcPr>
            <w:tcW w:w="621" w:type="dxa"/>
          </w:tcPr>
          <w:p>
            <w:pPr>
              <w:pStyle w:val="TableParagraph"/>
              <w:rPr>
                <w:sz w:val="20"/>
              </w:rPr>
            </w:pPr>
          </w:p>
        </w:tc>
        <w:tc>
          <w:tcPr>
            <w:tcW w:w="611" w:type="dxa"/>
          </w:tcPr>
          <w:p>
            <w:pPr>
              <w:pStyle w:val="TableParagraph"/>
              <w:rPr>
                <w:sz w:val="20"/>
              </w:rPr>
            </w:pPr>
          </w:p>
        </w:tc>
        <w:tc>
          <w:tcPr>
            <w:tcW w:w="611" w:type="dxa"/>
          </w:tcPr>
          <w:p>
            <w:pPr>
              <w:pStyle w:val="TableParagraph"/>
              <w:rPr>
                <w:sz w:val="20"/>
              </w:rPr>
            </w:pPr>
          </w:p>
        </w:tc>
        <w:tc>
          <w:tcPr>
            <w:tcW w:w="1095" w:type="dxa"/>
            <w:tcBorders>
              <w:right w:val="single" w:sz="4" w:space="0" w:color="000000"/>
            </w:tcBorders>
          </w:tcPr>
          <w:p>
            <w:pPr>
              <w:pStyle w:val="TableParagraph"/>
              <w:spacing w:before="56"/>
              <w:ind w:right="278"/>
              <w:jc w:val="right"/>
              <w:rPr>
                <w:sz w:val="17"/>
              </w:rPr>
            </w:pPr>
            <w:r>
              <w:rPr>
                <w:w w:val="110"/>
                <w:sz w:val="17"/>
              </w:rPr>
              <w:t>14</w:t>
            </w:r>
          </w:p>
        </w:tc>
        <w:tc>
          <w:tcPr>
            <w:tcW w:w="5399" w:type="dxa"/>
            <w:vMerge/>
            <w:tcBorders>
              <w:top w:val="nil"/>
              <w:left w:val="single" w:sz="4" w:space="0" w:color="000000"/>
              <w:bottom w:val="single" w:sz="4" w:space="0" w:color="000000"/>
              <w:right w:val="single" w:sz="4" w:space="0" w:color="000000"/>
            </w:tcBorders>
          </w:tcPr>
          <w:p>
            <w:pPr>
              <w:rPr>
                <w:sz w:val="2"/>
                <w:szCs w:val="2"/>
              </w:rPr>
            </w:pPr>
          </w:p>
        </w:tc>
      </w:tr>
      <w:tr>
        <w:trPr>
          <w:trHeight w:val="326" w:hRule="atLeast"/>
        </w:trPr>
        <w:tc>
          <w:tcPr>
            <w:tcW w:w="800" w:type="dxa"/>
            <w:tcBorders>
              <w:left w:val="single" w:sz="4" w:space="0" w:color="000000"/>
            </w:tcBorders>
          </w:tcPr>
          <w:p>
            <w:pPr>
              <w:pStyle w:val="TableParagraph"/>
              <w:rPr>
                <w:sz w:val="20"/>
              </w:rPr>
            </w:pPr>
          </w:p>
        </w:tc>
        <w:tc>
          <w:tcPr>
            <w:tcW w:w="614" w:type="dxa"/>
          </w:tcPr>
          <w:p>
            <w:pPr>
              <w:pStyle w:val="TableParagraph"/>
              <w:rPr>
                <w:sz w:val="20"/>
              </w:rPr>
            </w:pPr>
          </w:p>
        </w:tc>
        <w:tc>
          <w:tcPr>
            <w:tcW w:w="616" w:type="dxa"/>
          </w:tcPr>
          <w:p>
            <w:pPr>
              <w:pStyle w:val="TableParagraph"/>
              <w:rPr>
                <w:sz w:val="20"/>
              </w:rPr>
            </w:pPr>
          </w:p>
        </w:tc>
        <w:tc>
          <w:tcPr>
            <w:tcW w:w="621" w:type="dxa"/>
          </w:tcPr>
          <w:p>
            <w:pPr>
              <w:pStyle w:val="TableParagraph"/>
              <w:rPr>
                <w:sz w:val="20"/>
              </w:rPr>
            </w:pPr>
          </w:p>
        </w:tc>
        <w:tc>
          <w:tcPr>
            <w:tcW w:w="611" w:type="dxa"/>
          </w:tcPr>
          <w:p>
            <w:pPr>
              <w:pStyle w:val="TableParagraph"/>
              <w:rPr>
                <w:sz w:val="20"/>
              </w:rPr>
            </w:pPr>
          </w:p>
        </w:tc>
        <w:tc>
          <w:tcPr>
            <w:tcW w:w="611" w:type="dxa"/>
          </w:tcPr>
          <w:p>
            <w:pPr>
              <w:pStyle w:val="TableParagraph"/>
              <w:rPr>
                <w:sz w:val="20"/>
              </w:rPr>
            </w:pPr>
          </w:p>
        </w:tc>
        <w:tc>
          <w:tcPr>
            <w:tcW w:w="1095" w:type="dxa"/>
            <w:tcBorders>
              <w:right w:val="single" w:sz="4" w:space="0" w:color="000000"/>
            </w:tcBorders>
          </w:tcPr>
          <w:p>
            <w:pPr>
              <w:pStyle w:val="TableParagraph"/>
              <w:spacing w:line="172" w:lineRule="exact" w:before="135"/>
              <w:ind w:right="278"/>
              <w:jc w:val="right"/>
              <w:rPr>
                <w:sz w:val="17"/>
              </w:rPr>
            </w:pPr>
            <w:r>
              <w:rPr>
                <w:w w:val="110"/>
                <w:sz w:val="17"/>
              </w:rPr>
              <w:t>12</w:t>
            </w:r>
          </w:p>
        </w:tc>
        <w:tc>
          <w:tcPr>
            <w:tcW w:w="5399" w:type="dxa"/>
            <w:vMerge/>
            <w:tcBorders>
              <w:top w:val="nil"/>
              <w:left w:val="single" w:sz="4" w:space="0" w:color="000000"/>
              <w:bottom w:val="single" w:sz="4" w:space="0" w:color="000000"/>
              <w:right w:val="single" w:sz="4" w:space="0" w:color="000000"/>
            </w:tcBorders>
          </w:tcPr>
          <w:p>
            <w:pPr>
              <w:rPr>
                <w:sz w:val="2"/>
                <w:szCs w:val="2"/>
              </w:rPr>
            </w:pPr>
          </w:p>
        </w:tc>
      </w:tr>
      <w:tr>
        <w:trPr>
          <w:trHeight w:val="260" w:hRule="atLeast"/>
        </w:trPr>
        <w:tc>
          <w:tcPr>
            <w:tcW w:w="800" w:type="dxa"/>
            <w:tcBorders>
              <w:left w:val="single" w:sz="4" w:space="0" w:color="000000"/>
            </w:tcBorders>
          </w:tcPr>
          <w:p>
            <w:pPr>
              <w:pStyle w:val="TableParagraph"/>
              <w:rPr>
                <w:sz w:val="18"/>
              </w:rPr>
            </w:pPr>
          </w:p>
        </w:tc>
        <w:tc>
          <w:tcPr>
            <w:tcW w:w="614" w:type="dxa"/>
          </w:tcPr>
          <w:p>
            <w:pPr>
              <w:pStyle w:val="TableParagraph"/>
              <w:rPr>
                <w:sz w:val="18"/>
              </w:rPr>
            </w:pPr>
          </w:p>
        </w:tc>
        <w:tc>
          <w:tcPr>
            <w:tcW w:w="616" w:type="dxa"/>
          </w:tcPr>
          <w:p>
            <w:pPr>
              <w:pStyle w:val="TableParagraph"/>
              <w:rPr>
                <w:sz w:val="18"/>
              </w:rPr>
            </w:pPr>
          </w:p>
        </w:tc>
        <w:tc>
          <w:tcPr>
            <w:tcW w:w="621" w:type="dxa"/>
          </w:tcPr>
          <w:p>
            <w:pPr>
              <w:pStyle w:val="TableParagraph"/>
              <w:rPr>
                <w:sz w:val="18"/>
              </w:rPr>
            </w:pPr>
          </w:p>
        </w:tc>
        <w:tc>
          <w:tcPr>
            <w:tcW w:w="611" w:type="dxa"/>
          </w:tcPr>
          <w:p>
            <w:pPr>
              <w:pStyle w:val="TableParagraph"/>
              <w:rPr>
                <w:sz w:val="18"/>
              </w:rPr>
            </w:pPr>
          </w:p>
        </w:tc>
        <w:tc>
          <w:tcPr>
            <w:tcW w:w="611" w:type="dxa"/>
          </w:tcPr>
          <w:p>
            <w:pPr>
              <w:pStyle w:val="TableParagraph"/>
              <w:rPr>
                <w:sz w:val="18"/>
              </w:rPr>
            </w:pPr>
          </w:p>
        </w:tc>
        <w:tc>
          <w:tcPr>
            <w:tcW w:w="1095" w:type="dxa"/>
            <w:tcBorders>
              <w:right w:val="single" w:sz="4" w:space="0" w:color="000000"/>
            </w:tcBorders>
          </w:tcPr>
          <w:p>
            <w:pPr>
              <w:pStyle w:val="TableParagraph"/>
              <w:rPr>
                <w:sz w:val="18"/>
              </w:rPr>
            </w:pPr>
          </w:p>
        </w:tc>
        <w:tc>
          <w:tcPr>
            <w:tcW w:w="5399" w:type="dxa"/>
            <w:vMerge/>
            <w:tcBorders>
              <w:top w:val="nil"/>
              <w:left w:val="single" w:sz="4" w:space="0" w:color="000000"/>
              <w:bottom w:val="single" w:sz="4" w:space="0" w:color="000000"/>
              <w:right w:val="single" w:sz="4" w:space="0" w:color="000000"/>
            </w:tcBorders>
          </w:tcPr>
          <w:p>
            <w:pPr>
              <w:rPr>
                <w:sz w:val="2"/>
                <w:szCs w:val="2"/>
              </w:rPr>
            </w:pPr>
          </w:p>
        </w:tc>
      </w:tr>
      <w:tr>
        <w:trPr>
          <w:trHeight w:val="342" w:hRule="atLeast"/>
        </w:trPr>
        <w:tc>
          <w:tcPr>
            <w:tcW w:w="800" w:type="dxa"/>
            <w:tcBorders>
              <w:left w:val="single" w:sz="4" w:space="0" w:color="000000"/>
            </w:tcBorders>
          </w:tcPr>
          <w:p>
            <w:pPr>
              <w:pStyle w:val="TableParagraph"/>
              <w:rPr>
                <w:sz w:val="20"/>
              </w:rPr>
            </w:pPr>
          </w:p>
        </w:tc>
        <w:tc>
          <w:tcPr>
            <w:tcW w:w="614" w:type="dxa"/>
          </w:tcPr>
          <w:p>
            <w:pPr>
              <w:pStyle w:val="TableParagraph"/>
              <w:rPr>
                <w:sz w:val="20"/>
              </w:rPr>
            </w:pPr>
          </w:p>
        </w:tc>
        <w:tc>
          <w:tcPr>
            <w:tcW w:w="616" w:type="dxa"/>
          </w:tcPr>
          <w:p>
            <w:pPr>
              <w:pStyle w:val="TableParagraph"/>
              <w:rPr>
                <w:sz w:val="20"/>
              </w:rPr>
            </w:pPr>
          </w:p>
        </w:tc>
        <w:tc>
          <w:tcPr>
            <w:tcW w:w="621" w:type="dxa"/>
          </w:tcPr>
          <w:p>
            <w:pPr>
              <w:pStyle w:val="TableParagraph"/>
              <w:rPr>
                <w:sz w:val="20"/>
              </w:rPr>
            </w:pPr>
          </w:p>
        </w:tc>
        <w:tc>
          <w:tcPr>
            <w:tcW w:w="611" w:type="dxa"/>
          </w:tcPr>
          <w:p>
            <w:pPr>
              <w:pStyle w:val="TableParagraph"/>
              <w:rPr>
                <w:sz w:val="20"/>
              </w:rPr>
            </w:pPr>
          </w:p>
        </w:tc>
        <w:tc>
          <w:tcPr>
            <w:tcW w:w="611" w:type="dxa"/>
          </w:tcPr>
          <w:p>
            <w:pPr>
              <w:pStyle w:val="TableParagraph"/>
              <w:rPr>
                <w:sz w:val="20"/>
              </w:rPr>
            </w:pPr>
          </w:p>
        </w:tc>
        <w:tc>
          <w:tcPr>
            <w:tcW w:w="1095" w:type="dxa"/>
            <w:tcBorders>
              <w:right w:val="single" w:sz="4" w:space="0" w:color="000000"/>
            </w:tcBorders>
          </w:tcPr>
          <w:p>
            <w:pPr>
              <w:pStyle w:val="TableParagraph"/>
              <w:spacing w:before="7"/>
              <w:ind w:right="278"/>
              <w:jc w:val="right"/>
              <w:rPr>
                <w:sz w:val="17"/>
              </w:rPr>
            </w:pPr>
            <w:r>
              <w:rPr>
                <w:w w:val="110"/>
                <w:sz w:val="17"/>
              </w:rPr>
              <w:t>10</w:t>
            </w:r>
          </w:p>
        </w:tc>
        <w:tc>
          <w:tcPr>
            <w:tcW w:w="5399" w:type="dxa"/>
            <w:vMerge/>
            <w:tcBorders>
              <w:top w:val="nil"/>
              <w:left w:val="single" w:sz="4" w:space="0" w:color="000000"/>
              <w:bottom w:val="single" w:sz="4" w:space="0" w:color="000000"/>
              <w:right w:val="single" w:sz="4" w:space="0" w:color="000000"/>
            </w:tcBorders>
          </w:tcPr>
          <w:p>
            <w:pPr>
              <w:rPr>
                <w:sz w:val="2"/>
                <w:szCs w:val="2"/>
              </w:rPr>
            </w:pPr>
          </w:p>
        </w:tc>
      </w:tr>
      <w:tr>
        <w:trPr>
          <w:trHeight w:val="470" w:hRule="atLeast"/>
        </w:trPr>
        <w:tc>
          <w:tcPr>
            <w:tcW w:w="800" w:type="dxa"/>
            <w:tcBorders>
              <w:left w:val="single" w:sz="4" w:space="0" w:color="000000"/>
            </w:tcBorders>
          </w:tcPr>
          <w:p>
            <w:pPr>
              <w:pStyle w:val="TableParagraph"/>
              <w:rPr>
                <w:sz w:val="20"/>
              </w:rPr>
            </w:pPr>
          </w:p>
        </w:tc>
        <w:tc>
          <w:tcPr>
            <w:tcW w:w="614" w:type="dxa"/>
          </w:tcPr>
          <w:p>
            <w:pPr>
              <w:pStyle w:val="TableParagraph"/>
              <w:rPr>
                <w:sz w:val="20"/>
              </w:rPr>
            </w:pPr>
          </w:p>
        </w:tc>
        <w:tc>
          <w:tcPr>
            <w:tcW w:w="616" w:type="dxa"/>
          </w:tcPr>
          <w:p>
            <w:pPr>
              <w:pStyle w:val="TableParagraph"/>
              <w:rPr>
                <w:sz w:val="20"/>
              </w:rPr>
            </w:pPr>
          </w:p>
        </w:tc>
        <w:tc>
          <w:tcPr>
            <w:tcW w:w="621" w:type="dxa"/>
          </w:tcPr>
          <w:p>
            <w:pPr>
              <w:pStyle w:val="TableParagraph"/>
              <w:rPr>
                <w:sz w:val="20"/>
              </w:rPr>
            </w:pPr>
          </w:p>
        </w:tc>
        <w:tc>
          <w:tcPr>
            <w:tcW w:w="611" w:type="dxa"/>
          </w:tcPr>
          <w:p>
            <w:pPr>
              <w:pStyle w:val="TableParagraph"/>
              <w:rPr>
                <w:sz w:val="20"/>
              </w:rPr>
            </w:pPr>
          </w:p>
        </w:tc>
        <w:tc>
          <w:tcPr>
            <w:tcW w:w="611" w:type="dxa"/>
          </w:tcPr>
          <w:p>
            <w:pPr>
              <w:pStyle w:val="TableParagraph"/>
              <w:rPr>
                <w:sz w:val="20"/>
              </w:rPr>
            </w:pPr>
          </w:p>
        </w:tc>
        <w:tc>
          <w:tcPr>
            <w:tcW w:w="1095" w:type="dxa"/>
            <w:tcBorders>
              <w:right w:val="single" w:sz="4" w:space="0" w:color="000000"/>
            </w:tcBorders>
          </w:tcPr>
          <w:p>
            <w:pPr>
              <w:pStyle w:val="TableParagraph"/>
              <w:spacing w:before="135"/>
              <w:ind w:left="262"/>
              <w:jc w:val="center"/>
              <w:rPr>
                <w:sz w:val="17"/>
              </w:rPr>
            </w:pPr>
            <w:r>
              <w:rPr>
                <w:w w:val="110"/>
                <w:sz w:val="17"/>
              </w:rPr>
              <w:t>8</w:t>
            </w:r>
          </w:p>
        </w:tc>
        <w:tc>
          <w:tcPr>
            <w:tcW w:w="5399" w:type="dxa"/>
            <w:vMerge/>
            <w:tcBorders>
              <w:top w:val="nil"/>
              <w:left w:val="single" w:sz="4" w:space="0" w:color="000000"/>
              <w:bottom w:val="single" w:sz="4" w:space="0" w:color="000000"/>
              <w:right w:val="single" w:sz="4" w:space="0" w:color="000000"/>
            </w:tcBorders>
          </w:tcPr>
          <w:p>
            <w:pPr>
              <w:rPr>
                <w:sz w:val="2"/>
                <w:szCs w:val="2"/>
              </w:rPr>
            </w:pPr>
          </w:p>
        </w:tc>
      </w:tr>
      <w:tr>
        <w:trPr>
          <w:trHeight w:val="470" w:hRule="atLeast"/>
        </w:trPr>
        <w:tc>
          <w:tcPr>
            <w:tcW w:w="800" w:type="dxa"/>
            <w:tcBorders>
              <w:left w:val="single" w:sz="4" w:space="0" w:color="000000"/>
            </w:tcBorders>
          </w:tcPr>
          <w:p>
            <w:pPr>
              <w:pStyle w:val="TableParagraph"/>
              <w:rPr>
                <w:sz w:val="20"/>
              </w:rPr>
            </w:pPr>
          </w:p>
        </w:tc>
        <w:tc>
          <w:tcPr>
            <w:tcW w:w="614" w:type="dxa"/>
          </w:tcPr>
          <w:p>
            <w:pPr>
              <w:pStyle w:val="TableParagraph"/>
              <w:rPr>
                <w:sz w:val="20"/>
              </w:rPr>
            </w:pPr>
          </w:p>
        </w:tc>
        <w:tc>
          <w:tcPr>
            <w:tcW w:w="616" w:type="dxa"/>
          </w:tcPr>
          <w:p>
            <w:pPr>
              <w:pStyle w:val="TableParagraph"/>
              <w:rPr>
                <w:sz w:val="20"/>
              </w:rPr>
            </w:pPr>
          </w:p>
        </w:tc>
        <w:tc>
          <w:tcPr>
            <w:tcW w:w="621" w:type="dxa"/>
          </w:tcPr>
          <w:p>
            <w:pPr>
              <w:pStyle w:val="TableParagraph"/>
              <w:rPr>
                <w:sz w:val="20"/>
              </w:rPr>
            </w:pPr>
          </w:p>
        </w:tc>
        <w:tc>
          <w:tcPr>
            <w:tcW w:w="611" w:type="dxa"/>
          </w:tcPr>
          <w:p>
            <w:pPr>
              <w:pStyle w:val="TableParagraph"/>
              <w:rPr>
                <w:sz w:val="20"/>
              </w:rPr>
            </w:pPr>
          </w:p>
        </w:tc>
        <w:tc>
          <w:tcPr>
            <w:tcW w:w="611" w:type="dxa"/>
          </w:tcPr>
          <w:p>
            <w:pPr>
              <w:pStyle w:val="TableParagraph"/>
              <w:rPr>
                <w:sz w:val="20"/>
              </w:rPr>
            </w:pPr>
          </w:p>
        </w:tc>
        <w:tc>
          <w:tcPr>
            <w:tcW w:w="1095" w:type="dxa"/>
            <w:tcBorders>
              <w:right w:val="single" w:sz="4" w:space="0" w:color="000000"/>
            </w:tcBorders>
          </w:tcPr>
          <w:p>
            <w:pPr>
              <w:pStyle w:val="TableParagraph"/>
              <w:spacing w:before="135"/>
              <w:ind w:left="262"/>
              <w:jc w:val="center"/>
              <w:rPr>
                <w:sz w:val="17"/>
              </w:rPr>
            </w:pPr>
            <w:r>
              <w:rPr>
                <w:w w:val="110"/>
                <w:sz w:val="17"/>
              </w:rPr>
              <w:t>6</w:t>
            </w:r>
          </w:p>
        </w:tc>
        <w:tc>
          <w:tcPr>
            <w:tcW w:w="5399" w:type="dxa"/>
            <w:vMerge/>
            <w:tcBorders>
              <w:top w:val="nil"/>
              <w:left w:val="single" w:sz="4" w:space="0" w:color="000000"/>
              <w:bottom w:val="single" w:sz="4" w:space="0" w:color="000000"/>
              <w:right w:val="single" w:sz="4" w:space="0" w:color="000000"/>
            </w:tcBorders>
          </w:tcPr>
          <w:p>
            <w:pPr>
              <w:rPr>
                <w:sz w:val="2"/>
                <w:szCs w:val="2"/>
              </w:rPr>
            </w:pPr>
          </w:p>
        </w:tc>
      </w:tr>
      <w:tr>
        <w:trPr>
          <w:trHeight w:val="470" w:hRule="atLeast"/>
        </w:trPr>
        <w:tc>
          <w:tcPr>
            <w:tcW w:w="800" w:type="dxa"/>
            <w:tcBorders>
              <w:left w:val="single" w:sz="4" w:space="0" w:color="000000"/>
            </w:tcBorders>
          </w:tcPr>
          <w:p>
            <w:pPr>
              <w:pStyle w:val="TableParagraph"/>
              <w:rPr>
                <w:sz w:val="20"/>
              </w:rPr>
            </w:pPr>
          </w:p>
        </w:tc>
        <w:tc>
          <w:tcPr>
            <w:tcW w:w="614" w:type="dxa"/>
          </w:tcPr>
          <w:p>
            <w:pPr>
              <w:pStyle w:val="TableParagraph"/>
              <w:rPr>
                <w:sz w:val="20"/>
              </w:rPr>
            </w:pPr>
          </w:p>
        </w:tc>
        <w:tc>
          <w:tcPr>
            <w:tcW w:w="616" w:type="dxa"/>
          </w:tcPr>
          <w:p>
            <w:pPr>
              <w:pStyle w:val="TableParagraph"/>
              <w:rPr>
                <w:sz w:val="20"/>
              </w:rPr>
            </w:pPr>
          </w:p>
        </w:tc>
        <w:tc>
          <w:tcPr>
            <w:tcW w:w="621" w:type="dxa"/>
          </w:tcPr>
          <w:p>
            <w:pPr>
              <w:pStyle w:val="TableParagraph"/>
              <w:rPr>
                <w:sz w:val="20"/>
              </w:rPr>
            </w:pPr>
          </w:p>
        </w:tc>
        <w:tc>
          <w:tcPr>
            <w:tcW w:w="611" w:type="dxa"/>
          </w:tcPr>
          <w:p>
            <w:pPr>
              <w:pStyle w:val="TableParagraph"/>
              <w:rPr>
                <w:sz w:val="20"/>
              </w:rPr>
            </w:pPr>
          </w:p>
        </w:tc>
        <w:tc>
          <w:tcPr>
            <w:tcW w:w="611" w:type="dxa"/>
          </w:tcPr>
          <w:p>
            <w:pPr>
              <w:pStyle w:val="TableParagraph"/>
              <w:rPr>
                <w:sz w:val="20"/>
              </w:rPr>
            </w:pPr>
          </w:p>
        </w:tc>
        <w:tc>
          <w:tcPr>
            <w:tcW w:w="1095" w:type="dxa"/>
            <w:tcBorders>
              <w:right w:val="single" w:sz="4" w:space="0" w:color="000000"/>
            </w:tcBorders>
          </w:tcPr>
          <w:p>
            <w:pPr>
              <w:pStyle w:val="TableParagraph"/>
              <w:spacing w:before="135"/>
              <w:ind w:left="262"/>
              <w:jc w:val="center"/>
              <w:rPr>
                <w:sz w:val="17"/>
              </w:rPr>
            </w:pPr>
            <w:r>
              <w:rPr>
                <w:w w:val="110"/>
                <w:sz w:val="17"/>
              </w:rPr>
              <w:t>4</w:t>
            </w:r>
          </w:p>
        </w:tc>
        <w:tc>
          <w:tcPr>
            <w:tcW w:w="5399" w:type="dxa"/>
            <w:vMerge/>
            <w:tcBorders>
              <w:top w:val="nil"/>
              <w:left w:val="single" w:sz="4" w:space="0" w:color="000000"/>
              <w:bottom w:val="single" w:sz="4" w:space="0" w:color="000000"/>
              <w:right w:val="single" w:sz="4" w:space="0" w:color="000000"/>
            </w:tcBorders>
          </w:tcPr>
          <w:p>
            <w:pPr>
              <w:rPr>
                <w:sz w:val="2"/>
                <w:szCs w:val="2"/>
              </w:rPr>
            </w:pPr>
          </w:p>
        </w:tc>
      </w:tr>
      <w:tr>
        <w:trPr>
          <w:trHeight w:val="362" w:hRule="atLeast"/>
        </w:trPr>
        <w:tc>
          <w:tcPr>
            <w:tcW w:w="800" w:type="dxa"/>
            <w:tcBorders>
              <w:left w:val="single" w:sz="4" w:space="0" w:color="000000"/>
            </w:tcBorders>
          </w:tcPr>
          <w:p>
            <w:pPr>
              <w:pStyle w:val="TableParagraph"/>
              <w:rPr>
                <w:sz w:val="20"/>
              </w:rPr>
            </w:pPr>
          </w:p>
        </w:tc>
        <w:tc>
          <w:tcPr>
            <w:tcW w:w="614" w:type="dxa"/>
          </w:tcPr>
          <w:p>
            <w:pPr>
              <w:pStyle w:val="TableParagraph"/>
              <w:rPr>
                <w:sz w:val="20"/>
              </w:rPr>
            </w:pPr>
          </w:p>
        </w:tc>
        <w:tc>
          <w:tcPr>
            <w:tcW w:w="616" w:type="dxa"/>
          </w:tcPr>
          <w:p>
            <w:pPr>
              <w:pStyle w:val="TableParagraph"/>
              <w:rPr>
                <w:sz w:val="20"/>
              </w:rPr>
            </w:pPr>
          </w:p>
        </w:tc>
        <w:tc>
          <w:tcPr>
            <w:tcW w:w="621" w:type="dxa"/>
          </w:tcPr>
          <w:p>
            <w:pPr>
              <w:pStyle w:val="TableParagraph"/>
              <w:rPr>
                <w:sz w:val="20"/>
              </w:rPr>
            </w:pPr>
          </w:p>
        </w:tc>
        <w:tc>
          <w:tcPr>
            <w:tcW w:w="611" w:type="dxa"/>
          </w:tcPr>
          <w:p>
            <w:pPr>
              <w:pStyle w:val="TableParagraph"/>
              <w:rPr>
                <w:sz w:val="20"/>
              </w:rPr>
            </w:pPr>
          </w:p>
        </w:tc>
        <w:tc>
          <w:tcPr>
            <w:tcW w:w="611" w:type="dxa"/>
          </w:tcPr>
          <w:p>
            <w:pPr>
              <w:pStyle w:val="TableParagraph"/>
              <w:rPr>
                <w:sz w:val="20"/>
              </w:rPr>
            </w:pPr>
          </w:p>
        </w:tc>
        <w:tc>
          <w:tcPr>
            <w:tcW w:w="1095" w:type="dxa"/>
            <w:tcBorders>
              <w:right w:val="single" w:sz="4" w:space="0" w:color="000000"/>
            </w:tcBorders>
          </w:tcPr>
          <w:p>
            <w:pPr>
              <w:pStyle w:val="TableParagraph"/>
              <w:spacing w:before="135"/>
              <w:ind w:left="262"/>
              <w:jc w:val="center"/>
              <w:rPr>
                <w:sz w:val="17"/>
              </w:rPr>
            </w:pPr>
            <w:r>
              <w:rPr>
                <w:w w:val="110"/>
                <w:sz w:val="17"/>
              </w:rPr>
              <w:t>2</w:t>
            </w:r>
          </w:p>
        </w:tc>
        <w:tc>
          <w:tcPr>
            <w:tcW w:w="5399" w:type="dxa"/>
            <w:vMerge/>
            <w:tcBorders>
              <w:top w:val="nil"/>
              <w:left w:val="single" w:sz="4" w:space="0" w:color="000000"/>
              <w:bottom w:val="single" w:sz="4" w:space="0" w:color="000000"/>
              <w:right w:val="single" w:sz="4" w:space="0" w:color="000000"/>
            </w:tcBorders>
          </w:tcPr>
          <w:p>
            <w:pPr>
              <w:rPr>
                <w:sz w:val="2"/>
                <w:szCs w:val="2"/>
              </w:rPr>
            </w:pPr>
          </w:p>
        </w:tc>
      </w:tr>
      <w:tr>
        <w:trPr>
          <w:trHeight w:val="617" w:hRule="atLeast"/>
        </w:trPr>
        <w:tc>
          <w:tcPr>
            <w:tcW w:w="800" w:type="dxa"/>
            <w:tcBorders>
              <w:left w:val="single" w:sz="4" w:space="0" w:color="000000"/>
              <w:bottom w:val="single" w:sz="4" w:space="0" w:color="000000"/>
            </w:tcBorders>
          </w:tcPr>
          <w:p>
            <w:pPr>
              <w:pStyle w:val="TableParagraph"/>
              <w:spacing w:before="27"/>
              <w:ind w:left="311"/>
              <w:rPr>
                <w:sz w:val="17"/>
              </w:rPr>
            </w:pPr>
            <w:r>
              <w:rPr>
                <w:w w:val="110"/>
                <w:sz w:val="17"/>
              </w:rPr>
              <w:t>1989</w:t>
            </w:r>
          </w:p>
        </w:tc>
        <w:tc>
          <w:tcPr>
            <w:tcW w:w="614" w:type="dxa"/>
            <w:tcBorders>
              <w:bottom w:val="single" w:sz="4" w:space="0" w:color="000000"/>
            </w:tcBorders>
          </w:tcPr>
          <w:p>
            <w:pPr>
              <w:pStyle w:val="TableParagraph"/>
              <w:spacing w:before="27"/>
              <w:ind w:left="131"/>
              <w:rPr>
                <w:sz w:val="17"/>
              </w:rPr>
            </w:pPr>
            <w:r>
              <w:rPr>
                <w:w w:val="110"/>
                <w:sz w:val="17"/>
              </w:rPr>
              <w:t>1992</w:t>
            </w:r>
          </w:p>
        </w:tc>
        <w:tc>
          <w:tcPr>
            <w:tcW w:w="616" w:type="dxa"/>
            <w:tcBorders>
              <w:bottom w:val="single" w:sz="4" w:space="0" w:color="000000"/>
            </w:tcBorders>
          </w:tcPr>
          <w:p>
            <w:pPr>
              <w:pStyle w:val="TableParagraph"/>
              <w:spacing w:before="27"/>
              <w:ind w:left="131"/>
              <w:rPr>
                <w:sz w:val="17"/>
              </w:rPr>
            </w:pPr>
            <w:r>
              <w:rPr>
                <w:w w:val="110"/>
                <w:sz w:val="17"/>
              </w:rPr>
              <w:t>1995</w:t>
            </w:r>
          </w:p>
        </w:tc>
        <w:tc>
          <w:tcPr>
            <w:tcW w:w="621" w:type="dxa"/>
            <w:tcBorders>
              <w:bottom w:val="single" w:sz="4" w:space="0" w:color="000000"/>
            </w:tcBorders>
          </w:tcPr>
          <w:p>
            <w:pPr>
              <w:pStyle w:val="TableParagraph"/>
              <w:spacing w:before="27"/>
              <w:ind w:left="139"/>
              <w:rPr>
                <w:sz w:val="17"/>
              </w:rPr>
            </w:pPr>
            <w:r>
              <w:rPr>
                <w:w w:val="110"/>
                <w:sz w:val="17"/>
              </w:rPr>
              <w:t>1998</w:t>
            </w:r>
          </w:p>
        </w:tc>
        <w:tc>
          <w:tcPr>
            <w:tcW w:w="611" w:type="dxa"/>
            <w:tcBorders>
              <w:bottom w:val="single" w:sz="4" w:space="0" w:color="000000"/>
            </w:tcBorders>
          </w:tcPr>
          <w:p>
            <w:pPr>
              <w:pStyle w:val="TableParagraph"/>
              <w:spacing w:before="27"/>
              <w:ind w:left="132"/>
              <w:rPr>
                <w:sz w:val="17"/>
              </w:rPr>
            </w:pPr>
            <w:r>
              <w:rPr>
                <w:w w:val="110"/>
                <w:sz w:val="17"/>
              </w:rPr>
              <w:t>2001</w:t>
            </w:r>
          </w:p>
        </w:tc>
        <w:tc>
          <w:tcPr>
            <w:tcW w:w="611" w:type="dxa"/>
            <w:tcBorders>
              <w:bottom w:val="single" w:sz="4" w:space="0" w:color="000000"/>
            </w:tcBorders>
          </w:tcPr>
          <w:p>
            <w:pPr>
              <w:pStyle w:val="TableParagraph"/>
              <w:spacing w:before="27"/>
              <w:ind w:left="136"/>
              <w:rPr>
                <w:sz w:val="17"/>
              </w:rPr>
            </w:pPr>
            <w:r>
              <w:rPr>
                <w:w w:val="110"/>
                <w:sz w:val="17"/>
              </w:rPr>
              <w:t>2004</w:t>
            </w:r>
          </w:p>
        </w:tc>
        <w:tc>
          <w:tcPr>
            <w:tcW w:w="1095" w:type="dxa"/>
            <w:tcBorders>
              <w:bottom w:val="single" w:sz="4" w:space="0" w:color="000000"/>
              <w:right w:val="single" w:sz="4" w:space="0" w:color="000000"/>
            </w:tcBorders>
          </w:tcPr>
          <w:p>
            <w:pPr>
              <w:pStyle w:val="TableParagraph"/>
              <w:spacing w:before="27"/>
              <w:ind w:left="134"/>
              <w:rPr>
                <w:sz w:val="17"/>
              </w:rPr>
            </w:pPr>
            <w:r>
              <w:rPr>
                <w:w w:val="110"/>
                <w:sz w:val="17"/>
              </w:rPr>
              <w:t>2007</w:t>
            </w:r>
          </w:p>
        </w:tc>
        <w:tc>
          <w:tcPr>
            <w:tcW w:w="5399" w:type="dxa"/>
            <w:vMerge/>
            <w:tcBorders>
              <w:top w:val="nil"/>
              <w:left w:val="single" w:sz="4" w:space="0" w:color="000000"/>
              <w:bottom w:val="single" w:sz="4" w:space="0" w:color="000000"/>
              <w:right w:val="single" w:sz="4" w:space="0" w:color="000000"/>
            </w:tcBorders>
          </w:tcPr>
          <w:p>
            <w:pPr>
              <w:rPr>
                <w:sz w:val="2"/>
                <w:szCs w:val="2"/>
              </w:rPr>
            </w:pPr>
          </w:p>
        </w:tc>
      </w:tr>
    </w:tbl>
    <w:p>
      <w:pPr>
        <w:pStyle w:val="BodyText"/>
        <w:rPr>
          <w:sz w:val="20"/>
        </w:rPr>
      </w:pPr>
    </w:p>
    <w:p>
      <w:pPr>
        <w:pStyle w:val="BodyText"/>
        <w:rPr>
          <w:sz w:val="20"/>
        </w:rPr>
      </w:pPr>
    </w:p>
    <w:p>
      <w:pPr>
        <w:pStyle w:val="BodyText"/>
        <w:rPr>
          <w:sz w:val="20"/>
        </w:rPr>
      </w:pPr>
    </w:p>
    <w:p>
      <w:pPr>
        <w:pStyle w:val="BodyText"/>
        <w:spacing w:before="2"/>
        <w:rPr>
          <w:sz w:val="12"/>
        </w:r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6"/>
        <w:gridCol w:w="3659"/>
        <w:gridCol w:w="716"/>
        <w:gridCol w:w="1600"/>
        <w:gridCol w:w="1880"/>
      </w:tblGrid>
      <w:tr>
        <w:trPr>
          <w:trHeight w:val="273" w:hRule="atLeast"/>
        </w:trPr>
        <w:tc>
          <w:tcPr>
            <w:tcW w:w="10421" w:type="dxa"/>
            <w:gridSpan w:val="5"/>
          </w:tcPr>
          <w:p>
            <w:pPr>
              <w:pStyle w:val="TableParagraph"/>
              <w:spacing w:line="253" w:lineRule="exact"/>
              <w:ind w:left="1599" w:right="1585"/>
              <w:jc w:val="center"/>
              <w:rPr>
                <w:sz w:val="24"/>
              </w:rPr>
            </w:pPr>
            <w:r>
              <w:rPr>
                <w:sz w:val="24"/>
              </w:rPr>
              <w:t>Chart 7: Contribution of HEF index to aggregate FES consumption growth</w:t>
            </w:r>
          </w:p>
        </w:tc>
      </w:tr>
      <w:tr>
        <w:trPr>
          <w:trHeight w:val="5918" w:hRule="atLeast"/>
        </w:trPr>
        <w:tc>
          <w:tcPr>
            <w:tcW w:w="2566" w:type="dxa"/>
            <w:tcBorders>
              <w:right w:val="nil"/>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9"/>
              <w:rPr>
                <w:sz w:val="31"/>
              </w:rPr>
            </w:pPr>
          </w:p>
          <w:p>
            <w:pPr>
              <w:pStyle w:val="TableParagraph"/>
              <w:ind w:right="330"/>
              <w:jc w:val="right"/>
              <w:rPr>
                <w:rFonts w:ascii="Arial"/>
                <w:sz w:val="20"/>
              </w:rPr>
            </w:pPr>
            <w:r>
              <w:rPr>
                <w:rFonts w:ascii="Arial"/>
                <w:sz w:val="20"/>
              </w:rPr>
              <w:t>.5</w:t>
            </w:r>
          </w:p>
        </w:tc>
        <w:tc>
          <w:tcPr>
            <w:tcW w:w="3659" w:type="dxa"/>
            <w:tcBorders>
              <w:left w:val="nil"/>
              <w:right w:val="nil"/>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9"/>
              <w:rPr>
                <w:sz w:val="31"/>
              </w:rPr>
            </w:pPr>
          </w:p>
          <w:p>
            <w:pPr>
              <w:pStyle w:val="TableParagraph"/>
              <w:spacing w:line="211" w:lineRule="exact"/>
              <w:ind w:right="17"/>
              <w:jc w:val="center"/>
              <w:rPr>
                <w:rFonts w:ascii="Arial"/>
                <w:sz w:val="20"/>
              </w:rPr>
            </w:pPr>
            <w:r>
              <w:rPr>
                <w:rFonts w:ascii="Arial"/>
                <w:w w:val="100"/>
                <w:sz w:val="20"/>
              </w:rPr>
              <w:t>1</w:t>
            </w:r>
          </w:p>
          <w:p>
            <w:pPr>
              <w:pStyle w:val="TableParagraph"/>
              <w:spacing w:line="211" w:lineRule="exact"/>
              <w:ind w:right="242"/>
              <w:jc w:val="right"/>
              <w:rPr>
                <w:rFonts w:ascii="Arial"/>
                <w:sz w:val="20"/>
              </w:rPr>
            </w:pPr>
            <w:r>
              <w:rPr>
                <w:rFonts w:ascii="Arial"/>
                <w:sz w:val="20"/>
              </w:rPr>
              <w:t>HEF</w:t>
            </w:r>
            <w:r>
              <w:rPr>
                <w:rFonts w:ascii="Arial"/>
                <w:spacing w:val="14"/>
                <w:sz w:val="20"/>
              </w:rPr>
              <w:t> </w:t>
            </w:r>
            <w:r>
              <w:rPr>
                <w:rFonts w:ascii="Arial"/>
                <w:sz w:val="20"/>
              </w:rPr>
              <w:t>index</w:t>
            </w:r>
          </w:p>
          <w:p>
            <w:pPr>
              <w:pStyle w:val="TableParagraph"/>
              <w:spacing w:before="188"/>
              <w:ind w:left="342"/>
              <w:rPr>
                <w:rFonts w:ascii="Arial"/>
                <w:sz w:val="20"/>
              </w:rPr>
            </w:pPr>
            <w:r>
              <w:rPr>
                <w:rFonts w:ascii="Arial"/>
                <w:sz w:val="20"/>
              </w:rPr>
              <w:t>Unexplained  Consumption</w:t>
            </w:r>
            <w:r>
              <w:rPr>
                <w:rFonts w:ascii="Arial"/>
                <w:spacing w:val="-6"/>
                <w:sz w:val="20"/>
              </w:rPr>
              <w:t> </w:t>
            </w:r>
            <w:r>
              <w:rPr>
                <w:rFonts w:ascii="Arial"/>
                <w:sz w:val="20"/>
              </w:rPr>
              <w:t>growth</w:t>
            </w:r>
          </w:p>
        </w:tc>
        <w:tc>
          <w:tcPr>
            <w:tcW w:w="716" w:type="dxa"/>
            <w:tcBorders>
              <w:left w:val="nil"/>
              <w:right w:val="nil"/>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9"/>
              <w:rPr>
                <w:sz w:val="31"/>
              </w:rPr>
            </w:pPr>
          </w:p>
          <w:p>
            <w:pPr>
              <w:pStyle w:val="TableParagraph"/>
              <w:ind w:left="254"/>
              <w:rPr>
                <w:rFonts w:ascii="Arial"/>
                <w:sz w:val="20"/>
              </w:rPr>
            </w:pPr>
            <w:r>
              <w:rPr>
                <w:rFonts w:ascii="Arial"/>
                <w:sz w:val="20"/>
              </w:rPr>
              <w:t>1.5</w:t>
            </w:r>
          </w:p>
        </w:tc>
        <w:tc>
          <w:tcPr>
            <w:tcW w:w="1600" w:type="dxa"/>
            <w:tcBorders>
              <w:left w:val="nil"/>
              <w:right w:val="nil"/>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9"/>
              <w:rPr>
                <w:sz w:val="18"/>
              </w:rPr>
            </w:pPr>
          </w:p>
          <w:p>
            <w:pPr>
              <w:pStyle w:val="TableParagraph"/>
              <w:ind w:left="191"/>
              <w:rPr>
                <w:rFonts w:ascii="Arial"/>
                <w:sz w:val="20"/>
              </w:rPr>
            </w:pPr>
            <w:r>
              <w:rPr>
                <w:rFonts w:ascii="Arial"/>
                <w:sz w:val="20"/>
              </w:rPr>
              <w:t>Fitted values</w:t>
            </w:r>
          </w:p>
        </w:tc>
        <w:tc>
          <w:tcPr>
            <w:tcW w:w="1880" w:type="dxa"/>
            <w:tcBorders>
              <w:left w:val="nil"/>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9"/>
              <w:rPr>
                <w:sz w:val="31"/>
              </w:rPr>
            </w:pPr>
          </w:p>
          <w:p>
            <w:pPr>
              <w:pStyle w:val="TableParagraph"/>
              <w:ind w:left="262"/>
              <w:rPr>
                <w:rFonts w:ascii="Arial"/>
                <w:sz w:val="20"/>
              </w:rPr>
            </w:pPr>
            <w:r>
              <w:rPr>
                <w:rFonts w:ascii="Arial"/>
                <w:w w:val="100"/>
                <w:sz w:val="20"/>
              </w:rPr>
              <w:t>2</w:t>
            </w:r>
          </w:p>
        </w:tc>
      </w:tr>
    </w:tbl>
    <w:sectPr>
      <w:pgSz w:w="11910" w:h="16840"/>
      <w:pgMar w:header="0" w:footer="697" w:top="1580" w:bottom="88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type id="_x0000_t202" o:spt="202" coordsize="21600,21600" path="m,l,21600r21600,l21600,xe">
          <v:stroke joinstyle="miter"/>
          <v:path gradientshapeok="t" o:connecttype="rect"/>
        </v:shapetype>
        <v:shape style="position:absolute;margin-left:288.600006pt;margin-top:791.82666pt;width:18pt;height:15.3pt;mso-position-horizontal-relative:page;mso-position-vertical-relative:page;z-index:-25278156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archive/documents/historicpubs/speeches/2008/speech334paper.pdf" TargetMode="External"/><Relationship Id="rId7" Type="http://schemas.openxmlformats.org/officeDocument/2006/relationships/hyperlink" Target="http://www.bankofengland.co.uk/publications/Pages/speeches/default.aspx" TargetMode="External"/><Relationship Id="rId8" Type="http://schemas.openxmlformats.org/officeDocument/2006/relationships/footer" Target="footer1.xml"/><Relationship Id="rId9" Type="http://schemas.openxmlformats.org/officeDocument/2006/relationships/hyperlink" Target="http://www.bankofengland.co.uk/publications/speeches/2008/speech334paper.pdf" TargetMode="External"/><Relationship Id="rId10" Type="http://schemas.openxmlformats.org/officeDocument/2006/relationships/hyperlink" Target="http://www.bankofengland.co.uk/publications/other/monetary/creditconditions.htm"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Timothy Besley</dc:subject>
  <dc:title>Financial Markets and Household Consumption - Speech by Timothy Besley, Member of the Monetary Policy Committee at the Institute for Fiscal Studies, London on 18 February 2008</dc:title>
  <dcterms:created xsi:type="dcterms:W3CDTF">2020-06-02T17:31:44Z</dcterms:created>
  <dcterms:modified xsi:type="dcterms:W3CDTF">2020-06-02T17:31:44Z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2008-02-18T00:00:00Z</vt:filetime>
  </property>
  <property fmtid="{D5CDD505-2E9C-101B-9397-08002B2CF9AE}" pid="3" name="LastSaved">
    <vt:filetime>2020-06-02T00:00:00Z</vt:filetime>
  </property>
</Properties>
</file>