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Fortune favours the bold</w:t>
      </w:r>
    </w:p>
    <w:p>
      <w:pPr>
        <w:spacing w:before="264"/>
        <w:ind w:left="227" w:right="0" w:firstLine="0"/>
        <w:jc w:val="left"/>
        <w:rPr>
          <w:sz w:val="22"/>
        </w:rPr>
      </w:pPr>
      <w:r>
        <w:rPr>
          <w:sz w:val="22"/>
        </w:rPr>
        <w:t>Speech given by</w:t>
      </w:r>
    </w:p>
    <w:p>
      <w:pPr>
        <w:spacing w:before="137"/>
        <w:ind w:left="227" w:right="0" w:firstLine="0"/>
        <w:jc w:val="left"/>
        <w:rPr>
          <w:sz w:val="22"/>
        </w:rPr>
      </w:pPr>
      <w:r>
        <w:rPr>
          <w:sz w:val="22"/>
        </w:rPr>
        <w:t>Mark Carney, Governor of the Bank of England</w:t>
      </w:r>
    </w:p>
    <w:p>
      <w:pPr>
        <w:pStyle w:val="BodyText"/>
        <w:rPr>
          <w:sz w:val="24"/>
        </w:rPr>
      </w:pPr>
    </w:p>
    <w:p>
      <w:pPr>
        <w:pStyle w:val="BodyText"/>
        <w:spacing w:before="8"/>
        <w:rPr>
          <w:sz w:val="21"/>
        </w:rPr>
      </w:pPr>
    </w:p>
    <w:p>
      <w:pPr>
        <w:spacing w:line="369" w:lineRule="auto" w:before="0"/>
        <w:ind w:left="227" w:right="706" w:firstLine="0"/>
        <w:jc w:val="left"/>
        <w:rPr>
          <w:sz w:val="22"/>
        </w:rPr>
      </w:pPr>
      <w:r>
        <w:rPr>
          <w:sz w:val="22"/>
        </w:rPr>
        <w:t>Lecture to honour the memory of The Honourable James Michael Flaherty, P.C., Iveagh House, Dublin</w:t>
      </w:r>
    </w:p>
    <w:p>
      <w:pPr>
        <w:spacing w:line="253" w:lineRule="exact" w:before="0"/>
        <w:ind w:left="227" w:right="0" w:firstLine="0"/>
        <w:jc w:val="left"/>
        <w:rPr>
          <w:sz w:val="22"/>
        </w:rPr>
      </w:pPr>
      <w:r>
        <w:rPr>
          <w:sz w:val="22"/>
        </w:rPr>
        <w:t>28 January 2015</w:t>
      </w:r>
    </w:p>
    <w:p>
      <w:pPr>
        <w:spacing w:after="0" w:line="253" w:lineRule="exact"/>
        <w:jc w:val="left"/>
        <w:rPr>
          <w:sz w:val="22"/>
        </w:rPr>
        <w:sectPr>
          <w:footerReference w:type="default" r:id="rId5"/>
          <w:type w:val="continuous"/>
          <w:pgSz w:w="12240" w:h="15840"/>
          <w:pgMar w:footer="1240" w:top="1120" w:bottom="1440" w:left="1360" w:right="1480"/>
        </w:sectPr>
      </w:pPr>
    </w:p>
    <w:p>
      <w:pPr>
        <w:pStyle w:val="Heading1"/>
        <w:numPr>
          <w:ilvl w:val="0"/>
          <w:numId w:val="1"/>
        </w:numPr>
        <w:tabs>
          <w:tab w:pos="565" w:val="left" w:leader="none"/>
        </w:tabs>
        <w:spacing w:line="240" w:lineRule="auto" w:before="78" w:after="0"/>
        <w:ind w:left="564" w:right="0" w:hanging="339"/>
        <w:jc w:val="left"/>
      </w:pPr>
      <w:r>
        <w:rPr/>
        <w:t>Introduction</w:t>
      </w:r>
    </w:p>
    <w:p>
      <w:pPr>
        <w:pStyle w:val="BodyText"/>
        <w:spacing w:before="8"/>
        <w:rPr>
          <w:b/>
          <w:sz w:val="25"/>
        </w:rPr>
      </w:pPr>
    </w:p>
    <w:p>
      <w:pPr>
        <w:pStyle w:val="BodyText"/>
        <w:ind w:left="226"/>
      </w:pPr>
      <w:r>
        <w:rPr/>
        <w:t>It</w:t>
      </w:r>
      <w:r>
        <w:rPr>
          <w:spacing w:val="-7"/>
        </w:rPr>
        <w:t> </w:t>
      </w:r>
      <w:r>
        <w:rPr/>
        <w:t>is</w:t>
      </w:r>
      <w:r>
        <w:rPr>
          <w:spacing w:val="-6"/>
        </w:rPr>
        <w:t> </w:t>
      </w:r>
      <w:r>
        <w:rPr/>
        <w:t>a</w:t>
      </w:r>
      <w:r>
        <w:rPr>
          <w:spacing w:val="-7"/>
        </w:rPr>
        <w:t> </w:t>
      </w:r>
      <w:r>
        <w:rPr/>
        <w:t>pleasure</w:t>
      </w:r>
      <w:r>
        <w:rPr>
          <w:spacing w:val="-7"/>
        </w:rPr>
        <w:t> </w:t>
      </w:r>
      <w:r>
        <w:rPr/>
        <w:t>to</w:t>
      </w:r>
      <w:r>
        <w:rPr>
          <w:spacing w:val="-7"/>
        </w:rPr>
        <w:t> </w:t>
      </w:r>
      <w:r>
        <w:rPr/>
        <w:t>be</w:t>
      </w:r>
      <w:r>
        <w:rPr>
          <w:spacing w:val="-7"/>
        </w:rPr>
        <w:t> </w:t>
      </w:r>
      <w:r>
        <w:rPr/>
        <w:t>in</w:t>
      </w:r>
      <w:r>
        <w:rPr>
          <w:spacing w:val="-7"/>
        </w:rPr>
        <w:t> </w:t>
      </w:r>
      <w:r>
        <w:rPr/>
        <w:t>Dublin</w:t>
      </w:r>
      <w:r>
        <w:rPr>
          <w:spacing w:val="-6"/>
        </w:rPr>
        <w:t> </w:t>
      </w:r>
      <w:r>
        <w:rPr/>
        <w:t>and</w:t>
      </w:r>
      <w:r>
        <w:rPr>
          <w:spacing w:val="-7"/>
        </w:rPr>
        <w:t> </w:t>
      </w:r>
      <w:r>
        <w:rPr/>
        <w:t>an</w:t>
      </w:r>
      <w:r>
        <w:rPr>
          <w:spacing w:val="-7"/>
        </w:rPr>
        <w:t> </w:t>
      </w:r>
      <w:r>
        <w:rPr/>
        <w:t>honour</w:t>
      </w:r>
      <w:r>
        <w:rPr>
          <w:spacing w:val="-7"/>
        </w:rPr>
        <w:t> </w:t>
      </w:r>
      <w:r>
        <w:rPr/>
        <w:t>to</w:t>
      </w:r>
      <w:r>
        <w:rPr>
          <w:spacing w:val="-7"/>
        </w:rPr>
        <w:t> </w:t>
      </w:r>
      <w:r>
        <w:rPr/>
        <w:t>give</w:t>
      </w:r>
      <w:r>
        <w:rPr>
          <w:spacing w:val="-7"/>
        </w:rPr>
        <w:t> </w:t>
      </w:r>
      <w:r>
        <w:rPr/>
        <w:t>this</w:t>
      </w:r>
      <w:r>
        <w:rPr>
          <w:spacing w:val="-7"/>
        </w:rPr>
        <w:t> </w:t>
      </w:r>
      <w:r>
        <w:rPr/>
        <w:t>Iveagh</w:t>
      </w:r>
      <w:r>
        <w:rPr>
          <w:spacing w:val="-7"/>
        </w:rPr>
        <w:t> </w:t>
      </w:r>
      <w:r>
        <w:rPr/>
        <w:t>House</w:t>
      </w:r>
      <w:r>
        <w:rPr>
          <w:spacing w:val="-7"/>
        </w:rPr>
        <w:t> </w:t>
      </w:r>
      <w:r>
        <w:rPr/>
        <w:t>lecture</w:t>
      </w:r>
      <w:r>
        <w:rPr>
          <w:spacing w:val="-8"/>
        </w:rPr>
        <w:t> </w:t>
      </w:r>
      <w:r>
        <w:rPr/>
        <w:t>in</w:t>
      </w:r>
      <w:r>
        <w:rPr>
          <w:spacing w:val="-7"/>
        </w:rPr>
        <w:t> </w:t>
      </w:r>
      <w:r>
        <w:rPr/>
        <w:t>memory</w:t>
      </w:r>
      <w:r>
        <w:rPr>
          <w:spacing w:val="-6"/>
        </w:rPr>
        <w:t> </w:t>
      </w:r>
      <w:r>
        <w:rPr/>
        <w:t>of</w:t>
      </w:r>
      <w:r>
        <w:rPr>
          <w:spacing w:val="-6"/>
        </w:rPr>
        <w:t> </w:t>
      </w:r>
      <w:r>
        <w:rPr/>
        <w:t>Jim</w:t>
      </w:r>
      <w:r>
        <w:rPr>
          <w:spacing w:val="-5"/>
        </w:rPr>
        <w:t> </w:t>
      </w:r>
      <w:r>
        <w:rPr/>
        <w:t>Flaherty.</w:t>
      </w:r>
    </w:p>
    <w:p>
      <w:pPr>
        <w:pStyle w:val="BodyText"/>
        <w:rPr>
          <w:sz w:val="20"/>
        </w:rPr>
      </w:pPr>
    </w:p>
    <w:p>
      <w:pPr>
        <w:pStyle w:val="BodyText"/>
        <w:spacing w:before="5"/>
        <w:rPr>
          <w:sz w:val="17"/>
        </w:rPr>
      </w:pPr>
    </w:p>
    <w:p>
      <w:pPr>
        <w:pStyle w:val="BodyText"/>
        <w:spacing w:line="357" w:lineRule="auto"/>
        <w:ind w:left="226" w:right="197"/>
      </w:pPr>
      <w:r>
        <w:rPr/>
        <w:t>Jim’s attitude and actions typified the Flaherty family motto: Fortune Favours the Bold. Born the sixth of eight children in La Chine, Quebec; Jim Flaherty worked odd jobs and won a hockey scholarship to put himself through Princeton. Successful in private and public sectors; he rose to become Attorney General and</w:t>
      </w:r>
      <w:r>
        <w:rPr>
          <w:spacing w:val="-9"/>
        </w:rPr>
        <w:t> </w:t>
      </w:r>
      <w:r>
        <w:rPr/>
        <w:t>Minister</w:t>
      </w:r>
      <w:r>
        <w:rPr>
          <w:spacing w:val="-8"/>
        </w:rPr>
        <w:t> </w:t>
      </w:r>
      <w:r>
        <w:rPr/>
        <w:t>of</w:t>
      </w:r>
      <w:r>
        <w:rPr>
          <w:spacing w:val="-6"/>
        </w:rPr>
        <w:t> </w:t>
      </w:r>
      <w:r>
        <w:rPr/>
        <w:t>Finance</w:t>
      </w:r>
      <w:r>
        <w:rPr>
          <w:spacing w:val="-9"/>
        </w:rPr>
        <w:t> </w:t>
      </w:r>
      <w:r>
        <w:rPr/>
        <w:t>of</w:t>
      </w:r>
      <w:r>
        <w:rPr>
          <w:spacing w:val="-6"/>
        </w:rPr>
        <w:t> </w:t>
      </w:r>
      <w:r>
        <w:rPr/>
        <w:t>his</w:t>
      </w:r>
      <w:r>
        <w:rPr>
          <w:spacing w:val="-6"/>
        </w:rPr>
        <w:t> </w:t>
      </w:r>
      <w:r>
        <w:rPr/>
        <w:t>province</w:t>
      </w:r>
      <w:r>
        <w:rPr>
          <w:spacing w:val="-8"/>
        </w:rPr>
        <w:t> </w:t>
      </w:r>
      <w:r>
        <w:rPr/>
        <w:t>before</w:t>
      </w:r>
      <w:r>
        <w:rPr>
          <w:spacing w:val="-8"/>
        </w:rPr>
        <w:t> </w:t>
      </w:r>
      <w:r>
        <w:rPr/>
        <w:t>becoming</w:t>
      </w:r>
      <w:r>
        <w:rPr>
          <w:spacing w:val="-9"/>
        </w:rPr>
        <w:t> </w:t>
      </w:r>
      <w:r>
        <w:rPr/>
        <w:t>Canada’s</w:t>
      </w:r>
      <w:r>
        <w:rPr>
          <w:spacing w:val="-8"/>
        </w:rPr>
        <w:t> </w:t>
      </w:r>
      <w:r>
        <w:rPr/>
        <w:t>37</w:t>
      </w:r>
      <w:r>
        <w:rPr>
          <w:vertAlign w:val="superscript"/>
        </w:rPr>
        <w:t>th</w:t>
      </w:r>
      <w:r>
        <w:rPr>
          <w:spacing w:val="-7"/>
          <w:vertAlign w:val="baseline"/>
        </w:rPr>
        <w:t> </w:t>
      </w:r>
      <w:r>
        <w:rPr>
          <w:vertAlign w:val="baseline"/>
        </w:rPr>
        <w:t>Minister</w:t>
      </w:r>
      <w:r>
        <w:rPr>
          <w:spacing w:val="-8"/>
          <w:vertAlign w:val="baseline"/>
        </w:rPr>
        <w:t> </w:t>
      </w:r>
      <w:r>
        <w:rPr>
          <w:vertAlign w:val="baseline"/>
        </w:rPr>
        <w:t>of</w:t>
      </w:r>
      <w:r>
        <w:rPr>
          <w:spacing w:val="-6"/>
          <w:vertAlign w:val="baseline"/>
        </w:rPr>
        <w:t> </w:t>
      </w:r>
      <w:r>
        <w:rPr>
          <w:vertAlign w:val="baseline"/>
        </w:rPr>
        <w:t>Finance.</w:t>
      </w:r>
      <w:r>
        <w:rPr>
          <w:spacing w:val="36"/>
          <w:vertAlign w:val="baseline"/>
        </w:rPr>
        <w:t> </w:t>
      </w:r>
      <w:r>
        <w:rPr>
          <w:vertAlign w:val="baseline"/>
        </w:rPr>
        <w:t>Once</w:t>
      </w:r>
      <w:r>
        <w:rPr>
          <w:spacing w:val="-8"/>
          <w:vertAlign w:val="baseline"/>
        </w:rPr>
        <w:t> </w:t>
      </w:r>
      <w:r>
        <w:rPr>
          <w:vertAlign w:val="baseline"/>
        </w:rPr>
        <w:t>there,</w:t>
      </w:r>
      <w:r>
        <w:rPr>
          <w:spacing w:val="-8"/>
          <w:vertAlign w:val="baseline"/>
        </w:rPr>
        <w:t> </w:t>
      </w:r>
      <w:r>
        <w:rPr>
          <w:vertAlign w:val="baseline"/>
        </w:rPr>
        <w:t>his accomplishments were legion, ranging from creating and enhancing support programs for the disabled and care</w:t>
      </w:r>
      <w:r>
        <w:rPr>
          <w:spacing w:val="-7"/>
          <w:vertAlign w:val="baseline"/>
        </w:rPr>
        <w:t> </w:t>
      </w:r>
      <w:r>
        <w:rPr>
          <w:vertAlign w:val="baseline"/>
        </w:rPr>
        <w:t>givers</w:t>
      </w:r>
      <w:r>
        <w:rPr>
          <w:spacing w:val="-6"/>
          <w:vertAlign w:val="baseline"/>
        </w:rPr>
        <w:t> </w:t>
      </w:r>
      <w:r>
        <w:rPr>
          <w:vertAlign w:val="baseline"/>
        </w:rPr>
        <w:t>to</w:t>
      </w:r>
      <w:r>
        <w:rPr>
          <w:spacing w:val="-7"/>
          <w:vertAlign w:val="baseline"/>
        </w:rPr>
        <w:t> </w:t>
      </w:r>
      <w:r>
        <w:rPr>
          <w:vertAlign w:val="baseline"/>
        </w:rPr>
        <w:t>setting</w:t>
      </w:r>
      <w:r>
        <w:rPr>
          <w:spacing w:val="-7"/>
          <w:vertAlign w:val="baseline"/>
        </w:rPr>
        <w:t> </w:t>
      </w:r>
      <w:r>
        <w:rPr>
          <w:vertAlign w:val="baseline"/>
        </w:rPr>
        <w:t>the</w:t>
      </w:r>
      <w:r>
        <w:rPr>
          <w:spacing w:val="-7"/>
          <w:vertAlign w:val="baseline"/>
        </w:rPr>
        <w:t> </w:t>
      </w:r>
      <w:r>
        <w:rPr>
          <w:vertAlign w:val="baseline"/>
        </w:rPr>
        <w:t>country</w:t>
      </w:r>
      <w:r>
        <w:rPr>
          <w:spacing w:val="-6"/>
          <w:vertAlign w:val="baseline"/>
        </w:rPr>
        <w:t> </w:t>
      </w:r>
      <w:r>
        <w:rPr>
          <w:vertAlign w:val="baseline"/>
        </w:rPr>
        <w:t>back</w:t>
      </w:r>
      <w:r>
        <w:rPr>
          <w:spacing w:val="-6"/>
          <w:vertAlign w:val="baseline"/>
        </w:rPr>
        <w:t> </w:t>
      </w:r>
      <w:r>
        <w:rPr>
          <w:vertAlign w:val="baseline"/>
        </w:rPr>
        <w:t>on</w:t>
      </w:r>
      <w:r>
        <w:rPr>
          <w:spacing w:val="-6"/>
          <w:vertAlign w:val="baseline"/>
        </w:rPr>
        <w:t> </w:t>
      </w:r>
      <w:r>
        <w:rPr>
          <w:vertAlign w:val="baseline"/>
        </w:rPr>
        <w:t>the</w:t>
      </w:r>
      <w:r>
        <w:rPr>
          <w:spacing w:val="-7"/>
          <w:vertAlign w:val="baseline"/>
        </w:rPr>
        <w:t> </w:t>
      </w:r>
      <w:r>
        <w:rPr>
          <w:vertAlign w:val="baseline"/>
        </w:rPr>
        <w:t>path</w:t>
      </w:r>
      <w:r>
        <w:rPr>
          <w:spacing w:val="-6"/>
          <w:vertAlign w:val="baseline"/>
        </w:rPr>
        <w:t> </w:t>
      </w:r>
      <w:r>
        <w:rPr>
          <w:vertAlign w:val="baseline"/>
        </w:rPr>
        <w:t>to</w:t>
      </w:r>
      <w:r>
        <w:rPr>
          <w:spacing w:val="-7"/>
          <w:vertAlign w:val="baseline"/>
        </w:rPr>
        <w:t> </w:t>
      </w:r>
      <w:r>
        <w:rPr>
          <w:vertAlign w:val="baseline"/>
        </w:rPr>
        <w:t>fiscal</w:t>
      </w:r>
      <w:r>
        <w:rPr>
          <w:spacing w:val="-6"/>
          <w:vertAlign w:val="baseline"/>
        </w:rPr>
        <w:t> </w:t>
      </w:r>
      <w:r>
        <w:rPr>
          <w:vertAlign w:val="baseline"/>
        </w:rPr>
        <w:t>balance</w:t>
      </w:r>
      <w:r>
        <w:rPr>
          <w:spacing w:val="-7"/>
          <w:vertAlign w:val="baseline"/>
        </w:rPr>
        <w:t> </w:t>
      </w:r>
      <w:r>
        <w:rPr>
          <w:vertAlign w:val="baseline"/>
        </w:rPr>
        <w:t>after</w:t>
      </w:r>
      <w:r>
        <w:rPr>
          <w:spacing w:val="-6"/>
          <w:vertAlign w:val="baseline"/>
        </w:rPr>
        <w:t> </w:t>
      </w:r>
      <w:r>
        <w:rPr>
          <w:vertAlign w:val="baseline"/>
        </w:rPr>
        <w:t>the</w:t>
      </w:r>
      <w:r>
        <w:rPr>
          <w:spacing w:val="-7"/>
          <w:vertAlign w:val="baseline"/>
        </w:rPr>
        <w:t> </w:t>
      </w:r>
      <w:r>
        <w:rPr>
          <w:vertAlign w:val="baseline"/>
        </w:rPr>
        <w:t>crisis</w:t>
      </w:r>
      <w:r>
        <w:rPr>
          <w:spacing w:val="-5"/>
          <w:vertAlign w:val="baseline"/>
        </w:rPr>
        <w:t> </w:t>
      </w:r>
      <w:r>
        <w:rPr>
          <w:vertAlign w:val="baseline"/>
        </w:rPr>
        <w:t>and</w:t>
      </w:r>
      <w:r>
        <w:rPr>
          <w:spacing w:val="-7"/>
          <w:vertAlign w:val="baseline"/>
        </w:rPr>
        <w:t> </w:t>
      </w:r>
      <w:r>
        <w:rPr>
          <w:vertAlign w:val="baseline"/>
        </w:rPr>
        <w:t>ensuing</w:t>
      </w:r>
      <w:r>
        <w:rPr>
          <w:spacing w:val="-6"/>
          <w:vertAlign w:val="baseline"/>
        </w:rPr>
        <w:t> </w:t>
      </w:r>
      <w:r>
        <w:rPr>
          <w:vertAlign w:val="baseline"/>
        </w:rPr>
        <w:t>recession.</w:t>
      </w:r>
    </w:p>
    <w:p>
      <w:pPr>
        <w:pStyle w:val="BodyText"/>
        <w:spacing w:before="9"/>
        <w:rPr>
          <w:sz w:val="27"/>
        </w:rPr>
      </w:pPr>
    </w:p>
    <w:p>
      <w:pPr>
        <w:pStyle w:val="BodyText"/>
        <w:spacing w:line="355" w:lineRule="auto"/>
        <w:ind w:left="226" w:right="197"/>
      </w:pPr>
      <w:r>
        <w:rPr/>
        <w:t>His tenure as Canadian finance minister was shaped by that crisis and its aftermath. It was my honour to work with him as Canada weathered the storm. And many of you worked closely with Jim as Ireland negotiated agreements with the Troika and devised policies to rebuild its battered economy. I am confident he would be proud of the progress Ireland has made.</w:t>
      </w:r>
    </w:p>
    <w:p>
      <w:pPr>
        <w:pStyle w:val="BodyText"/>
        <w:spacing w:before="7"/>
        <w:rPr>
          <w:sz w:val="28"/>
        </w:rPr>
      </w:pPr>
    </w:p>
    <w:p>
      <w:pPr>
        <w:pStyle w:val="BodyText"/>
        <w:spacing w:line="355" w:lineRule="auto"/>
        <w:ind w:left="226" w:right="123"/>
      </w:pPr>
      <w:r>
        <w:rPr/>
        <w:t>I</w:t>
      </w:r>
      <w:r>
        <w:rPr>
          <w:spacing w:val="-7"/>
        </w:rPr>
        <w:t> </w:t>
      </w:r>
      <w:r>
        <w:rPr/>
        <w:t>suspect</w:t>
      </w:r>
      <w:r>
        <w:rPr>
          <w:spacing w:val="-7"/>
        </w:rPr>
        <w:t> </w:t>
      </w:r>
      <w:r>
        <w:rPr/>
        <w:t>he</w:t>
      </w:r>
      <w:r>
        <w:rPr>
          <w:spacing w:val="-7"/>
        </w:rPr>
        <w:t> </w:t>
      </w:r>
      <w:r>
        <w:rPr/>
        <w:t>would</w:t>
      </w:r>
      <w:r>
        <w:rPr>
          <w:spacing w:val="-7"/>
        </w:rPr>
        <w:t> </w:t>
      </w:r>
      <w:r>
        <w:rPr/>
        <w:t>be</w:t>
      </w:r>
      <w:r>
        <w:rPr>
          <w:spacing w:val="-6"/>
        </w:rPr>
        <w:t> </w:t>
      </w:r>
      <w:r>
        <w:rPr/>
        <w:t>more</w:t>
      </w:r>
      <w:r>
        <w:rPr>
          <w:spacing w:val="-7"/>
        </w:rPr>
        <w:t> </w:t>
      </w:r>
      <w:r>
        <w:rPr/>
        <w:t>than</w:t>
      </w:r>
      <w:r>
        <w:rPr>
          <w:spacing w:val="-7"/>
        </w:rPr>
        <w:t> </w:t>
      </w:r>
      <w:r>
        <w:rPr/>
        <w:t>a</w:t>
      </w:r>
      <w:r>
        <w:rPr>
          <w:spacing w:val="-7"/>
        </w:rPr>
        <w:t> </w:t>
      </w:r>
      <w:r>
        <w:rPr/>
        <w:t>little</w:t>
      </w:r>
      <w:r>
        <w:rPr>
          <w:spacing w:val="-8"/>
        </w:rPr>
        <w:t> </w:t>
      </w:r>
      <w:r>
        <w:rPr/>
        <w:t>frustrated</w:t>
      </w:r>
      <w:r>
        <w:rPr>
          <w:spacing w:val="-6"/>
        </w:rPr>
        <w:t> </w:t>
      </w:r>
      <w:r>
        <w:rPr/>
        <w:t>with</w:t>
      </w:r>
      <w:r>
        <w:rPr>
          <w:spacing w:val="-7"/>
        </w:rPr>
        <w:t> </w:t>
      </w:r>
      <w:r>
        <w:rPr/>
        <w:t>the</w:t>
      </w:r>
      <w:r>
        <w:rPr>
          <w:spacing w:val="-7"/>
        </w:rPr>
        <w:t> </w:t>
      </w:r>
      <w:r>
        <w:rPr/>
        <w:t>euro</w:t>
      </w:r>
      <w:r>
        <w:rPr>
          <w:spacing w:val="-7"/>
        </w:rPr>
        <w:t> </w:t>
      </w:r>
      <w:r>
        <w:rPr/>
        <w:t>area,</w:t>
      </w:r>
      <w:r>
        <w:rPr>
          <w:spacing w:val="-5"/>
        </w:rPr>
        <w:t> </w:t>
      </w:r>
      <w:r>
        <w:rPr/>
        <w:t>however.</w:t>
      </w:r>
      <w:r>
        <w:rPr>
          <w:spacing w:val="42"/>
        </w:rPr>
        <w:t> </w:t>
      </w:r>
      <w:r>
        <w:rPr/>
        <w:t>To</w:t>
      </w:r>
      <w:r>
        <w:rPr>
          <w:spacing w:val="-7"/>
        </w:rPr>
        <w:t> </w:t>
      </w:r>
      <w:r>
        <w:rPr/>
        <w:t>his</w:t>
      </w:r>
      <w:r>
        <w:rPr>
          <w:spacing w:val="-6"/>
        </w:rPr>
        <w:t> </w:t>
      </w:r>
      <w:r>
        <w:rPr/>
        <w:t>last</w:t>
      </w:r>
      <w:r>
        <w:rPr>
          <w:spacing w:val="-7"/>
        </w:rPr>
        <w:t> </w:t>
      </w:r>
      <w:r>
        <w:rPr/>
        <w:t>days</w:t>
      </w:r>
      <w:r>
        <w:rPr>
          <w:spacing w:val="-6"/>
        </w:rPr>
        <w:t> </w:t>
      </w:r>
      <w:r>
        <w:rPr/>
        <w:t>he</w:t>
      </w:r>
      <w:r>
        <w:rPr>
          <w:spacing w:val="-7"/>
        </w:rPr>
        <w:t> </w:t>
      </w:r>
      <w:r>
        <w:rPr/>
        <w:t>remained unconvinced that Europe had fixed its problems, often berating colleagues at the G20 for the lack of progress. That was typical. Jim Flaherty was always forthright.  He wouldn’t avoid a problem, hoping it would get</w:t>
      </w:r>
      <w:r>
        <w:rPr>
          <w:spacing w:val="-2"/>
        </w:rPr>
        <w:t> </w:t>
      </w:r>
      <w:r>
        <w:rPr/>
        <w:t>better.</w:t>
      </w:r>
    </w:p>
    <w:p>
      <w:pPr>
        <w:pStyle w:val="BodyText"/>
        <w:spacing w:before="7"/>
        <w:rPr>
          <w:sz w:val="28"/>
        </w:rPr>
      </w:pPr>
    </w:p>
    <w:p>
      <w:pPr>
        <w:pStyle w:val="BodyText"/>
        <w:spacing w:line="357" w:lineRule="auto"/>
        <w:ind w:left="226" w:right="197"/>
      </w:pPr>
      <w:r>
        <w:rPr/>
        <w:t>On</w:t>
      </w:r>
      <w:r>
        <w:rPr>
          <w:spacing w:val="-7"/>
        </w:rPr>
        <w:t> </w:t>
      </w:r>
      <w:r>
        <w:rPr/>
        <w:t>current</w:t>
      </w:r>
      <w:r>
        <w:rPr>
          <w:spacing w:val="-5"/>
        </w:rPr>
        <w:t> </w:t>
      </w:r>
      <w:r>
        <w:rPr/>
        <w:t>projections</w:t>
      </w:r>
      <w:r>
        <w:rPr>
          <w:spacing w:val="-7"/>
        </w:rPr>
        <w:t> </w:t>
      </w:r>
      <w:r>
        <w:rPr/>
        <w:t>it</w:t>
      </w:r>
      <w:r>
        <w:rPr>
          <w:spacing w:val="-5"/>
        </w:rPr>
        <w:t> </w:t>
      </w:r>
      <w:r>
        <w:rPr/>
        <w:t>will</w:t>
      </w:r>
      <w:r>
        <w:rPr>
          <w:spacing w:val="-6"/>
        </w:rPr>
        <w:t> </w:t>
      </w:r>
      <w:r>
        <w:rPr/>
        <w:t>take</w:t>
      </w:r>
      <w:r>
        <w:rPr>
          <w:spacing w:val="-8"/>
        </w:rPr>
        <w:t> </w:t>
      </w:r>
      <w:r>
        <w:rPr/>
        <w:t>the</w:t>
      </w:r>
      <w:r>
        <w:rPr>
          <w:spacing w:val="-8"/>
        </w:rPr>
        <w:t> </w:t>
      </w:r>
      <w:r>
        <w:rPr/>
        <w:t>euro</w:t>
      </w:r>
      <w:r>
        <w:rPr>
          <w:spacing w:val="-7"/>
        </w:rPr>
        <w:t> </w:t>
      </w:r>
      <w:r>
        <w:rPr/>
        <w:t>area</w:t>
      </w:r>
      <w:r>
        <w:rPr>
          <w:spacing w:val="-8"/>
        </w:rPr>
        <w:t> </w:t>
      </w:r>
      <w:r>
        <w:rPr/>
        <w:t>eight</w:t>
      </w:r>
      <w:r>
        <w:rPr>
          <w:spacing w:val="-7"/>
        </w:rPr>
        <w:t> </w:t>
      </w:r>
      <w:r>
        <w:rPr/>
        <w:t>years</w:t>
      </w:r>
      <w:r>
        <w:rPr>
          <w:spacing w:val="-6"/>
        </w:rPr>
        <w:t> </w:t>
      </w:r>
      <w:r>
        <w:rPr/>
        <w:t>to</w:t>
      </w:r>
      <w:r>
        <w:rPr>
          <w:spacing w:val="-8"/>
        </w:rPr>
        <w:t> </w:t>
      </w:r>
      <w:r>
        <w:rPr/>
        <w:t>achieve</w:t>
      </w:r>
      <w:r>
        <w:rPr>
          <w:spacing w:val="-7"/>
        </w:rPr>
        <w:t> </w:t>
      </w:r>
      <w:r>
        <w:rPr/>
        <w:t>the</w:t>
      </w:r>
      <w:r>
        <w:rPr>
          <w:spacing w:val="-8"/>
        </w:rPr>
        <w:t> </w:t>
      </w:r>
      <w:r>
        <w:rPr/>
        <w:t>recovery</w:t>
      </w:r>
      <w:r>
        <w:rPr>
          <w:spacing w:val="-6"/>
        </w:rPr>
        <w:t> </w:t>
      </w:r>
      <w:r>
        <w:rPr/>
        <w:t>that</w:t>
      </w:r>
      <w:r>
        <w:rPr>
          <w:spacing w:val="-5"/>
        </w:rPr>
        <w:t> </w:t>
      </w:r>
      <w:r>
        <w:rPr/>
        <w:t>Canada</w:t>
      </w:r>
      <w:r>
        <w:rPr>
          <w:spacing w:val="-7"/>
        </w:rPr>
        <w:t> </w:t>
      </w:r>
      <w:r>
        <w:rPr/>
        <w:t>secured</w:t>
      </w:r>
      <w:r>
        <w:rPr>
          <w:spacing w:val="-8"/>
        </w:rPr>
        <w:t> </w:t>
      </w:r>
      <w:r>
        <w:rPr/>
        <w:t>in two.</w:t>
      </w:r>
      <w:r>
        <w:rPr>
          <w:spacing w:val="-7"/>
        </w:rPr>
        <w:t> </w:t>
      </w:r>
      <w:r>
        <w:rPr/>
        <w:t>Tonight</w:t>
      </w:r>
      <w:r>
        <w:rPr>
          <w:spacing w:val="-6"/>
        </w:rPr>
        <w:t> </w:t>
      </w:r>
      <w:r>
        <w:rPr/>
        <w:t>I</w:t>
      </w:r>
      <w:r>
        <w:rPr>
          <w:spacing w:val="-4"/>
        </w:rPr>
        <w:t> </w:t>
      </w:r>
      <w:r>
        <w:rPr/>
        <w:t>would</w:t>
      </w:r>
      <w:r>
        <w:rPr>
          <w:spacing w:val="-6"/>
        </w:rPr>
        <w:t> </w:t>
      </w:r>
      <w:r>
        <w:rPr/>
        <w:t>like</w:t>
      </w:r>
      <w:r>
        <w:rPr>
          <w:spacing w:val="-6"/>
        </w:rPr>
        <w:t> </w:t>
      </w:r>
      <w:r>
        <w:rPr/>
        <w:t>to</w:t>
      </w:r>
      <w:r>
        <w:rPr>
          <w:spacing w:val="-7"/>
        </w:rPr>
        <w:t> </w:t>
      </w:r>
      <w:r>
        <w:rPr/>
        <w:t>draw</w:t>
      </w:r>
      <w:r>
        <w:rPr>
          <w:spacing w:val="-7"/>
        </w:rPr>
        <w:t> </w:t>
      </w:r>
      <w:r>
        <w:rPr/>
        <w:t>on</w:t>
      </w:r>
      <w:r>
        <w:rPr>
          <w:spacing w:val="-7"/>
        </w:rPr>
        <w:t> </w:t>
      </w:r>
      <w:r>
        <w:rPr/>
        <w:t>Jim’s</w:t>
      </w:r>
      <w:r>
        <w:rPr>
          <w:spacing w:val="-6"/>
        </w:rPr>
        <w:t> </w:t>
      </w:r>
      <w:r>
        <w:rPr/>
        <w:t>legacy</w:t>
      </w:r>
      <w:r>
        <w:rPr>
          <w:spacing w:val="-6"/>
        </w:rPr>
        <w:t> </w:t>
      </w:r>
      <w:r>
        <w:rPr/>
        <w:t>to</w:t>
      </w:r>
      <w:r>
        <w:rPr>
          <w:spacing w:val="-6"/>
        </w:rPr>
        <w:t> </w:t>
      </w:r>
      <w:r>
        <w:rPr/>
        <w:t>reflect</w:t>
      </w:r>
      <w:r>
        <w:rPr>
          <w:spacing w:val="-6"/>
        </w:rPr>
        <w:t> </w:t>
      </w:r>
      <w:r>
        <w:rPr/>
        <w:t>on</w:t>
      </w:r>
      <w:r>
        <w:rPr>
          <w:spacing w:val="-7"/>
        </w:rPr>
        <w:t> </w:t>
      </w:r>
      <w:r>
        <w:rPr/>
        <w:t>how</w:t>
      </w:r>
      <w:r>
        <w:rPr>
          <w:spacing w:val="-7"/>
        </w:rPr>
        <w:t> </w:t>
      </w:r>
      <w:r>
        <w:rPr/>
        <w:t>the</w:t>
      </w:r>
      <w:r>
        <w:rPr>
          <w:spacing w:val="-7"/>
        </w:rPr>
        <w:t> </w:t>
      </w:r>
      <w:r>
        <w:rPr/>
        <w:t>euro</w:t>
      </w:r>
      <w:r>
        <w:rPr>
          <w:spacing w:val="-7"/>
        </w:rPr>
        <w:t> </w:t>
      </w:r>
      <w:r>
        <w:rPr/>
        <w:t>area</w:t>
      </w:r>
      <w:r>
        <w:rPr>
          <w:spacing w:val="-7"/>
        </w:rPr>
        <w:t> </w:t>
      </w:r>
      <w:r>
        <w:rPr/>
        <w:t>could</w:t>
      </w:r>
      <w:r>
        <w:rPr>
          <w:spacing w:val="-6"/>
        </w:rPr>
        <w:t> </w:t>
      </w:r>
      <w:r>
        <w:rPr/>
        <w:t>act</w:t>
      </w:r>
      <w:r>
        <w:rPr>
          <w:spacing w:val="-7"/>
        </w:rPr>
        <w:t> </w:t>
      </w:r>
      <w:r>
        <w:rPr/>
        <w:t>to</w:t>
      </w:r>
      <w:r>
        <w:rPr>
          <w:spacing w:val="-6"/>
        </w:rPr>
        <w:t> </w:t>
      </w:r>
      <w:r>
        <w:rPr/>
        <w:t>avoid</w:t>
      </w:r>
      <w:r>
        <w:rPr>
          <w:spacing w:val="-6"/>
        </w:rPr>
        <w:t> </w:t>
      </w:r>
      <w:r>
        <w:rPr/>
        <w:t>another lost decade. This matters for Ireland, Europe and the UK. The euro area is the world’s second largest economy.</w:t>
      </w:r>
      <w:r>
        <w:rPr>
          <w:vertAlign w:val="superscript"/>
        </w:rPr>
        <w:t>1</w:t>
      </w:r>
      <w:r>
        <w:rPr>
          <w:vertAlign w:val="baseline"/>
        </w:rPr>
        <w:t> With 27% of global banking assets it is a key determinant of global financial stability. It is the UK’s</w:t>
      </w:r>
      <w:r>
        <w:rPr>
          <w:spacing w:val="-5"/>
          <w:vertAlign w:val="baseline"/>
        </w:rPr>
        <w:t> </w:t>
      </w:r>
      <w:r>
        <w:rPr>
          <w:vertAlign w:val="baseline"/>
        </w:rPr>
        <w:t>largest</w:t>
      </w:r>
      <w:r>
        <w:rPr>
          <w:spacing w:val="-5"/>
          <w:vertAlign w:val="baseline"/>
        </w:rPr>
        <w:t> </w:t>
      </w:r>
      <w:r>
        <w:rPr>
          <w:vertAlign w:val="baseline"/>
        </w:rPr>
        <w:t>trading</w:t>
      </w:r>
      <w:r>
        <w:rPr>
          <w:spacing w:val="-6"/>
          <w:vertAlign w:val="baseline"/>
        </w:rPr>
        <w:t> </w:t>
      </w:r>
      <w:r>
        <w:rPr>
          <w:vertAlign w:val="baseline"/>
        </w:rPr>
        <w:t>partner</w:t>
      </w:r>
      <w:r>
        <w:rPr>
          <w:spacing w:val="-4"/>
          <w:vertAlign w:val="baseline"/>
        </w:rPr>
        <w:t> </w:t>
      </w:r>
      <w:r>
        <w:rPr>
          <w:vertAlign w:val="baseline"/>
        </w:rPr>
        <w:t>and</w:t>
      </w:r>
      <w:r>
        <w:rPr>
          <w:spacing w:val="-5"/>
          <w:vertAlign w:val="baseline"/>
        </w:rPr>
        <w:t> </w:t>
      </w:r>
      <w:r>
        <w:rPr>
          <w:vertAlign w:val="baseline"/>
        </w:rPr>
        <w:t>the</w:t>
      </w:r>
      <w:r>
        <w:rPr>
          <w:spacing w:val="-4"/>
          <w:vertAlign w:val="baseline"/>
        </w:rPr>
        <w:t> </w:t>
      </w:r>
      <w:r>
        <w:rPr>
          <w:vertAlign w:val="baseline"/>
        </w:rPr>
        <w:t>single</w:t>
      </w:r>
      <w:r>
        <w:rPr>
          <w:spacing w:val="-5"/>
          <w:vertAlign w:val="baseline"/>
        </w:rPr>
        <w:t> </w:t>
      </w:r>
      <w:r>
        <w:rPr>
          <w:vertAlign w:val="baseline"/>
        </w:rPr>
        <w:t>largest</w:t>
      </w:r>
      <w:r>
        <w:rPr>
          <w:spacing w:val="-3"/>
          <w:vertAlign w:val="baseline"/>
        </w:rPr>
        <w:t> </w:t>
      </w:r>
      <w:r>
        <w:rPr>
          <w:vertAlign w:val="baseline"/>
        </w:rPr>
        <w:t>destination</w:t>
      </w:r>
      <w:r>
        <w:rPr>
          <w:spacing w:val="-5"/>
          <w:vertAlign w:val="baseline"/>
        </w:rPr>
        <w:t> </w:t>
      </w:r>
      <w:r>
        <w:rPr>
          <w:vertAlign w:val="baseline"/>
        </w:rPr>
        <w:t>for</w:t>
      </w:r>
      <w:r>
        <w:rPr>
          <w:spacing w:val="-5"/>
          <w:vertAlign w:val="baseline"/>
        </w:rPr>
        <w:t> </w:t>
      </w:r>
      <w:r>
        <w:rPr>
          <w:vertAlign w:val="baseline"/>
        </w:rPr>
        <w:t>UK</w:t>
      </w:r>
      <w:r>
        <w:rPr>
          <w:spacing w:val="-3"/>
          <w:vertAlign w:val="baseline"/>
        </w:rPr>
        <w:t> </w:t>
      </w:r>
      <w:r>
        <w:rPr>
          <w:vertAlign w:val="baseline"/>
        </w:rPr>
        <w:t>foreign</w:t>
      </w:r>
      <w:r>
        <w:rPr>
          <w:spacing w:val="-5"/>
          <w:vertAlign w:val="baseline"/>
        </w:rPr>
        <w:t> </w:t>
      </w:r>
      <w:r>
        <w:rPr>
          <w:vertAlign w:val="baseline"/>
        </w:rPr>
        <w:t>direct</w:t>
      </w:r>
      <w:r>
        <w:rPr>
          <w:spacing w:val="-3"/>
          <w:vertAlign w:val="baseline"/>
        </w:rPr>
        <w:t> </w:t>
      </w:r>
      <w:r>
        <w:rPr>
          <w:vertAlign w:val="baseline"/>
        </w:rPr>
        <w:t>investment.</w:t>
      </w:r>
    </w:p>
    <w:p>
      <w:pPr>
        <w:pStyle w:val="BodyText"/>
        <w:spacing w:before="10"/>
        <w:rPr>
          <w:sz w:val="27"/>
        </w:rPr>
      </w:pPr>
    </w:p>
    <w:p>
      <w:pPr>
        <w:pStyle w:val="BodyText"/>
        <w:spacing w:line="357" w:lineRule="auto"/>
        <w:ind w:left="226" w:right="119"/>
        <w:jc w:val="both"/>
      </w:pPr>
      <w:r>
        <w:rPr/>
        <w:t>The</w:t>
      </w:r>
      <w:r>
        <w:rPr>
          <w:spacing w:val="-9"/>
        </w:rPr>
        <w:t> </w:t>
      </w:r>
      <w:r>
        <w:rPr/>
        <w:t>euro</w:t>
      </w:r>
      <w:r>
        <w:rPr>
          <w:spacing w:val="-8"/>
        </w:rPr>
        <w:t> </w:t>
      </w:r>
      <w:r>
        <w:rPr/>
        <w:t>area</w:t>
      </w:r>
      <w:r>
        <w:rPr>
          <w:spacing w:val="-7"/>
        </w:rPr>
        <w:t> </w:t>
      </w:r>
      <w:r>
        <w:rPr/>
        <w:t>would</w:t>
      </w:r>
      <w:r>
        <w:rPr>
          <w:spacing w:val="-8"/>
        </w:rPr>
        <w:t> </w:t>
      </w:r>
      <w:r>
        <w:rPr/>
        <w:t>do</w:t>
      </w:r>
      <w:r>
        <w:rPr>
          <w:spacing w:val="-6"/>
        </w:rPr>
        <w:t> </w:t>
      </w:r>
      <w:r>
        <w:rPr/>
        <w:t>well</w:t>
      </w:r>
      <w:r>
        <w:rPr>
          <w:spacing w:val="-6"/>
        </w:rPr>
        <w:t> </w:t>
      </w:r>
      <w:r>
        <w:rPr/>
        <w:t>to</w:t>
      </w:r>
      <w:r>
        <w:rPr>
          <w:spacing w:val="-7"/>
        </w:rPr>
        <w:t> </w:t>
      </w:r>
      <w:r>
        <w:rPr/>
        <w:t>live</w:t>
      </w:r>
      <w:r>
        <w:rPr>
          <w:spacing w:val="-8"/>
        </w:rPr>
        <w:t> </w:t>
      </w:r>
      <w:r>
        <w:rPr/>
        <w:t>up</w:t>
      </w:r>
      <w:r>
        <w:rPr>
          <w:spacing w:val="-8"/>
        </w:rPr>
        <w:t> </w:t>
      </w:r>
      <w:r>
        <w:rPr/>
        <w:t>to</w:t>
      </w:r>
      <w:r>
        <w:rPr>
          <w:spacing w:val="-9"/>
        </w:rPr>
        <w:t> </w:t>
      </w:r>
      <w:r>
        <w:rPr/>
        <w:t>the</w:t>
      </w:r>
      <w:r>
        <w:rPr>
          <w:spacing w:val="-7"/>
        </w:rPr>
        <w:t> </w:t>
      </w:r>
      <w:r>
        <w:rPr/>
        <w:t>Flaherty</w:t>
      </w:r>
      <w:r>
        <w:rPr>
          <w:spacing w:val="-7"/>
        </w:rPr>
        <w:t> </w:t>
      </w:r>
      <w:r>
        <w:rPr/>
        <w:t>motto</w:t>
      </w:r>
      <w:r>
        <w:rPr>
          <w:spacing w:val="-8"/>
        </w:rPr>
        <w:t> </w:t>
      </w:r>
      <w:r>
        <w:rPr/>
        <w:t>because,</w:t>
      </w:r>
      <w:r>
        <w:rPr>
          <w:spacing w:val="-7"/>
        </w:rPr>
        <w:t> </w:t>
      </w:r>
      <w:r>
        <w:rPr/>
        <w:t>although</w:t>
      </w:r>
      <w:r>
        <w:rPr>
          <w:spacing w:val="-8"/>
        </w:rPr>
        <w:t> </w:t>
      </w:r>
      <w:r>
        <w:rPr/>
        <w:t>there</w:t>
      </w:r>
      <w:r>
        <w:rPr>
          <w:spacing w:val="-8"/>
        </w:rPr>
        <w:t> </w:t>
      </w:r>
      <w:r>
        <w:rPr/>
        <w:t>was</w:t>
      </w:r>
      <w:r>
        <w:rPr>
          <w:spacing w:val="-6"/>
        </w:rPr>
        <w:t> </w:t>
      </w:r>
      <w:r>
        <w:rPr/>
        <w:t>monetary</w:t>
      </w:r>
      <w:r>
        <w:rPr>
          <w:spacing w:val="-8"/>
        </w:rPr>
        <w:t> </w:t>
      </w:r>
      <w:r>
        <w:rPr/>
        <w:t>boldness last</w:t>
      </w:r>
      <w:r>
        <w:rPr>
          <w:spacing w:val="-7"/>
        </w:rPr>
        <w:t> </w:t>
      </w:r>
      <w:r>
        <w:rPr/>
        <w:t>week,</w:t>
      </w:r>
      <w:r>
        <w:rPr>
          <w:spacing w:val="-7"/>
        </w:rPr>
        <w:t> </w:t>
      </w:r>
      <w:r>
        <w:rPr/>
        <w:t>the</w:t>
      </w:r>
      <w:r>
        <w:rPr>
          <w:spacing w:val="-8"/>
        </w:rPr>
        <w:t> </w:t>
      </w:r>
      <w:r>
        <w:rPr/>
        <w:t>currency</w:t>
      </w:r>
      <w:r>
        <w:rPr>
          <w:spacing w:val="-8"/>
        </w:rPr>
        <w:t> </w:t>
      </w:r>
      <w:r>
        <w:rPr/>
        <w:t>union</w:t>
      </w:r>
      <w:r>
        <w:rPr>
          <w:spacing w:val="-8"/>
        </w:rPr>
        <w:t> </w:t>
      </w:r>
      <w:r>
        <w:rPr/>
        <w:t>has</w:t>
      </w:r>
      <w:r>
        <w:rPr>
          <w:spacing w:val="-7"/>
        </w:rPr>
        <w:t> </w:t>
      </w:r>
      <w:r>
        <w:rPr/>
        <w:t>been</w:t>
      </w:r>
      <w:r>
        <w:rPr>
          <w:spacing w:val="-9"/>
        </w:rPr>
        <w:t> </w:t>
      </w:r>
      <w:r>
        <w:rPr/>
        <w:t>relatively</w:t>
      </w:r>
      <w:r>
        <w:rPr>
          <w:spacing w:val="-7"/>
        </w:rPr>
        <w:t> </w:t>
      </w:r>
      <w:r>
        <w:rPr/>
        <w:t>timid</w:t>
      </w:r>
      <w:r>
        <w:rPr>
          <w:spacing w:val="-7"/>
        </w:rPr>
        <w:t> </w:t>
      </w:r>
      <w:r>
        <w:rPr/>
        <w:t>in</w:t>
      </w:r>
      <w:r>
        <w:rPr>
          <w:spacing w:val="-8"/>
        </w:rPr>
        <w:t> </w:t>
      </w:r>
      <w:r>
        <w:rPr/>
        <w:t>putting</w:t>
      </w:r>
      <w:r>
        <w:rPr>
          <w:spacing w:val="-9"/>
        </w:rPr>
        <w:t> </w:t>
      </w:r>
      <w:r>
        <w:rPr/>
        <w:t>in</w:t>
      </w:r>
      <w:r>
        <w:rPr>
          <w:spacing w:val="-8"/>
        </w:rPr>
        <w:t> </w:t>
      </w:r>
      <w:r>
        <w:rPr/>
        <w:t>place</w:t>
      </w:r>
      <w:r>
        <w:rPr>
          <w:spacing w:val="-8"/>
        </w:rPr>
        <w:t> </w:t>
      </w:r>
      <w:r>
        <w:rPr/>
        <w:t>the</w:t>
      </w:r>
      <w:r>
        <w:rPr>
          <w:spacing w:val="-8"/>
        </w:rPr>
        <w:t> </w:t>
      </w:r>
      <w:r>
        <w:rPr/>
        <w:t>other</w:t>
      </w:r>
      <w:r>
        <w:rPr>
          <w:spacing w:val="-7"/>
        </w:rPr>
        <w:t> </w:t>
      </w:r>
      <w:r>
        <w:rPr/>
        <w:t>policies</w:t>
      </w:r>
      <w:r>
        <w:rPr>
          <w:spacing w:val="-7"/>
        </w:rPr>
        <w:t> </w:t>
      </w:r>
      <w:r>
        <w:rPr/>
        <w:t>and,</w:t>
      </w:r>
      <w:r>
        <w:rPr>
          <w:spacing w:val="-8"/>
        </w:rPr>
        <w:t> </w:t>
      </w:r>
      <w:r>
        <w:rPr/>
        <w:t>crucially,</w:t>
      </w:r>
      <w:r>
        <w:rPr>
          <w:spacing w:val="-9"/>
        </w:rPr>
        <w:t> </w:t>
      </w:r>
      <w:r>
        <w:rPr/>
        <w:t>the </w:t>
      </w:r>
      <w:r>
        <w:rPr>
          <w:i/>
        </w:rPr>
        <w:t>institutions </w:t>
      </w:r>
      <w:r>
        <w:rPr/>
        <w:t>necessary to deliver sustainable prosperity for its</w:t>
      </w:r>
      <w:r>
        <w:rPr>
          <w:spacing w:val="-14"/>
        </w:rPr>
        <w:t> </w:t>
      </w:r>
      <w:r>
        <w:rPr/>
        <w:t>citizens.</w:t>
      </w:r>
    </w:p>
    <w:p>
      <w:pPr>
        <w:pStyle w:val="BodyText"/>
        <w:spacing w:before="11"/>
        <w:rPr>
          <w:sz w:val="27"/>
        </w:rPr>
      </w:pPr>
    </w:p>
    <w:p>
      <w:pPr>
        <w:pStyle w:val="BodyText"/>
        <w:spacing w:line="357" w:lineRule="auto"/>
        <w:ind w:left="226" w:right="166"/>
        <w:jc w:val="both"/>
      </w:pPr>
      <w:r>
        <w:rPr/>
        <w:t>Now</w:t>
      </w:r>
      <w:r>
        <w:rPr>
          <w:spacing w:val="-8"/>
        </w:rPr>
        <w:t> </w:t>
      </w:r>
      <w:r>
        <w:rPr/>
        <w:t>is</w:t>
      </w:r>
      <w:r>
        <w:rPr>
          <w:spacing w:val="-5"/>
        </w:rPr>
        <w:t> </w:t>
      </w:r>
      <w:r>
        <w:rPr/>
        <w:t>not</w:t>
      </w:r>
      <w:r>
        <w:rPr>
          <w:spacing w:val="-8"/>
        </w:rPr>
        <w:t> </w:t>
      </w:r>
      <w:r>
        <w:rPr/>
        <w:t>the</w:t>
      </w:r>
      <w:r>
        <w:rPr>
          <w:spacing w:val="-7"/>
        </w:rPr>
        <w:t> </w:t>
      </w:r>
      <w:r>
        <w:rPr/>
        <w:t>time</w:t>
      </w:r>
      <w:r>
        <w:rPr>
          <w:spacing w:val="-8"/>
        </w:rPr>
        <w:t> </w:t>
      </w:r>
      <w:r>
        <w:rPr/>
        <w:t>for</w:t>
      </w:r>
      <w:r>
        <w:rPr>
          <w:spacing w:val="-7"/>
        </w:rPr>
        <w:t> </w:t>
      </w:r>
      <w:r>
        <w:rPr/>
        <w:t>half</w:t>
      </w:r>
      <w:r>
        <w:rPr>
          <w:spacing w:val="-5"/>
        </w:rPr>
        <w:t> </w:t>
      </w:r>
      <w:r>
        <w:rPr/>
        <w:t>measures.</w:t>
      </w:r>
      <w:r>
        <w:rPr>
          <w:spacing w:val="39"/>
        </w:rPr>
        <w:t> </w:t>
      </w:r>
      <w:r>
        <w:rPr/>
        <w:t>In</w:t>
      </w:r>
      <w:r>
        <w:rPr>
          <w:spacing w:val="-7"/>
        </w:rPr>
        <w:t> </w:t>
      </w:r>
      <w:r>
        <w:rPr/>
        <w:t>all</w:t>
      </w:r>
      <w:r>
        <w:rPr>
          <w:spacing w:val="-7"/>
        </w:rPr>
        <w:t> </w:t>
      </w:r>
      <w:r>
        <w:rPr/>
        <w:t>advanced</w:t>
      </w:r>
      <w:r>
        <w:rPr>
          <w:spacing w:val="-7"/>
        </w:rPr>
        <w:t> </w:t>
      </w:r>
      <w:r>
        <w:rPr/>
        <w:t>economies,</w:t>
      </w:r>
      <w:r>
        <w:rPr>
          <w:spacing w:val="-7"/>
        </w:rPr>
        <w:t> </w:t>
      </w:r>
      <w:r>
        <w:rPr/>
        <w:t>private</w:t>
      </w:r>
      <w:r>
        <w:rPr>
          <w:spacing w:val="-7"/>
        </w:rPr>
        <w:t> </w:t>
      </w:r>
      <w:r>
        <w:rPr/>
        <w:t>investment</w:t>
      </w:r>
      <w:r>
        <w:rPr>
          <w:spacing w:val="-7"/>
        </w:rPr>
        <w:t> </w:t>
      </w:r>
      <w:r>
        <w:rPr/>
        <w:t>is</w:t>
      </w:r>
      <w:r>
        <w:rPr>
          <w:spacing w:val="-8"/>
        </w:rPr>
        <w:t> </w:t>
      </w:r>
      <w:r>
        <w:rPr/>
        <w:t>still</w:t>
      </w:r>
      <w:r>
        <w:rPr>
          <w:spacing w:val="-7"/>
        </w:rPr>
        <w:t> </w:t>
      </w:r>
      <w:r>
        <w:rPr/>
        <w:t>being</w:t>
      </w:r>
      <w:r>
        <w:rPr>
          <w:spacing w:val="-8"/>
        </w:rPr>
        <w:t> </w:t>
      </w:r>
      <w:r>
        <w:rPr/>
        <w:t>held</w:t>
      </w:r>
      <w:r>
        <w:rPr>
          <w:spacing w:val="-7"/>
        </w:rPr>
        <w:t> </w:t>
      </w:r>
      <w:r>
        <w:rPr/>
        <w:t>back by</w:t>
      </w:r>
      <w:r>
        <w:rPr>
          <w:spacing w:val="-7"/>
        </w:rPr>
        <w:t> </w:t>
      </w:r>
      <w:r>
        <w:rPr/>
        <w:t>a</w:t>
      </w:r>
      <w:r>
        <w:rPr>
          <w:spacing w:val="-6"/>
        </w:rPr>
        <w:t> </w:t>
      </w:r>
      <w:r>
        <w:rPr/>
        <w:t>combination</w:t>
      </w:r>
      <w:r>
        <w:rPr>
          <w:spacing w:val="-7"/>
        </w:rPr>
        <w:t> </w:t>
      </w:r>
      <w:r>
        <w:rPr/>
        <w:t>of</w:t>
      </w:r>
      <w:r>
        <w:rPr>
          <w:spacing w:val="-4"/>
        </w:rPr>
        <w:t> </w:t>
      </w:r>
      <w:r>
        <w:rPr/>
        <w:t>modest</w:t>
      </w:r>
      <w:r>
        <w:rPr>
          <w:spacing w:val="-5"/>
        </w:rPr>
        <w:t> </w:t>
      </w:r>
      <w:r>
        <w:rPr/>
        <w:t>demand</w:t>
      </w:r>
      <w:r>
        <w:rPr>
          <w:spacing w:val="-7"/>
        </w:rPr>
        <w:t> </w:t>
      </w:r>
      <w:r>
        <w:rPr/>
        <w:t>prospects</w:t>
      </w:r>
      <w:r>
        <w:rPr>
          <w:spacing w:val="-6"/>
        </w:rPr>
        <w:t> </w:t>
      </w:r>
      <w:r>
        <w:rPr/>
        <w:t>and</w:t>
      </w:r>
      <w:r>
        <w:rPr>
          <w:spacing w:val="-7"/>
        </w:rPr>
        <w:t> </w:t>
      </w:r>
      <w:r>
        <w:rPr/>
        <w:t>lingering</w:t>
      </w:r>
      <w:r>
        <w:rPr>
          <w:spacing w:val="-6"/>
        </w:rPr>
        <w:t> </w:t>
      </w:r>
      <w:r>
        <w:rPr/>
        <w:t>concerns</w:t>
      </w:r>
      <w:r>
        <w:rPr>
          <w:spacing w:val="-6"/>
        </w:rPr>
        <w:t> </w:t>
      </w:r>
      <w:r>
        <w:rPr/>
        <w:t>of</w:t>
      </w:r>
      <w:r>
        <w:rPr>
          <w:spacing w:val="-4"/>
        </w:rPr>
        <w:t> </w:t>
      </w:r>
      <w:r>
        <w:rPr/>
        <w:t>another</w:t>
      </w:r>
      <w:r>
        <w:rPr>
          <w:spacing w:val="-6"/>
        </w:rPr>
        <w:t> </w:t>
      </w:r>
      <w:r>
        <w:rPr/>
        <w:t>major</w:t>
      </w:r>
      <w:r>
        <w:rPr>
          <w:spacing w:val="-7"/>
        </w:rPr>
        <w:t> </w:t>
      </w:r>
      <w:r>
        <w:rPr/>
        <w:t>adverse</w:t>
      </w:r>
      <w:r>
        <w:rPr>
          <w:spacing w:val="-6"/>
        </w:rPr>
        <w:t> </w:t>
      </w:r>
      <w:r>
        <w:rPr/>
        <w:t>shock.</w:t>
      </w:r>
    </w:p>
    <w:p>
      <w:pPr>
        <w:pStyle w:val="BodyText"/>
        <w:spacing w:line="217" w:lineRule="exact"/>
        <w:ind w:left="226"/>
        <w:jc w:val="both"/>
      </w:pPr>
      <w:r>
        <w:rPr/>
        <w:t>Nowhere are these impediments more severe than in the euro area.</w:t>
      </w:r>
    </w:p>
    <w:p>
      <w:pPr>
        <w:pStyle w:val="BodyText"/>
        <w:rPr>
          <w:sz w:val="20"/>
        </w:rPr>
      </w:pPr>
    </w:p>
    <w:p>
      <w:pPr>
        <w:pStyle w:val="BodyText"/>
        <w:spacing w:before="5"/>
        <w:rPr>
          <w:sz w:val="17"/>
        </w:rPr>
      </w:pPr>
    </w:p>
    <w:p>
      <w:pPr>
        <w:pStyle w:val="BodyText"/>
        <w:spacing w:line="355" w:lineRule="auto"/>
        <w:ind w:left="226" w:right="196"/>
        <w:jc w:val="both"/>
      </w:pPr>
      <w:r>
        <w:rPr/>
        <w:t>Since</w:t>
      </w:r>
      <w:r>
        <w:rPr>
          <w:spacing w:val="-9"/>
        </w:rPr>
        <w:t> </w:t>
      </w:r>
      <w:r>
        <w:rPr/>
        <w:t>the</w:t>
      </w:r>
      <w:r>
        <w:rPr>
          <w:spacing w:val="-9"/>
        </w:rPr>
        <w:t> </w:t>
      </w:r>
      <w:r>
        <w:rPr/>
        <w:t>financial</w:t>
      </w:r>
      <w:r>
        <w:rPr>
          <w:spacing w:val="-8"/>
        </w:rPr>
        <w:t> </w:t>
      </w:r>
      <w:r>
        <w:rPr/>
        <w:t>crisis</w:t>
      </w:r>
      <w:r>
        <w:rPr>
          <w:spacing w:val="-8"/>
        </w:rPr>
        <w:t> </w:t>
      </w:r>
      <w:r>
        <w:rPr/>
        <w:t>all</w:t>
      </w:r>
      <w:r>
        <w:rPr>
          <w:spacing w:val="-8"/>
        </w:rPr>
        <w:t> </w:t>
      </w:r>
      <w:r>
        <w:rPr/>
        <w:t>major</w:t>
      </w:r>
      <w:r>
        <w:rPr>
          <w:spacing w:val="-8"/>
        </w:rPr>
        <w:t> </w:t>
      </w:r>
      <w:r>
        <w:rPr/>
        <w:t>advanced</w:t>
      </w:r>
      <w:r>
        <w:rPr>
          <w:spacing w:val="-8"/>
        </w:rPr>
        <w:t> </w:t>
      </w:r>
      <w:r>
        <w:rPr/>
        <w:t>economies</w:t>
      </w:r>
      <w:r>
        <w:rPr>
          <w:spacing w:val="-8"/>
        </w:rPr>
        <w:t> </w:t>
      </w:r>
      <w:r>
        <w:rPr/>
        <w:t>have</w:t>
      </w:r>
      <w:r>
        <w:rPr>
          <w:spacing w:val="-8"/>
        </w:rPr>
        <w:t> </w:t>
      </w:r>
      <w:r>
        <w:rPr/>
        <w:t>been</w:t>
      </w:r>
      <w:r>
        <w:rPr>
          <w:spacing w:val="-8"/>
        </w:rPr>
        <w:t> </w:t>
      </w:r>
      <w:r>
        <w:rPr/>
        <w:t>in</w:t>
      </w:r>
      <w:r>
        <w:rPr>
          <w:spacing w:val="-8"/>
        </w:rPr>
        <w:t> </w:t>
      </w:r>
      <w:r>
        <w:rPr/>
        <w:t>a</w:t>
      </w:r>
      <w:r>
        <w:rPr>
          <w:spacing w:val="-8"/>
        </w:rPr>
        <w:t> </w:t>
      </w:r>
      <w:r>
        <w:rPr/>
        <w:t>debt</w:t>
      </w:r>
      <w:r>
        <w:rPr>
          <w:spacing w:val="-7"/>
        </w:rPr>
        <w:t> </w:t>
      </w:r>
      <w:r>
        <w:rPr/>
        <w:t>trap</w:t>
      </w:r>
      <w:r>
        <w:rPr>
          <w:spacing w:val="-6"/>
        </w:rPr>
        <w:t> </w:t>
      </w:r>
      <w:r>
        <w:rPr/>
        <w:t>where</w:t>
      </w:r>
      <w:r>
        <w:rPr>
          <w:spacing w:val="-8"/>
        </w:rPr>
        <w:t> </w:t>
      </w:r>
      <w:r>
        <w:rPr/>
        <w:t>low</w:t>
      </w:r>
      <w:r>
        <w:rPr>
          <w:spacing w:val="-9"/>
        </w:rPr>
        <w:t> </w:t>
      </w:r>
      <w:r>
        <w:rPr/>
        <w:t>growth</w:t>
      </w:r>
      <w:r>
        <w:rPr>
          <w:spacing w:val="-9"/>
        </w:rPr>
        <w:t> </w:t>
      </w:r>
      <w:r>
        <w:rPr/>
        <w:t>deepens the</w:t>
      </w:r>
      <w:r>
        <w:rPr>
          <w:spacing w:val="-7"/>
        </w:rPr>
        <w:t> </w:t>
      </w:r>
      <w:r>
        <w:rPr/>
        <w:t>burden</w:t>
      </w:r>
      <w:r>
        <w:rPr>
          <w:spacing w:val="-7"/>
        </w:rPr>
        <w:t> </w:t>
      </w:r>
      <w:r>
        <w:rPr/>
        <w:t>of</w:t>
      </w:r>
      <w:r>
        <w:rPr>
          <w:spacing w:val="-7"/>
        </w:rPr>
        <w:t> </w:t>
      </w:r>
      <w:r>
        <w:rPr/>
        <w:t>debt,</w:t>
      </w:r>
      <w:r>
        <w:rPr>
          <w:spacing w:val="-5"/>
        </w:rPr>
        <w:t> </w:t>
      </w:r>
      <w:r>
        <w:rPr/>
        <w:t>prompting</w:t>
      </w:r>
      <w:r>
        <w:rPr>
          <w:spacing w:val="-6"/>
        </w:rPr>
        <w:t> </w:t>
      </w:r>
      <w:r>
        <w:rPr/>
        <w:t>the</w:t>
      </w:r>
      <w:r>
        <w:rPr>
          <w:spacing w:val="-7"/>
        </w:rPr>
        <w:t> </w:t>
      </w:r>
      <w:r>
        <w:rPr/>
        <w:t>private</w:t>
      </w:r>
      <w:r>
        <w:rPr>
          <w:spacing w:val="-6"/>
        </w:rPr>
        <w:t> </w:t>
      </w:r>
      <w:r>
        <w:rPr/>
        <w:t>sector</w:t>
      </w:r>
      <w:r>
        <w:rPr>
          <w:spacing w:val="-6"/>
        </w:rPr>
        <w:t> </w:t>
      </w:r>
      <w:r>
        <w:rPr/>
        <w:t>to</w:t>
      </w:r>
      <w:r>
        <w:rPr>
          <w:spacing w:val="-8"/>
        </w:rPr>
        <w:t> </w:t>
      </w:r>
      <w:r>
        <w:rPr/>
        <w:t>cut</w:t>
      </w:r>
      <w:r>
        <w:rPr>
          <w:spacing w:val="-7"/>
        </w:rPr>
        <w:t> </w:t>
      </w:r>
      <w:r>
        <w:rPr/>
        <w:t>spending</w:t>
      </w:r>
      <w:r>
        <w:rPr>
          <w:spacing w:val="-6"/>
        </w:rPr>
        <w:t> </w:t>
      </w:r>
      <w:r>
        <w:rPr/>
        <w:t>further.</w:t>
      </w:r>
      <w:r>
        <w:rPr>
          <w:spacing w:val="39"/>
        </w:rPr>
        <w:t> </w:t>
      </w:r>
      <w:r>
        <w:rPr/>
        <w:t>Persistent</w:t>
      </w:r>
      <w:r>
        <w:rPr>
          <w:spacing w:val="-5"/>
        </w:rPr>
        <w:t> </w:t>
      </w:r>
      <w:r>
        <w:rPr/>
        <w:t>economic</w:t>
      </w:r>
      <w:r>
        <w:rPr>
          <w:spacing w:val="-5"/>
        </w:rPr>
        <w:t> </w:t>
      </w:r>
      <w:r>
        <w:rPr/>
        <w:t>weakness</w:t>
      </w:r>
    </w:p>
    <w:p>
      <w:pPr>
        <w:pStyle w:val="BodyText"/>
        <w:rPr>
          <w:sz w:val="20"/>
        </w:rPr>
      </w:pPr>
    </w:p>
    <w:p>
      <w:pPr>
        <w:pStyle w:val="BodyText"/>
        <w:spacing w:before="7"/>
        <w:rPr>
          <w:sz w:val="15"/>
        </w:rPr>
      </w:pPr>
      <w:r>
        <w:rPr/>
        <w:pict>
          <v:shape style="position:absolute;margin-left:79.320pt;margin-top:11.21787pt;width:135.5pt;height:.1pt;mso-position-horizontal-relative:page;mso-position-vertical-relative:paragraph;z-index:-251657216;mso-wrap-distance-left:0;mso-wrap-distance-right:0" coordorigin="1586,224" coordsize="2710,0" path="m1586,224l4296,224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 </w:t>
      </w:r>
      <w:r>
        <w:rPr>
          <w:sz w:val="15"/>
        </w:rPr>
        <w:t>At market prices. In PPP terms it is third largest after China and the US.</w:t>
      </w:r>
    </w:p>
    <w:p>
      <w:pPr>
        <w:spacing w:after="0"/>
        <w:jc w:val="left"/>
        <w:rPr>
          <w:sz w:val="15"/>
        </w:rPr>
        <w:sectPr>
          <w:footerReference w:type="default" r:id="rId7"/>
          <w:pgSz w:w="12240" w:h="15840"/>
          <w:pgMar w:footer="1240" w:header="0" w:top="1440" w:bottom="1440" w:left="1360" w:right="1480"/>
        </w:sectPr>
      </w:pPr>
    </w:p>
    <w:p>
      <w:pPr>
        <w:pStyle w:val="BodyText"/>
        <w:spacing w:line="357" w:lineRule="auto" w:before="80"/>
        <w:ind w:left="226"/>
      </w:pPr>
      <w:r>
        <w:rPr/>
        <w:t>damages the extent to which economies can recover. Skills and capital atrophy. Workers become discouraged and leave the labour force. Prospects decline and the noose tightens.</w:t>
      </w:r>
    </w:p>
    <w:p>
      <w:pPr>
        <w:pStyle w:val="BodyText"/>
        <w:spacing w:before="1"/>
        <w:rPr>
          <w:sz w:val="28"/>
        </w:rPr>
      </w:pPr>
    </w:p>
    <w:p>
      <w:pPr>
        <w:pStyle w:val="BodyText"/>
        <w:spacing w:line="355" w:lineRule="auto"/>
        <w:ind w:left="226" w:right="123"/>
      </w:pPr>
      <w:r>
        <w:rPr/>
        <w:t>As difficult as it has been, some countries, including the US and the UK, are now escaping this trap. Others in the euro area are sinking deeper. This relative performance underscores the importance of policy and institutions, particularly those that share and transfer risks. Building institutions at a time of reform fatigue may not be easy, but it is essential.</w:t>
      </w:r>
    </w:p>
    <w:p>
      <w:pPr>
        <w:pStyle w:val="BodyText"/>
        <w:spacing w:before="7"/>
        <w:rPr>
          <w:sz w:val="28"/>
        </w:rPr>
      </w:pPr>
    </w:p>
    <w:p>
      <w:pPr>
        <w:pStyle w:val="BodyText"/>
        <w:ind w:left="226"/>
      </w:pPr>
      <w:r>
        <w:rPr/>
        <w:t>Before I draw out this crucial point, I would like to quickly review how we got here.</w:t>
      </w:r>
    </w:p>
    <w:p>
      <w:pPr>
        <w:pStyle w:val="BodyText"/>
        <w:rPr>
          <w:sz w:val="20"/>
        </w:rPr>
      </w:pPr>
    </w:p>
    <w:p>
      <w:pPr>
        <w:pStyle w:val="BodyText"/>
        <w:spacing w:before="4"/>
        <w:rPr>
          <w:sz w:val="17"/>
        </w:rPr>
      </w:pPr>
    </w:p>
    <w:p>
      <w:pPr>
        <w:pStyle w:val="Heading1"/>
        <w:numPr>
          <w:ilvl w:val="0"/>
          <w:numId w:val="1"/>
        </w:numPr>
        <w:tabs>
          <w:tab w:pos="565" w:val="left" w:leader="none"/>
        </w:tabs>
        <w:spacing w:line="240" w:lineRule="auto" w:before="0" w:after="0"/>
        <w:ind w:left="564" w:right="0" w:hanging="339"/>
        <w:jc w:val="left"/>
      </w:pPr>
      <w:r>
        <w:rPr/>
        <w:t>Setting the debt</w:t>
      </w:r>
      <w:r>
        <w:rPr>
          <w:spacing w:val="-4"/>
        </w:rPr>
        <w:t> </w:t>
      </w:r>
      <w:r>
        <w:rPr/>
        <w:t>trap</w:t>
      </w:r>
    </w:p>
    <w:p>
      <w:pPr>
        <w:pStyle w:val="BodyText"/>
        <w:rPr>
          <w:b/>
          <w:sz w:val="20"/>
        </w:rPr>
      </w:pPr>
    </w:p>
    <w:p>
      <w:pPr>
        <w:pStyle w:val="BodyText"/>
        <w:spacing w:before="5"/>
        <w:rPr>
          <w:b/>
          <w:sz w:val="17"/>
        </w:rPr>
      </w:pPr>
    </w:p>
    <w:p>
      <w:pPr>
        <w:spacing w:before="0"/>
        <w:ind w:left="226" w:right="0" w:firstLine="0"/>
        <w:jc w:val="left"/>
        <w:rPr>
          <w:sz w:val="19"/>
        </w:rPr>
      </w:pPr>
      <w:r>
        <w:rPr>
          <w:b/>
          <w:sz w:val="19"/>
        </w:rPr>
        <w:t>Building the debt that now weighs on our economies was the work of a generation</w:t>
      </w:r>
      <w:r>
        <w:rPr>
          <w:sz w:val="19"/>
        </w:rPr>
        <w:t>.</w:t>
      </w:r>
    </w:p>
    <w:p>
      <w:pPr>
        <w:pStyle w:val="BodyText"/>
        <w:rPr>
          <w:sz w:val="20"/>
        </w:rPr>
      </w:pPr>
    </w:p>
    <w:p>
      <w:pPr>
        <w:pStyle w:val="BodyText"/>
        <w:spacing w:before="6"/>
        <w:rPr>
          <w:sz w:val="17"/>
        </w:rPr>
      </w:pPr>
    </w:p>
    <w:p>
      <w:pPr>
        <w:pStyle w:val="BodyText"/>
        <w:spacing w:line="357" w:lineRule="auto" w:before="1"/>
        <w:ind w:left="226" w:right="278"/>
        <w:jc w:val="both"/>
      </w:pPr>
      <w:r>
        <w:rPr/>
        <w:t>In</w:t>
      </w:r>
      <w:r>
        <w:rPr>
          <w:spacing w:val="-11"/>
        </w:rPr>
        <w:t> </w:t>
      </w:r>
      <w:r>
        <w:rPr/>
        <w:t>the</w:t>
      </w:r>
      <w:r>
        <w:rPr>
          <w:spacing w:val="-10"/>
        </w:rPr>
        <w:t> </w:t>
      </w:r>
      <w:r>
        <w:rPr/>
        <w:t>decade</w:t>
      </w:r>
      <w:r>
        <w:rPr>
          <w:spacing w:val="-10"/>
        </w:rPr>
        <w:t> </w:t>
      </w:r>
      <w:r>
        <w:rPr/>
        <w:t>before</w:t>
      </w:r>
      <w:r>
        <w:rPr>
          <w:spacing w:val="-10"/>
        </w:rPr>
        <w:t> </w:t>
      </w:r>
      <w:r>
        <w:rPr/>
        <w:t>the</w:t>
      </w:r>
      <w:r>
        <w:rPr>
          <w:spacing w:val="-11"/>
        </w:rPr>
        <w:t> </w:t>
      </w:r>
      <w:r>
        <w:rPr/>
        <w:t>crisis,</w:t>
      </w:r>
      <w:r>
        <w:rPr>
          <w:spacing w:val="-11"/>
        </w:rPr>
        <w:t> </w:t>
      </w:r>
      <w:r>
        <w:rPr/>
        <w:t>private</w:t>
      </w:r>
      <w:r>
        <w:rPr>
          <w:spacing w:val="-10"/>
        </w:rPr>
        <w:t> </w:t>
      </w:r>
      <w:r>
        <w:rPr/>
        <w:t>financial</w:t>
      </w:r>
      <w:r>
        <w:rPr>
          <w:spacing w:val="-10"/>
        </w:rPr>
        <w:t> </w:t>
      </w:r>
      <w:r>
        <w:rPr/>
        <w:t>balances</w:t>
      </w:r>
      <w:r>
        <w:rPr>
          <w:spacing w:val="-10"/>
        </w:rPr>
        <w:t> </w:t>
      </w:r>
      <w:r>
        <w:rPr/>
        <w:t>became</w:t>
      </w:r>
      <w:r>
        <w:rPr>
          <w:spacing w:val="-10"/>
        </w:rPr>
        <w:t> </w:t>
      </w:r>
      <w:r>
        <w:rPr/>
        <w:t>unsustainable.</w:t>
      </w:r>
      <w:r>
        <w:rPr>
          <w:spacing w:val="-9"/>
        </w:rPr>
        <w:t> </w:t>
      </w:r>
      <w:r>
        <w:rPr/>
        <w:t>UK</w:t>
      </w:r>
      <w:r>
        <w:rPr>
          <w:spacing w:val="-10"/>
        </w:rPr>
        <w:t> </w:t>
      </w:r>
      <w:r>
        <w:rPr/>
        <w:t>households</w:t>
      </w:r>
      <w:r>
        <w:rPr>
          <w:spacing w:val="-10"/>
        </w:rPr>
        <w:t> </w:t>
      </w:r>
      <w:r>
        <w:rPr/>
        <w:t>borrowed 4% of GDP year after year; Irish households at more than twice that rate. Household debt peaked close to 100% of GDP in the UK, and 120% in</w:t>
      </w:r>
      <w:r>
        <w:rPr>
          <w:spacing w:val="-14"/>
        </w:rPr>
        <w:t> </w:t>
      </w:r>
      <w:r>
        <w:rPr/>
        <w:t>Ireland.</w:t>
      </w:r>
      <w:r>
        <w:rPr>
          <w:vertAlign w:val="superscript"/>
        </w:rPr>
        <w:t>2</w:t>
      </w:r>
    </w:p>
    <w:p>
      <w:pPr>
        <w:pStyle w:val="BodyText"/>
        <w:spacing w:before="11"/>
        <w:rPr>
          <w:sz w:val="27"/>
        </w:rPr>
      </w:pPr>
    </w:p>
    <w:p>
      <w:pPr>
        <w:pStyle w:val="BodyText"/>
        <w:spacing w:line="355" w:lineRule="auto"/>
        <w:ind w:left="226" w:right="261"/>
        <w:jc w:val="both"/>
      </w:pPr>
      <w:r>
        <w:rPr/>
        <w:t>This</w:t>
      </w:r>
      <w:r>
        <w:rPr>
          <w:spacing w:val="-9"/>
        </w:rPr>
        <w:t> </w:t>
      </w:r>
      <w:r>
        <w:rPr/>
        <w:t>borrowing</w:t>
      </w:r>
      <w:r>
        <w:rPr>
          <w:spacing w:val="-9"/>
        </w:rPr>
        <w:t> </w:t>
      </w:r>
      <w:r>
        <w:rPr/>
        <w:t>was</w:t>
      </w:r>
      <w:r>
        <w:rPr>
          <w:spacing w:val="-9"/>
        </w:rPr>
        <w:t> </w:t>
      </w:r>
      <w:r>
        <w:rPr/>
        <w:t>largely</w:t>
      </w:r>
      <w:r>
        <w:rPr>
          <w:spacing w:val="-9"/>
        </w:rPr>
        <w:t> </w:t>
      </w:r>
      <w:r>
        <w:rPr/>
        <w:t>for</w:t>
      </w:r>
      <w:r>
        <w:rPr>
          <w:spacing w:val="-10"/>
        </w:rPr>
        <w:t> </w:t>
      </w:r>
      <w:r>
        <w:rPr/>
        <w:t>consumption</w:t>
      </w:r>
      <w:r>
        <w:rPr>
          <w:spacing w:val="-10"/>
        </w:rPr>
        <w:t> </w:t>
      </w:r>
      <w:r>
        <w:rPr/>
        <w:t>and</w:t>
      </w:r>
      <w:r>
        <w:rPr>
          <w:spacing w:val="-10"/>
        </w:rPr>
        <w:t> </w:t>
      </w:r>
      <w:r>
        <w:rPr/>
        <w:t>real</w:t>
      </w:r>
      <w:r>
        <w:rPr>
          <w:spacing w:val="-9"/>
        </w:rPr>
        <w:t> </w:t>
      </w:r>
      <w:r>
        <w:rPr/>
        <w:t>estate</w:t>
      </w:r>
      <w:r>
        <w:rPr>
          <w:spacing w:val="-10"/>
        </w:rPr>
        <w:t> </w:t>
      </w:r>
      <w:r>
        <w:rPr/>
        <w:t>investment</w:t>
      </w:r>
      <w:r>
        <w:rPr>
          <w:spacing w:val="-10"/>
        </w:rPr>
        <w:t> </w:t>
      </w:r>
      <w:r>
        <w:rPr/>
        <w:t>rather</w:t>
      </w:r>
      <w:r>
        <w:rPr>
          <w:spacing w:val="-10"/>
        </w:rPr>
        <w:t> </w:t>
      </w:r>
      <w:r>
        <w:rPr/>
        <w:t>than</w:t>
      </w:r>
      <w:r>
        <w:rPr>
          <w:spacing w:val="-10"/>
        </w:rPr>
        <w:t> </w:t>
      </w:r>
      <w:r>
        <w:rPr/>
        <w:t>businesses</w:t>
      </w:r>
      <w:r>
        <w:rPr>
          <w:spacing w:val="-10"/>
        </w:rPr>
        <w:t> </w:t>
      </w:r>
      <w:r>
        <w:rPr/>
        <w:t>and</w:t>
      </w:r>
      <w:r>
        <w:rPr>
          <w:spacing w:val="-10"/>
        </w:rPr>
        <w:t> </w:t>
      </w:r>
      <w:r>
        <w:rPr/>
        <w:t>projects that</w:t>
      </w:r>
      <w:r>
        <w:rPr>
          <w:spacing w:val="-7"/>
        </w:rPr>
        <w:t> </w:t>
      </w:r>
      <w:r>
        <w:rPr/>
        <w:t>would</w:t>
      </w:r>
      <w:r>
        <w:rPr>
          <w:spacing w:val="-10"/>
        </w:rPr>
        <w:t> </w:t>
      </w:r>
      <w:r>
        <w:rPr/>
        <w:t>generate</w:t>
      </w:r>
      <w:r>
        <w:rPr>
          <w:spacing w:val="-10"/>
        </w:rPr>
        <w:t> </w:t>
      </w:r>
      <w:r>
        <w:rPr/>
        <w:t>the</w:t>
      </w:r>
      <w:r>
        <w:rPr>
          <w:spacing w:val="-10"/>
        </w:rPr>
        <w:t> </w:t>
      </w:r>
      <w:r>
        <w:rPr/>
        <w:t>earnings</w:t>
      </w:r>
      <w:r>
        <w:rPr>
          <w:spacing w:val="-7"/>
        </w:rPr>
        <w:t> </w:t>
      </w:r>
      <w:r>
        <w:rPr/>
        <w:t>necessary</w:t>
      </w:r>
      <w:r>
        <w:rPr>
          <w:spacing w:val="-10"/>
        </w:rPr>
        <w:t> </w:t>
      </w:r>
      <w:r>
        <w:rPr/>
        <w:t>to</w:t>
      </w:r>
      <w:r>
        <w:rPr>
          <w:spacing w:val="-9"/>
        </w:rPr>
        <w:t> </w:t>
      </w:r>
      <w:r>
        <w:rPr/>
        <w:t>service</w:t>
      </w:r>
      <w:r>
        <w:rPr>
          <w:spacing w:val="-9"/>
        </w:rPr>
        <w:t> </w:t>
      </w:r>
      <w:r>
        <w:rPr/>
        <w:t>those</w:t>
      </w:r>
      <w:r>
        <w:rPr>
          <w:spacing w:val="-9"/>
        </w:rPr>
        <w:t> </w:t>
      </w:r>
      <w:r>
        <w:rPr/>
        <w:t>obligations.</w:t>
      </w:r>
      <w:r>
        <w:rPr>
          <w:spacing w:val="-10"/>
        </w:rPr>
        <w:t> </w:t>
      </w:r>
      <w:r>
        <w:rPr/>
        <w:t>Property</w:t>
      </w:r>
      <w:r>
        <w:rPr>
          <w:spacing w:val="-7"/>
        </w:rPr>
        <w:t> </w:t>
      </w:r>
      <w:r>
        <w:rPr/>
        <w:t>prices</w:t>
      </w:r>
      <w:r>
        <w:rPr>
          <w:spacing w:val="-8"/>
        </w:rPr>
        <w:t> </w:t>
      </w:r>
      <w:r>
        <w:rPr/>
        <w:t>soared</w:t>
      </w:r>
      <w:r>
        <w:rPr>
          <w:spacing w:val="-9"/>
        </w:rPr>
        <w:t> </w:t>
      </w:r>
      <w:r>
        <w:rPr/>
        <w:t>as</w:t>
      </w:r>
      <w:r>
        <w:rPr>
          <w:spacing w:val="-8"/>
        </w:rPr>
        <w:t> </w:t>
      </w:r>
      <w:r>
        <w:rPr/>
        <w:t>a</w:t>
      </w:r>
      <w:r>
        <w:rPr>
          <w:spacing w:val="-10"/>
        </w:rPr>
        <w:t> </w:t>
      </w:r>
      <w:r>
        <w:rPr/>
        <w:t>result (</w:t>
      </w:r>
      <w:r>
        <w:rPr>
          <w:b/>
        </w:rPr>
        <w:t>Chart</w:t>
      </w:r>
      <w:r>
        <w:rPr>
          <w:b/>
          <w:spacing w:val="-2"/>
        </w:rPr>
        <w:t> </w:t>
      </w:r>
      <w:r>
        <w:rPr>
          <w:b/>
        </w:rPr>
        <w:t>1</w:t>
      </w:r>
      <w:r>
        <w:rPr/>
        <w:t>).</w:t>
      </w:r>
    </w:p>
    <w:p>
      <w:pPr>
        <w:pStyle w:val="BodyText"/>
        <w:spacing w:before="6"/>
        <w:rPr>
          <w:sz w:val="28"/>
        </w:rPr>
      </w:pPr>
    </w:p>
    <w:p>
      <w:pPr>
        <w:pStyle w:val="BodyText"/>
        <w:spacing w:line="357" w:lineRule="auto"/>
        <w:ind w:left="226" w:right="120"/>
      </w:pPr>
      <w:r>
        <w:rPr/>
        <w:t>Such excesses were possible because a decade of non-inflationary, consistent expansion turned initially well-founded confidence into dangerous complacency. Beliefs grew that globalisation and technology would drive perpetual growth, and that the omniscience of central banks would deliver enduring stability.</w:t>
      </w:r>
    </w:p>
    <w:p>
      <w:pPr>
        <w:pStyle w:val="BodyText"/>
        <w:rPr>
          <w:sz w:val="28"/>
        </w:rPr>
      </w:pPr>
    </w:p>
    <w:p>
      <w:pPr>
        <w:pStyle w:val="BodyText"/>
        <w:spacing w:line="355" w:lineRule="auto"/>
        <w:ind w:left="226"/>
      </w:pPr>
      <w:r>
        <w:rPr/>
        <w:t>With</w:t>
      </w:r>
      <w:r>
        <w:rPr>
          <w:spacing w:val="-11"/>
        </w:rPr>
        <w:t> </w:t>
      </w:r>
      <w:r>
        <w:rPr/>
        <w:t>a</w:t>
      </w:r>
      <w:r>
        <w:rPr>
          <w:spacing w:val="-12"/>
        </w:rPr>
        <w:t> </w:t>
      </w:r>
      <w:r>
        <w:rPr/>
        <w:t>growing</w:t>
      </w:r>
      <w:r>
        <w:rPr>
          <w:spacing w:val="-10"/>
        </w:rPr>
        <w:t> </w:t>
      </w:r>
      <w:r>
        <w:rPr/>
        <w:t>conviction</w:t>
      </w:r>
      <w:r>
        <w:rPr>
          <w:spacing w:val="-12"/>
        </w:rPr>
        <w:t> </w:t>
      </w:r>
      <w:r>
        <w:rPr/>
        <w:t>that</w:t>
      </w:r>
      <w:r>
        <w:rPr>
          <w:spacing w:val="-10"/>
        </w:rPr>
        <w:t> </w:t>
      </w:r>
      <w:r>
        <w:rPr/>
        <w:t>financial</w:t>
      </w:r>
      <w:r>
        <w:rPr>
          <w:spacing w:val="-11"/>
        </w:rPr>
        <w:t> </w:t>
      </w:r>
      <w:r>
        <w:rPr/>
        <w:t>innovation</w:t>
      </w:r>
      <w:r>
        <w:rPr>
          <w:spacing w:val="-11"/>
        </w:rPr>
        <w:t> </w:t>
      </w:r>
      <w:r>
        <w:rPr/>
        <w:t>had</w:t>
      </w:r>
      <w:r>
        <w:rPr>
          <w:spacing w:val="-10"/>
        </w:rPr>
        <w:t> </w:t>
      </w:r>
      <w:r>
        <w:rPr/>
        <w:t>transformed</w:t>
      </w:r>
      <w:r>
        <w:rPr>
          <w:spacing w:val="-11"/>
        </w:rPr>
        <w:t> </w:t>
      </w:r>
      <w:r>
        <w:rPr/>
        <w:t>risk</w:t>
      </w:r>
      <w:r>
        <w:rPr>
          <w:spacing w:val="-11"/>
        </w:rPr>
        <w:t> </w:t>
      </w:r>
      <w:r>
        <w:rPr/>
        <w:t>into</w:t>
      </w:r>
      <w:r>
        <w:rPr>
          <w:spacing w:val="-11"/>
        </w:rPr>
        <w:t> </w:t>
      </w:r>
      <w:r>
        <w:rPr/>
        <w:t>certainty,</w:t>
      </w:r>
      <w:r>
        <w:rPr>
          <w:spacing w:val="-9"/>
        </w:rPr>
        <w:t> </w:t>
      </w:r>
      <w:r>
        <w:rPr/>
        <w:t>underwriting</w:t>
      </w:r>
      <w:r>
        <w:rPr>
          <w:spacing w:val="-11"/>
        </w:rPr>
        <w:t> </w:t>
      </w:r>
      <w:r>
        <w:rPr/>
        <w:t>standards slipped</w:t>
      </w:r>
      <w:r>
        <w:rPr>
          <w:spacing w:val="-5"/>
        </w:rPr>
        <w:t> </w:t>
      </w:r>
      <w:r>
        <w:rPr/>
        <w:t>from</w:t>
      </w:r>
      <w:r>
        <w:rPr>
          <w:spacing w:val="-2"/>
        </w:rPr>
        <w:t> </w:t>
      </w:r>
      <w:r>
        <w:rPr/>
        <w:t>responsible</w:t>
      </w:r>
      <w:r>
        <w:rPr>
          <w:spacing w:val="-5"/>
        </w:rPr>
        <w:t> </w:t>
      </w:r>
      <w:r>
        <w:rPr/>
        <w:t>to</w:t>
      </w:r>
      <w:r>
        <w:rPr>
          <w:spacing w:val="-5"/>
        </w:rPr>
        <w:t> </w:t>
      </w:r>
      <w:r>
        <w:rPr/>
        <w:t>reckless</w:t>
      </w:r>
      <w:r>
        <w:rPr>
          <w:spacing w:val="-3"/>
        </w:rPr>
        <w:t> </w:t>
      </w:r>
      <w:r>
        <w:rPr/>
        <w:t>and</w:t>
      </w:r>
      <w:r>
        <w:rPr>
          <w:spacing w:val="-4"/>
        </w:rPr>
        <w:t> </w:t>
      </w:r>
      <w:r>
        <w:rPr/>
        <w:t>bank</w:t>
      </w:r>
      <w:r>
        <w:rPr>
          <w:spacing w:val="-3"/>
        </w:rPr>
        <w:t> </w:t>
      </w:r>
      <w:r>
        <w:rPr/>
        <w:t>funding</w:t>
      </w:r>
      <w:r>
        <w:rPr>
          <w:spacing w:val="-3"/>
        </w:rPr>
        <w:t> </w:t>
      </w:r>
      <w:r>
        <w:rPr/>
        <w:t>strategies</w:t>
      </w:r>
      <w:r>
        <w:rPr>
          <w:spacing w:val="-4"/>
        </w:rPr>
        <w:t> </w:t>
      </w:r>
      <w:r>
        <w:rPr/>
        <w:t>from</w:t>
      </w:r>
      <w:r>
        <w:rPr>
          <w:spacing w:val="-5"/>
        </w:rPr>
        <w:t> </w:t>
      </w:r>
      <w:r>
        <w:rPr/>
        <w:t>conservative</w:t>
      </w:r>
      <w:r>
        <w:rPr>
          <w:spacing w:val="-4"/>
        </w:rPr>
        <w:t> </w:t>
      </w:r>
      <w:r>
        <w:rPr/>
        <w:t>to</w:t>
      </w:r>
      <w:r>
        <w:rPr>
          <w:spacing w:val="-5"/>
        </w:rPr>
        <w:t> </w:t>
      </w:r>
      <w:r>
        <w:rPr/>
        <w:t>cavalier.</w:t>
      </w:r>
    </w:p>
    <w:p>
      <w:pPr>
        <w:pStyle w:val="BodyText"/>
        <w:spacing w:before="4"/>
        <w:rPr>
          <w:sz w:val="28"/>
        </w:rPr>
      </w:pPr>
    </w:p>
    <w:p>
      <w:pPr>
        <w:pStyle w:val="BodyText"/>
        <w:spacing w:line="357" w:lineRule="auto" w:before="1"/>
        <w:ind w:left="226"/>
      </w:pPr>
      <w:r>
        <w:rPr/>
        <w:t>Financial</w:t>
      </w:r>
      <w:r>
        <w:rPr>
          <w:spacing w:val="-10"/>
        </w:rPr>
        <w:t> </w:t>
      </w:r>
      <w:r>
        <w:rPr/>
        <w:t>innovation</w:t>
      </w:r>
      <w:r>
        <w:rPr>
          <w:spacing w:val="-9"/>
        </w:rPr>
        <w:t> </w:t>
      </w:r>
      <w:r>
        <w:rPr/>
        <w:t>made</w:t>
      </w:r>
      <w:r>
        <w:rPr>
          <w:spacing w:val="-9"/>
        </w:rPr>
        <w:t> </w:t>
      </w:r>
      <w:r>
        <w:rPr/>
        <w:t>it</w:t>
      </w:r>
      <w:r>
        <w:rPr>
          <w:spacing w:val="-9"/>
        </w:rPr>
        <w:t> </w:t>
      </w:r>
      <w:r>
        <w:rPr/>
        <w:t>easier</w:t>
      </w:r>
      <w:r>
        <w:rPr>
          <w:spacing w:val="-10"/>
        </w:rPr>
        <w:t> </w:t>
      </w:r>
      <w:r>
        <w:rPr/>
        <w:t>to</w:t>
      </w:r>
      <w:r>
        <w:rPr>
          <w:spacing w:val="-10"/>
        </w:rPr>
        <w:t> </w:t>
      </w:r>
      <w:r>
        <w:rPr/>
        <w:t>borrow.</w:t>
      </w:r>
      <w:r>
        <w:rPr>
          <w:spacing w:val="-8"/>
        </w:rPr>
        <w:t> </w:t>
      </w:r>
      <w:r>
        <w:rPr/>
        <w:t>Bonus</w:t>
      </w:r>
      <w:r>
        <w:rPr>
          <w:spacing w:val="-9"/>
        </w:rPr>
        <w:t> </w:t>
      </w:r>
      <w:r>
        <w:rPr/>
        <w:t>schemes</w:t>
      </w:r>
      <w:r>
        <w:rPr>
          <w:spacing w:val="-9"/>
        </w:rPr>
        <w:t> </w:t>
      </w:r>
      <w:r>
        <w:rPr/>
        <w:t>valued</w:t>
      </w:r>
      <w:r>
        <w:rPr>
          <w:spacing w:val="-9"/>
        </w:rPr>
        <w:t> </w:t>
      </w:r>
      <w:r>
        <w:rPr/>
        <w:t>the</w:t>
      </w:r>
      <w:r>
        <w:rPr>
          <w:spacing w:val="-9"/>
        </w:rPr>
        <w:t> </w:t>
      </w:r>
      <w:r>
        <w:rPr/>
        <w:t>present</w:t>
      </w:r>
      <w:r>
        <w:rPr>
          <w:spacing w:val="-10"/>
        </w:rPr>
        <w:t> </w:t>
      </w:r>
      <w:r>
        <w:rPr/>
        <w:t>and</w:t>
      </w:r>
      <w:r>
        <w:rPr>
          <w:spacing w:val="-9"/>
        </w:rPr>
        <w:t> </w:t>
      </w:r>
      <w:r>
        <w:rPr/>
        <w:t>discounted</w:t>
      </w:r>
      <w:r>
        <w:rPr>
          <w:spacing w:val="-9"/>
        </w:rPr>
        <w:t> </w:t>
      </w:r>
      <w:r>
        <w:rPr/>
        <w:t>the</w:t>
      </w:r>
      <w:r>
        <w:rPr>
          <w:spacing w:val="-9"/>
        </w:rPr>
        <w:t> </w:t>
      </w:r>
      <w:r>
        <w:rPr/>
        <w:t>future. Banks operated in a heads-I-win-tails-you-lose bubble and were capitalised for perfection. And a steady supply</w:t>
      </w:r>
      <w:r>
        <w:rPr>
          <w:spacing w:val="-5"/>
        </w:rPr>
        <w:t> </w:t>
      </w:r>
      <w:r>
        <w:rPr/>
        <w:t>of</w:t>
      </w:r>
      <w:r>
        <w:rPr>
          <w:spacing w:val="-2"/>
        </w:rPr>
        <w:t> </w:t>
      </w:r>
      <w:r>
        <w:rPr/>
        <w:t>foreign</w:t>
      </w:r>
      <w:r>
        <w:rPr>
          <w:spacing w:val="-5"/>
        </w:rPr>
        <w:t> </w:t>
      </w:r>
      <w:r>
        <w:rPr/>
        <w:t>capital</w:t>
      </w:r>
      <w:r>
        <w:rPr>
          <w:spacing w:val="-4"/>
        </w:rPr>
        <w:t> </w:t>
      </w:r>
      <w:r>
        <w:rPr/>
        <w:t>from</w:t>
      </w:r>
      <w:r>
        <w:rPr>
          <w:spacing w:val="-6"/>
        </w:rPr>
        <w:t> </w:t>
      </w:r>
      <w:r>
        <w:rPr/>
        <w:t>the</w:t>
      </w:r>
      <w:r>
        <w:rPr>
          <w:spacing w:val="-4"/>
        </w:rPr>
        <w:t> </w:t>
      </w:r>
      <w:r>
        <w:rPr/>
        <w:t>global</w:t>
      </w:r>
      <w:r>
        <w:rPr>
          <w:spacing w:val="-4"/>
        </w:rPr>
        <w:t> </w:t>
      </w:r>
      <w:r>
        <w:rPr/>
        <w:t>savings</w:t>
      </w:r>
      <w:r>
        <w:rPr>
          <w:spacing w:val="-3"/>
        </w:rPr>
        <w:t> </w:t>
      </w:r>
      <w:r>
        <w:rPr/>
        <w:t>glut</w:t>
      </w:r>
      <w:r>
        <w:rPr>
          <w:spacing w:val="-4"/>
        </w:rPr>
        <w:t> </w:t>
      </w:r>
      <w:r>
        <w:rPr/>
        <w:t>–</w:t>
      </w:r>
      <w:r>
        <w:rPr>
          <w:spacing w:val="-5"/>
        </w:rPr>
        <w:t> </w:t>
      </w:r>
      <w:r>
        <w:rPr/>
        <w:t>and</w:t>
      </w:r>
      <w:r>
        <w:rPr>
          <w:spacing w:val="-4"/>
        </w:rPr>
        <w:t> </w:t>
      </w:r>
      <w:r>
        <w:rPr/>
        <w:t>in</w:t>
      </w:r>
      <w:r>
        <w:rPr>
          <w:spacing w:val="-4"/>
        </w:rPr>
        <w:t> </w:t>
      </w:r>
      <w:r>
        <w:rPr/>
        <w:t>Ireland’s</w:t>
      </w:r>
      <w:r>
        <w:rPr>
          <w:spacing w:val="-4"/>
        </w:rPr>
        <w:t> </w:t>
      </w:r>
      <w:r>
        <w:rPr/>
        <w:t>case,</w:t>
      </w:r>
      <w:r>
        <w:rPr>
          <w:spacing w:val="-5"/>
        </w:rPr>
        <w:t> </w:t>
      </w:r>
      <w:r>
        <w:rPr/>
        <w:t>the</w:t>
      </w:r>
      <w:r>
        <w:rPr>
          <w:spacing w:val="-5"/>
        </w:rPr>
        <w:t> </w:t>
      </w:r>
      <w:r>
        <w:rPr/>
        <w:t>initial</w:t>
      </w:r>
      <w:r>
        <w:rPr>
          <w:spacing w:val="-5"/>
        </w:rPr>
        <w:t> </w:t>
      </w:r>
      <w:r>
        <w:rPr/>
        <w:t>euphoria</w:t>
      </w:r>
      <w:r>
        <w:rPr>
          <w:spacing w:val="-4"/>
        </w:rPr>
        <w:t> </w:t>
      </w:r>
      <w:r>
        <w:rPr/>
        <w:t>of</w:t>
      </w:r>
    </w:p>
    <w:p>
      <w:pPr>
        <w:pStyle w:val="BodyText"/>
        <w:spacing w:line="215" w:lineRule="exact"/>
        <w:ind w:left="226"/>
      </w:pPr>
      <w:r>
        <w:rPr/>
        <w:t>European Monetary Union – made it all cheaper.</w:t>
      </w:r>
    </w:p>
    <w:p>
      <w:pPr>
        <w:pStyle w:val="BodyText"/>
        <w:rPr>
          <w:sz w:val="20"/>
        </w:rPr>
      </w:pPr>
    </w:p>
    <w:p>
      <w:pPr>
        <w:pStyle w:val="BodyText"/>
        <w:spacing w:before="5"/>
        <w:rPr>
          <w:sz w:val="17"/>
        </w:rPr>
      </w:pPr>
    </w:p>
    <w:p>
      <w:pPr>
        <w:pStyle w:val="BodyText"/>
        <w:spacing w:line="357" w:lineRule="auto"/>
        <w:ind w:left="226" w:right="536"/>
      </w:pPr>
      <w:r>
        <w:rPr/>
        <w:pict>
          <v:shape style="position:absolute;margin-left:79.320pt;margin-top:55.800392pt;width:135.5pt;height:.1pt;mso-position-horizontal-relative:page;mso-position-vertical-relative:paragraph;z-index:-251656192;mso-wrap-distance-left:0;mso-wrap-distance-right:0" coordorigin="1586,1116" coordsize="2710,0" path="m1586,1116l4296,1116e" filled="false" stroked="true" strokeweight=".41998pt" strokecolor="#000000">
            <v:path arrowok="t"/>
            <v:stroke dashstyle="solid"/>
            <w10:wrap type="topAndBottom"/>
          </v:shape>
        </w:pict>
      </w:r>
      <w:r>
        <w:rPr/>
        <w:t>When the Minsky moment finally struck, debt tolerance decisively turned and the kindness of strangers evaporated. UK households swung from borrowing 4% of GDP annually to saving 2% of GDP. The comparable swing in Ireland was more than twice as large.</w:t>
      </w:r>
      <w:r>
        <w:rPr>
          <w:vertAlign w:val="superscript"/>
        </w:rPr>
        <w:t>3</w:t>
      </w:r>
    </w:p>
    <w:p>
      <w:pPr>
        <w:spacing w:before="26"/>
        <w:ind w:left="226" w:right="0" w:firstLine="0"/>
        <w:jc w:val="left"/>
        <w:rPr>
          <w:sz w:val="15"/>
        </w:rPr>
      </w:pPr>
      <w:r>
        <w:rPr>
          <w:position w:val="8"/>
          <w:sz w:val="9"/>
        </w:rPr>
        <w:t>2 </w:t>
      </w:r>
      <w:r>
        <w:rPr>
          <w:sz w:val="15"/>
        </w:rPr>
        <w:t>While UK corporates accumulated debts to rival their household counterparts, Irish corporates surpassed that with debt rising beyond 200% of GDP.</w:t>
      </w:r>
    </w:p>
    <w:p>
      <w:pPr>
        <w:spacing w:after="0"/>
        <w:jc w:val="left"/>
        <w:rPr>
          <w:sz w:val="15"/>
        </w:rPr>
        <w:sectPr>
          <w:footerReference w:type="default" r:id="rId8"/>
          <w:pgSz w:w="12240" w:h="15840"/>
          <w:pgMar w:footer="1240" w:header="0" w:top="1440" w:bottom="1440" w:left="1360" w:right="1480"/>
        </w:sectPr>
      </w:pPr>
    </w:p>
    <w:p>
      <w:pPr>
        <w:spacing w:line="715" w:lineRule="auto" w:before="78"/>
        <w:ind w:left="226" w:right="3790" w:firstLine="0"/>
        <w:jc w:val="left"/>
        <w:rPr>
          <w:sz w:val="19"/>
        </w:rPr>
      </w:pPr>
      <w:r>
        <w:rPr>
          <w:b/>
          <w:sz w:val="19"/>
        </w:rPr>
        <w:t>In the wake of the crisis, three truths came back to the fore</w:t>
      </w:r>
      <w:r>
        <w:rPr>
          <w:sz w:val="19"/>
        </w:rPr>
        <w:t>. First, while asset prices rise and fall, debt endures.</w:t>
      </w:r>
    </w:p>
    <w:p>
      <w:pPr>
        <w:pStyle w:val="BodyText"/>
        <w:spacing w:line="216" w:lineRule="exact"/>
        <w:ind w:left="226"/>
      </w:pPr>
      <w:r>
        <w:rPr/>
        <w:t>Second, the distribution of debt and assets matters.</w:t>
      </w:r>
    </w:p>
    <w:p>
      <w:pPr>
        <w:pStyle w:val="BodyText"/>
        <w:rPr>
          <w:sz w:val="20"/>
        </w:rPr>
      </w:pPr>
    </w:p>
    <w:p>
      <w:pPr>
        <w:pStyle w:val="BodyText"/>
        <w:spacing w:before="5"/>
        <w:rPr>
          <w:sz w:val="17"/>
        </w:rPr>
      </w:pPr>
    </w:p>
    <w:p>
      <w:pPr>
        <w:pStyle w:val="BodyText"/>
        <w:spacing w:line="355" w:lineRule="auto" w:before="1"/>
        <w:ind w:left="226" w:right="197"/>
      </w:pPr>
      <w:r>
        <w:rPr/>
        <w:t>And</w:t>
      </w:r>
      <w:r>
        <w:rPr>
          <w:spacing w:val="-8"/>
        </w:rPr>
        <w:t> </w:t>
      </w:r>
      <w:r>
        <w:rPr/>
        <w:t>third,</w:t>
      </w:r>
      <w:r>
        <w:rPr>
          <w:spacing w:val="-7"/>
        </w:rPr>
        <w:t> </w:t>
      </w:r>
      <w:r>
        <w:rPr/>
        <w:t>it</w:t>
      </w:r>
      <w:r>
        <w:rPr>
          <w:spacing w:val="-8"/>
        </w:rPr>
        <w:t> </w:t>
      </w:r>
      <w:r>
        <w:rPr/>
        <w:t>is</w:t>
      </w:r>
      <w:r>
        <w:rPr>
          <w:spacing w:val="-6"/>
        </w:rPr>
        <w:t> </w:t>
      </w:r>
      <w:r>
        <w:rPr/>
        <w:t>very</w:t>
      </w:r>
      <w:r>
        <w:rPr>
          <w:spacing w:val="-7"/>
        </w:rPr>
        <w:t> </w:t>
      </w:r>
      <w:r>
        <w:rPr/>
        <w:t>hard</w:t>
      </w:r>
      <w:r>
        <w:rPr>
          <w:spacing w:val="-7"/>
        </w:rPr>
        <w:t> </w:t>
      </w:r>
      <w:r>
        <w:rPr/>
        <w:t>to</w:t>
      </w:r>
      <w:r>
        <w:rPr>
          <w:spacing w:val="-8"/>
        </w:rPr>
        <w:t> </w:t>
      </w:r>
      <w:r>
        <w:rPr/>
        <w:t>reduce</w:t>
      </w:r>
      <w:r>
        <w:rPr>
          <w:spacing w:val="-7"/>
        </w:rPr>
        <w:t> </w:t>
      </w:r>
      <w:r>
        <w:rPr/>
        <w:t>high</w:t>
      </w:r>
      <w:r>
        <w:rPr>
          <w:spacing w:val="-8"/>
        </w:rPr>
        <w:t> </w:t>
      </w:r>
      <w:r>
        <w:rPr/>
        <w:t>debt</w:t>
      </w:r>
      <w:r>
        <w:rPr>
          <w:spacing w:val="-5"/>
        </w:rPr>
        <w:t> </w:t>
      </w:r>
      <w:r>
        <w:rPr/>
        <w:t>in</w:t>
      </w:r>
      <w:r>
        <w:rPr>
          <w:spacing w:val="-8"/>
        </w:rPr>
        <w:t> </w:t>
      </w:r>
      <w:r>
        <w:rPr/>
        <w:t>one</w:t>
      </w:r>
      <w:r>
        <w:rPr>
          <w:spacing w:val="-7"/>
        </w:rPr>
        <w:t> </w:t>
      </w:r>
      <w:r>
        <w:rPr/>
        <w:t>sector</w:t>
      </w:r>
      <w:r>
        <w:rPr>
          <w:spacing w:val="-8"/>
        </w:rPr>
        <w:t> </w:t>
      </w:r>
      <w:r>
        <w:rPr/>
        <w:t>or</w:t>
      </w:r>
      <w:r>
        <w:rPr>
          <w:spacing w:val="-7"/>
        </w:rPr>
        <w:t> </w:t>
      </w:r>
      <w:r>
        <w:rPr/>
        <w:t>region</w:t>
      </w:r>
      <w:r>
        <w:rPr>
          <w:spacing w:val="-6"/>
        </w:rPr>
        <w:t> </w:t>
      </w:r>
      <w:r>
        <w:rPr/>
        <w:t>without</w:t>
      </w:r>
      <w:r>
        <w:rPr>
          <w:spacing w:val="-6"/>
        </w:rPr>
        <w:t> </w:t>
      </w:r>
      <w:r>
        <w:rPr/>
        <w:t>at</w:t>
      </w:r>
      <w:r>
        <w:rPr>
          <w:spacing w:val="-5"/>
        </w:rPr>
        <w:t> </w:t>
      </w:r>
      <w:r>
        <w:rPr/>
        <w:t>least</w:t>
      </w:r>
      <w:r>
        <w:rPr>
          <w:spacing w:val="-9"/>
        </w:rPr>
        <w:t> </w:t>
      </w:r>
      <w:r>
        <w:rPr/>
        <w:t>temporarily</w:t>
      </w:r>
      <w:r>
        <w:rPr>
          <w:spacing w:val="-5"/>
        </w:rPr>
        <w:t> </w:t>
      </w:r>
      <w:r>
        <w:rPr/>
        <w:t>increasing</w:t>
      </w:r>
      <w:r>
        <w:rPr>
          <w:spacing w:val="-8"/>
        </w:rPr>
        <w:t> </w:t>
      </w:r>
      <w:r>
        <w:rPr/>
        <w:t>it in</w:t>
      </w:r>
      <w:r>
        <w:rPr>
          <w:spacing w:val="-2"/>
        </w:rPr>
        <w:t> </w:t>
      </w:r>
      <w:r>
        <w:rPr/>
        <w:t>another.</w:t>
      </w:r>
    </w:p>
    <w:p>
      <w:pPr>
        <w:pStyle w:val="BodyText"/>
        <w:spacing w:before="3"/>
        <w:rPr>
          <w:sz w:val="28"/>
        </w:rPr>
      </w:pPr>
    </w:p>
    <w:p>
      <w:pPr>
        <w:pStyle w:val="Heading1"/>
      </w:pPr>
      <w:r>
        <w:rPr/>
        <w:t>The debt tail is wagging the market dog.</w:t>
      </w:r>
    </w:p>
    <w:p>
      <w:pPr>
        <w:pStyle w:val="BodyText"/>
        <w:rPr>
          <w:b/>
          <w:sz w:val="20"/>
        </w:rPr>
      </w:pPr>
    </w:p>
    <w:p>
      <w:pPr>
        <w:pStyle w:val="BodyText"/>
        <w:spacing w:before="6"/>
        <w:rPr>
          <w:b/>
          <w:sz w:val="17"/>
        </w:rPr>
      </w:pPr>
    </w:p>
    <w:p>
      <w:pPr>
        <w:pStyle w:val="BodyText"/>
        <w:ind w:left="226"/>
      </w:pPr>
      <w:r>
        <w:rPr/>
        <w:t>These realities continue to weigh on the European financial system.</w:t>
      </w:r>
    </w:p>
    <w:p>
      <w:pPr>
        <w:pStyle w:val="BodyText"/>
        <w:rPr>
          <w:sz w:val="20"/>
        </w:rPr>
      </w:pPr>
    </w:p>
    <w:p>
      <w:pPr>
        <w:pStyle w:val="BodyText"/>
        <w:spacing w:before="5"/>
        <w:rPr>
          <w:sz w:val="17"/>
        </w:rPr>
      </w:pPr>
    </w:p>
    <w:p>
      <w:pPr>
        <w:pStyle w:val="BodyText"/>
        <w:spacing w:line="357" w:lineRule="auto" w:before="1"/>
        <w:ind w:left="226"/>
      </w:pPr>
      <w:r>
        <w:rPr/>
        <w:t>It is often argued that the world is awash with liquidity and excessive risk taking. And yet the rain is falling unevenly on the plain leaving some regions parched and others sodden. Savings aren’t flowing freely to the areas that need them the most. This is certainly true in the euro area, where many savings are trapped and much of finance remains fragmented.</w:t>
      </w:r>
    </w:p>
    <w:p>
      <w:pPr>
        <w:pStyle w:val="BodyText"/>
        <w:spacing w:before="10"/>
        <w:rPr>
          <w:sz w:val="27"/>
        </w:rPr>
      </w:pPr>
    </w:p>
    <w:p>
      <w:pPr>
        <w:pStyle w:val="BodyText"/>
        <w:spacing w:line="355" w:lineRule="auto" w:before="1"/>
        <w:ind w:left="226" w:right="430"/>
      </w:pPr>
      <w:r>
        <w:rPr/>
        <w:t>The result is demand compression, weighing on the outlook for growth and sustaining fears that another major adverse shock is possible. Risk appetite is more fleeting than median growth forecasts suggest.</w:t>
      </w:r>
    </w:p>
    <w:p>
      <w:pPr>
        <w:pStyle w:val="BodyText"/>
        <w:spacing w:before="4"/>
        <w:rPr>
          <w:sz w:val="28"/>
        </w:rPr>
      </w:pPr>
    </w:p>
    <w:p>
      <w:pPr>
        <w:pStyle w:val="BodyText"/>
        <w:ind w:left="226"/>
      </w:pPr>
      <w:r>
        <w:rPr/>
        <w:t>The constellation of asset price moves since last summer bears this sober assessment out.</w:t>
      </w:r>
    </w:p>
    <w:p>
      <w:pPr>
        <w:pStyle w:val="BodyText"/>
        <w:rPr>
          <w:sz w:val="20"/>
        </w:rPr>
      </w:pPr>
    </w:p>
    <w:p>
      <w:pPr>
        <w:pStyle w:val="BodyText"/>
        <w:spacing w:before="5"/>
        <w:rPr>
          <w:sz w:val="17"/>
        </w:rPr>
      </w:pPr>
    </w:p>
    <w:p>
      <w:pPr>
        <w:pStyle w:val="BodyText"/>
        <w:spacing w:line="357" w:lineRule="auto"/>
        <w:ind w:left="226" w:right="197"/>
      </w:pPr>
      <w:r>
        <w:rPr/>
        <w:t>Yields on sovereign bonds have fallen across all maturities. France hasn’t borrowed this cheaply since the ‘50s – the 1750s. Real rates are negative as far as the eye can see, suggesting perpetually anaemic growth.</w:t>
      </w:r>
      <w:r>
        <w:rPr>
          <w:vertAlign w:val="superscript"/>
        </w:rPr>
        <w:t>4</w:t>
      </w:r>
    </w:p>
    <w:p>
      <w:pPr>
        <w:pStyle w:val="BodyText"/>
        <w:rPr>
          <w:sz w:val="28"/>
        </w:rPr>
      </w:pPr>
    </w:p>
    <w:p>
      <w:pPr>
        <w:pStyle w:val="BodyText"/>
        <w:spacing w:line="357" w:lineRule="auto"/>
        <w:ind w:left="226" w:right="197"/>
      </w:pPr>
      <w:r>
        <w:rPr/>
        <w:t>In the past six months, estimates of the equity risk premium have risen by over 100bps in the UK and the euro area back to levels last seen in the heart of the crisis.</w:t>
      </w:r>
      <w:r>
        <w:rPr>
          <w:vertAlign w:val="superscript"/>
        </w:rPr>
        <w:t>5</w:t>
      </w:r>
      <w:r>
        <w:rPr>
          <w:vertAlign w:val="baseline"/>
        </w:rPr>
        <w:t> In addition, the probability of large declines in equity prices implied by options prices rebounded during 2014.</w:t>
      </w:r>
    </w:p>
    <w:p>
      <w:pPr>
        <w:pStyle w:val="BodyText"/>
        <w:rPr>
          <w:sz w:val="28"/>
        </w:rPr>
      </w:pPr>
    </w:p>
    <w:p>
      <w:pPr>
        <w:pStyle w:val="BodyText"/>
        <w:spacing w:line="355" w:lineRule="auto"/>
        <w:ind w:left="226" w:right="123"/>
      </w:pPr>
      <w:r>
        <w:rPr/>
        <w:t>This</w:t>
      </w:r>
      <w:r>
        <w:rPr>
          <w:spacing w:val="-8"/>
        </w:rPr>
        <w:t> </w:t>
      </w:r>
      <w:r>
        <w:rPr/>
        <w:t>all</w:t>
      </w:r>
      <w:r>
        <w:rPr>
          <w:spacing w:val="-9"/>
        </w:rPr>
        <w:t> </w:t>
      </w:r>
      <w:r>
        <w:rPr/>
        <w:t>suggests</w:t>
      </w:r>
      <w:r>
        <w:rPr>
          <w:spacing w:val="-10"/>
        </w:rPr>
        <w:t> </w:t>
      </w:r>
      <w:r>
        <w:rPr/>
        <w:t>that</w:t>
      </w:r>
      <w:r>
        <w:rPr>
          <w:spacing w:val="-7"/>
        </w:rPr>
        <w:t> </w:t>
      </w:r>
      <w:r>
        <w:rPr/>
        <w:t>investors</w:t>
      </w:r>
      <w:r>
        <w:rPr>
          <w:spacing w:val="-9"/>
        </w:rPr>
        <w:t> </w:t>
      </w:r>
      <w:r>
        <w:rPr/>
        <w:t>may</w:t>
      </w:r>
      <w:r>
        <w:rPr>
          <w:spacing w:val="-9"/>
        </w:rPr>
        <w:t> </w:t>
      </w:r>
      <w:r>
        <w:rPr/>
        <w:t>be</w:t>
      </w:r>
      <w:r>
        <w:rPr>
          <w:spacing w:val="-10"/>
        </w:rPr>
        <w:t> </w:t>
      </w:r>
      <w:r>
        <w:rPr/>
        <w:t>attaching</w:t>
      </w:r>
      <w:r>
        <w:rPr>
          <w:spacing w:val="-9"/>
        </w:rPr>
        <w:t> </w:t>
      </w:r>
      <w:r>
        <w:rPr/>
        <w:t>some</w:t>
      </w:r>
      <w:r>
        <w:rPr>
          <w:spacing w:val="-8"/>
        </w:rPr>
        <w:t> </w:t>
      </w:r>
      <w:r>
        <w:rPr/>
        <w:t>probability</w:t>
      </w:r>
      <w:r>
        <w:rPr>
          <w:spacing w:val="-8"/>
        </w:rPr>
        <w:t> </w:t>
      </w:r>
      <w:r>
        <w:rPr/>
        <w:t>to</w:t>
      </w:r>
      <w:r>
        <w:rPr>
          <w:spacing w:val="-10"/>
        </w:rPr>
        <w:t> </w:t>
      </w:r>
      <w:r>
        <w:rPr/>
        <w:t>very</w:t>
      </w:r>
      <w:r>
        <w:rPr>
          <w:spacing w:val="-8"/>
        </w:rPr>
        <w:t> </w:t>
      </w:r>
      <w:r>
        <w:rPr/>
        <w:t>bad</w:t>
      </w:r>
      <w:r>
        <w:rPr>
          <w:spacing w:val="-9"/>
        </w:rPr>
        <w:t> </w:t>
      </w:r>
      <w:r>
        <w:rPr/>
        <w:t>outcomes,</w:t>
      </w:r>
      <w:r>
        <w:rPr>
          <w:spacing w:val="-8"/>
        </w:rPr>
        <w:t> </w:t>
      </w:r>
      <w:r>
        <w:rPr/>
        <w:t>possibly</w:t>
      </w:r>
      <w:r>
        <w:rPr>
          <w:spacing w:val="-10"/>
        </w:rPr>
        <w:t> </w:t>
      </w:r>
      <w:r>
        <w:rPr/>
        <w:t>the</w:t>
      </w:r>
      <w:r>
        <w:rPr>
          <w:spacing w:val="-9"/>
        </w:rPr>
        <w:t> </w:t>
      </w:r>
      <w:r>
        <w:rPr/>
        <w:t>tail</w:t>
      </w:r>
      <w:r>
        <w:rPr>
          <w:spacing w:val="-10"/>
        </w:rPr>
        <w:t> </w:t>
      </w:r>
      <w:r>
        <w:rPr/>
        <w:t>risk of economies becoming stranded in a debt</w:t>
      </w:r>
      <w:r>
        <w:rPr>
          <w:spacing w:val="-8"/>
        </w:rPr>
        <w:t> </w:t>
      </w:r>
      <w:r>
        <w:rPr/>
        <w:t>trap.</w:t>
      </w:r>
    </w:p>
    <w:p>
      <w:pPr>
        <w:pStyle w:val="BodyText"/>
        <w:spacing w:before="4"/>
        <w:rPr>
          <w:sz w:val="28"/>
        </w:rPr>
      </w:pPr>
    </w:p>
    <w:p>
      <w:pPr>
        <w:pStyle w:val="BodyText"/>
        <w:spacing w:line="357" w:lineRule="auto"/>
        <w:ind w:left="226"/>
      </w:pPr>
      <w:r>
        <w:rPr/>
        <w:pict>
          <v:shape style="position:absolute;margin-left:79.320pt;margin-top:38.49091pt;width:453.5pt;height:.1pt;mso-position-horizontal-relative:page;mso-position-vertical-relative:paragraph;z-index:-251655168;mso-wrap-distance-left:0;mso-wrap-distance-right:0" coordorigin="1586,770" coordsize="9070,0" path="m1586,770l10656,770e" filled="false" stroked="true" strokeweight=".48001pt" strokecolor="#000000">
            <v:path arrowok="t"/>
            <v:stroke dashstyle="solid"/>
            <w10:wrap type="topAndBottom"/>
          </v:shape>
        </w:pict>
      </w:r>
      <w:r>
        <w:rPr/>
        <w:t>This market view is mirrored in elevated corporate caution. Investment remains subdued and businesses continue to build cash in many advanced economies.</w:t>
      </w:r>
      <w:r>
        <w:rPr>
          <w:vertAlign w:val="superscript"/>
        </w:rPr>
        <w:t>6</w:t>
      </w:r>
      <w:r>
        <w:rPr>
          <w:vertAlign w:val="baseline"/>
        </w:rPr>
        <w:t> This is one reason why the so-called ‘equilibrium’ real</w:t>
      </w:r>
    </w:p>
    <w:p>
      <w:pPr>
        <w:spacing w:line="185" w:lineRule="exact" w:before="26"/>
        <w:ind w:left="226" w:right="0" w:firstLine="0"/>
        <w:jc w:val="left"/>
        <w:rPr>
          <w:sz w:val="15"/>
        </w:rPr>
      </w:pPr>
      <w:r>
        <w:rPr>
          <w:position w:val="8"/>
          <w:sz w:val="9"/>
        </w:rPr>
        <w:t>3 </w:t>
      </w:r>
      <w:r>
        <w:rPr>
          <w:sz w:val="15"/>
        </w:rPr>
        <w:t>The UK and Irish private sectors swung dramatically into surplus (</w:t>
      </w:r>
      <w:r>
        <w:rPr>
          <w:b/>
          <w:sz w:val="15"/>
        </w:rPr>
        <w:t>Charts 2 </w:t>
      </w:r>
      <w:r>
        <w:rPr>
          <w:sz w:val="15"/>
        </w:rPr>
        <w:t>and </w:t>
      </w:r>
      <w:r>
        <w:rPr>
          <w:b/>
          <w:sz w:val="15"/>
        </w:rPr>
        <w:t>3</w:t>
      </w:r>
      <w:r>
        <w:rPr>
          <w:sz w:val="15"/>
        </w:rPr>
        <w:t>).</w:t>
      </w:r>
    </w:p>
    <w:p>
      <w:pPr>
        <w:spacing w:line="172" w:lineRule="exact" w:before="15"/>
        <w:ind w:left="226" w:right="0" w:firstLine="0"/>
        <w:jc w:val="left"/>
        <w:rPr>
          <w:sz w:val="15"/>
        </w:rPr>
      </w:pPr>
      <w:r>
        <w:rPr>
          <w:position w:val="8"/>
          <w:sz w:val="9"/>
        </w:rPr>
        <w:t>4 </w:t>
      </w:r>
      <w:r>
        <w:rPr>
          <w:sz w:val="15"/>
        </w:rPr>
        <w:t>Term premia, which measure investors’ compensation for holding long- rather than short-maturity claims, are also estimated to have declined since last summer, perhaps reflecting growing expectations for central bank asset purchases.</w:t>
      </w:r>
    </w:p>
    <w:p>
      <w:pPr>
        <w:spacing w:line="172" w:lineRule="exact" w:before="0"/>
        <w:ind w:left="226" w:right="0" w:firstLine="0"/>
        <w:jc w:val="left"/>
        <w:rPr>
          <w:sz w:val="15"/>
        </w:rPr>
      </w:pPr>
      <w:r>
        <w:rPr>
          <w:position w:val="8"/>
          <w:sz w:val="9"/>
        </w:rPr>
        <w:t>5 </w:t>
      </w:r>
      <w:r>
        <w:rPr>
          <w:sz w:val="15"/>
        </w:rPr>
        <w:t>For the UK, December 2008; and for the euro area, June 2012.</w:t>
      </w:r>
    </w:p>
    <w:p>
      <w:pPr>
        <w:spacing w:after="0" w:line="172" w:lineRule="exact"/>
        <w:jc w:val="left"/>
        <w:rPr>
          <w:sz w:val="15"/>
        </w:rPr>
        <w:sectPr>
          <w:footerReference w:type="default" r:id="rId9"/>
          <w:pgSz w:w="12240" w:h="15840"/>
          <w:pgMar w:footer="1240" w:header="0" w:top="1440" w:bottom="1440" w:left="1360" w:right="1480"/>
        </w:sectPr>
      </w:pPr>
    </w:p>
    <w:p>
      <w:pPr>
        <w:pStyle w:val="BodyText"/>
        <w:spacing w:line="357" w:lineRule="auto" w:before="80"/>
        <w:ind w:left="226" w:right="197"/>
      </w:pPr>
      <w:r>
        <w:rPr/>
        <w:t>interest</w:t>
      </w:r>
      <w:r>
        <w:rPr>
          <w:spacing w:val="-7"/>
        </w:rPr>
        <w:t> </w:t>
      </w:r>
      <w:r>
        <w:rPr/>
        <w:t>rate</w:t>
      </w:r>
      <w:r>
        <w:rPr>
          <w:spacing w:val="-8"/>
        </w:rPr>
        <w:t> </w:t>
      </w:r>
      <w:r>
        <w:rPr/>
        <w:t>is</w:t>
      </w:r>
      <w:r>
        <w:rPr>
          <w:spacing w:val="-7"/>
        </w:rPr>
        <w:t> </w:t>
      </w:r>
      <w:r>
        <w:rPr/>
        <w:t>negative</w:t>
      </w:r>
      <w:r>
        <w:rPr>
          <w:spacing w:val="-9"/>
        </w:rPr>
        <w:t> </w:t>
      </w:r>
      <w:r>
        <w:rPr/>
        <w:t>in</w:t>
      </w:r>
      <w:r>
        <w:rPr>
          <w:spacing w:val="-8"/>
        </w:rPr>
        <w:t> </w:t>
      </w:r>
      <w:r>
        <w:rPr/>
        <w:t>many</w:t>
      </w:r>
      <w:r>
        <w:rPr>
          <w:spacing w:val="-7"/>
        </w:rPr>
        <w:t> </w:t>
      </w:r>
      <w:r>
        <w:rPr/>
        <w:t>advanced</w:t>
      </w:r>
      <w:r>
        <w:rPr>
          <w:spacing w:val="-8"/>
        </w:rPr>
        <w:t> </w:t>
      </w:r>
      <w:r>
        <w:rPr/>
        <w:t>economies,</w:t>
      </w:r>
      <w:r>
        <w:rPr>
          <w:spacing w:val="-8"/>
        </w:rPr>
        <w:t> </w:t>
      </w:r>
      <w:r>
        <w:rPr/>
        <w:t>though</w:t>
      </w:r>
      <w:r>
        <w:rPr>
          <w:spacing w:val="-8"/>
        </w:rPr>
        <w:t> </w:t>
      </w:r>
      <w:r>
        <w:rPr/>
        <w:t>it</w:t>
      </w:r>
      <w:r>
        <w:rPr>
          <w:spacing w:val="-6"/>
        </w:rPr>
        <w:t> </w:t>
      </w:r>
      <w:r>
        <w:rPr/>
        <w:t>has</w:t>
      </w:r>
      <w:r>
        <w:rPr>
          <w:spacing w:val="-7"/>
        </w:rPr>
        <w:t> </w:t>
      </w:r>
      <w:r>
        <w:rPr/>
        <w:t>risen</w:t>
      </w:r>
      <w:r>
        <w:rPr>
          <w:spacing w:val="-8"/>
        </w:rPr>
        <w:t> </w:t>
      </w:r>
      <w:r>
        <w:rPr/>
        <w:t>and</w:t>
      </w:r>
      <w:r>
        <w:rPr>
          <w:spacing w:val="-7"/>
        </w:rPr>
        <w:t> </w:t>
      </w:r>
      <w:r>
        <w:rPr/>
        <w:t>is</w:t>
      </w:r>
      <w:r>
        <w:rPr>
          <w:spacing w:val="-7"/>
        </w:rPr>
        <w:t> </w:t>
      </w:r>
      <w:r>
        <w:rPr/>
        <w:t>possibly</w:t>
      </w:r>
      <w:r>
        <w:rPr>
          <w:spacing w:val="-7"/>
        </w:rPr>
        <w:t> </w:t>
      </w:r>
      <w:r>
        <w:rPr/>
        <w:t>now</w:t>
      </w:r>
      <w:r>
        <w:rPr>
          <w:spacing w:val="-9"/>
        </w:rPr>
        <w:t> </w:t>
      </w:r>
      <w:r>
        <w:rPr/>
        <w:t>positive</w:t>
      </w:r>
      <w:r>
        <w:rPr>
          <w:spacing w:val="-8"/>
        </w:rPr>
        <w:t> </w:t>
      </w:r>
      <w:r>
        <w:rPr/>
        <w:t>in others like the UK.</w:t>
      </w:r>
      <w:r>
        <w:rPr>
          <w:vertAlign w:val="superscript"/>
        </w:rPr>
        <w:t>7</w:t>
      </w:r>
      <w:r>
        <w:rPr>
          <w:vertAlign w:val="baseline"/>
        </w:rPr>
        <w:t> Reflecting these real dynamics, central bank interest rates have had to be set at extraordinarily</w:t>
      </w:r>
      <w:r>
        <w:rPr>
          <w:spacing w:val="-9"/>
          <w:vertAlign w:val="baseline"/>
        </w:rPr>
        <w:t> </w:t>
      </w:r>
      <w:r>
        <w:rPr>
          <w:vertAlign w:val="baseline"/>
        </w:rPr>
        <w:t>low</w:t>
      </w:r>
      <w:r>
        <w:rPr>
          <w:spacing w:val="-10"/>
          <w:vertAlign w:val="baseline"/>
        </w:rPr>
        <w:t> </w:t>
      </w:r>
      <w:r>
        <w:rPr>
          <w:vertAlign w:val="baseline"/>
        </w:rPr>
        <w:t>levels</w:t>
      </w:r>
      <w:r>
        <w:rPr>
          <w:spacing w:val="-8"/>
          <w:vertAlign w:val="baseline"/>
        </w:rPr>
        <w:t> </w:t>
      </w:r>
      <w:r>
        <w:rPr>
          <w:vertAlign w:val="baseline"/>
        </w:rPr>
        <w:t>and</w:t>
      </w:r>
      <w:r>
        <w:rPr>
          <w:spacing w:val="-9"/>
          <w:vertAlign w:val="baseline"/>
        </w:rPr>
        <w:t> </w:t>
      </w:r>
      <w:r>
        <w:rPr>
          <w:vertAlign w:val="baseline"/>
        </w:rPr>
        <w:t>supplemented</w:t>
      </w:r>
      <w:r>
        <w:rPr>
          <w:spacing w:val="-9"/>
          <w:vertAlign w:val="baseline"/>
        </w:rPr>
        <w:t> </w:t>
      </w:r>
      <w:r>
        <w:rPr>
          <w:vertAlign w:val="baseline"/>
        </w:rPr>
        <w:t>by</w:t>
      </w:r>
      <w:r>
        <w:rPr>
          <w:spacing w:val="-8"/>
          <w:vertAlign w:val="baseline"/>
        </w:rPr>
        <w:t> </w:t>
      </w:r>
      <w:r>
        <w:rPr>
          <w:vertAlign w:val="baseline"/>
        </w:rPr>
        <w:t>large</w:t>
      </w:r>
      <w:r>
        <w:rPr>
          <w:spacing w:val="-10"/>
          <w:vertAlign w:val="baseline"/>
        </w:rPr>
        <w:t> </w:t>
      </w:r>
      <w:r>
        <w:rPr>
          <w:vertAlign w:val="baseline"/>
        </w:rPr>
        <w:t>scale</w:t>
      </w:r>
      <w:r>
        <w:rPr>
          <w:spacing w:val="-9"/>
          <w:vertAlign w:val="baseline"/>
        </w:rPr>
        <w:t> </w:t>
      </w:r>
      <w:r>
        <w:rPr>
          <w:vertAlign w:val="baseline"/>
        </w:rPr>
        <w:t>asset</w:t>
      </w:r>
      <w:r>
        <w:rPr>
          <w:spacing w:val="-9"/>
          <w:vertAlign w:val="baseline"/>
        </w:rPr>
        <w:t> </w:t>
      </w:r>
      <w:r>
        <w:rPr>
          <w:vertAlign w:val="baseline"/>
        </w:rPr>
        <w:t>purchases</w:t>
      </w:r>
      <w:r>
        <w:rPr>
          <w:spacing w:val="-8"/>
          <w:vertAlign w:val="baseline"/>
        </w:rPr>
        <w:t> </w:t>
      </w:r>
      <w:r>
        <w:rPr>
          <w:vertAlign w:val="baseline"/>
        </w:rPr>
        <w:t>simply</w:t>
      </w:r>
      <w:r>
        <w:rPr>
          <w:spacing w:val="-8"/>
          <w:vertAlign w:val="baseline"/>
        </w:rPr>
        <w:t> </w:t>
      </w:r>
      <w:r>
        <w:rPr>
          <w:vertAlign w:val="baseline"/>
        </w:rPr>
        <w:t>for</w:t>
      </w:r>
      <w:r>
        <w:rPr>
          <w:spacing w:val="-8"/>
          <w:vertAlign w:val="baseline"/>
        </w:rPr>
        <w:t> </w:t>
      </w:r>
      <w:r>
        <w:rPr>
          <w:vertAlign w:val="baseline"/>
        </w:rPr>
        <w:t>monetary</w:t>
      </w:r>
      <w:r>
        <w:rPr>
          <w:spacing w:val="-9"/>
          <w:vertAlign w:val="baseline"/>
        </w:rPr>
        <w:t> </w:t>
      </w:r>
      <w:r>
        <w:rPr>
          <w:vertAlign w:val="baseline"/>
        </w:rPr>
        <w:t>policy</w:t>
      </w:r>
      <w:r>
        <w:rPr>
          <w:spacing w:val="-8"/>
          <w:vertAlign w:val="baseline"/>
        </w:rPr>
        <w:t> </w:t>
      </w:r>
      <w:r>
        <w:rPr>
          <w:vertAlign w:val="baseline"/>
        </w:rPr>
        <w:t>to remain</w:t>
      </w:r>
      <w:r>
        <w:rPr>
          <w:spacing w:val="-2"/>
          <w:vertAlign w:val="baseline"/>
        </w:rPr>
        <w:t> </w:t>
      </w:r>
      <w:r>
        <w:rPr>
          <w:vertAlign w:val="baseline"/>
        </w:rPr>
        <w:t>neutral.</w:t>
      </w:r>
      <w:r>
        <w:rPr>
          <w:vertAlign w:val="superscript"/>
        </w:rPr>
        <w:t>8</w:t>
      </w:r>
    </w:p>
    <w:p>
      <w:pPr>
        <w:pStyle w:val="BodyText"/>
        <w:spacing w:before="10"/>
        <w:rPr>
          <w:sz w:val="27"/>
        </w:rPr>
      </w:pPr>
    </w:p>
    <w:p>
      <w:pPr>
        <w:pStyle w:val="BodyText"/>
        <w:spacing w:line="355" w:lineRule="auto"/>
        <w:ind w:left="226" w:right="123"/>
      </w:pPr>
      <w:r>
        <w:rPr/>
        <w:t>Escaping a debt trap requires a suite of measures including structural reforms to boost productivity. But above</w:t>
      </w:r>
      <w:r>
        <w:rPr>
          <w:spacing w:val="-8"/>
        </w:rPr>
        <w:t> </w:t>
      </w:r>
      <w:r>
        <w:rPr/>
        <w:t>all</w:t>
      </w:r>
      <w:r>
        <w:rPr>
          <w:spacing w:val="-8"/>
        </w:rPr>
        <w:t> </w:t>
      </w:r>
      <w:r>
        <w:rPr/>
        <w:t>an</w:t>
      </w:r>
      <w:r>
        <w:rPr>
          <w:spacing w:val="-7"/>
        </w:rPr>
        <w:t> </w:t>
      </w:r>
      <w:r>
        <w:rPr/>
        <w:t>economy</w:t>
      </w:r>
      <w:r>
        <w:rPr>
          <w:spacing w:val="-8"/>
        </w:rPr>
        <w:t> </w:t>
      </w:r>
      <w:r>
        <w:rPr/>
        <w:t>needs</w:t>
      </w:r>
      <w:r>
        <w:rPr>
          <w:spacing w:val="-7"/>
        </w:rPr>
        <w:t> </w:t>
      </w:r>
      <w:r>
        <w:rPr/>
        <w:t>to</w:t>
      </w:r>
      <w:r>
        <w:rPr>
          <w:spacing w:val="-8"/>
        </w:rPr>
        <w:t> </w:t>
      </w:r>
      <w:r>
        <w:rPr/>
        <w:t>be</w:t>
      </w:r>
      <w:r>
        <w:rPr>
          <w:spacing w:val="-7"/>
        </w:rPr>
        <w:t> </w:t>
      </w:r>
      <w:r>
        <w:rPr/>
        <w:t>able</w:t>
      </w:r>
      <w:r>
        <w:rPr>
          <w:spacing w:val="-6"/>
        </w:rPr>
        <w:t> </w:t>
      </w:r>
      <w:r>
        <w:rPr/>
        <w:t>to</w:t>
      </w:r>
      <w:r>
        <w:rPr>
          <w:spacing w:val="-8"/>
        </w:rPr>
        <w:t> </w:t>
      </w:r>
      <w:r>
        <w:rPr/>
        <w:t>channel</w:t>
      </w:r>
      <w:r>
        <w:rPr>
          <w:spacing w:val="-6"/>
        </w:rPr>
        <w:t> </w:t>
      </w:r>
      <w:r>
        <w:rPr/>
        <w:t>all</w:t>
      </w:r>
      <w:r>
        <w:rPr>
          <w:spacing w:val="-6"/>
        </w:rPr>
        <w:t> </w:t>
      </w:r>
      <w:r>
        <w:rPr/>
        <w:t>available</w:t>
      </w:r>
      <w:r>
        <w:rPr>
          <w:spacing w:val="-7"/>
        </w:rPr>
        <w:t> </w:t>
      </w:r>
      <w:r>
        <w:rPr/>
        <w:t>savings</w:t>
      </w:r>
      <w:r>
        <w:rPr>
          <w:spacing w:val="-7"/>
        </w:rPr>
        <w:t> </w:t>
      </w:r>
      <w:r>
        <w:rPr/>
        <w:t>–</w:t>
      </w:r>
      <w:r>
        <w:rPr>
          <w:spacing w:val="-8"/>
        </w:rPr>
        <w:t> </w:t>
      </w:r>
      <w:r>
        <w:rPr/>
        <w:t>household,</w:t>
      </w:r>
      <w:r>
        <w:rPr>
          <w:spacing w:val="-6"/>
        </w:rPr>
        <w:t> </w:t>
      </w:r>
      <w:r>
        <w:rPr/>
        <w:t>corporate</w:t>
      </w:r>
      <w:r>
        <w:rPr>
          <w:spacing w:val="-8"/>
        </w:rPr>
        <w:t> </w:t>
      </w:r>
      <w:r>
        <w:rPr/>
        <w:t>and</w:t>
      </w:r>
      <w:r>
        <w:rPr>
          <w:spacing w:val="-9"/>
        </w:rPr>
        <w:t> </w:t>
      </w:r>
      <w:r>
        <w:rPr/>
        <w:t>foreign</w:t>
      </w:r>
      <w:r>
        <w:rPr>
          <w:spacing w:val="-8"/>
        </w:rPr>
        <w:t> </w:t>
      </w:r>
      <w:r>
        <w:rPr/>
        <w:t>– to those sectors willing and able to spend. In many respects, recent progress in the UK shows</w:t>
      </w:r>
      <w:r>
        <w:rPr>
          <w:spacing w:val="-21"/>
        </w:rPr>
        <w:t> </w:t>
      </w:r>
      <w:r>
        <w:rPr/>
        <w:t>how.</w:t>
      </w:r>
    </w:p>
    <w:p>
      <w:pPr>
        <w:pStyle w:val="BodyText"/>
        <w:spacing w:before="4"/>
        <w:rPr>
          <w:sz w:val="28"/>
        </w:rPr>
      </w:pPr>
    </w:p>
    <w:p>
      <w:pPr>
        <w:pStyle w:val="Heading1"/>
        <w:numPr>
          <w:ilvl w:val="0"/>
          <w:numId w:val="1"/>
        </w:numPr>
        <w:tabs>
          <w:tab w:pos="562" w:val="left" w:leader="none"/>
        </w:tabs>
        <w:spacing w:line="240" w:lineRule="auto" w:before="0" w:after="0"/>
        <w:ind w:left="561" w:right="0" w:hanging="336"/>
        <w:jc w:val="left"/>
      </w:pPr>
      <w:r>
        <w:rPr/>
        <w:t>How the UK is escaping its debt</w:t>
      </w:r>
      <w:r>
        <w:rPr>
          <w:spacing w:val="-10"/>
        </w:rPr>
        <w:t> </w:t>
      </w:r>
      <w:r>
        <w:rPr/>
        <w:t>trap</w:t>
      </w:r>
    </w:p>
    <w:p>
      <w:pPr>
        <w:pStyle w:val="BodyText"/>
        <w:rPr>
          <w:b/>
          <w:sz w:val="20"/>
        </w:rPr>
      </w:pPr>
    </w:p>
    <w:p>
      <w:pPr>
        <w:pStyle w:val="BodyText"/>
        <w:spacing w:before="7"/>
        <w:rPr>
          <w:b/>
          <w:sz w:val="17"/>
        </w:rPr>
      </w:pPr>
    </w:p>
    <w:p>
      <w:pPr>
        <w:pStyle w:val="BodyText"/>
        <w:spacing w:line="357" w:lineRule="auto"/>
        <w:ind w:left="226"/>
      </w:pPr>
      <w:r>
        <w:rPr/>
        <w:t>In</w:t>
      </w:r>
      <w:r>
        <w:rPr>
          <w:spacing w:val="-10"/>
        </w:rPr>
        <w:t> </w:t>
      </w:r>
      <w:r>
        <w:rPr/>
        <w:t>recent</w:t>
      </w:r>
      <w:r>
        <w:rPr>
          <w:spacing w:val="-9"/>
        </w:rPr>
        <w:t> </w:t>
      </w:r>
      <w:r>
        <w:rPr/>
        <w:t>years,</w:t>
      </w:r>
      <w:r>
        <w:rPr>
          <w:spacing w:val="-10"/>
        </w:rPr>
        <w:t> </w:t>
      </w:r>
      <w:r>
        <w:rPr/>
        <w:t>the</w:t>
      </w:r>
      <w:r>
        <w:rPr>
          <w:spacing w:val="-10"/>
        </w:rPr>
        <w:t> </w:t>
      </w:r>
      <w:r>
        <w:rPr/>
        <w:t>UK</w:t>
      </w:r>
      <w:r>
        <w:rPr>
          <w:spacing w:val="-9"/>
        </w:rPr>
        <w:t> </w:t>
      </w:r>
      <w:r>
        <w:rPr/>
        <w:t>economy</w:t>
      </w:r>
      <w:r>
        <w:rPr>
          <w:spacing w:val="-9"/>
        </w:rPr>
        <w:t> </w:t>
      </w:r>
      <w:r>
        <w:rPr/>
        <w:t>has</w:t>
      </w:r>
      <w:r>
        <w:rPr>
          <w:spacing w:val="-8"/>
        </w:rPr>
        <w:t> </w:t>
      </w:r>
      <w:r>
        <w:rPr/>
        <w:t>shown</w:t>
      </w:r>
      <w:r>
        <w:rPr>
          <w:spacing w:val="-9"/>
        </w:rPr>
        <w:t> </w:t>
      </w:r>
      <w:r>
        <w:rPr/>
        <w:t>increasing</w:t>
      </w:r>
      <w:r>
        <w:rPr>
          <w:spacing w:val="-10"/>
        </w:rPr>
        <w:t> </w:t>
      </w:r>
      <w:r>
        <w:rPr/>
        <w:t>signs</w:t>
      </w:r>
      <w:r>
        <w:rPr>
          <w:spacing w:val="-8"/>
        </w:rPr>
        <w:t> </w:t>
      </w:r>
      <w:r>
        <w:rPr/>
        <w:t>of</w:t>
      </w:r>
      <w:r>
        <w:rPr>
          <w:spacing w:val="-10"/>
        </w:rPr>
        <w:t> </w:t>
      </w:r>
      <w:r>
        <w:rPr/>
        <w:t>normalisation.</w:t>
      </w:r>
      <w:r>
        <w:rPr>
          <w:spacing w:val="-9"/>
        </w:rPr>
        <w:t> </w:t>
      </w:r>
      <w:r>
        <w:rPr/>
        <w:t>Non-financial</w:t>
      </w:r>
      <w:r>
        <w:rPr>
          <w:spacing w:val="-9"/>
        </w:rPr>
        <w:t> </w:t>
      </w:r>
      <w:r>
        <w:rPr/>
        <w:t>private</w:t>
      </w:r>
      <w:r>
        <w:rPr>
          <w:spacing w:val="-10"/>
        </w:rPr>
        <w:t> </w:t>
      </w:r>
      <w:r>
        <w:rPr/>
        <w:t>debt</w:t>
      </w:r>
      <w:r>
        <w:rPr>
          <w:spacing w:val="-7"/>
        </w:rPr>
        <w:t> </w:t>
      </w:r>
      <w:r>
        <w:rPr/>
        <w:t>has fallen by around 30% of GDP since its peak, the economy has grown consistently above trend, and unemployment has fallen from a peak of 8.5% to less than 6%</w:t>
      </w:r>
      <w:r>
        <w:rPr>
          <w:spacing w:val="-18"/>
        </w:rPr>
        <w:t> </w:t>
      </w:r>
      <w:r>
        <w:rPr/>
        <w:t>today.</w:t>
      </w:r>
    </w:p>
    <w:p>
      <w:pPr>
        <w:pStyle w:val="BodyText"/>
        <w:rPr>
          <w:sz w:val="28"/>
        </w:rPr>
      </w:pPr>
    </w:p>
    <w:p>
      <w:pPr>
        <w:pStyle w:val="BodyText"/>
        <w:ind w:left="226"/>
      </w:pPr>
      <w:r>
        <w:rPr/>
        <w:t>This performance underscores several structural features necessary to escape a debt trap.</w:t>
      </w:r>
    </w:p>
    <w:p>
      <w:pPr>
        <w:pStyle w:val="BodyText"/>
        <w:rPr>
          <w:sz w:val="20"/>
        </w:rPr>
      </w:pPr>
    </w:p>
    <w:p>
      <w:pPr>
        <w:pStyle w:val="BodyText"/>
        <w:spacing w:before="4"/>
        <w:rPr>
          <w:sz w:val="17"/>
        </w:rPr>
      </w:pPr>
    </w:p>
    <w:p>
      <w:pPr>
        <w:pStyle w:val="BodyText"/>
        <w:spacing w:line="357" w:lineRule="auto"/>
        <w:ind w:left="226" w:right="197"/>
      </w:pPr>
      <w:r>
        <w:rPr/>
        <w:t>The first is an </w:t>
      </w:r>
      <w:r>
        <w:rPr>
          <w:b/>
        </w:rPr>
        <w:t>integrated financial system </w:t>
      </w:r>
      <w:r>
        <w:rPr/>
        <w:t>which channels savings from one part of the economy to investment in others. Since the near collapse of the UK banking system, bold steps have since been taken to shore up its resilience. £140 billion of new bank capital has been raised in recent years, and banks’ performance in the recent UK stress test suggest growing confidence in the resilience of the system is merited.</w:t>
      </w:r>
      <w:r>
        <w:rPr>
          <w:vertAlign w:val="superscript"/>
        </w:rPr>
        <w:t>9</w:t>
      </w:r>
    </w:p>
    <w:p>
      <w:pPr>
        <w:pStyle w:val="BodyText"/>
        <w:spacing w:before="9"/>
        <w:rPr>
          <w:sz w:val="27"/>
        </w:rPr>
      </w:pPr>
    </w:p>
    <w:p>
      <w:pPr>
        <w:spacing w:before="0"/>
        <w:ind w:left="226" w:right="0" w:firstLine="0"/>
        <w:jc w:val="left"/>
        <w:rPr>
          <w:b/>
          <w:sz w:val="19"/>
        </w:rPr>
      </w:pPr>
      <w:r>
        <w:rPr>
          <w:sz w:val="19"/>
        </w:rPr>
        <w:t>Second, the UK’s </w:t>
      </w:r>
      <w:r>
        <w:rPr>
          <w:b/>
          <w:sz w:val="19"/>
        </w:rPr>
        <w:t>fiscal policy framework helps insure against severe systemic shocks</w:t>
      </w:r>
    </w:p>
    <w:p>
      <w:pPr>
        <w:pStyle w:val="BodyText"/>
        <w:rPr>
          <w:b/>
          <w:sz w:val="20"/>
        </w:rPr>
      </w:pPr>
    </w:p>
    <w:p>
      <w:pPr>
        <w:pStyle w:val="BodyText"/>
        <w:spacing w:before="6"/>
        <w:rPr>
          <w:b/>
          <w:sz w:val="17"/>
        </w:rPr>
      </w:pPr>
    </w:p>
    <w:p>
      <w:pPr>
        <w:pStyle w:val="BodyText"/>
        <w:spacing w:line="355" w:lineRule="auto" w:before="1"/>
        <w:ind w:left="226" w:right="123"/>
      </w:pPr>
      <w:r>
        <w:rPr/>
        <w:t>The UK had the space to allow its automatic stabilisers to cushion the impact of the recession. With the deficit rising to a peak of more than 10% of GDP before steadily consolidating, fiscal policy effectively recycled</w:t>
      </w:r>
      <w:r>
        <w:rPr>
          <w:spacing w:val="-8"/>
        </w:rPr>
        <w:t> </w:t>
      </w:r>
      <w:r>
        <w:rPr/>
        <w:t>elevated</w:t>
      </w:r>
      <w:r>
        <w:rPr>
          <w:spacing w:val="-8"/>
        </w:rPr>
        <w:t> </w:t>
      </w:r>
      <w:r>
        <w:rPr/>
        <w:t>private</w:t>
      </w:r>
      <w:r>
        <w:rPr>
          <w:spacing w:val="-7"/>
        </w:rPr>
        <w:t> </w:t>
      </w:r>
      <w:r>
        <w:rPr/>
        <w:t>savings</w:t>
      </w:r>
      <w:r>
        <w:rPr>
          <w:spacing w:val="-7"/>
        </w:rPr>
        <w:t> </w:t>
      </w:r>
      <w:r>
        <w:rPr/>
        <w:t>and</w:t>
      </w:r>
      <w:r>
        <w:rPr>
          <w:spacing w:val="-7"/>
        </w:rPr>
        <w:t> </w:t>
      </w:r>
      <w:r>
        <w:rPr/>
        <w:t>built</w:t>
      </w:r>
      <w:r>
        <w:rPr>
          <w:spacing w:val="-7"/>
        </w:rPr>
        <w:t> </w:t>
      </w:r>
      <w:r>
        <w:rPr/>
        <w:t>a</w:t>
      </w:r>
      <w:r>
        <w:rPr>
          <w:spacing w:val="-7"/>
        </w:rPr>
        <w:t> </w:t>
      </w:r>
      <w:r>
        <w:rPr/>
        <w:t>bridge</w:t>
      </w:r>
      <w:r>
        <w:rPr>
          <w:spacing w:val="-8"/>
        </w:rPr>
        <w:t> </w:t>
      </w:r>
      <w:r>
        <w:rPr/>
        <w:t>to</w:t>
      </w:r>
      <w:r>
        <w:rPr>
          <w:spacing w:val="-7"/>
        </w:rPr>
        <w:t> </w:t>
      </w:r>
      <w:r>
        <w:rPr/>
        <w:t>the</w:t>
      </w:r>
      <w:r>
        <w:rPr>
          <w:spacing w:val="-9"/>
        </w:rPr>
        <w:t> </w:t>
      </w:r>
      <w:r>
        <w:rPr/>
        <w:t>period</w:t>
      </w:r>
      <w:r>
        <w:rPr>
          <w:spacing w:val="-6"/>
        </w:rPr>
        <w:t> </w:t>
      </w:r>
      <w:r>
        <w:rPr/>
        <w:t>when</w:t>
      </w:r>
      <w:r>
        <w:rPr>
          <w:spacing w:val="-7"/>
        </w:rPr>
        <w:t> </w:t>
      </w:r>
      <w:r>
        <w:rPr/>
        <w:t>private</w:t>
      </w:r>
      <w:r>
        <w:rPr>
          <w:spacing w:val="-8"/>
        </w:rPr>
        <w:t> </w:t>
      </w:r>
      <w:r>
        <w:rPr/>
        <w:t>balance</w:t>
      </w:r>
      <w:r>
        <w:rPr>
          <w:spacing w:val="-7"/>
        </w:rPr>
        <w:t> </w:t>
      </w:r>
      <w:r>
        <w:rPr/>
        <w:t>sheets</w:t>
      </w:r>
      <w:r>
        <w:rPr>
          <w:spacing w:val="-7"/>
        </w:rPr>
        <w:t> </w:t>
      </w:r>
      <w:r>
        <w:rPr/>
        <w:t>were</w:t>
      </w:r>
      <w:r>
        <w:rPr>
          <w:spacing w:val="-9"/>
        </w:rPr>
        <w:t> </w:t>
      </w:r>
      <w:r>
        <w:rPr/>
        <w:t>repaired and confidence</w:t>
      </w:r>
      <w:r>
        <w:rPr>
          <w:spacing w:val="-4"/>
        </w:rPr>
        <w:t> </w:t>
      </w:r>
      <w:r>
        <w:rPr/>
        <w:t>returned.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r>
        <w:rPr/>
        <w:pict>
          <v:shape style="position:absolute;margin-left:79.320pt;margin-top:18.532656pt;width:453.5pt;height:.1pt;mso-position-horizontal-relative:page;mso-position-vertical-relative:paragraph;z-index:-251654144;mso-wrap-distance-left:0;mso-wrap-distance-right:0" coordorigin="1586,371" coordsize="9070,0" path="m1586,371l10656,371e" filled="false" stroked="true" strokeweight=".42pt" strokecolor="#000000">
            <v:path arrowok="t"/>
            <v:stroke dashstyle="solid"/>
            <w10:wrap type="topAndBottom"/>
          </v:shape>
        </w:pict>
      </w:r>
    </w:p>
    <w:p>
      <w:pPr>
        <w:spacing w:before="27"/>
        <w:ind w:left="226" w:right="197" w:firstLine="0"/>
        <w:jc w:val="left"/>
        <w:rPr>
          <w:sz w:val="15"/>
        </w:rPr>
      </w:pPr>
      <w:r>
        <w:rPr>
          <w:position w:val="8"/>
          <w:sz w:val="9"/>
        </w:rPr>
        <w:t>6 </w:t>
      </w:r>
      <w:r>
        <w:rPr>
          <w:sz w:val="15"/>
        </w:rPr>
        <w:t>The non-financial corporate sector was a net saver in Germany, Ireland, Spain, Greece and the UK at end 2013, based on Eurostat data (ESA 95 basis).</w:t>
      </w:r>
    </w:p>
    <w:p>
      <w:pPr>
        <w:spacing w:line="174" w:lineRule="exact" w:before="3"/>
        <w:ind w:left="226" w:right="123" w:firstLine="0"/>
        <w:jc w:val="left"/>
        <w:rPr>
          <w:sz w:val="15"/>
        </w:rPr>
      </w:pPr>
      <w:r>
        <w:rPr>
          <w:position w:val="8"/>
          <w:sz w:val="9"/>
        </w:rPr>
        <w:t>7 </w:t>
      </w:r>
      <w:r>
        <w:rPr>
          <w:sz w:val="15"/>
        </w:rPr>
        <w:t>The ‘equilibrium’ rate of interest is that which equates demand with potential output, thereby delivering inflation at target in the absence of ‘cost-push’ shocks.</w:t>
      </w:r>
    </w:p>
    <w:p>
      <w:pPr>
        <w:spacing w:line="170" w:lineRule="exact" w:before="0"/>
        <w:ind w:left="226" w:right="0" w:firstLine="0"/>
        <w:jc w:val="left"/>
        <w:rPr>
          <w:sz w:val="15"/>
        </w:rPr>
      </w:pPr>
      <w:r>
        <w:rPr>
          <w:position w:val="8"/>
          <w:sz w:val="9"/>
        </w:rPr>
        <w:t>8 </w:t>
      </w:r>
      <w:r>
        <w:rPr>
          <w:sz w:val="15"/>
        </w:rPr>
        <w:t>As my colleague Ben Broadbent recently said, central banks aren’t the cause of low interest rates, but rather are actors reading a</w:t>
      </w:r>
    </w:p>
    <w:p>
      <w:pPr>
        <w:spacing w:before="0"/>
        <w:ind w:left="226" w:right="0" w:firstLine="0"/>
        <w:jc w:val="left"/>
        <w:rPr>
          <w:sz w:val="15"/>
        </w:rPr>
      </w:pPr>
      <w:r>
        <w:rPr>
          <w:sz w:val="15"/>
        </w:rPr>
        <w:t>script written by others, Broadbent, B (2014), “Monetary policy, asset prices, and distribution”, speech at the Society of Business Economists Annual Conference.</w:t>
      </w:r>
    </w:p>
    <w:p>
      <w:pPr>
        <w:spacing w:line="174" w:lineRule="exact" w:before="0"/>
        <w:ind w:left="226" w:right="0" w:firstLine="0"/>
        <w:jc w:val="left"/>
        <w:rPr>
          <w:sz w:val="15"/>
        </w:rPr>
      </w:pPr>
      <w:r>
        <w:rPr>
          <w:rFonts w:ascii="Calibri"/>
          <w:position w:val="8"/>
          <w:sz w:val="9"/>
        </w:rPr>
        <w:t>9 </w:t>
      </w:r>
      <w:r>
        <w:rPr>
          <w:sz w:val="15"/>
        </w:rPr>
        <w:t>With other reforms to further the fairness and effectiveness of market-based finance, and major steps taken towards end</w:t>
      </w:r>
    </w:p>
    <w:p>
      <w:pPr>
        <w:spacing w:before="11"/>
        <w:ind w:left="226" w:right="0" w:firstLine="0"/>
        <w:jc w:val="left"/>
        <w:rPr>
          <w:sz w:val="15"/>
        </w:rPr>
      </w:pPr>
      <w:r>
        <w:rPr>
          <w:sz w:val="15"/>
        </w:rPr>
        <w:t>Too-Big-To-Fail, the UK is also on track to ensure greater risk-sharing between its creditors and debtors.</w:t>
      </w:r>
    </w:p>
    <w:p>
      <w:pPr>
        <w:spacing w:after="0"/>
        <w:jc w:val="left"/>
        <w:rPr>
          <w:sz w:val="15"/>
        </w:rPr>
        <w:sectPr>
          <w:footerReference w:type="default" r:id="rId10"/>
          <w:pgSz w:w="12240" w:h="15840"/>
          <w:pgMar w:footer="1240" w:header="0" w:top="1440" w:bottom="1440" w:left="1360" w:right="1480"/>
        </w:sectPr>
      </w:pPr>
    </w:p>
    <w:p>
      <w:pPr>
        <w:pStyle w:val="BodyText"/>
        <w:spacing w:line="357" w:lineRule="auto" w:before="80"/>
        <w:ind w:left="226"/>
      </w:pPr>
      <w:r>
        <w:rPr/>
        <w:t>Fiscal</w:t>
      </w:r>
      <w:r>
        <w:rPr>
          <w:spacing w:val="-9"/>
        </w:rPr>
        <w:t> </w:t>
      </w:r>
      <w:r>
        <w:rPr/>
        <w:t>stabilisers</w:t>
      </w:r>
      <w:r>
        <w:rPr>
          <w:spacing w:val="-8"/>
        </w:rPr>
        <w:t> </w:t>
      </w:r>
      <w:r>
        <w:rPr/>
        <w:t>also</w:t>
      </w:r>
      <w:r>
        <w:rPr>
          <w:spacing w:val="-10"/>
        </w:rPr>
        <w:t> </w:t>
      </w:r>
      <w:r>
        <w:rPr/>
        <w:t>play</w:t>
      </w:r>
      <w:r>
        <w:rPr>
          <w:spacing w:val="-9"/>
        </w:rPr>
        <w:t> </w:t>
      </w:r>
      <w:r>
        <w:rPr/>
        <w:t>an</w:t>
      </w:r>
      <w:r>
        <w:rPr>
          <w:spacing w:val="-9"/>
        </w:rPr>
        <w:t> </w:t>
      </w:r>
      <w:r>
        <w:rPr/>
        <w:t>important</w:t>
      </w:r>
      <w:r>
        <w:rPr>
          <w:spacing w:val="-8"/>
        </w:rPr>
        <w:t> </w:t>
      </w:r>
      <w:r>
        <w:rPr/>
        <w:t>role</w:t>
      </w:r>
      <w:r>
        <w:rPr>
          <w:spacing w:val="-9"/>
        </w:rPr>
        <w:t> </w:t>
      </w:r>
      <w:r>
        <w:rPr/>
        <w:t>in</w:t>
      </w:r>
      <w:r>
        <w:rPr>
          <w:spacing w:val="-9"/>
        </w:rPr>
        <w:t> </w:t>
      </w:r>
      <w:r>
        <w:rPr/>
        <w:t>sharing</w:t>
      </w:r>
      <w:r>
        <w:rPr>
          <w:spacing w:val="-9"/>
        </w:rPr>
        <w:t> </w:t>
      </w:r>
      <w:r>
        <w:rPr/>
        <w:t>risks</w:t>
      </w:r>
      <w:r>
        <w:rPr>
          <w:spacing w:val="-10"/>
        </w:rPr>
        <w:t> </w:t>
      </w:r>
      <w:r>
        <w:rPr/>
        <w:t>across</w:t>
      </w:r>
      <w:r>
        <w:rPr>
          <w:spacing w:val="-9"/>
        </w:rPr>
        <w:t> </w:t>
      </w:r>
      <w:r>
        <w:rPr/>
        <w:t>individuals,</w:t>
      </w:r>
      <w:r>
        <w:rPr>
          <w:spacing w:val="-8"/>
        </w:rPr>
        <w:t> </w:t>
      </w:r>
      <w:r>
        <w:rPr/>
        <w:t>sectors</w:t>
      </w:r>
      <w:r>
        <w:rPr>
          <w:spacing w:val="-9"/>
        </w:rPr>
        <w:t> </w:t>
      </w:r>
      <w:r>
        <w:rPr/>
        <w:t>and</w:t>
      </w:r>
      <w:r>
        <w:rPr>
          <w:spacing w:val="-9"/>
        </w:rPr>
        <w:t> </w:t>
      </w:r>
      <w:r>
        <w:rPr/>
        <w:t>regions,</w:t>
      </w:r>
      <w:r>
        <w:rPr>
          <w:spacing w:val="-10"/>
        </w:rPr>
        <w:t> </w:t>
      </w:r>
      <w:r>
        <w:rPr/>
        <w:t>thereby reinforcing the resilience of the UK’s currency</w:t>
      </w:r>
      <w:r>
        <w:rPr>
          <w:spacing w:val="-12"/>
        </w:rPr>
        <w:t> </w:t>
      </w:r>
      <w:r>
        <w:rPr/>
        <w:t>union.</w:t>
      </w:r>
      <w:r>
        <w:rPr>
          <w:vertAlign w:val="superscript"/>
        </w:rPr>
        <w:t>10</w:t>
      </w:r>
    </w:p>
    <w:p>
      <w:pPr>
        <w:pStyle w:val="BodyText"/>
        <w:spacing w:before="1"/>
        <w:rPr>
          <w:sz w:val="28"/>
        </w:rPr>
      </w:pPr>
    </w:p>
    <w:p>
      <w:pPr>
        <w:pStyle w:val="BodyText"/>
        <w:spacing w:line="355" w:lineRule="auto"/>
        <w:ind w:left="226" w:right="197"/>
      </w:pPr>
      <w:r>
        <w:rPr/>
        <w:t>A powerful demonstration of this comes with the recent sharp fall in global oil prices. Because this risk is shared</w:t>
      </w:r>
      <w:r>
        <w:rPr>
          <w:spacing w:val="-7"/>
        </w:rPr>
        <w:t> </w:t>
      </w:r>
      <w:r>
        <w:rPr/>
        <w:t>across</w:t>
      </w:r>
      <w:r>
        <w:rPr>
          <w:spacing w:val="-7"/>
        </w:rPr>
        <w:t> </w:t>
      </w:r>
      <w:r>
        <w:rPr/>
        <w:t>the</w:t>
      </w:r>
      <w:r>
        <w:rPr>
          <w:spacing w:val="-7"/>
        </w:rPr>
        <w:t> </w:t>
      </w:r>
      <w:r>
        <w:rPr/>
        <w:t>entire</w:t>
      </w:r>
      <w:r>
        <w:rPr>
          <w:spacing w:val="-7"/>
        </w:rPr>
        <w:t> </w:t>
      </w:r>
      <w:r>
        <w:rPr/>
        <w:t>UK</w:t>
      </w:r>
      <w:r>
        <w:rPr>
          <w:spacing w:val="-6"/>
        </w:rPr>
        <w:t> </w:t>
      </w:r>
      <w:r>
        <w:rPr/>
        <w:t>(which</w:t>
      </w:r>
      <w:r>
        <w:rPr>
          <w:spacing w:val="-7"/>
        </w:rPr>
        <w:t> </w:t>
      </w:r>
      <w:r>
        <w:rPr/>
        <w:t>on</w:t>
      </w:r>
      <w:r>
        <w:rPr>
          <w:spacing w:val="-7"/>
        </w:rPr>
        <w:t> </w:t>
      </w:r>
      <w:r>
        <w:rPr/>
        <w:t>the</w:t>
      </w:r>
      <w:r>
        <w:rPr>
          <w:spacing w:val="-5"/>
        </w:rPr>
        <w:t> </w:t>
      </w:r>
      <w:r>
        <w:rPr/>
        <w:t>whole</w:t>
      </w:r>
      <w:r>
        <w:rPr>
          <w:spacing w:val="-8"/>
        </w:rPr>
        <w:t> </w:t>
      </w:r>
      <w:r>
        <w:rPr/>
        <w:t>is</w:t>
      </w:r>
      <w:r>
        <w:rPr>
          <w:spacing w:val="-6"/>
        </w:rPr>
        <w:t> </w:t>
      </w:r>
      <w:r>
        <w:rPr/>
        <w:t>a</w:t>
      </w:r>
      <w:r>
        <w:rPr>
          <w:spacing w:val="-8"/>
        </w:rPr>
        <w:t> </w:t>
      </w:r>
      <w:r>
        <w:rPr/>
        <w:t>net</w:t>
      </w:r>
      <w:r>
        <w:rPr>
          <w:spacing w:val="-5"/>
        </w:rPr>
        <w:t> </w:t>
      </w:r>
      <w:r>
        <w:rPr/>
        <w:t>beneficiary</w:t>
      </w:r>
      <w:r>
        <w:rPr>
          <w:spacing w:val="-7"/>
        </w:rPr>
        <w:t> </w:t>
      </w:r>
      <w:r>
        <w:rPr/>
        <w:t>of</w:t>
      </w:r>
      <w:r>
        <w:rPr>
          <w:spacing w:val="-7"/>
        </w:rPr>
        <w:t> </w:t>
      </w:r>
      <w:r>
        <w:rPr/>
        <w:t>lower</w:t>
      </w:r>
      <w:r>
        <w:rPr>
          <w:spacing w:val="-7"/>
        </w:rPr>
        <w:t> </w:t>
      </w:r>
      <w:r>
        <w:rPr/>
        <w:t>oil</w:t>
      </w:r>
      <w:r>
        <w:rPr>
          <w:spacing w:val="-5"/>
        </w:rPr>
        <w:t> </w:t>
      </w:r>
      <w:r>
        <w:rPr/>
        <w:t>prices),</w:t>
      </w:r>
      <w:r>
        <w:rPr>
          <w:spacing w:val="-7"/>
        </w:rPr>
        <w:t> </w:t>
      </w:r>
      <w:r>
        <w:rPr/>
        <w:t>the</w:t>
      </w:r>
      <w:r>
        <w:rPr>
          <w:spacing w:val="-7"/>
        </w:rPr>
        <w:t> </w:t>
      </w:r>
      <w:r>
        <w:rPr/>
        <w:t>net</w:t>
      </w:r>
      <w:r>
        <w:rPr>
          <w:spacing w:val="-7"/>
        </w:rPr>
        <w:t> </w:t>
      </w:r>
      <w:r>
        <w:rPr/>
        <w:t>impact</w:t>
      </w:r>
      <w:r>
        <w:rPr>
          <w:spacing w:val="-6"/>
        </w:rPr>
        <w:t> </w:t>
      </w:r>
      <w:r>
        <w:rPr/>
        <w:t>on the</w:t>
      </w:r>
      <w:r>
        <w:rPr>
          <w:spacing w:val="-6"/>
        </w:rPr>
        <w:t> </w:t>
      </w:r>
      <w:r>
        <w:rPr/>
        <w:t>Scottish</w:t>
      </w:r>
      <w:r>
        <w:rPr>
          <w:spacing w:val="-6"/>
        </w:rPr>
        <w:t> </w:t>
      </w:r>
      <w:r>
        <w:rPr/>
        <w:t>public</w:t>
      </w:r>
      <w:r>
        <w:rPr>
          <w:spacing w:val="-5"/>
        </w:rPr>
        <w:t> </w:t>
      </w:r>
      <w:r>
        <w:rPr/>
        <w:t>finances</w:t>
      </w:r>
      <w:r>
        <w:rPr>
          <w:spacing w:val="-4"/>
        </w:rPr>
        <w:t> </w:t>
      </w:r>
      <w:r>
        <w:rPr/>
        <w:t>is</w:t>
      </w:r>
      <w:r>
        <w:rPr>
          <w:spacing w:val="-6"/>
        </w:rPr>
        <w:t> </w:t>
      </w:r>
      <w:r>
        <w:rPr/>
        <w:t>a</w:t>
      </w:r>
      <w:r>
        <w:rPr>
          <w:spacing w:val="-5"/>
        </w:rPr>
        <w:t> </w:t>
      </w:r>
      <w:r>
        <w:rPr/>
        <w:t>mere</w:t>
      </w:r>
      <w:r>
        <w:rPr>
          <w:spacing w:val="-6"/>
        </w:rPr>
        <w:t> </w:t>
      </w:r>
      <w:r>
        <w:rPr>
          <w:i/>
        </w:rPr>
        <w:t>one</w:t>
      </w:r>
      <w:r>
        <w:rPr>
          <w:i/>
          <w:spacing w:val="-7"/>
        </w:rPr>
        <w:t> </w:t>
      </w:r>
      <w:r>
        <w:rPr>
          <w:i/>
        </w:rPr>
        <w:t>tenth</w:t>
      </w:r>
      <w:r>
        <w:rPr>
          <w:i/>
          <w:spacing w:val="-6"/>
        </w:rPr>
        <w:t> </w:t>
      </w:r>
      <w:r>
        <w:rPr/>
        <w:t>of</w:t>
      </w:r>
      <w:r>
        <w:rPr>
          <w:spacing w:val="-3"/>
        </w:rPr>
        <w:t> </w:t>
      </w:r>
      <w:r>
        <w:rPr/>
        <w:t>what</w:t>
      </w:r>
      <w:r>
        <w:rPr>
          <w:spacing w:val="-6"/>
        </w:rPr>
        <w:t> </w:t>
      </w:r>
      <w:r>
        <w:rPr/>
        <w:t>it</w:t>
      </w:r>
      <w:r>
        <w:rPr>
          <w:spacing w:val="-6"/>
        </w:rPr>
        <w:t> </w:t>
      </w:r>
      <w:r>
        <w:rPr/>
        <w:t>would</w:t>
      </w:r>
      <w:r>
        <w:rPr>
          <w:spacing w:val="-6"/>
        </w:rPr>
        <w:t> </w:t>
      </w:r>
      <w:r>
        <w:rPr/>
        <w:t>have</w:t>
      </w:r>
      <w:r>
        <w:rPr>
          <w:spacing w:val="-6"/>
        </w:rPr>
        <w:t> </w:t>
      </w:r>
      <w:r>
        <w:rPr/>
        <w:t>been</w:t>
      </w:r>
      <w:r>
        <w:rPr>
          <w:spacing w:val="-6"/>
        </w:rPr>
        <w:t> </w:t>
      </w:r>
      <w:r>
        <w:rPr/>
        <w:t>if</w:t>
      </w:r>
      <w:r>
        <w:rPr>
          <w:spacing w:val="-6"/>
        </w:rPr>
        <w:t> </w:t>
      </w:r>
      <w:r>
        <w:rPr/>
        <w:t>there</w:t>
      </w:r>
      <w:r>
        <w:rPr>
          <w:spacing w:val="-6"/>
        </w:rPr>
        <w:t> </w:t>
      </w:r>
      <w:r>
        <w:rPr/>
        <w:t>were</w:t>
      </w:r>
      <w:r>
        <w:rPr>
          <w:spacing w:val="-6"/>
        </w:rPr>
        <w:t> </w:t>
      </w:r>
      <w:r>
        <w:rPr/>
        <w:t>no</w:t>
      </w:r>
      <w:r>
        <w:rPr>
          <w:spacing w:val="-6"/>
        </w:rPr>
        <w:t> </w:t>
      </w:r>
      <w:r>
        <w:rPr/>
        <w:t>risk</w:t>
      </w:r>
      <w:r>
        <w:rPr>
          <w:spacing w:val="-6"/>
        </w:rPr>
        <w:t> </w:t>
      </w:r>
      <w:r>
        <w:rPr/>
        <w:t>sharing.</w:t>
      </w:r>
      <w:r>
        <w:rPr>
          <w:vertAlign w:val="superscript"/>
        </w:rPr>
        <w:t>11</w:t>
      </w:r>
      <w:r>
        <w:rPr>
          <w:vertAlign w:val="baseline"/>
        </w:rPr>
        <w:t> There</w:t>
      </w:r>
      <w:r>
        <w:rPr>
          <w:spacing w:val="-6"/>
          <w:vertAlign w:val="baseline"/>
        </w:rPr>
        <w:t> </w:t>
      </w:r>
      <w:r>
        <w:rPr>
          <w:vertAlign w:val="baseline"/>
        </w:rPr>
        <w:t>are</w:t>
      </w:r>
      <w:r>
        <w:rPr>
          <w:spacing w:val="-6"/>
          <w:vertAlign w:val="baseline"/>
        </w:rPr>
        <w:t> </w:t>
      </w:r>
      <w:r>
        <w:rPr>
          <w:vertAlign w:val="baseline"/>
        </w:rPr>
        <w:t>few</w:t>
      </w:r>
      <w:r>
        <w:rPr>
          <w:spacing w:val="-5"/>
          <w:vertAlign w:val="baseline"/>
        </w:rPr>
        <w:t> </w:t>
      </w:r>
      <w:r>
        <w:rPr>
          <w:vertAlign w:val="baseline"/>
        </w:rPr>
        <w:t>clearer</w:t>
      </w:r>
      <w:r>
        <w:rPr>
          <w:spacing w:val="-6"/>
          <w:vertAlign w:val="baseline"/>
        </w:rPr>
        <w:t> </w:t>
      </w:r>
      <w:r>
        <w:rPr>
          <w:vertAlign w:val="baseline"/>
        </w:rPr>
        <w:t>illustrations</w:t>
      </w:r>
      <w:r>
        <w:rPr>
          <w:spacing w:val="-3"/>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benefits</w:t>
      </w:r>
      <w:r>
        <w:rPr>
          <w:spacing w:val="-5"/>
          <w:vertAlign w:val="baseline"/>
        </w:rPr>
        <w:t> </w:t>
      </w:r>
      <w:r>
        <w:rPr>
          <w:vertAlign w:val="baseline"/>
        </w:rPr>
        <w:t>of</w:t>
      </w:r>
      <w:r>
        <w:rPr>
          <w:spacing w:val="-5"/>
          <w:vertAlign w:val="baseline"/>
        </w:rPr>
        <w:t> </w:t>
      </w:r>
      <w:r>
        <w:rPr>
          <w:vertAlign w:val="baseline"/>
        </w:rPr>
        <w:t>sound</w:t>
      </w:r>
      <w:r>
        <w:rPr>
          <w:spacing w:val="-6"/>
          <w:vertAlign w:val="baseline"/>
        </w:rPr>
        <w:t> </w:t>
      </w:r>
      <w:r>
        <w:rPr>
          <w:vertAlign w:val="baseline"/>
        </w:rPr>
        <w:t>fiscal</w:t>
      </w:r>
      <w:r>
        <w:rPr>
          <w:spacing w:val="-6"/>
          <w:vertAlign w:val="baseline"/>
        </w:rPr>
        <w:t> </w:t>
      </w:r>
      <w:r>
        <w:rPr>
          <w:vertAlign w:val="baseline"/>
        </w:rPr>
        <w:t>arrangements</w:t>
      </w:r>
      <w:r>
        <w:rPr>
          <w:spacing w:val="-3"/>
          <w:vertAlign w:val="baseline"/>
        </w:rPr>
        <w:t> </w:t>
      </w:r>
      <w:r>
        <w:rPr>
          <w:vertAlign w:val="baseline"/>
        </w:rPr>
        <w:t>in</w:t>
      </w:r>
      <w:r>
        <w:rPr>
          <w:spacing w:val="-6"/>
          <w:vertAlign w:val="baseline"/>
        </w:rPr>
        <w:t> </w:t>
      </w:r>
      <w:r>
        <w:rPr>
          <w:vertAlign w:val="baseline"/>
        </w:rPr>
        <w:t>a</w:t>
      </w:r>
      <w:r>
        <w:rPr>
          <w:spacing w:val="-5"/>
          <w:vertAlign w:val="baseline"/>
        </w:rPr>
        <w:t> </w:t>
      </w:r>
      <w:r>
        <w:rPr>
          <w:vertAlign w:val="baseline"/>
        </w:rPr>
        <w:t>currency</w:t>
      </w:r>
      <w:r>
        <w:rPr>
          <w:spacing w:val="-6"/>
          <w:vertAlign w:val="baseline"/>
        </w:rPr>
        <w:t> </w:t>
      </w:r>
      <w:r>
        <w:rPr>
          <w:vertAlign w:val="baseline"/>
        </w:rPr>
        <w:t>union.</w:t>
      </w:r>
    </w:p>
    <w:p>
      <w:pPr>
        <w:pStyle w:val="BodyText"/>
        <w:spacing w:before="5"/>
        <w:rPr>
          <w:sz w:val="28"/>
        </w:rPr>
      </w:pPr>
    </w:p>
    <w:p>
      <w:pPr>
        <w:spacing w:before="1"/>
        <w:ind w:left="226" w:right="0" w:firstLine="0"/>
        <w:jc w:val="left"/>
        <w:rPr>
          <w:b/>
          <w:sz w:val="19"/>
        </w:rPr>
      </w:pPr>
      <w:r>
        <w:rPr>
          <w:sz w:val="19"/>
        </w:rPr>
        <w:t>Third, the UK economy is </w:t>
      </w:r>
      <w:r>
        <w:rPr>
          <w:b/>
          <w:sz w:val="19"/>
        </w:rPr>
        <w:t>open and flexible.</w:t>
      </w:r>
    </w:p>
    <w:p>
      <w:pPr>
        <w:pStyle w:val="BodyText"/>
        <w:rPr>
          <w:b/>
          <w:sz w:val="20"/>
        </w:rPr>
      </w:pPr>
    </w:p>
    <w:p>
      <w:pPr>
        <w:pStyle w:val="BodyText"/>
        <w:spacing w:before="6"/>
        <w:rPr>
          <w:b/>
          <w:sz w:val="17"/>
        </w:rPr>
      </w:pPr>
    </w:p>
    <w:p>
      <w:pPr>
        <w:pStyle w:val="BodyText"/>
        <w:spacing w:line="357" w:lineRule="auto"/>
        <w:ind w:left="226"/>
      </w:pPr>
      <w:r>
        <w:rPr/>
        <w:t>With</w:t>
      </w:r>
      <w:r>
        <w:rPr>
          <w:spacing w:val="-7"/>
        </w:rPr>
        <w:t> </w:t>
      </w:r>
      <w:r>
        <w:rPr/>
        <w:t>a</w:t>
      </w:r>
      <w:r>
        <w:rPr>
          <w:spacing w:val="-8"/>
        </w:rPr>
        <w:t> </w:t>
      </w:r>
      <w:r>
        <w:rPr/>
        <w:t>high</w:t>
      </w:r>
      <w:r>
        <w:rPr>
          <w:spacing w:val="-7"/>
        </w:rPr>
        <w:t> </w:t>
      </w:r>
      <w:r>
        <w:rPr/>
        <w:t>degree</w:t>
      </w:r>
      <w:r>
        <w:rPr>
          <w:spacing w:val="-7"/>
        </w:rPr>
        <w:t> </w:t>
      </w:r>
      <w:r>
        <w:rPr/>
        <w:t>of</w:t>
      </w:r>
      <w:r>
        <w:rPr>
          <w:spacing w:val="-6"/>
        </w:rPr>
        <w:t> </w:t>
      </w:r>
      <w:r>
        <w:rPr/>
        <w:t>openness</w:t>
      </w:r>
      <w:r>
        <w:rPr>
          <w:spacing w:val="-6"/>
        </w:rPr>
        <w:t> </w:t>
      </w:r>
      <w:r>
        <w:rPr/>
        <w:t>–</w:t>
      </w:r>
      <w:r>
        <w:rPr>
          <w:spacing w:val="-7"/>
        </w:rPr>
        <w:t> </w:t>
      </w:r>
      <w:r>
        <w:rPr/>
        <w:t>its</w:t>
      </w:r>
      <w:r>
        <w:rPr>
          <w:spacing w:val="-7"/>
        </w:rPr>
        <w:t> </w:t>
      </w:r>
      <w:r>
        <w:rPr/>
        <w:t>imports</w:t>
      </w:r>
      <w:r>
        <w:rPr>
          <w:spacing w:val="-6"/>
        </w:rPr>
        <w:t> </w:t>
      </w:r>
      <w:r>
        <w:rPr/>
        <w:t>and</w:t>
      </w:r>
      <w:r>
        <w:rPr>
          <w:spacing w:val="-7"/>
        </w:rPr>
        <w:t> </w:t>
      </w:r>
      <w:r>
        <w:rPr/>
        <w:t>exports</w:t>
      </w:r>
      <w:r>
        <w:rPr>
          <w:spacing w:val="-7"/>
        </w:rPr>
        <w:t> </w:t>
      </w:r>
      <w:r>
        <w:rPr/>
        <w:t>summing</w:t>
      </w:r>
      <w:r>
        <w:rPr>
          <w:spacing w:val="-6"/>
        </w:rPr>
        <w:t> </w:t>
      </w:r>
      <w:r>
        <w:rPr/>
        <w:t>to</w:t>
      </w:r>
      <w:r>
        <w:rPr>
          <w:spacing w:val="-7"/>
        </w:rPr>
        <w:t> </w:t>
      </w:r>
      <w:r>
        <w:rPr/>
        <w:t>60%</w:t>
      </w:r>
      <w:r>
        <w:rPr>
          <w:spacing w:val="-7"/>
        </w:rPr>
        <w:t> </w:t>
      </w:r>
      <w:r>
        <w:rPr/>
        <w:t>of</w:t>
      </w:r>
      <w:r>
        <w:rPr>
          <w:spacing w:val="-6"/>
        </w:rPr>
        <w:t> </w:t>
      </w:r>
      <w:r>
        <w:rPr/>
        <w:t>GDP</w:t>
      </w:r>
      <w:r>
        <w:rPr>
          <w:spacing w:val="-6"/>
        </w:rPr>
        <w:t> </w:t>
      </w:r>
      <w:r>
        <w:rPr/>
        <w:t>–</w:t>
      </w:r>
      <w:r>
        <w:rPr>
          <w:spacing w:val="-8"/>
        </w:rPr>
        <w:t> </w:t>
      </w:r>
      <w:r>
        <w:rPr/>
        <w:t>and</w:t>
      </w:r>
      <w:r>
        <w:rPr>
          <w:spacing w:val="-8"/>
        </w:rPr>
        <w:t> </w:t>
      </w:r>
      <w:r>
        <w:rPr/>
        <w:t>a</w:t>
      </w:r>
      <w:r>
        <w:rPr>
          <w:spacing w:val="-7"/>
        </w:rPr>
        <w:t> </w:t>
      </w:r>
      <w:r>
        <w:rPr/>
        <w:t>flexible</w:t>
      </w:r>
      <w:r>
        <w:rPr>
          <w:spacing w:val="-7"/>
        </w:rPr>
        <w:t> </w:t>
      </w:r>
      <w:r>
        <w:rPr/>
        <w:t>exchange rate, the UK has a safety valve that can be used to recycle surplus savings to the rest of the world without driving down domestic demand, wages and</w:t>
      </w:r>
      <w:r>
        <w:rPr>
          <w:spacing w:val="-5"/>
        </w:rPr>
        <w:t> </w:t>
      </w:r>
      <w:r>
        <w:rPr/>
        <w:t>prices.</w:t>
      </w:r>
    </w:p>
    <w:p>
      <w:pPr>
        <w:pStyle w:val="BodyText"/>
        <w:rPr>
          <w:sz w:val="28"/>
        </w:rPr>
      </w:pPr>
    </w:p>
    <w:p>
      <w:pPr>
        <w:pStyle w:val="BodyText"/>
        <w:spacing w:line="357" w:lineRule="auto"/>
        <w:ind w:left="226" w:right="71"/>
      </w:pPr>
      <w:r>
        <w:rPr/>
        <w:t>The 25% depreciation of sterling that took place in the wake of the global crisis helped smooth the path of adjustment, and also meant a ‘mark-to-market’ gain to the tune of over £500bn on the UK’s external balance sheet.</w:t>
      </w:r>
      <w:r>
        <w:rPr>
          <w:vertAlign w:val="superscript"/>
        </w:rPr>
        <w:t>12</w:t>
      </w:r>
    </w:p>
    <w:p>
      <w:pPr>
        <w:pStyle w:val="BodyText"/>
        <w:rPr>
          <w:sz w:val="28"/>
        </w:rPr>
      </w:pPr>
    </w:p>
    <w:p>
      <w:pPr>
        <w:pStyle w:val="BodyText"/>
        <w:spacing w:line="355" w:lineRule="auto"/>
        <w:ind w:left="226"/>
      </w:pPr>
      <w:r>
        <w:rPr/>
        <w:t>The UK labour market is also highly flexible. The fall in real incomes caused by the depreciation of sterling was absorbed by employees, effectively purchasing faster job creation.</w:t>
      </w:r>
      <w:r>
        <w:rPr>
          <w:vertAlign w:val="superscript"/>
        </w:rPr>
        <w:t>13</w:t>
      </w:r>
    </w:p>
    <w:p>
      <w:pPr>
        <w:pStyle w:val="BodyText"/>
        <w:spacing w:before="4"/>
        <w:rPr>
          <w:sz w:val="28"/>
        </w:rPr>
      </w:pPr>
    </w:p>
    <w:p>
      <w:pPr>
        <w:pStyle w:val="BodyText"/>
        <w:spacing w:line="357" w:lineRule="auto"/>
        <w:ind w:left="226" w:right="324"/>
      </w:pPr>
      <w:r>
        <w:rPr/>
        <w:t>In addition, large inflows of foreign capital – now financing a current account deficit of 6% of GDP – mean spending and investment are higher than would otherwise be possible. This underscores the value of the UK maintaining its attractiveness as an investment destination through a competitive tax system, deep human capital, a flexible economy and ready access to a wide range of markets.</w:t>
      </w:r>
    </w:p>
    <w:p>
      <w:pPr>
        <w:pStyle w:val="BodyText"/>
        <w:spacing w:before="10"/>
        <w:rPr>
          <w:sz w:val="27"/>
        </w:rPr>
      </w:pPr>
    </w:p>
    <w:p>
      <w:pPr>
        <w:spacing w:before="0"/>
        <w:ind w:left="226" w:right="0" w:firstLine="0"/>
        <w:jc w:val="left"/>
        <w:rPr>
          <w:b/>
          <w:sz w:val="19"/>
        </w:rPr>
      </w:pPr>
      <w:r>
        <w:rPr>
          <w:sz w:val="19"/>
        </w:rPr>
        <w:t>Finally, the UK has a highly </w:t>
      </w:r>
      <w:r>
        <w:rPr>
          <w:b/>
          <w:sz w:val="19"/>
        </w:rPr>
        <w:t>credible monetary policy framework.</w:t>
      </w:r>
    </w:p>
    <w:p>
      <w:pPr>
        <w:pStyle w:val="BodyText"/>
        <w:rPr>
          <w:b/>
          <w:sz w:val="20"/>
        </w:rPr>
      </w:pPr>
    </w:p>
    <w:p>
      <w:pPr>
        <w:pStyle w:val="BodyText"/>
        <w:spacing w:before="5"/>
        <w:rPr>
          <w:b/>
          <w:sz w:val="17"/>
        </w:rPr>
      </w:pPr>
    </w:p>
    <w:p>
      <w:pPr>
        <w:pStyle w:val="BodyText"/>
        <w:ind w:left="226"/>
      </w:pPr>
      <w:r>
        <w:rPr/>
        <w:t>The UK’s inflation target of 2% is symmetric: we care about inflation below the target as much as above.</w:t>
      </w:r>
    </w:p>
    <w:p>
      <w:pPr>
        <w:pStyle w:val="BodyText"/>
        <w:rPr>
          <w:sz w:val="20"/>
        </w:rPr>
      </w:pPr>
    </w:p>
    <w:p>
      <w:pPr>
        <w:pStyle w:val="BodyText"/>
        <w:spacing w:before="5"/>
        <w:rPr>
          <w:sz w:val="17"/>
        </w:rPr>
      </w:pPr>
    </w:p>
    <w:p>
      <w:pPr>
        <w:pStyle w:val="BodyText"/>
        <w:spacing w:line="357" w:lineRule="auto" w:before="1"/>
        <w:ind w:left="226" w:right="197"/>
      </w:pPr>
      <w:r>
        <w:rPr/>
        <w:t>Our remit recognises that the inflation rate may, on occasion, depart from the target and that attempts to keep it at the target may cause undesirable volatility in output. That flexibility and focus meant that the Bank’s</w:t>
      </w:r>
      <w:r>
        <w:rPr>
          <w:spacing w:val="-11"/>
        </w:rPr>
        <w:t> </w:t>
      </w:r>
      <w:r>
        <w:rPr/>
        <w:t>Monetary</w:t>
      </w:r>
      <w:r>
        <w:rPr>
          <w:spacing w:val="-11"/>
        </w:rPr>
        <w:t> </w:t>
      </w:r>
      <w:r>
        <w:rPr/>
        <w:t>Policy</w:t>
      </w:r>
      <w:r>
        <w:rPr>
          <w:spacing w:val="-11"/>
        </w:rPr>
        <w:t> </w:t>
      </w:r>
      <w:r>
        <w:rPr/>
        <w:t>Committee</w:t>
      </w:r>
      <w:r>
        <w:rPr>
          <w:spacing w:val="-12"/>
        </w:rPr>
        <w:t> </w:t>
      </w:r>
      <w:r>
        <w:rPr/>
        <w:t>(MPC)</w:t>
      </w:r>
      <w:r>
        <w:rPr>
          <w:spacing w:val="-11"/>
        </w:rPr>
        <w:t> </w:t>
      </w:r>
      <w:r>
        <w:rPr/>
        <w:t>could</w:t>
      </w:r>
      <w:r>
        <w:rPr>
          <w:spacing w:val="-11"/>
        </w:rPr>
        <w:t> </w:t>
      </w:r>
      <w:r>
        <w:rPr/>
        <w:t>provide</w:t>
      </w:r>
      <w:r>
        <w:rPr>
          <w:spacing w:val="-12"/>
        </w:rPr>
        <w:t> </w:t>
      </w:r>
      <w:r>
        <w:rPr/>
        <w:t>additional</w:t>
      </w:r>
      <w:r>
        <w:rPr>
          <w:spacing w:val="-9"/>
        </w:rPr>
        <w:t> </w:t>
      </w:r>
      <w:r>
        <w:rPr/>
        <w:t>stimulus</w:t>
      </w:r>
      <w:r>
        <w:rPr>
          <w:spacing w:val="-12"/>
        </w:rPr>
        <w:t> </w:t>
      </w:r>
      <w:r>
        <w:rPr/>
        <w:t>through</w:t>
      </w:r>
      <w:r>
        <w:rPr>
          <w:spacing w:val="-11"/>
        </w:rPr>
        <w:t> </w:t>
      </w:r>
      <w:r>
        <w:rPr/>
        <w:t>historically</w:t>
      </w:r>
      <w:r>
        <w:rPr>
          <w:spacing w:val="-11"/>
        </w:rPr>
        <w:t> </w:t>
      </w:r>
      <w:r>
        <w:rPr/>
        <w:t>low</w:t>
      </w:r>
      <w:r>
        <w:rPr>
          <w:spacing w:val="-12"/>
        </w:rPr>
        <w:t> </w:t>
      </w:r>
      <w:r>
        <w:rPr/>
        <w:t>interest</w:t>
      </w:r>
    </w:p>
    <w:p>
      <w:pPr>
        <w:pStyle w:val="BodyText"/>
        <w:spacing w:before="8"/>
        <w:rPr>
          <w:sz w:val="15"/>
        </w:rPr>
      </w:pPr>
      <w:r>
        <w:rPr/>
        <w:pict>
          <v:shape style="position:absolute;margin-left:79.320pt;margin-top:11.252576pt;width:135.5pt;height:.1pt;mso-position-horizontal-relative:page;mso-position-vertical-relative:paragraph;z-index:-251653120;mso-wrap-distance-left:0;mso-wrap-distance-right:0" coordorigin="1586,225" coordsize="2710,0" path="m1586,225l4296,225e" filled="false" stroked="true" strokeweight=".48001pt" strokecolor="#000000">
            <v:path arrowok="t"/>
            <v:stroke dashstyle="solid"/>
            <w10:wrap type="topAndBottom"/>
          </v:shape>
        </w:pict>
      </w:r>
    </w:p>
    <w:p>
      <w:pPr>
        <w:spacing w:before="27"/>
        <w:ind w:left="226" w:right="237" w:firstLine="0"/>
        <w:jc w:val="left"/>
        <w:rPr>
          <w:sz w:val="15"/>
        </w:rPr>
      </w:pPr>
      <w:r>
        <w:rPr>
          <w:position w:val="8"/>
          <w:sz w:val="9"/>
        </w:rPr>
        <w:t>10 </w:t>
      </w:r>
      <w:r>
        <w:rPr>
          <w:sz w:val="15"/>
        </w:rPr>
        <w:t>It is estimated that on average around a fifth of variation in regional personal income relative to the national average is stabilised by central government transfers. Estimates reported in Melitz and Zumer (2002), “Regional Redistribution and Stabilization by the Center in Canada, France, the UK and the US: A Reassessment and New Tests”. Journal of Public Economic, 86, pp. 263-286.</w:t>
      </w:r>
    </w:p>
    <w:p>
      <w:pPr>
        <w:spacing w:line="172" w:lineRule="exact" w:before="5"/>
        <w:ind w:left="226" w:right="164" w:firstLine="0"/>
        <w:jc w:val="left"/>
        <w:rPr>
          <w:sz w:val="15"/>
        </w:rPr>
      </w:pPr>
      <w:r>
        <w:rPr>
          <w:position w:val="8"/>
          <w:sz w:val="9"/>
        </w:rPr>
        <w:t>11 </w:t>
      </w:r>
      <w:r>
        <w:rPr>
          <w:sz w:val="15"/>
        </w:rPr>
        <w:t>The geographical share of North Sea oil revenues, estimated by the Scottish Government, was 84.2% in 2012-3, down from 92.9% in 2008-9. In 2012-3, Scotland’s per capita share of North Sea oil revenues was estimated by the Scottish Government to be 8.2%. See</w:t>
      </w:r>
    </w:p>
    <w:p>
      <w:pPr>
        <w:spacing w:line="160" w:lineRule="exact" w:before="0"/>
        <w:ind w:left="226" w:right="0" w:firstLine="0"/>
        <w:jc w:val="left"/>
        <w:rPr>
          <w:sz w:val="15"/>
        </w:rPr>
      </w:pPr>
      <w:r>
        <w:rPr>
          <w:sz w:val="15"/>
        </w:rPr>
        <w:t>tables 4.4 and 4.5 of Scottish Government (2014), “Government expenditure and revenue, Scotland 2012-3”.</w:t>
      </w:r>
    </w:p>
    <w:p>
      <w:pPr>
        <w:spacing w:line="172" w:lineRule="exact" w:before="15"/>
        <w:ind w:left="226" w:right="0" w:firstLine="0"/>
        <w:jc w:val="left"/>
        <w:rPr>
          <w:sz w:val="15"/>
        </w:rPr>
      </w:pPr>
      <w:r>
        <w:rPr>
          <w:position w:val="8"/>
          <w:sz w:val="9"/>
        </w:rPr>
        <w:t>12 </w:t>
      </w:r>
      <w:r>
        <w:rPr>
          <w:sz w:val="15"/>
        </w:rPr>
        <w:t>Exchange rate effects alone led to an improvement of £573 billion to the UK’s net international investment position between 2006 and 2008, estimated in Whittard (2012), “The UK’s External Balance Sheet – The International Investment Position (IIP)”, ONS, March.</w:t>
      </w:r>
    </w:p>
    <w:p>
      <w:pPr>
        <w:spacing w:line="172" w:lineRule="exact" w:before="0"/>
        <w:ind w:left="226" w:right="0" w:firstLine="0"/>
        <w:jc w:val="left"/>
        <w:rPr>
          <w:sz w:val="15"/>
        </w:rPr>
      </w:pPr>
      <w:r>
        <w:rPr>
          <w:position w:val="8"/>
          <w:sz w:val="9"/>
        </w:rPr>
        <w:t>13 </w:t>
      </w:r>
      <w:r>
        <w:rPr>
          <w:sz w:val="15"/>
        </w:rPr>
        <w:t>See Carney (2014), Speech at the 146th Annual Trades Union Congress, Liverpool.</w:t>
      </w:r>
    </w:p>
    <w:p>
      <w:pPr>
        <w:spacing w:after="0" w:line="172" w:lineRule="exact"/>
        <w:jc w:val="left"/>
        <w:rPr>
          <w:sz w:val="15"/>
        </w:rPr>
        <w:sectPr>
          <w:footerReference w:type="default" r:id="rId11"/>
          <w:pgSz w:w="12240" w:h="15840"/>
          <w:pgMar w:footer="1240" w:header="0" w:top="1440" w:bottom="1440" w:left="1360" w:right="1480"/>
        </w:sectPr>
      </w:pPr>
    </w:p>
    <w:p>
      <w:pPr>
        <w:pStyle w:val="BodyText"/>
        <w:spacing w:line="357" w:lineRule="auto" w:before="80"/>
        <w:ind w:left="226"/>
      </w:pPr>
      <w:r>
        <w:rPr/>
        <w:t>rates,</w:t>
      </w:r>
      <w:r>
        <w:rPr>
          <w:spacing w:val="-9"/>
        </w:rPr>
        <w:t> </w:t>
      </w:r>
      <w:r>
        <w:rPr/>
        <w:t>large</w:t>
      </w:r>
      <w:r>
        <w:rPr>
          <w:spacing w:val="-10"/>
        </w:rPr>
        <w:t> </w:t>
      </w:r>
      <w:r>
        <w:rPr/>
        <w:t>scale</w:t>
      </w:r>
      <w:r>
        <w:rPr>
          <w:spacing w:val="-11"/>
        </w:rPr>
        <w:t> </w:t>
      </w:r>
      <w:r>
        <w:rPr/>
        <w:t>asset</w:t>
      </w:r>
      <w:r>
        <w:rPr>
          <w:spacing w:val="-9"/>
        </w:rPr>
        <w:t> </w:t>
      </w:r>
      <w:r>
        <w:rPr/>
        <w:t>purchases</w:t>
      </w:r>
      <w:r>
        <w:rPr>
          <w:spacing w:val="-8"/>
        </w:rPr>
        <w:t> </w:t>
      </w:r>
      <w:r>
        <w:rPr/>
        <w:t>and</w:t>
      </w:r>
      <w:r>
        <w:rPr>
          <w:spacing w:val="-10"/>
        </w:rPr>
        <w:t> </w:t>
      </w:r>
      <w:r>
        <w:rPr/>
        <w:t>monetary</w:t>
      </w:r>
      <w:r>
        <w:rPr>
          <w:spacing w:val="-10"/>
        </w:rPr>
        <w:t> </w:t>
      </w:r>
      <w:r>
        <w:rPr/>
        <w:t>policy</w:t>
      </w:r>
      <w:r>
        <w:rPr>
          <w:spacing w:val="-9"/>
        </w:rPr>
        <w:t> </w:t>
      </w:r>
      <w:r>
        <w:rPr/>
        <w:t>guidance</w:t>
      </w:r>
      <w:r>
        <w:rPr>
          <w:spacing w:val="-9"/>
        </w:rPr>
        <w:t> </w:t>
      </w:r>
      <w:r>
        <w:rPr/>
        <w:t>even</w:t>
      </w:r>
      <w:r>
        <w:rPr>
          <w:spacing w:val="-10"/>
        </w:rPr>
        <w:t> </w:t>
      </w:r>
      <w:r>
        <w:rPr/>
        <w:t>when</w:t>
      </w:r>
      <w:r>
        <w:rPr>
          <w:spacing w:val="-10"/>
        </w:rPr>
        <w:t> </w:t>
      </w:r>
      <w:r>
        <w:rPr/>
        <w:t>inflation</w:t>
      </w:r>
      <w:r>
        <w:rPr>
          <w:spacing w:val="-9"/>
        </w:rPr>
        <w:t> </w:t>
      </w:r>
      <w:r>
        <w:rPr/>
        <w:t>was</w:t>
      </w:r>
      <w:r>
        <w:rPr>
          <w:spacing w:val="-9"/>
        </w:rPr>
        <w:t> </w:t>
      </w:r>
      <w:r>
        <w:rPr/>
        <w:t>temporarily</w:t>
      </w:r>
      <w:r>
        <w:rPr>
          <w:spacing w:val="-10"/>
        </w:rPr>
        <w:t> </w:t>
      </w:r>
      <w:r>
        <w:rPr/>
        <w:t>above target.</w:t>
      </w:r>
    </w:p>
    <w:p>
      <w:pPr>
        <w:pStyle w:val="BodyText"/>
        <w:spacing w:before="1"/>
        <w:rPr>
          <w:sz w:val="28"/>
        </w:rPr>
      </w:pPr>
    </w:p>
    <w:p>
      <w:pPr>
        <w:pStyle w:val="BodyText"/>
        <w:ind w:left="226"/>
      </w:pPr>
      <w:r>
        <w:rPr/>
        <w:t>Inflation has recently dropped sharply to 0.5% – equalling its lowest rate on record.</w:t>
      </w:r>
    </w:p>
    <w:p>
      <w:pPr>
        <w:pStyle w:val="BodyText"/>
        <w:rPr>
          <w:sz w:val="20"/>
        </w:rPr>
      </w:pPr>
    </w:p>
    <w:p>
      <w:pPr>
        <w:pStyle w:val="BodyText"/>
        <w:spacing w:before="5"/>
        <w:rPr>
          <w:sz w:val="17"/>
        </w:rPr>
      </w:pPr>
    </w:p>
    <w:p>
      <w:pPr>
        <w:pStyle w:val="BodyText"/>
        <w:spacing w:line="355" w:lineRule="auto"/>
        <w:ind w:left="226" w:right="197"/>
      </w:pPr>
      <w:r>
        <w:rPr/>
        <w:t>So</w:t>
      </w:r>
      <w:r>
        <w:rPr>
          <w:spacing w:val="-8"/>
        </w:rPr>
        <w:t> </w:t>
      </w:r>
      <w:r>
        <w:rPr/>
        <w:t>next</w:t>
      </w:r>
      <w:r>
        <w:rPr>
          <w:spacing w:val="-6"/>
        </w:rPr>
        <w:t> </w:t>
      </w:r>
      <w:r>
        <w:rPr/>
        <w:t>month</w:t>
      </w:r>
      <w:r>
        <w:rPr>
          <w:spacing w:val="-7"/>
        </w:rPr>
        <w:t> </w:t>
      </w:r>
      <w:r>
        <w:rPr/>
        <w:t>I</w:t>
      </w:r>
      <w:r>
        <w:rPr>
          <w:spacing w:val="-8"/>
        </w:rPr>
        <w:t> </w:t>
      </w:r>
      <w:r>
        <w:rPr/>
        <w:t>will</w:t>
      </w:r>
      <w:r>
        <w:rPr>
          <w:spacing w:val="-6"/>
        </w:rPr>
        <w:t> </w:t>
      </w:r>
      <w:r>
        <w:rPr/>
        <w:t>write</w:t>
      </w:r>
      <w:r>
        <w:rPr>
          <w:spacing w:val="-8"/>
        </w:rPr>
        <w:t> </w:t>
      </w:r>
      <w:r>
        <w:rPr/>
        <w:t>the</w:t>
      </w:r>
      <w:r>
        <w:rPr>
          <w:spacing w:val="-7"/>
        </w:rPr>
        <w:t> </w:t>
      </w:r>
      <w:r>
        <w:rPr/>
        <w:t>first</w:t>
      </w:r>
      <w:r>
        <w:rPr>
          <w:spacing w:val="-8"/>
        </w:rPr>
        <w:t> </w:t>
      </w:r>
      <w:r>
        <w:rPr/>
        <w:t>open</w:t>
      </w:r>
      <w:r>
        <w:rPr>
          <w:spacing w:val="-8"/>
        </w:rPr>
        <w:t> </w:t>
      </w:r>
      <w:r>
        <w:rPr/>
        <w:t>letter</w:t>
      </w:r>
      <w:r>
        <w:rPr>
          <w:spacing w:val="-7"/>
        </w:rPr>
        <w:t> </w:t>
      </w:r>
      <w:r>
        <w:rPr/>
        <w:t>from</w:t>
      </w:r>
      <w:r>
        <w:rPr>
          <w:spacing w:val="-7"/>
        </w:rPr>
        <w:t> </w:t>
      </w:r>
      <w:r>
        <w:rPr/>
        <w:t>a</w:t>
      </w:r>
      <w:r>
        <w:rPr>
          <w:spacing w:val="-7"/>
        </w:rPr>
        <w:t> </w:t>
      </w:r>
      <w:r>
        <w:rPr/>
        <w:t>Bank</w:t>
      </w:r>
      <w:r>
        <w:rPr>
          <w:spacing w:val="-8"/>
        </w:rPr>
        <w:t> </w:t>
      </w:r>
      <w:r>
        <w:rPr/>
        <w:t>of</w:t>
      </w:r>
      <w:r>
        <w:rPr>
          <w:spacing w:val="-6"/>
        </w:rPr>
        <w:t> </w:t>
      </w:r>
      <w:r>
        <w:rPr/>
        <w:t>England</w:t>
      </w:r>
      <w:r>
        <w:rPr>
          <w:spacing w:val="-8"/>
        </w:rPr>
        <w:t> </w:t>
      </w:r>
      <w:r>
        <w:rPr/>
        <w:t>Governor</w:t>
      </w:r>
      <w:r>
        <w:rPr>
          <w:spacing w:val="-7"/>
        </w:rPr>
        <w:t> </w:t>
      </w:r>
      <w:r>
        <w:rPr/>
        <w:t>to</w:t>
      </w:r>
      <w:r>
        <w:rPr>
          <w:spacing w:val="-8"/>
        </w:rPr>
        <w:t> </w:t>
      </w:r>
      <w:r>
        <w:rPr/>
        <w:t>a</w:t>
      </w:r>
      <w:r>
        <w:rPr>
          <w:spacing w:val="-7"/>
        </w:rPr>
        <w:t> </w:t>
      </w:r>
      <w:r>
        <w:rPr/>
        <w:t>Chancellor</w:t>
      </w:r>
      <w:r>
        <w:rPr>
          <w:spacing w:val="-7"/>
        </w:rPr>
        <w:t> </w:t>
      </w:r>
      <w:r>
        <w:rPr/>
        <w:t>explaining why the inflation rate is too low and what we are going to do about</w:t>
      </w:r>
      <w:r>
        <w:rPr>
          <w:spacing w:val="-29"/>
        </w:rPr>
        <w:t> </w:t>
      </w:r>
      <w:r>
        <w:rPr/>
        <w:t>it.</w:t>
      </w:r>
    </w:p>
    <w:p>
      <w:pPr>
        <w:pStyle w:val="BodyText"/>
        <w:spacing w:before="4"/>
        <w:rPr>
          <w:sz w:val="28"/>
        </w:rPr>
      </w:pPr>
    </w:p>
    <w:p>
      <w:pPr>
        <w:pStyle w:val="BodyText"/>
        <w:spacing w:line="355" w:lineRule="auto" w:before="1"/>
        <w:ind w:left="226"/>
      </w:pPr>
      <w:r>
        <w:rPr/>
        <w:t>The why is relatively straightforward. The majority of the weakness is caused by sharp falls in commodity prices, most notably oil, which has suffered its third largest fall in the past half century.</w:t>
      </w:r>
    </w:p>
    <w:p>
      <w:pPr>
        <w:pStyle w:val="BodyText"/>
        <w:spacing w:before="4"/>
        <w:rPr>
          <w:sz w:val="28"/>
        </w:rPr>
      </w:pPr>
    </w:p>
    <w:p>
      <w:pPr>
        <w:pStyle w:val="BodyText"/>
        <w:spacing w:line="357" w:lineRule="auto"/>
        <w:ind w:left="226" w:right="197"/>
      </w:pPr>
      <w:r>
        <w:rPr/>
        <w:t>Lower energy and food prices are unambiguously positive for the UK. Temporarily low inflation will boost real take-home pay and help household finances.</w:t>
      </w:r>
    </w:p>
    <w:p>
      <w:pPr>
        <w:pStyle w:val="BodyText"/>
        <w:spacing w:before="1"/>
        <w:rPr>
          <w:sz w:val="28"/>
        </w:rPr>
      </w:pPr>
    </w:p>
    <w:p>
      <w:pPr>
        <w:pStyle w:val="BodyText"/>
        <w:spacing w:line="357" w:lineRule="auto" w:before="1"/>
        <w:ind w:left="226"/>
      </w:pPr>
      <w:r>
        <w:rPr/>
        <w:t>Commodity prices do not explain wholly why inflation is so low. Generalised inflationary pressures in the economy are also subdued. Core inflation measures are running at 1.3%. That is a legacy of a long period following the crisis in which unemployment has been high and wage growth muted.</w:t>
      </w:r>
      <w:r>
        <w:rPr>
          <w:vertAlign w:val="superscript"/>
        </w:rPr>
        <w:t>14</w:t>
      </w:r>
    </w:p>
    <w:p>
      <w:pPr>
        <w:pStyle w:val="BodyText"/>
        <w:spacing w:before="11"/>
        <w:rPr>
          <w:sz w:val="27"/>
        </w:rPr>
      </w:pPr>
    </w:p>
    <w:p>
      <w:pPr>
        <w:pStyle w:val="BodyText"/>
        <w:spacing w:line="357" w:lineRule="auto"/>
        <w:ind w:left="226"/>
      </w:pPr>
      <w:r>
        <w:rPr/>
        <w:t>With</w:t>
      </w:r>
      <w:r>
        <w:rPr>
          <w:spacing w:val="-8"/>
        </w:rPr>
        <w:t> </w:t>
      </w:r>
      <w:r>
        <w:rPr/>
        <w:t>additional</w:t>
      </w:r>
      <w:r>
        <w:rPr>
          <w:spacing w:val="-7"/>
        </w:rPr>
        <w:t> </w:t>
      </w:r>
      <w:r>
        <w:rPr/>
        <w:t>falls</w:t>
      </w:r>
      <w:r>
        <w:rPr>
          <w:spacing w:val="-7"/>
        </w:rPr>
        <w:t> </w:t>
      </w:r>
      <w:r>
        <w:rPr/>
        <w:t>in</w:t>
      </w:r>
      <w:r>
        <w:rPr>
          <w:spacing w:val="-8"/>
        </w:rPr>
        <w:t> </w:t>
      </w:r>
      <w:r>
        <w:rPr/>
        <w:t>petrol</w:t>
      </w:r>
      <w:r>
        <w:rPr>
          <w:spacing w:val="-6"/>
        </w:rPr>
        <w:t> </w:t>
      </w:r>
      <w:r>
        <w:rPr/>
        <w:t>prices</w:t>
      </w:r>
      <w:r>
        <w:rPr>
          <w:spacing w:val="-6"/>
        </w:rPr>
        <w:t> </w:t>
      </w:r>
      <w:r>
        <w:rPr/>
        <w:t>in</w:t>
      </w:r>
      <w:r>
        <w:rPr>
          <w:spacing w:val="-9"/>
        </w:rPr>
        <w:t> </w:t>
      </w:r>
      <w:r>
        <w:rPr/>
        <w:t>the</w:t>
      </w:r>
      <w:r>
        <w:rPr>
          <w:spacing w:val="-8"/>
        </w:rPr>
        <w:t> </w:t>
      </w:r>
      <w:r>
        <w:rPr/>
        <w:t>pipeline,</w:t>
      </w:r>
      <w:r>
        <w:rPr>
          <w:spacing w:val="-8"/>
        </w:rPr>
        <w:t> </w:t>
      </w:r>
      <w:r>
        <w:rPr/>
        <w:t>inflation</w:t>
      </w:r>
      <w:r>
        <w:rPr>
          <w:spacing w:val="-8"/>
        </w:rPr>
        <w:t> </w:t>
      </w:r>
      <w:r>
        <w:rPr/>
        <w:t>is</w:t>
      </w:r>
      <w:r>
        <w:rPr>
          <w:spacing w:val="-6"/>
        </w:rPr>
        <w:t> </w:t>
      </w:r>
      <w:r>
        <w:rPr/>
        <w:t>likely</w:t>
      </w:r>
      <w:r>
        <w:rPr>
          <w:spacing w:val="-9"/>
        </w:rPr>
        <w:t> </w:t>
      </w:r>
      <w:r>
        <w:rPr/>
        <w:t>to</w:t>
      </w:r>
      <w:r>
        <w:rPr>
          <w:spacing w:val="-8"/>
        </w:rPr>
        <w:t> </w:t>
      </w:r>
      <w:r>
        <w:rPr/>
        <w:t>fall</w:t>
      </w:r>
      <w:r>
        <w:rPr>
          <w:spacing w:val="-8"/>
        </w:rPr>
        <w:t> </w:t>
      </w:r>
      <w:r>
        <w:rPr/>
        <w:t>further</w:t>
      </w:r>
      <w:r>
        <w:rPr>
          <w:spacing w:val="-8"/>
        </w:rPr>
        <w:t> </w:t>
      </w:r>
      <w:r>
        <w:rPr/>
        <w:t>over</w:t>
      </w:r>
      <w:r>
        <w:rPr>
          <w:spacing w:val="-8"/>
        </w:rPr>
        <w:t> </w:t>
      </w:r>
      <w:r>
        <w:rPr/>
        <w:t>the</w:t>
      </w:r>
      <w:r>
        <w:rPr>
          <w:spacing w:val="-8"/>
        </w:rPr>
        <w:t> </w:t>
      </w:r>
      <w:r>
        <w:rPr/>
        <w:t>coming</w:t>
      </w:r>
      <w:r>
        <w:rPr>
          <w:spacing w:val="-8"/>
        </w:rPr>
        <w:t> </w:t>
      </w:r>
      <w:r>
        <w:rPr/>
        <w:t>months</w:t>
      </w:r>
      <w:r>
        <w:rPr>
          <w:spacing w:val="-7"/>
        </w:rPr>
        <w:t> </w:t>
      </w:r>
      <w:r>
        <w:rPr/>
        <w:t>and turn slightly negative for a period. It should pick up again in twelve months or so as the direct effects of a lower energy price drop out of the inflation</w:t>
      </w:r>
      <w:r>
        <w:rPr>
          <w:spacing w:val="-12"/>
        </w:rPr>
        <w:t> </w:t>
      </w:r>
      <w:r>
        <w:rPr/>
        <w:t>rate.</w:t>
      </w:r>
    </w:p>
    <w:p>
      <w:pPr>
        <w:pStyle w:val="BodyText"/>
        <w:spacing w:before="11"/>
        <w:rPr>
          <w:sz w:val="27"/>
        </w:rPr>
      </w:pPr>
    </w:p>
    <w:p>
      <w:pPr>
        <w:pStyle w:val="BodyText"/>
        <w:spacing w:line="357" w:lineRule="auto"/>
        <w:ind w:left="226"/>
      </w:pPr>
      <w:r>
        <w:rPr/>
        <w:t>The</w:t>
      </w:r>
      <w:r>
        <w:rPr>
          <w:spacing w:val="-8"/>
        </w:rPr>
        <w:t> </w:t>
      </w:r>
      <w:r>
        <w:rPr/>
        <w:t>Bank</w:t>
      </w:r>
      <w:r>
        <w:rPr>
          <w:spacing w:val="-6"/>
        </w:rPr>
        <w:t> </w:t>
      </w:r>
      <w:r>
        <w:rPr/>
        <w:t>has</w:t>
      </w:r>
      <w:r>
        <w:rPr>
          <w:spacing w:val="-7"/>
        </w:rPr>
        <w:t> </w:t>
      </w:r>
      <w:r>
        <w:rPr/>
        <w:t>the</w:t>
      </w:r>
      <w:r>
        <w:rPr>
          <w:spacing w:val="-6"/>
        </w:rPr>
        <w:t> </w:t>
      </w:r>
      <w:r>
        <w:rPr/>
        <w:t>means,</w:t>
      </w:r>
      <w:r>
        <w:rPr>
          <w:spacing w:val="-7"/>
        </w:rPr>
        <w:t> </w:t>
      </w:r>
      <w:r>
        <w:rPr/>
        <w:t>will</w:t>
      </w:r>
      <w:r>
        <w:rPr>
          <w:spacing w:val="-5"/>
        </w:rPr>
        <w:t> </w:t>
      </w:r>
      <w:r>
        <w:rPr/>
        <w:t>and</w:t>
      </w:r>
      <w:r>
        <w:rPr>
          <w:spacing w:val="-8"/>
        </w:rPr>
        <w:t> </w:t>
      </w:r>
      <w:r>
        <w:rPr/>
        <w:t>responsibility</w:t>
      </w:r>
      <w:r>
        <w:rPr>
          <w:spacing w:val="-5"/>
        </w:rPr>
        <w:t> </w:t>
      </w:r>
      <w:r>
        <w:rPr/>
        <w:t>to</w:t>
      </w:r>
      <w:r>
        <w:rPr>
          <w:spacing w:val="-6"/>
        </w:rPr>
        <w:t> </w:t>
      </w:r>
      <w:r>
        <w:rPr/>
        <w:t>return</w:t>
      </w:r>
      <w:r>
        <w:rPr>
          <w:spacing w:val="-7"/>
        </w:rPr>
        <w:t> </w:t>
      </w:r>
      <w:r>
        <w:rPr/>
        <w:t>inflation</w:t>
      </w:r>
      <w:r>
        <w:rPr>
          <w:spacing w:val="-8"/>
        </w:rPr>
        <w:t> </w:t>
      </w:r>
      <w:r>
        <w:rPr/>
        <w:t>to</w:t>
      </w:r>
      <w:r>
        <w:rPr>
          <w:spacing w:val="-6"/>
        </w:rPr>
        <w:t> </w:t>
      </w:r>
      <w:r>
        <w:rPr/>
        <w:t>the</w:t>
      </w:r>
      <w:r>
        <w:rPr>
          <w:spacing w:val="-6"/>
        </w:rPr>
        <w:t> </w:t>
      </w:r>
      <w:r>
        <w:rPr/>
        <w:t>2%</w:t>
      </w:r>
      <w:r>
        <w:rPr>
          <w:spacing w:val="-8"/>
        </w:rPr>
        <w:t> </w:t>
      </w:r>
      <w:r>
        <w:rPr/>
        <w:t>target</w:t>
      </w:r>
      <w:r>
        <w:rPr>
          <w:spacing w:val="-5"/>
        </w:rPr>
        <w:t> </w:t>
      </w:r>
      <w:r>
        <w:rPr/>
        <w:t>within</w:t>
      </w:r>
      <w:r>
        <w:rPr>
          <w:spacing w:val="-6"/>
        </w:rPr>
        <w:t> </w:t>
      </w:r>
      <w:r>
        <w:rPr/>
        <w:t>the</w:t>
      </w:r>
      <w:r>
        <w:rPr>
          <w:spacing w:val="-5"/>
        </w:rPr>
        <w:t> </w:t>
      </w:r>
      <w:r>
        <w:rPr/>
        <w:t>next</w:t>
      </w:r>
      <w:r>
        <w:rPr>
          <w:spacing w:val="-6"/>
        </w:rPr>
        <w:t> </w:t>
      </w:r>
      <w:r>
        <w:rPr/>
        <w:t>two</w:t>
      </w:r>
      <w:r>
        <w:rPr>
          <w:spacing w:val="-6"/>
        </w:rPr>
        <w:t> </w:t>
      </w:r>
      <w:r>
        <w:rPr/>
        <w:t>years. That is consistent with the </w:t>
      </w:r>
      <w:r>
        <w:rPr>
          <w:i/>
        </w:rPr>
        <w:t>average </w:t>
      </w:r>
      <w:r>
        <w:rPr/>
        <w:t>horizon over which the MPC has sought to return inflation to target following</w:t>
      </w:r>
      <w:r>
        <w:rPr>
          <w:spacing w:val="-3"/>
        </w:rPr>
        <w:t> </w:t>
      </w:r>
      <w:r>
        <w:rPr/>
        <w:t>overshoots</w:t>
      </w:r>
      <w:r>
        <w:rPr>
          <w:spacing w:val="-3"/>
        </w:rPr>
        <w:t> </w:t>
      </w:r>
      <w:r>
        <w:rPr/>
        <w:t>in</w:t>
      </w:r>
      <w:r>
        <w:rPr>
          <w:spacing w:val="-2"/>
        </w:rPr>
        <w:t> </w:t>
      </w:r>
      <w:r>
        <w:rPr/>
        <w:t>the</w:t>
      </w:r>
      <w:r>
        <w:rPr>
          <w:spacing w:val="-4"/>
        </w:rPr>
        <w:t> </w:t>
      </w:r>
      <w:r>
        <w:rPr/>
        <w:t>past</w:t>
      </w:r>
      <w:r>
        <w:rPr>
          <w:spacing w:val="-2"/>
        </w:rPr>
        <w:t> </w:t>
      </w:r>
      <w:r>
        <w:rPr/>
        <w:t>and</w:t>
      </w:r>
      <w:r>
        <w:rPr>
          <w:spacing w:val="-2"/>
        </w:rPr>
        <w:t> </w:t>
      </w:r>
      <w:r>
        <w:rPr/>
        <w:t>with</w:t>
      </w:r>
      <w:r>
        <w:rPr>
          <w:spacing w:val="-3"/>
        </w:rPr>
        <w:t> </w:t>
      </w:r>
      <w:r>
        <w:rPr/>
        <w:t>the</w:t>
      </w:r>
      <w:r>
        <w:rPr>
          <w:spacing w:val="-3"/>
        </w:rPr>
        <w:t> </w:t>
      </w:r>
      <w:r>
        <w:rPr/>
        <w:t>nature</w:t>
      </w:r>
      <w:r>
        <w:rPr>
          <w:spacing w:val="-3"/>
        </w:rPr>
        <w:t> </w:t>
      </w:r>
      <w:r>
        <w:rPr/>
        <w:t>of</w:t>
      </w:r>
      <w:r>
        <w:rPr>
          <w:spacing w:val="-3"/>
        </w:rPr>
        <w:t> </w:t>
      </w:r>
      <w:r>
        <w:rPr/>
        <w:t>shocks</w:t>
      </w:r>
      <w:r>
        <w:rPr>
          <w:spacing w:val="-2"/>
        </w:rPr>
        <w:t> </w:t>
      </w:r>
      <w:r>
        <w:rPr/>
        <w:t>the</w:t>
      </w:r>
      <w:r>
        <w:rPr>
          <w:spacing w:val="-3"/>
        </w:rPr>
        <w:t> </w:t>
      </w:r>
      <w:r>
        <w:rPr/>
        <w:t>UK</w:t>
      </w:r>
      <w:r>
        <w:rPr>
          <w:spacing w:val="-3"/>
        </w:rPr>
        <w:t> </w:t>
      </w:r>
      <w:r>
        <w:rPr/>
        <w:t>currently</w:t>
      </w:r>
      <w:r>
        <w:rPr>
          <w:spacing w:val="-3"/>
        </w:rPr>
        <w:t> </w:t>
      </w:r>
      <w:r>
        <w:rPr/>
        <w:t>faces.</w:t>
      </w:r>
    </w:p>
    <w:p>
      <w:pPr>
        <w:pStyle w:val="BodyText"/>
        <w:rPr>
          <w:sz w:val="28"/>
        </w:rPr>
      </w:pPr>
    </w:p>
    <w:p>
      <w:pPr>
        <w:pStyle w:val="BodyText"/>
        <w:spacing w:line="355" w:lineRule="auto"/>
        <w:ind w:left="226" w:right="120"/>
      </w:pPr>
      <w:r>
        <w:rPr/>
        <w:t>The UK economy is expanding solidly. Over half a million jobs have been created in the past year and there are signs that wage growth is picking up. Interest rates can be expected to begin to return towards more normal levels over the next few years. Relative to what we and the markets expected a year ago, that path of interest rate increases can be expected to be more gradual and more limited.</w:t>
      </w:r>
    </w:p>
    <w:p>
      <w:pPr>
        <w:pStyle w:val="BodyText"/>
        <w:spacing w:before="6"/>
        <w:rPr>
          <w:sz w:val="28"/>
        </w:rPr>
      </w:pPr>
    </w:p>
    <w:p>
      <w:pPr>
        <w:pStyle w:val="Heading1"/>
        <w:numPr>
          <w:ilvl w:val="0"/>
          <w:numId w:val="1"/>
        </w:numPr>
        <w:tabs>
          <w:tab w:pos="565" w:val="left" w:leader="none"/>
        </w:tabs>
        <w:spacing w:line="240" w:lineRule="auto" w:before="0" w:after="0"/>
        <w:ind w:left="564" w:right="0" w:hanging="339"/>
        <w:jc w:val="left"/>
      </w:pPr>
      <w:r>
        <w:rPr/>
        <w:t>What is needed in the euro</w:t>
      </w:r>
      <w:r>
        <w:rPr>
          <w:spacing w:val="-5"/>
        </w:rPr>
        <w:t> </w:t>
      </w:r>
      <w:r>
        <w:rPr/>
        <w:t>area?</w:t>
      </w:r>
    </w:p>
    <w:p>
      <w:pPr>
        <w:pStyle w:val="BodyText"/>
        <w:rPr>
          <w:b/>
          <w:sz w:val="20"/>
        </w:rPr>
      </w:pPr>
    </w:p>
    <w:p>
      <w:pPr>
        <w:pStyle w:val="BodyText"/>
        <w:spacing w:before="5"/>
        <w:rPr>
          <w:b/>
          <w:sz w:val="17"/>
        </w:rPr>
      </w:pPr>
    </w:p>
    <w:p>
      <w:pPr>
        <w:spacing w:before="0"/>
        <w:ind w:left="226" w:right="0" w:firstLine="0"/>
        <w:jc w:val="left"/>
        <w:rPr>
          <w:b/>
          <w:sz w:val="19"/>
        </w:rPr>
      </w:pPr>
      <w:r>
        <w:rPr>
          <w:b/>
          <w:sz w:val="19"/>
        </w:rPr>
        <w:t>The challenges for monetary policy are much greater in the euro area than in the UK.</w:t>
      </w:r>
    </w:p>
    <w:p>
      <w:pPr>
        <w:pStyle w:val="BodyText"/>
        <w:rPr>
          <w:b/>
          <w:sz w:val="20"/>
        </w:rPr>
      </w:pPr>
    </w:p>
    <w:p>
      <w:pPr>
        <w:pStyle w:val="BodyText"/>
        <w:spacing w:before="6"/>
        <w:rPr>
          <w:b/>
          <w:sz w:val="17"/>
        </w:rPr>
      </w:pPr>
    </w:p>
    <w:p>
      <w:pPr>
        <w:pStyle w:val="BodyText"/>
        <w:spacing w:line="355" w:lineRule="auto"/>
        <w:ind w:left="226" w:right="197"/>
      </w:pPr>
      <w:r>
        <w:rPr/>
        <w:t>Since the crisis, euro area nominal GDP has increased by a mere 5% in almost seven years. Consumer price inflation is already below zero. Core inflation has been running at or below 1% for over a year.</w:t>
      </w:r>
    </w:p>
    <w:p>
      <w:pPr>
        <w:pStyle w:val="BodyText"/>
        <w:spacing w:before="8"/>
        <w:rPr>
          <w:sz w:val="8"/>
        </w:rPr>
      </w:pPr>
      <w:r>
        <w:rPr/>
        <w:pict>
          <v:shape style="position:absolute;margin-left:79.320pt;margin-top:7.243504pt;width:135.5pt;height:.1pt;mso-position-horizontal-relative:page;mso-position-vertical-relative:paragraph;z-index:-251652096;mso-wrap-distance-left:0;mso-wrap-distance-right:0" coordorigin="1586,145" coordsize="2710,0" path="m1586,145l4296,145e" filled="false" stroked="true" strokeweight=".41998pt" strokecolor="#000000">
            <v:path arrowok="t"/>
            <v:stroke dashstyle="solid"/>
            <w10:wrap type="topAndBottom"/>
          </v:shape>
        </w:pict>
      </w:r>
    </w:p>
    <w:p>
      <w:pPr>
        <w:spacing w:before="26"/>
        <w:ind w:left="226" w:right="0" w:firstLine="0"/>
        <w:jc w:val="left"/>
        <w:rPr>
          <w:sz w:val="15"/>
        </w:rPr>
      </w:pPr>
      <w:r>
        <w:rPr>
          <w:position w:val="8"/>
          <w:sz w:val="9"/>
        </w:rPr>
        <w:t>14 </w:t>
      </w:r>
      <w:r>
        <w:rPr>
          <w:sz w:val="15"/>
        </w:rPr>
        <w:t>Unit labour costs rose by 0.5% in the year to 2014Q3, and unit wage costs rose by 0.9% over the same period, based on the MPC’s backcast for UK GDP.</w:t>
      </w:r>
    </w:p>
    <w:p>
      <w:pPr>
        <w:spacing w:after="0"/>
        <w:jc w:val="left"/>
        <w:rPr>
          <w:sz w:val="15"/>
        </w:rPr>
        <w:sectPr>
          <w:footerReference w:type="default" r:id="rId12"/>
          <w:pgSz w:w="12240" w:h="15840"/>
          <w:pgMar w:footer="1240" w:header="0" w:top="1440" w:bottom="1440" w:left="1360" w:right="1480"/>
        </w:sectPr>
      </w:pPr>
    </w:p>
    <w:p>
      <w:pPr>
        <w:pStyle w:val="BodyText"/>
        <w:spacing w:before="98"/>
        <w:ind w:left="226"/>
      </w:pPr>
      <w:r>
        <w:rPr/>
        <w:t>This is potentially dangerous. Low nominal growth is intensifying the euro area’s debt burden (</w:t>
      </w:r>
      <w:r>
        <w:rPr>
          <w:b/>
        </w:rPr>
        <w:t>Chart 4</w:t>
      </w:r>
      <w:r>
        <w:rPr/>
        <w:t>).</w:t>
      </w:r>
      <w:r>
        <w:rPr>
          <w:vertAlign w:val="superscript"/>
        </w:rPr>
        <w:t>15</w:t>
      </w:r>
    </w:p>
    <w:p>
      <w:pPr>
        <w:pStyle w:val="BodyText"/>
        <w:spacing w:before="108"/>
        <w:ind w:left="226"/>
      </w:pPr>
      <w:r>
        <w:rPr/>
        <w:t>The fear of stagnation is holding back spending and investment.</w:t>
      </w:r>
    </w:p>
    <w:p>
      <w:pPr>
        <w:pStyle w:val="BodyText"/>
        <w:rPr>
          <w:sz w:val="20"/>
        </w:rPr>
      </w:pPr>
    </w:p>
    <w:p>
      <w:pPr>
        <w:pStyle w:val="BodyText"/>
        <w:spacing w:before="5"/>
        <w:rPr>
          <w:sz w:val="17"/>
        </w:rPr>
      </w:pPr>
    </w:p>
    <w:p>
      <w:pPr>
        <w:pStyle w:val="BodyText"/>
        <w:spacing w:line="355" w:lineRule="auto"/>
        <w:ind w:left="226" w:right="120"/>
      </w:pPr>
      <w:r>
        <w:rPr/>
        <w:t>The ECB’s actions last week were timely and welcome. They were also important not least because they removed</w:t>
      </w:r>
      <w:r>
        <w:rPr>
          <w:spacing w:val="-7"/>
        </w:rPr>
        <w:t> </w:t>
      </w:r>
      <w:r>
        <w:rPr/>
        <w:t>any</w:t>
      </w:r>
      <w:r>
        <w:rPr>
          <w:spacing w:val="-6"/>
        </w:rPr>
        <w:t> </w:t>
      </w:r>
      <w:r>
        <w:rPr/>
        <w:t>residual</w:t>
      </w:r>
      <w:r>
        <w:rPr>
          <w:spacing w:val="-7"/>
        </w:rPr>
        <w:t> </w:t>
      </w:r>
      <w:r>
        <w:rPr/>
        <w:t>concerns</w:t>
      </w:r>
      <w:r>
        <w:rPr>
          <w:spacing w:val="-7"/>
        </w:rPr>
        <w:t> </w:t>
      </w:r>
      <w:r>
        <w:rPr/>
        <w:t>about</w:t>
      </w:r>
      <w:r>
        <w:rPr>
          <w:spacing w:val="-4"/>
        </w:rPr>
        <w:t> </w:t>
      </w:r>
      <w:r>
        <w:rPr/>
        <w:t>whether</w:t>
      </w:r>
      <w:r>
        <w:rPr>
          <w:spacing w:val="-7"/>
        </w:rPr>
        <w:t> </w:t>
      </w:r>
      <w:r>
        <w:rPr/>
        <w:t>it</w:t>
      </w:r>
      <w:r>
        <w:rPr>
          <w:spacing w:val="-7"/>
        </w:rPr>
        <w:t> </w:t>
      </w:r>
      <w:r>
        <w:rPr/>
        <w:t>has</w:t>
      </w:r>
      <w:r>
        <w:rPr>
          <w:spacing w:val="-7"/>
        </w:rPr>
        <w:t> </w:t>
      </w:r>
      <w:r>
        <w:rPr/>
        <w:t>the</w:t>
      </w:r>
      <w:r>
        <w:rPr>
          <w:spacing w:val="-7"/>
        </w:rPr>
        <w:t> </w:t>
      </w:r>
      <w:r>
        <w:rPr/>
        <w:t>will</w:t>
      </w:r>
      <w:r>
        <w:rPr>
          <w:spacing w:val="-6"/>
        </w:rPr>
        <w:t> </w:t>
      </w:r>
      <w:r>
        <w:rPr/>
        <w:t>or</w:t>
      </w:r>
      <w:r>
        <w:rPr>
          <w:spacing w:val="-6"/>
        </w:rPr>
        <w:t> </w:t>
      </w:r>
      <w:r>
        <w:rPr/>
        <w:t>means</w:t>
      </w:r>
      <w:r>
        <w:rPr>
          <w:spacing w:val="-6"/>
        </w:rPr>
        <w:t> </w:t>
      </w:r>
      <w:r>
        <w:rPr/>
        <w:t>to</w:t>
      </w:r>
      <w:r>
        <w:rPr>
          <w:spacing w:val="-6"/>
        </w:rPr>
        <w:t> </w:t>
      </w:r>
      <w:r>
        <w:rPr/>
        <w:t>meet</w:t>
      </w:r>
      <w:r>
        <w:rPr>
          <w:spacing w:val="-6"/>
        </w:rPr>
        <w:t> </w:t>
      </w:r>
      <w:r>
        <w:rPr/>
        <w:t>its</w:t>
      </w:r>
      <w:r>
        <w:rPr>
          <w:spacing w:val="-6"/>
        </w:rPr>
        <w:t> </w:t>
      </w:r>
      <w:r>
        <w:rPr/>
        <w:t>price</w:t>
      </w:r>
      <w:r>
        <w:rPr>
          <w:spacing w:val="-8"/>
        </w:rPr>
        <w:t> </w:t>
      </w:r>
      <w:r>
        <w:rPr/>
        <w:t>stability</w:t>
      </w:r>
      <w:r>
        <w:rPr>
          <w:spacing w:val="-6"/>
        </w:rPr>
        <w:t> </w:t>
      </w:r>
      <w:r>
        <w:rPr/>
        <w:t>mandate.</w:t>
      </w:r>
      <w:r>
        <w:rPr>
          <w:spacing w:val="40"/>
        </w:rPr>
        <w:t> </w:t>
      </w:r>
      <w:r>
        <w:rPr/>
        <w:t>By doing</w:t>
      </w:r>
      <w:r>
        <w:rPr>
          <w:spacing w:val="-8"/>
        </w:rPr>
        <w:t> </w:t>
      </w:r>
      <w:r>
        <w:rPr/>
        <w:t>so,</w:t>
      </w:r>
      <w:r>
        <w:rPr>
          <w:spacing w:val="-9"/>
        </w:rPr>
        <w:t> </w:t>
      </w:r>
      <w:r>
        <w:rPr/>
        <w:t>the</w:t>
      </w:r>
      <w:r>
        <w:rPr>
          <w:spacing w:val="-7"/>
        </w:rPr>
        <w:t> </w:t>
      </w:r>
      <w:r>
        <w:rPr/>
        <w:t>ECB</w:t>
      </w:r>
      <w:r>
        <w:rPr>
          <w:spacing w:val="-8"/>
        </w:rPr>
        <w:t> </w:t>
      </w:r>
      <w:r>
        <w:rPr/>
        <w:t>has</w:t>
      </w:r>
      <w:r>
        <w:rPr>
          <w:spacing w:val="-7"/>
        </w:rPr>
        <w:t> </w:t>
      </w:r>
      <w:r>
        <w:rPr/>
        <w:t>reduced</w:t>
      </w:r>
      <w:r>
        <w:rPr>
          <w:spacing w:val="-7"/>
        </w:rPr>
        <w:t> </w:t>
      </w:r>
      <w:r>
        <w:rPr/>
        <w:t>tail</w:t>
      </w:r>
      <w:r>
        <w:rPr>
          <w:spacing w:val="-8"/>
        </w:rPr>
        <w:t> </w:t>
      </w:r>
      <w:r>
        <w:rPr/>
        <w:t>risks</w:t>
      </w:r>
      <w:r>
        <w:rPr>
          <w:spacing w:val="-8"/>
        </w:rPr>
        <w:t> </w:t>
      </w:r>
      <w:r>
        <w:rPr/>
        <w:t>associated</w:t>
      </w:r>
      <w:r>
        <w:rPr>
          <w:spacing w:val="-7"/>
        </w:rPr>
        <w:t> </w:t>
      </w:r>
      <w:r>
        <w:rPr/>
        <w:t>with</w:t>
      </w:r>
      <w:r>
        <w:rPr>
          <w:spacing w:val="-8"/>
        </w:rPr>
        <w:t> </w:t>
      </w:r>
      <w:r>
        <w:rPr/>
        <w:t>the</w:t>
      </w:r>
      <w:r>
        <w:rPr>
          <w:spacing w:val="-8"/>
        </w:rPr>
        <w:t> </w:t>
      </w:r>
      <w:r>
        <w:rPr/>
        <w:t>debt</w:t>
      </w:r>
      <w:r>
        <w:rPr>
          <w:spacing w:val="-6"/>
        </w:rPr>
        <w:t> </w:t>
      </w:r>
      <w:r>
        <w:rPr/>
        <w:t>overhang</w:t>
      </w:r>
      <w:r>
        <w:rPr>
          <w:spacing w:val="-7"/>
        </w:rPr>
        <w:t> </w:t>
      </w:r>
      <w:r>
        <w:rPr/>
        <w:t>to</w:t>
      </w:r>
      <w:r>
        <w:rPr>
          <w:spacing w:val="-8"/>
        </w:rPr>
        <w:t> </w:t>
      </w:r>
      <w:r>
        <w:rPr/>
        <w:t>the</w:t>
      </w:r>
      <w:r>
        <w:rPr>
          <w:spacing w:val="-8"/>
        </w:rPr>
        <w:t> </w:t>
      </w:r>
      <w:r>
        <w:rPr/>
        <w:t>extent</w:t>
      </w:r>
      <w:r>
        <w:rPr>
          <w:spacing w:val="-7"/>
        </w:rPr>
        <w:t> </w:t>
      </w:r>
      <w:r>
        <w:rPr/>
        <w:t>monetary</w:t>
      </w:r>
      <w:r>
        <w:rPr>
          <w:spacing w:val="-8"/>
        </w:rPr>
        <w:t> </w:t>
      </w:r>
      <w:r>
        <w:rPr/>
        <w:t>policy</w:t>
      </w:r>
      <w:r>
        <w:rPr>
          <w:spacing w:val="-8"/>
        </w:rPr>
        <w:t> </w:t>
      </w:r>
      <w:r>
        <w:rPr/>
        <w:t>can or</w:t>
      </w:r>
      <w:r>
        <w:rPr>
          <w:spacing w:val="-2"/>
        </w:rPr>
        <w:t> </w:t>
      </w:r>
      <w:r>
        <w:rPr/>
        <w:t>should.</w:t>
      </w:r>
    </w:p>
    <w:p>
      <w:pPr>
        <w:pStyle w:val="BodyText"/>
        <w:spacing w:before="7"/>
        <w:rPr>
          <w:sz w:val="28"/>
        </w:rPr>
      </w:pPr>
    </w:p>
    <w:p>
      <w:pPr>
        <w:pStyle w:val="BodyText"/>
        <w:spacing w:line="355" w:lineRule="auto"/>
        <w:ind w:left="226" w:right="706"/>
      </w:pPr>
      <w:r>
        <w:rPr/>
        <w:t>However, the ECB alone cannot eliminate the risks of a prolonged stagnation. These exist primarily because, in most respects, the current construction of the euro area is unfinished.</w:t>
      </w:r>
      <w:r>
        <w:rPr>
          <w:vertAlign w:val="superscript"/>
        </w:rPr>
        <w:t>16</w:t>
      </w:r>
    </w:p>
    <w:p>
      <w:pPr>
        <w:pStyle w:val="BodyText"/>
        <w:spacing w:before="5"/>
        <w:rPr>
          <w:sz w:val="28"/>
        </w:rPr>
      </w:pPr>
    </w:p>
    <w:p>
      <w:pPr>
        <w:pStyle w:val="BodyText"/>
        <w:spacing w:line="357" w:lineRule="auto"/>
        <w:ind w:left="226" w:right="166"/>
      </w:pPr>
      <w:r>
        <w:rPr/>
        <w:t>With limited cross-border banking in the euro area, savings don’t flow to potential investments. Euro-area corporates’</w:t>
      </w:r>
      <w:r>
        <w:rPr>
          <w:spacing w:val="-7"/>
        </w:rPr>
        <w:t> </w:t>
      </w:r>
      <w:r>
        <w:rPr/>
        <w:t>cash</w:t>
      </w:r>
      <w:r>
        <w:rPr>
          <w:spacing w:val="-6"/>
        </w:rPr>
        <w:t> </w:t>
      </w:r>
      <w:r>
        <w:rPr/>
        <w:t>balances</w:t>
      </w:r>
      <w:r>
        <w:rPr>
          <w:spacing w:val="-6"/>
        </w:rPr>
        <w:t> </w:t>
      </w:r>
      <w:r>
        <w:rPr/>
        <w:t>have</w:t>
      </w:r>
      <w:r>
        <w:rPr>
          <w:spacing w:val="-7"/>
        </w:rPr>
        <w:t> </w:t>
      </w:r>
      <w:r>
        <w:rPr/>
        <w:t>risen</w:t>
      </w:r>
      <w:r>
        <w:rPr>
          <w:spacing w:val="-7"/>
        </w:rPr>
        <w:t> </w:t>
      </w:r>
      <w:r>
        <w:rPr/>
        <w:t>to</w:t>
      </w:r>
      <w:r>
        <w:rPr>
          <w:spacing w:val="-5"/>
        </w:rPr>
        <w:t> </w:t>
      </w:r>
      <w:r>
        <w:rPr/>
        <w:t>the</w:t>
      </w:r>
      <w:r>
        <w:rPr>
          <w:spacing w:val="-6"/>
        </w:rPr>
        <w:t> </w:t>
      </w:r>
      <w:r>
        <w:rPr/>
        <w:t>tune</w:t>
      </w:r>
      <w:r>
        <w:rPr>
          <w:spacing w:val="-7"/>
        </w:rPr>
        <w:t> </w:t>
      </w:r>
      <w:r>
        <w:rPr/>
        <w:t>of</w:t>
      </w:r>
      <w:r>
        <w:rPr>
          <w:spacing w:val="-6"/>
        </w:rPr>
        <w:t> </w:t>
      </w:r>
      <w:r>
        <w:rPr/>
        <w:t>€420</w:t>
      </w:r>
      <w:r>
        <w:rPr>
          <w:spacing w:val="-7"/>
        </w:rPr>
        <w:t> </w:t>
      </w:r>
      <w:r>
        <w:rPr/>
        <w:t>billion,</w:t>
      </w:r>
      <w:r>
        <w:rPr>
          <w:spacing w:val="-5"/>
        </w:rPr>
        <w:t> </w:t>
      </w:r>
      <w:r>
        <w:rPr/>
        <w:t>or</w:t>
      </w:r>
      <w:r>
        <w:rPr>
          <w:spacing w:val="-7"/>
        </w:rPr>
        <w:t> </w:t>
      </w:r>
      <w:r>
        <w:rPr/>
        <w:t>3%</w:t>
      </w:r>
      <w:r>
        <w:rPr>
          <w:spacing w:val="-7"/>
        </w:rPr>
        <w:t> </w:t>
      </w:r>
      <w:r>
        <w:rPr/>
        <w:t>of</w:t>
      </w:r>
      <w:r>
        <w:rPr>
          <w:spacing w:val="-8"/>
        </w:rPr>
        <w:t> </w:t>
      </w:r>
      <w:r>
        <w:rPr/>
        <w:t>GDP,</w:t>
      </w:r>
      <w:r>
        <w:rPr>
          <w:spacing w:val="-6"/>
        </w:rPr>
        <w:t> </w:t>
      </w:r>
      <w:r>
        <w:rPr/>
        <w:t>since</w:t>
      </w:r>
      <w:r>
        <w:rPr>
          <w:spacing w:val="-6"/>
        </w:rPr>
        <w:t> </w:t>
      </w:r>
      <w:r>
        <w:rPr/>
        <w:t>the</w:t>
      </w:r>
      <w:r>
        <w:rPr>
          <w:spacing w:val="-8"/>
        </w:rPr>
        <w:t> </w:t>
      </w:r>
      <w:r>
        <w:rPr/>
        <w:t>crisis,</w:t>
      </w:r>
      <w:r>
        <w:rPr>
          <w:spacing w:val="-8"/>
        </w:rPr>
        <w:t> </w:t>
      </w:r>
      <w:r>
        <w:rPr/>
        <w:t>for</w:t>
      </w:r>
      <w:r>
        <w:rPr>
          <w:spacing w:val="-6"/>
        </w:rPr>
        <w:t> </w:t>
      </w:r>
      <w:r>
        <w:rPr/>
        <w:t>example. Modest cross-border equity flows mean inadequate risk sharing. Moreover, by design, there are virtually no cross-border fiscal flows so fiscal space is separated from fiscal</w:t>
      </w:r>
      <w:r>
        <w:rPr>
          <w:spacing w:val="-21"/>
        </w:rPr>
        <w:t> </w:t>
      </w:r>
      <w:r>
        <w:rPr/>
        <w:t>needs.</w:t>
      </w:r>
    </w:p>
    <w:p>
      <w:pPr>
        <w:pStyle w:val="BodyText"/>
        <w:spacing w:before="10"/>
        <w:rPr>
          <w:sz w:val="27"/>
        </w:rPr>
      </w:pPr>
    </w:p>
    <w:p>
      <w:pPr>
        <w:pStyle w:val="Heading1"/>
      </w:pPr>
      <w:r>
        <w:rPr/>
        <w:t>The burden of adjustment has been concentrated on efforts to improve competitiveness.</w:t>
      </w:r>
    </w:p>
    <w:p>
      <w:pPr>
        <w:pStyle w:val="BodyText"/>
        <w:rPr>
          <w:b/>
          <w:sz w:val="20"/>
        </w:rPr>
      </w:pPr>
    </w:p>
    <w:p>
      <w:pPr>
        <w:pStyle w:val="BodyText"/>
        <w:spacing w:before="6"/>
        <w:rPr>
          <w:b/>
          <w:sz w:val="17"/>
        </w:rPr>
      </w:pPr>
    </w:p>
    <w:p>
      <w:pPr>
        <w:pStyle w:val="BodyText"/>
        <w:spacing w:line="357" w:lineRule="auto"/>
        <w:ind w:left="226"/>
      </w:pPr>
      <w:r>
        <w:rPr/>
        <w:t>Some of these efforts are entirely worthy. Boosting productivity reduces the burden of a debt overhang as extra supply creates extra demand and incomes. But that takes time, during which debt dynamics may become oppressive.</w:t>
      </w:r>
    </w:p>
    <w:p>
      <w:pPr>
        <w:pStyle w:val="BodyText"/>
        <w:rPr>
          <w:sz w:val="28"/>
        </w:rPr>
      </w:pPr>
    </w:p>
    <w:p>
      <w:pPr>
        <w:pStyle w:val="BodyText"/>
        <w:spacing w:line="357" w:lineRule="auto"/>
        <w:ind w:left="226" w:right="218"/>
        <w:jc w:val="both"/>
      </w:pPr>
      <w:r>
        <w:rPr/>
        <w:t>Improved</w:t>
      </w:r>
      <w:r>
        <w:rPr>
          <w:spacing w:val="-8"/>
        </w:rPr>
        <w:t> </w:t>
      </w:r>
      <w:r>
        <w:rPr/>
        <w:t>competitiveness</w:t>
      </w:r>
      <w:r>
        <w:rPr>
          <w:spacing w:val="-5"/>
        </w:rPr>
        <w:t> </w:t>
      </w:r>
      <w:r>
        <w:rPr/>
        <w:t>will</w:t>
      </w:r>
      <w:r>
        <w:rPr>
          <w:spacing w:val="-7"/>
        </w:rPr>
        <w:t> </w:t>
      </w:r>
      <w:r>
        <w:rPr/>
        <w:t>also</w:t>
      </w:r>
      <w:r>
        <w:rPr>
          <w:spacing w:val="-7"/>
        </w:rPr>
        <w:t> </w:t>
      </w:r>
      <w:r>
        <w:rPr/>
        <w:t>support</w:t>
      </w:r>
      <w:r>
        <w:rPr>
          <w:spacing w:val="-5"/>
        </w:rPr>
        <w:t> </w:t>
      </w:r>
      <w:r>
        <w:rPr/>
        <w:t>exports</w:t>
      </w:r>
      <w:r>
        <w:rPr>
          <w:spacing w:val="-7"/>
        </w:rPr>
        <w:t> </w:t>
      </w:r>
      <w:r>
        <w:rPr/>
        <w:t>to</w:t>
      </w:r>
      <w:r>
        <w:rPr>
          <w:spacing w:val="-7"/>
        </w:rPr>
        <w:t> </w:t>
      </w:r>
      <w:r>
        <w:rPr/>
        <w:t>the</w:t>
      </w:r>
      <w:r>
        <w:rPr>
          <w:spacing w:val="-8"/>
        </w:rPr>
        <w:t> </w:t>
      </w:r>
      <w:r>
        <w:rPr/>
        <w:t>rest</w:t>
      </w:r>
      <w:r>
        <w:rPr>
          <w:spacing w:val="-7"/>
        </w:rPr>
        <w:t> </w:t>
      </w:r>
      <w:r>
        <w:rPr/>
        <w:t>of</w:t>
      </w:r>
      <w:r>
        <w:rPr>
          <w:spacing w:val="-7"/>
        </w:rPr>
        <w:t> </w:t>
      </w:r>
      <w:r>
        <w:rPr/>
        <w:t>the</w:t>
      </w:r>
      <w:r>
        <w:rPr>
          <w:spacing w:val="-5"/>
        </w:rPr>
        <w:t> </w:t>
      </w:r>
      <w:r>
        <w:rPr/>
        <w:t>world,</w:t>
      </w:r>
      <w:r>
        <w:rPr>
          <w:spacing w:val="-6"/>
        </w:rPr>
        <w:t> </w:t>
      </w:r>
      <w:r>
        <w:rPr/>
        <w:t>but</w:t>
      </w:r>
      <w:r>
        <w:rPr>
          <w:spacing w:val="-6"/>
        </w:rPr>
        <w:t> </w:t>
      </w:r>
      <w:r>
        <w:rPr/>
        <w:t>it</w:t>
      </w:r>
      <w:r>
        <w:rPr>
          <w:spacing w:val="-5"/>
        </w:rPr>
        <w:t> </w:t>
      </w:r>
      <w:r>
        <w:rPr/>
        <w:t>is</w:t>
      </w:r>
      <w:r>
        <w:rPr>
          <w:spacing w:val="-6"/>
        </w:rPr>
        <w:t> </w:t>
      </w:r>
      <w:r>
        <w:rPr/>
        <w:t>unlikely</w:t>
      </w:r>
      <w:r>
        <w:rPr>
          <w:spacing w:val="-7"/>
        </w:rPr>
        <w:t> </w:t>
      </w:r>
      <w:r>
        <w:rPr/>
        <w:t>to</w:t>
      </w:r>
      <w:r>
        <w:rPr>
          <w:spacing w:val="-7"/>
        </w:rPr>
        <w:t> </w:t>
      </w:r>
      <w:r>
        <w:rPr/>
        <w:t>be</w:t>
      </w:r>
      <w:r>
        <w:rPr>
          <w:spacing w:val="-8"/>
        </w:rPr>
        <w:t> </w:t>
      </w:r>
      <w:r>
        <w:rPr/>
        <w:t>decisive</w:t>
      </w:r>
      <w:r>
        <w:rPr>
          <w:spacing w:val="-8"/>
        </w:rPr>
        <w:t> </w:t>
      </w:r>
      <w:r>
        <w:rPr/>
        <w:t>in a</w:t>
      </w:r>
      <w:r>
        <w:rPr>
          <w:spacing w:val="-8"/>
        </w:rPr>
        <w:t> </w:t>
      </w:r>
      <w:r>
        <w:rPr/>
        <w:t>listless</w:t>
      </w:r>
      <w:r>
        <w:rPr>
          <w:spacing w:val="-5"/>
        </w:rPr>
        <w:t> </w:t>
      </w:r>
      <w:r>
        <w:rPr/>
        <w:t>world</w:t>
      </w:r>
      <w:r>
        <w:rPr>
          <w:spacing w:val="-7"/>
        </w:rPr>
        <w:t> </w:t>
      </w:r>
      <w:r>
        <w:rPr/>
        <w:t>economy.</w:t>
      </w:r>
      <w:r>
        <w:rPr>
          <w:spacing w:val="41"/>
        </w:rPr>
        <w:t> </w:t>
      </w:r>
      <w:r>
        <w:rPr/>
        <w:t>More</w:t>
      </w:r>
      <w:r>
        <w:rPr>
          <w:spacing w:val="-7"/>
        </w:rPr>
        <w:t> </w:t>
      </w:r>
      <w:r>
        <w:rPr/>
        <w:t>important</w:t>
      </w:r>
      <w:r>
        <w:rPr>
          <w:spacing w:val="-6"/>
        </w:rPr>
        <w:t> </w:t>
      </w:r>
      <w:r>
        <w:rPr/>
        <w:t>for</w:t>
      </w:r>
      <w:r>
        <w:rPr>
          <w:spacing w:val="-7"/>
        </w:rPr>
        <w:t> </w:t>
      </w:r>
      <w:r>
        <w:rPr/>
        <w:t>a</w:t>
      </w:r>
      <w:r>
        <w:rPr>
          <w:spacing w:val="-9"/>
        </w:rPr>
        <w:t> </w:t>
      </w:r>
      <w:r>
        <w:rPr>
          <w:i/>
        </w:rPr>
        <w:t>given</w:t>
      </w:r>
      <w:r>
        <w:rPr>
          <w:i/>
          <w:spacing w:val="-7"/>
        </w:rPr>
        <w:t> </w:t>
      </w:r>
      <w:r>
        <w:rPr>
          <w:i/>
        </w:rPr>
        <w:t>country</w:t>
      </w:r>
      <w:r>
        <w:rPr>
          <w:i/>
          <w:spacing w:val="-6"/>
        </w:rPr>
        <w:t> </w:t>
      </w:r>
      <w:r>
        <w:rPr/>
        <w:t>in</w:t>
      </w:r>
      <w:r>
        <w:rPr>
          <w:spacing w:val="-7"/>
        </w:rPr>
        <w:t> </w:t>
      </w:r>
      <w:r>
        <w:rPr/>
        <w:t>the</w:t>
      </w:r>
      <w:r>
        <w:rPr>
          <w:spacing w:val="-6"/>
        </w:rPr>
        <w:t> </w:t>
      </w:r>
      <w:r>
        <w:rPr/>
        <w:t>euro</w:t>
      </w:r>
      <w:r>
        <w:rPr>
          <w:spacing w:val="-6"/>
        </w:rPr>
        <w:t> </w:t>
      </w:r>
      <w:r>
        <w:rPr/>
        <w:t>area</w:t>
      </w:r>
      <w:r>
        <w:rPr>
          <w:spacing w:val="-7"/>
        </w:rPr>
        <w:t> </w:t>
      </w:r>
      <w:r>
        <w:rPr/>
        <w:t>is</w:t>
      </w:r>
      <w:r>
        <w:rPr>
          <w:spacing w:val="-8"/>
        </w:rPr>
        <w:t> </w:t>
      </w:r>
      <w:r>
        <w:rPr/>
        <w:t>to</w:t>
      </w:r>
      <w:r>
        <w:rPr>
          <w:spacing w:val="-8"/>
        </w:rPr>
        <w:t> </w:t>
      </w:r>
      <w:r>
        <w:rPr/>
        <w:t>improve</w:t>
      </w:r>
      <w:r>
        <w:rPr>
          <w:spacing w:val="-7"/>
        </w:rPr>
        <w:t> </w:t>
      </w:r>
      <w:r>
        <w:rPr/>
        <w:t>competitiveness against other members via internal devaluation. As you know, this is not easy.</w:t>
      </w:r>
      <w:r>
        <w:rPr>
          <w:vertAlign w:val="superscript"/>
        </w:rPr>
        <w:t>17</w:t>
      </w:r>
      <w:r>
        <w:rPr>
          <w:spacing w:val="3"/>
          <w:vertAlign w:val="baseline"/>
        </w:rPr>
        <w:t> </w:t>
      </w:r>
      <w:r>
        <w:rPr>
          <w:vertAlign w:val="superscript"/>
        </w:rPr>
        <w:t>18</w:t>
      </w:r>
    </w:p>
    <w:p>
      <w:pPr>
        <w:pStyle w:val="BodyText"/>
        <w:rPr>
          <w:sz w:val="28"/>
        </w:rPr>
      </w:pPr>
    </w:p>
    <w:p>
      <w:pPr>
        <w:pStyle w:val="BodyText"/>
        <w:spacing w:line="355" w:lineRule="auto"/>
        <w:ind w:left="226" w:right="197"/>
      </w:pPr>
      <w:r>
        <w:rPr/>
        <w:t>Irish workers and citizens deserve great credit for the flexibility they have shown. Wages in Ireland fell by almost 9%. In Spain they rose by 3%. Even though Irish unemployment rose to painfully high rates, it peaked at only a little over half the rate reached in Spain.</w:t>
      </w:r>
    </w:p>
    <w:p>
      <w:pPr>
        <w:pStyle w:val="BodyText"/>
        <w:spacing w:before="5"/>
        <w:rPr>
          <w:sz w:val="28"/>
        </w:rPr>
      </w:pPr>
    </w:p>
    <w:p>
      <w:pPr>
        <w:pStyle w:val="BodyText"/>
        <w:spacing w:line="357" w:lineRule="auto"/>
        <w:ind w:left="226" w:right="197"/>
      </w:pPr>
      <w:r>
        <w:rPr/>
        <w:t>That</w:t>
      </w:r>
      <w:r>
        <w:rPr>
          <w:spacing w:val="-9"/>
        </w:rPr>
        <w:t> </w:t>
      </w:r>
      <w:r>
        <w:rPr/>
        <w:t>flexibility,</w:t>
      </w:r>
      <w:r>
        <w:rPr>
          <w:spacing w:val="-8"/>
        </w:rPr>
        <w:t> </w:t>
      </w:r>
      <w:r>
        <w:rPr/>
        <w:t>by</w:t>
      </w:r>
      <w:r>
        <w:rPr>
          <w:spacing w:val="-9"/>
        </w:rPr>
        <w:t> </w:t>
      </w:r>
      <w:r>
        <w:rPr/>
        <w:t>keeping</w:t>
      </w:r>
      <w:r>
        <w:rPr>
          <w:spacing w:val="-11"/>
        </w:rPr>
        <w:t> </w:t>
      </w:r>
      <w:r>
        <w:rPr/>
        <w:t>unemployment</w:t>
      </w:r>
      <w:r>
        <w:rPr>
          <w:spacing w:val="-10"/>
        </w:rPr>
        <w:t> </w:t>
      </w:r>
      <w:r>
        <w:rPr/>
        <w:t>lower</w:t>
      </w:r>
      <w:r>
        <w:rPr>
          <w:spacing w:val="-9"/>
        </w:rPr>
        <w:t> </w:t>
      </w:r>
      <w:r>
        <w:rPr/>
        <w:t>than</w:t>
      </w:r>
      <w:r>
        <w:rPr>
          <w:spacing w:val="-8"/>
        </w:rPr>
        <w:t> </w:t>
      </w:r>
      <w:r>
        <w:rPr/>
        <w:t>otherwise,</w:t>
      </w:r>
      <w:r>
        <w:rPr>
          <w:spacing w:val="-10"/>
        </w:rPr>
        <w:t> </w:t>
      </w:r>
      <w:r>
        <w:rPr/>
        <w:t>has</w:t>
      </w:r>
      <w:r>
        <w:rPr>
          <w:spacing w:val="-9"/>
        </w:rPr>
        <w:t> </w:t>
      </w:r>
      <w:r>
        <w:rPr/>
        <w:t>undoubtedly</w:t>
      </w:r>
      <w:r>
        <w:rPr>
          <w:spacing w:val="-10"/>
        </w:rPr>
        <w:t> </w:t>
      </w:r>
      <w:r>
        <w:rPr/>
        <w:t>helped</w:t>
      </w:r>
      <w:r>
        <w:rPr>
          <w:spacing w:val="-10"/>
        </w:rPr>
        <w:t> </w:t>
      </w:r>
      <w:r>
        <w:rPr/>
        <w:t>to</w:t>
      </w:r>
      <w:r>
        <w:rPr>
          <w:spacing w:val="-9"/>
        </w:rPr>
        <w:t> </w:t>
      </w:r>
      <w:r>
        <w:rPr/>
        <w:t>reduce</w:t>
      </w:r>
      <w:r>
        <w:rPr>
          <w:spacing w:val="-10"/>
        </w:rPr>
        <w:t> </w:t>
      </w:r>
      <w:r>
        <w:rPr/>
        <w:t>the</w:t>
      </w:r>
      <w:r>
        <w:rPr>
          <w:spacing w:val="-11"/>
        </w:rPr>
        <w:t> </w:t>
      </w:r>
      <w:r>
        <w:rPr/>
        <w:t>risk that high unemployment becomes entrenched and destroys future economic</w:t>
      </w:r>
      <w:r>
        <w:rPr>
          <w:spacing w:val="-28"/>
        </w:rPr>
        <w:t> </w:t>
      </w:r>
      <w:r>
        <w:rPr/>
        <w:t>capacity.</w:t>
      </w:r>
    </w:p>
    <w:p>
      <w:pPr>
        <w:pStyle w:val="BodyText"/>
        <w:rPr>
          <w:sz w:val="14"/>
        </w:rPr>
      </w:pPr>
      <w:r>
        <w:rPr/>
        <w:pict>
          <v:shape style="position:absolute;margin-left:79.320pt;margin-top:10.273496pt;width:135.5pt;height:.1pt;mso-position-horizontal-relative:page;mso-position-vertical-relative:paragraph;z-index:-251651072;mso-wrap-distance-left:0;mso-wrap-distance-right:0" coordorigin="1586,205" coordsize="2710,0" path="m1586,205l4296,205e" filled="false" stroked="true" strokeweight=".48pt" strokecolor="#000000">
            <v:path arrowok="t"/>
            <v:stroke dashstyle="solid"/>
            <w10:wrap type="topAndBottom"/>
          </v:shape>
        </w:pict>
      </w:r>
    </w:p>
    <w:p>
      <w:pPr>
        <w:spacing w:before="26"/>
        <w:ind w:left="226" w:right="0" w:firstLine="0"/>
        <w:jc w:val="left"/>
        <w:rPr>
          <w:sz w:val="15"/>
        </w:rPr>
      </w:pPr>
      <w:r>
        <w:rPr>
          <w:position w:val="8"/>
          <w:sz w:val="9"/>
        </w:rPr>
        <w:t>15 </w:t>
      </w:r>
      <w:r>
        <w:rPr>
          <w:sz w:val="15"/>
        </w:rPr>
        <w:t>Aggregate euro-area household debt was 61% of GDP in 2007 and stood at 64% in 2013. The corresponding figures for non-financial corporates were 94% in 2007 and 100% in 2013 and 66% and 92% respectively in the aggregate government sector.</w:t>
      </w:r>
    </w:p>
    <w:p>
      <w:pPr>
        <w:spacing w:line="172" w:lineRule="exact" w:before="5"/>
        <w:ind w:left="226" w:right="0" w:firstLine="0"/>
        <w:jc w:val="left"/>
        <w:rPr>
          <w:sz w:val="15"/>
        </w:rPr>
      </w:pPr>
      <w:r>
        <w:rPr>
          <w:position w:val="8"/>
          <w:sz w:val="9"/>
        </w:rPr>
        <w:t>16 </w:t>
      </w:r>
      <w:r>
        <w:rPr>
          <w:sz w:val="15"/>
        </w:rPr>
        <w:t>As President Draghi recently said, EMU is incomplete and there is unfinished business. See Draghi (2014), “Stability and prosperity in monetary union”, speech at the University of Helsinki, Helsinki, 27 November 2014.</w:t>
      </w:r>
    </w:p>
    <w:p>
      <w:pPr>
        <w:spacing w:line="172" w:lineRule="exact" w:before="2"/>
        <w:ind w:left="226" w:right="197" w:firstLine="0"/>
        <w:jc w:val="left"/>
        <w:rPr>
          <w:sz w:val="15"/>
        </w:rPr>
      </w:pPr>
      <w:r>
        <w:rPr>
          <w:position w:val="8"/>
          <w:sz w:val="9"/>
        </w:rPr>
        <w:t>17 </w:t>
      </w:r>
      <w:r>
        <w:rPr>
          <w:sz w:val="15"/>
        </w:rPr>
        <w:t>A truth laid bare by the large flow of people out of the Irish economy, overwhelmingly to economies outside the euro area, since the crisis (</w:t>
      </w:r>
      <w:r>
        <w:rPr>
          <w:b/>
          <w:sz w:val="15"/>
        </w:rPr>
        <w:t>Chart 5</w:t>
      </w:r>
      <w:r>
        <w:rPr>
          <w:sz w:val="15"/>
        </w:rPr>
        <w:t>)</w:t>
      </w:r>
    </w:p>
    <w:p>
      <w:pPr>
        <w:spacing w:line="171" w:lineRule="exact" w:before="0"/>
        <w:ind w:left="226" w:right="0" w:firstLine="0"/>
        <w:jc w:val="left"/>
        <w:rPr>
          <w:sz w:val="15"/>
        </w:rPr>
      </w:pPr>
      <w:r>
        <w:rPr>
          <w:position w:val="8"/>
          <w:sz w:val="9"/>
        </w:rPr>
        <w:t>18 </w:t>
      </w:r>
      <w:r>
        <w:rPr>
          <w:sz w:val="15"/>
        </w:rPr>
        <w:t>The only way to recycle surplus savings in peripheral economies has been to export them. But since peripheral countries are not the</w:t>
      </w:r>
    </w:p>
    <w:p>
      <w:pPr>
        <w:spacing w:before="2"/>
        <w:ind w:left="226" w:right="123" w:firstLine="0"/>
        <w:jc w:val="left"/>
        <w:rPr>
          <w:sz w:val="15"/>
        </w:rPr>
      </w:pPr>
      <w:r>
        <w:rPr>
          <w:sz w:val="15"/>
        </w:rPr>
        <w:t>average euro area economy, the euro exchange rate has not depreciated as far as would be warranted for them alone. To move to running a current account surplus, they have needed to undergo painful internal devaluation against the core countries of the euro area, by driving down demand, prices and wages. The current account of Ireland has moved from a deficit of 6.6% of GDP to a surplus of almost 6% today.</w:t>
      </w:r>
    </w:p>
    <w:p>
      <w:pPr>
        <w:spacing w:after="0"/>
        <w:jc w:val="left"/>
        <w:rPr>
          <w:sz w:val="15"/>
        </w:rPr>
        <w:sectPr>
          <w:footerReference w:type="default" r:id="rId13"/>
          <w:pgSz w:w="12240" w:h="15840"/>
          <w:pgMar w:footer="1240" w:header="0" w:top="1420" w:bottom="1440" w:left="1360" w:right="1480"/>
        </w:sectPr>
      </w:pPr>
    </w:p>
    <w:p>
      <w:pPr>
        <w:pStyle w:val="BodyText"/>
        <w:spacing w:before="80"/>
        <w:ind w:left="226"/>
      </w:pPr>
      <w:r>
        <w:rPr/>
        <w:t>For</w:t>
      </w:r>
      <w:r>
        <w:rPr>
          <w:spacing w:val="-9"/>
        </w:rPr>
        <w:t> </w:t>
      </w:r>
      <w:r>
        <w:rPr/>
        <w:t>three</w:t>
      </w:r>
      <w:r>
        <w:rPr>
          <w:spacing w:val="-10"/>
        </w:rPr>
        <w:t> </w:t>
      </w:r>
      <w:r>
        <w:rPr/>
        <w:t>reasons</w:t>
      </w:r>
      <w:r>
        <w:rPr>
          <w:spacing w:val="-7"/>
        </w:rPr>
        <w:t> </w:t>
      </w:r>
      <w:r>
        <w:rPr/>
        <w:t>it</w:t>
      </w:r>
      <w:r>
        <w:rPr>
          <w:spacing w:val="-9"/>
        </w:rPr>
        <w:t> </w:t>
      </w:r>
      <w:r>
        <w:rPr/>
        <w:t>is</w:t>
      </w:r>
      <w:r>
        <w:rPr>
          <w:spacing w:val="-8"/>
        </w:rPr>
        <w:t> </w:t>
      </w:r>
      <w:r>
        <w:rPr/>
        <w:t>no</w:t>
      </w:r>
      <w:r>
        <w:rPr>
          <w:spacing w:val="-9"/>
        </w:rPr>
        <w:t> </w:t>
      </w:r>
      <w:r>
        <w:rPr/>
        <w:t>panacea,</w:t>
      </w:r>
      <w:r>
        <w:rPr>
          <w:spacing w:val="-9"/>
        </w:rPr>
        <w:t> </w:t>
      </w:r>
      <w:r>
        <w:rPr/>
        <w:t>however.</w:t>
      </w:r>
    </w:p>
    <w:p>
      <w:pPr>
        <w:pStyle w:val="BodyText"/>
        <w:rPr>
          <w:sz w:val="20"/>
        </w:rPr>
      </w:pPr>
    </w:p>
    <w:p>
      <w:pPr>
        <w:pStyle w:val="BodyText"/>
        <w:spacing w:before="5"/>
        <w:rPr>
          <w:sz w:val="17"/>
        </w:rPr>
      </w:pPr>
    </w:p>
    <w:p>
      <w:pPr>
        <w:pStyle w:val="BodyText"/>
        <w:spacing w:line="357" w:lineRule="auto"/>
        <w:ind w:left="226" w:right="706"/>
      </w:pPr>
      <w:r>
        <w:rPr/>
        <w:t>First, internal devaluations simply reallocate demand within the currency union. They do not boost aggregate</w:t>
      </w:r>
      <w:r>
        <w:rPr>
          <w:spacing w:val="-8"/>
        </w:rPr>
        <w:t> </w:t>
      </w:r>
      <w:r>
        <w:rPr/>
        <w:t>demand</w:t>
      </w:r>
      <w:r>
        <w:rPr>
          <w:spacing w:val="-7"/>
        </w:rPr>
        <w:t> </w:t>
      </w:r>
      <w:r>
        <w:rPr/>
        <w:t>in</w:t>
      </w:r>
      <w:r>
        <w:rPr>
          <w:spacing w:val="-8"/>
        </w:rPr>
        <w:t> </w:t>
      </w:r>
      <w:r>
        <w:rPr/>
        <w:t>the</w:t>
      </w:r>
      <w:r>
        <w:rPr>
          <w:spacing w:val="-7"/>
        </w:rPr>
        <w:t> </w:t>
      </w:r>
      <w:r>
        <w:rPr/>
        <w:t>euro</w:t>
      </w:r>
      <w:r>
        <w:rPr>
          <w:spacing w:val="-7"/>
        </w:rPr>
        <w:t> </w:t>
      </w:r>
      <w:r>
        <w:rPr/>
        <w:t>area</w:t>
      </w:r>
      <w:r>
        <w:rPr>
          <w:spacing w:val="-8"/>
        </w:rPr>
        <w:t> </w:t>
      </w:r>
      <w:r>
        <w:rPr/>
        <w:t>as</w:t>
      </w:r>
      <w:r>
        <w:rPr>
          <w:spacing w:val="-5"/>
        </w:rPr>
        <w:t> </w:t>
      </w:r>
      <w:r>
        <w:rPr/>
        <w:t>a</w:t>
      </w:r>
      <w:r>
        <w:rPr>
          <w:spacing w:val="-7"/>
        </w:rPr>
        <w:t> </w:t>
      </w:r>
      <w:r>
        <w:rPr/>
        <w:t>whole.</w:t>
      </w:r>
      <w:r>
        <w:rPr>
          <w:spacing w:val="31"/>
        </w:rPr>
        <w:t> </w:t>
      </w:r>
      <w:r>
        <w:rPr/>
        <w:t>Put</w:t>
      </w:r>
      <w:r>
        <w:rPr>
          <w:spacing w:val="-8"/>
        </w:rPr>
        <w:t> </w:t>
      </w:r>
      <w:r>
        <w:rPr/>
        <w:t>another</w:t>
      </w:r>
      <w:r>
        <w:rPr>
          <w:spacing w:val="-7"/>
        </w:rPr>
        <w:t> </w:t>
      </w:r>
      <w:r>
        <w:rPr/>
        <w:t>way,</w:t>
      </w:r>
      <w:r>
        <w:rPr>
          <w:spacing w:val="-5"/>
        </w:rPr>
        <w:t> </w:t>
      </w:r>
      <w:r>
        <w:rPr/>
        <w:t>since</w:t>
      </w:r>
      <w:r>
        <w:rPr>
          <w:spacing w:val="-7"/>
        </w:rPr>
        <w:t> </w:t>
      </w:r>
      <w:r>
        <w:rPr/>
        <w:t>competitiveness</w:t>
      </w:r>
      <w:r>
        <w:rPr>
          <w:spacing w:val="-6"/>
        </w:rPr>
        <w:t> </w:t>
      </w:r>
      <w:r>
        <w:rPr/>
        <w:t>is</w:t>
      </w:r>
      <w:r>
        <w:rPr>
          <w:spacing w:val="-7"/>
        </w:rPr>
        <w:t> </w:t>
      </w:r>
      <w:r>
        <w:rPr/>
        <w:t>relative,</w:t>
      </w:r>
      <w:r>
        <w:rPr>
          <w:spacing w:val="-8"/>
        </w:rPr>
        <w:t> </w:t>
      </w:r>
      <w:r>
        <w:rPr/>
        <w:t>a solution for some cannot be a solution for</w:t>
      </w:r>
      <w:r>
        <w:rPr>
          <w:spacing w:val="-14"/>
        </w:rPr>
        <w:t> </w:t>
      </w:r>
      <w:r>
        <w:rPr/>
        <w:t>all.</w:t>
      </w:r>
    </w:p>
    <w:p>
      <w:pPr>
        <w:pStyle w:val="BodyText"/>
        <w:spacing w:before="11"/>
        <w:rPr>
          <w:sz w:val="27"/>
        </w:rPr>
      </w:pPr>
    </w:p>
    <w:p>
      <w:pPr>
        <w:pStyle w:val="BodyText"/>
        <w:spacing w:line="355" w:lineRule="auto"/>
        <w:ind w:left="226" w:right="821"/>
      </w:pPr>
      <w:r>
        <w:rPr/>
        <w:t>Second, the degree of flexibility is not just an abstract economic choice; it is also a political one that determines the burden of risk sharing between labour, firms, and the state.</w:t>
      </w:r>
      <w:r>
        <w:rPr>
          <w:vertAlign w:val="superscript"/>
        </w:rPr>
        <w:t>19</w:t>
      </w:r>
    </w:p>
    <w:p>
      <w:pPr>
        <w:pStyle w:val="BodyText"/>
        <w:spacing w:before="4"/>
        <w:rPr>
          <w:sz w:val="28"/>
        </w:rPr>
      </w:pPr>
    </w:p>
    <w:p>
      <w:pPr>
        <w:pStyle w:val="BodyText"/>
        <w:spacing w:line="357" w:lineRule="auto" w:before="1"/>
        <w:ind w:left="226" w:right="60"/>
      </w:pPr>
      <w:r>
        <w:rPr/>
        <w:t>Third, internal devaluation always forces down nominal incomes for a time, regardless of the degree of price and wage flexibility.</w:t>
      </w:r>
      <w:r>
        <w:rPr>
          <w:vertAlign w:val="superscript"/>
        </w:rPr>
        <w:t>20</w:t>
      </w:r>
      <w:r>
        <w:rPr>
          <w:vertAlign w:val="baseline"/>
        </w:rPr>
        <w:t> In more flexible economies, these reductions are concentrated in wages; in less flexible ones, unemployment. Cumulative nominal GDP growth since the crisis has been no better in Ireland than it has been in Spain. And it is this weakness of nominal income growth that is so harmful in dealing with a debt overhang and creates the tail risk of stagnation.</w:t>
      </w:r>
    </w:p>
    <w:p>
      <w:pPr>
        <w:pStyle w:val="BodyText"/>
        <w:spacing w:before="8"/>
        <w:rPr>
          <w:sz w:val="27"/>
        </w:rPr>
      </w:pPr>
    </w:p>
    <w:p>
      <w:pPr>
        <w:pStyle w:val="Heading1"/>
      </w:pPr>
      <w:r>
        <w:rPr/>
        <w:t>So if increased flexibility is not sufficient, what else is required?</w:t>
      </w:r>
    </w:p>
    <w:p>
      <w:pPr>
        <w:pStyle w:val="BodyText"/>
        <w:rPr>
          <w:b/>
          <w:sz w:val="20"/>
        </w:rPr>
      </w:pPr>
    </w:p>
    <w:p>
      <w:pPr>
        <w:pStyle w:val="BodyText"/>
        <w:spacing w:before="6"/>
        <w:rPr>
          <w:b/>
          <w:sz w:val="17"/>
        </w:rPr>
      </w:pPr>
    </w:p>
    <w:p>
      <w:pPr>
        <w:pStyle w:val="BodyText"/>
        <w:spacing w:line="357" w:lineRule="auto"/>
        <w:ind w:left="226" w:right="404"/>
        <w:jc w:val="both"/>
      </w:pPr>
      <w:r>
        <w:rPr/>
        <w:t>The</w:t>
      </w:r>
      <w:r>
        <w:rPr>
          <w:spacing w:val="-9"/>
        </w:rPr>
        <w:t> </w:t>
      </w:r>
      <w:r>
        <w:rPr/>
        <w:t>answer</w:t>
      </w:r>
      <w:r>
        <w:rPr>
          <w:spacing w:val="-7"/>
        </w:rPr>
        <w:t> </w:t>
      </w:r>
      <w:r>
        <w:rPr/>
        <w:t>is</w:t>
      </w:r>
      <w:r>
        <w:rPr>
          <w:spacing w:val="-8"/>
        </w:rPr>
        <w:t> </w:t>
      </w:r>
      <w:r>
        <w:rPr/>
        <w:t>to</w:t>
      </w:r>
      <w:r>
        <w:rPr>
          <w:spacing w:val="-7"/>
        </w:rPr>
        <w:t> </w:t>
      </w:r>
      <w:r>
        <w:rPr/>
        <w:t>build</w:t>
      </w:r>
      <w:r>
        <w:rPr>
          <w:spacing w:val="-9"/>
        </w:rPr>
        <w:t> </w:t>
      </w:r>
      <w:r>
        <w:rPr/>
        <w:t>the</w:t>
      </w:r>
      <w:r>
        <w:rPr>
          <w:spacing w:val="-7"/>
        </w:rPr>
        <w:t> </w:t>
      </w:r>
      <w:r>
        <w:rPr/>
        <w:t>risk</w:t>
      </w:r>
      <w:r>
        <w:rPr>
          <w:spacing w:val="-8"/>
        </w:rPr>
        <w:t> </w:t>
      </w:r>
      <w:r>
        <w:rPr/>
        <w:t>sharing</w:t>
      </w:r>
      <w:r>
        <w:rPr>
          <w:spacing w:val="-7"/>
        </w:rPr>
        <w:t> </w:t>
      </w:r>
      <w:r>
        <w:rPr/>
        <w:t>institutions</w:t>
      </w:r>
      <w:r>
        <w:rPr>
          <w:spacing w:val="-7"/>
        </w:rPr>
        <w:t> </w:t>
      </w:r>
      <w:r>
        <w:rPr/>
        <w:t>that</w:t>
      </w:r>
      <w:r>
        <w:rPr>
          <w:spacing w:val="-7"/>
        </w:rPr>
        <w:t> </w:t>
      </w:r>
      <w:r>
        <w:rPr/>
        <w:t>are</w:t>
      </w:r>
      <w:r>
        <w:rPr>
          <w:spacing w:val="-8"/>
        </w:rPr>
        <w:t> </w:t>
      </w:r>
      <w:r>
        <w:rPr/>
        <w:t>present</w:t>
      </w:r>
      <w:r>
        <w:rPr>
          <w:spacing w:val="-6"/>
        </w:rPr>
        <w:t> </w:t>
      </w:r>
      <w:r>
        <w:rPr/>
        <w:t>in</w:t>
      </w:r>
      <w:r>
        <w:rPr>
          <w:spacing w:val="-8"/>
        </w:rPr>
        <w:t> </w:t>
      </w:r>
      <w:r>
        <w:rPr/>
        <w:t>any</w:t>
      </w:r>
      <w:r>
        <w:rPr>
          <w:spacing w:val="-5"/>
        </w:rPr>
        <w:t> </w:t>
      </w:r>
      <w:r>
        <w:rPr/>
        <w:t>successful</w:t>
      </w:r>
      <w:r>
        <w:rPr>
          <w:spacing w:val="-9"/>
        </w:rPr>
        <w:t> </w:t>
      </w:r>
      <w:r>
        <w:rPr/>
        <w:t>currency</w:t>
      </w:r>
      <w:r>
        <w:rPr>
          <w:spacing w:val="-7"/>
        </w:rPr>
        <w:t> </w:t>
      </w:r>
      <w:r>
        <w:rPr/>
        <w:t>union.</w:t>
      </w:r>
      <w:r>
        <w:rPr>
          <w:spacing w:val="40"/>
        </w:rPr>
        <w:t> </w:t>
      </w:r>
      <w:r>
        <w:rPr/>
        <w:t>This means</w:t>
      </w:r>
      <w:r>
        <w:rPr>
          <w:spacing w:val="-8"/>
        </w:rPr>
        <w:t> </w:t>
      </w:r>
      <w:r>
        <w:rPr/>
        <w:t>financial</w:t>
      </w:r>
      <w:r>
        <w:rPr>
          <w:spacing w:val="-8"/>
        </w:rPr>
        <w:t> </w:t>
      </w:r>
      <w:r>
        <w:rPr/>
        <w:t>integration</w:t>
      </w:r>
      <w:r>
        <w:rPr>
          <w:spacing w:val="-8"/>
        </w:rPr>
        <w:t> </w:t>
      </w:r>
      <w:r>
        <w:rPr>
          <w:i/>
        </w:rPr>
        <w:t>and</w:t>
      </w:r>
      <w:r>
        <w:rPr>
          <w:i/>
          <w:spacing w:val="-9"/>
        </w:rPr>
        <w:t> </w:t>
      </w:r>
      <w:r>
        <w:rPr/>
        <w:t>common</w:t>
      </w:r>
      <w:r>
        <w:rPr>
          <w:spacing w:val="-9"/>
        </w:rPr>
        <w:t> </w:t>
      </w:r>
      <w:r>
        <w:rPr/>
        <w:t>fiscal</w:t>
      </w:r>
      <w:r>
        <w:rPr>
          <w:spacing w:val="-8"/>
        </w:rPr>
        <w:t> </w:t>
      </w:r>
      <w:r>
        <w:rPr/>
        <w:t>arrangements.</w:t>
      </w:r>
      <w:r>
        <w:rPr>
          <w:spacing w:val="36"/>
        </w:rPr>
        <w:t> </w:t>
      </w:r>
      <w:r>
        <w:rPr/>
        <w:t>In</w:t>
      </w:r>
      <w:r>
        <w:rPr>
          <w:spacing w:val="-9"/>
        </w:rPr>
        <w:t> </w:t>
      </w:r>
      <w:r>
        <w:rPr/>
        <w:t>other</w:t>
      </w:r>
      <w:r>
        <w:rPr>
          <w:spacing w:val="-7"/>
        </w:rPr>
        <w:t> </w:t>
      </w:r>
      <w:r>
        <w:rPr/>
        <w:t>words,</w:t>
      </w:r>
      <w:r>
        <w:rPr>
          <w:spacing w:val="-8"/>
        </w:rPr>
        <w:t> </w:t>
      </w:r>
      <w:r>
        <w:rPr/>
        <w:t>both</w:t>
      </w:r>
      <w:r>
        <w:rPr>
          <w:spacing w:val="-9"/>
        </w:rPr>
        <w:t> </w:t>
      </w:r>
      <w:r>
        <w:rPr/>
        <w:t>private</w:t>
      </w:r>
      <w:r>
        <w:rPr>
          <w:spacing w:val="-8"/>
        </w:rPr>
        <w:t> </w:t>
      </w:r>
      <w:r>
        <w:rPr/>
        <w:t>and</w:t>
      </w:r>
      <w:r>
        <w:rPr>
          <w:spacing w:val="-7"/>
        </w:rPr>
        <w:t> </w:t>
      </w:r>
      <w:r>
        <w:rPr/>
        <w:t>public</w:t>
      </w:r>
      <w:r>
        <w:rPr>
          <w:spacing w:val="-8"/>
        </w:rPr>
        <w:t> </w:t>
      </w:r>
      <w:r>
        <w:rPr/>
        <w:t>risk sharing. It is not realistic to expect the private sector to do everything the public sector will</w:t>
      </w:r>
      <w:r>
        <w:rPr>
          <w:spacing w:val="-16"/>
        </w:rPr>
        <w:t> </w:t>
      </w:r>
      <w:r>
        <w:rPr/>
        <w:t>not.</w:t>
      </w:r>
    </w:p>
    <w:p>
      <w:pPr>
        <w:pStyle w:val="BodyText"/>
        <w:rPr>
          <w:sz w:val="28"/>
        </w:rPr>
      </w:pPr>
    </w:p>
    <w:p>
      <w:pPr>
        <w:pStyle w:val="BodyText"/>
        <w:spacing w:line="357" w:lineRule="auto"/>
        <w:ind w:left="226" w:right="87"/>
      </w:pPr>
      <w:r>
        <w:rPr/>
        <w:t>Before the crisis, the European financial system appeared in many respects to be highly integrated with cross-border bank loans amounting to more than a third of total bank lending. However, most of this was interbank loans, implicitly backed by the state. With many of the recipients being judged too big to fail during the crisis, creditors weren’t exposed to loss for fear of systemic damage.</w:t>
      </w:r>
    </w:p>
    <w:p>
      <w:pPr>
        <w:pStyle w:val="BodyText"/>
        <w:spacing w:before="11"/>
        <w:rPr>
          <w:sz w:val="27"/>
        </w:rPr>
      </w:pPr>
    </w:p>
    <w:p>
      <w:pPr>
        <w:pStyle w:val="BodyText"/>
        <w:spacing w:line="355" w:lineRule="auto"/>
        <w:ind w:left="226" w:right="197"/>
      </w:pPr>
      <w:r>
        <w:rPr/>
        <w:t>Since</w:t>
      </w:r>
      <w:r>
        <w:rPr>
          <w:spacing w:val="-9"/>
        </w:rPr>
        <w:t> </w:t>
      </w:r>
      <w:r>
        <w:rPr/>
        <w:t>the</w:t>
      </w:r>
      <w:r>
        <w:rPr>
          <w:spacing w:val="-9"/>
        </w:rPr>
        <w:t> </w:t>
      </w:r>
      <w:r>
        <w:rPr/>
        <w:t>crisis,</w:t>
      </w:r>
      <w:r>
        <w:rPr>
          <w:spacing w:val="-9"/>
        </w:rPr>
        <w:t> </w:t>
      </w:r>
      <w:r>
        <w:rPr/>
        <w:t>cross-border</w:t>
      </w:r>
      <w:r>
        <w:rPr>
          <w:spacing w:val="-9"/>
        </w:rPr>
        <w:t> </w:t>
      </w:r>
      <w:r>
        <w:rPr/>
        <w:t>banking</w:t>
      </w:r>
      <w:r>
        <w:rPr>
          <w:spacing w:val="-8"/>
        </w:rPr>
        <w:t> </w:t>
      </w:r>
      <w:r>
        <w:rPr/>
        <w:t>lending</w:t>
      </w:r>
      <w:r>
        <w:rPr>
          <w:spacing w:val="-10"/>
        </w:rPr>
        <w:t> </w:t>
      </w:r>
      <w:r>
        <w:rPr/>
        <w:t>has</w:t>
      </w:r>
      <w:r>
        <w:rPr>
          <w:spacing w:val="-7"/>
        </w:rPr>
        <w:t> </w:t>
      </w:r>
      <w:r>
        <w:rPr/>
        <w:t>halved,</w:t>
      </w:r>
      <w:r>
        <w:rPr>
          <w:spacing w:val="-9"/>
        </w:rPr>
        <w:t> </w:t>
      </w:r>
      <w:r>
        <w:rPr/>
        <w:t>and</w:t>
      </w:r>
      <w:r>
        <w:rPr>
          <w:spacing w:val="-9"/>
        </w:rPr>
        <w:t> </w:t>
      </w:r>
      <w:r>
        <w:rPr/>
        <w:t>the</w:t>
      </w:r>
      <w:r>
        <w:rPr>
          <w:spacing w:val="-7"/>
        </w:rPr>
        <w:t> </w:t>
      </w:r>
      <w:r>
        <w:rPr/>
        <w:t>ability</w:t>
      </w:r>
      <w:r>
        <w:rPr>
          <w:spacing w:val="-8"/>
        </w:rPr>
        <w:t> </w:t>
      </w:r>
      <w:r>
        <w:rPr/>
        <w:t>of</w:t>
      </w:r>
      <w:r>
        <w:rPr>
          <w:spacing w:val="-7"/>
        </w:rPr>
        <w:t> </w:t>
      </w:r>
      <w:r>
        <w:rPr/>
        <w:t>the</w:t>
      </w:r>
      <w:r>
        <w:rPr>
          <w:spacing w:val="-8"/>
        </w:rPr>
        <w:t> </w:t>
      </w:r>
      <w:r>
        <w:rPr/>
        <w:t>European</w:t>
      </w:r>
      <w:r>
        <w:rPr>
          <w:spacing w:val="-9"/>
        </w:rPr>
        <w:t> </w:t>
      </w:r>
      <w:r>
        <w:rPr/>
        <w:t>system</w:t>
      </w:r>
      <w:r>
        <w:rPr>
          <w:spacing w:val="-9"/>
        </w:rPr>
        <w:t> </w:t>
      </w:r>
      <w:r>
        <w:rPr/>
        <w:t>to</w:t>
      </w:r>
      <w:r>
        <w:rPr>
          <w:spacing w:val="-9"/>
        </w:rPr>
        <w:t> </w:t>
      </w:r>
      <w:r>
        <w:rPr/>
        <w:t>recycle the</w:t>
      </w:r>
      <w:r>
        <w:rPr>
          <w:spacing w:val="-7"/>
        </w:rPr>
        <w:t> </w:t>
      </w:r>
      <w:r>
        <w:rPr/>
        <w:t>surplus</w:t>
      </w:r>
      <w:r>
        <w:rPr>
          <w:spacing w:val="-5"/>
        </w:rPr>
        <w:t> </w:t>
      </w:r>
      <w:r>
        <w:rPr/>
        <w:t>savings</w:t>
      </w:r>
      <w:r>
        <w:rPr>
          <w:spacing w:val="-5"/>
        </w:rPr>
        <w:t> </w:t>
      </w:r>
      <w:r>
        <w:rPr/>
        <w:t>of</w:t>
      </w:r>
      <w:r>
        <w:rPr>
          <w:spacing w:val="-5"/>
        </w:rPr>
        <w:t> </w:t>
      </w:r>
      <w:r>
        <w:rPr/>
        <w:t>peripheral</w:t>
      </w:r>
      <w:r>
        <w:rPr>
          <w:spacing w:val="-5"/>
        </w:rPr>
        <w:t> </w:t>
      </w:r>
      <w:r>
        <w:rPr/>
        <w:t>nations</w:t>
      </w:r>
      <w:r>
        <w:rPr>
          <w:spacing w:val="-6"/>
        </w:rPr>
        <w:t> </w:t>
      </w:r>
      <w:r>
        <w:rPr/>
        <w:t>to</w:t>
      </w:r>
      <w:r>
        <w:rPr>
          <w:spacing w:val="-6"/>
        </w:rPr>
        <w:t> </w:t>
      </w:r>
      <w:r>
        <w:rPr/>
        <w:t>other</w:t>
      </w:r>
      <w:r>
        <w:rPr>
          <w:spacing w:val="-7"/>
        </w:rPr>
        <w:t> </w:t>
      </w:r>
      <w:r>
        <w:rPr/>
        <w:t>parts</w:t>
      </w:r>
      <w:r>
        <w:rPr>
          <w:spacing w:val="-6"/>
        </w:rPr>
        <w:t> </w:t>
      </w:r>
      <w:r>
        <w:rPr/>
        <w:t>of</w:t>
      </w:r>
      <w:r>
        <w:rPr>
          <w:spacing w:val="-5"/>
        </w:rPr>
        <w:t> </w:t>
      </w:r>
      <w:r>
        <w:rPr/>
        <w:t>the</w:t>
      </w:r>
      <w:r>
        <w:rPr>
          <w:spacing w:val="-6"/>
        </w:rPr>
        <w:t> </w:t>
      </w:r>
      <w:r>
        <w:rPr/>
        <w:t>private</w:t>
      </w:r>
      <w:r>
        <w:rPr>
          <w:spacing w:val="-6"/>
        </w:rPr>
        <w:t> </w:t>
      </w:r>
      <w:r>
        <w:rPr/>
        <w:t>sector</w:t>
      </w:r>
      <w:r>
        <w:rPr>
          <w:spacing w:val="-7"/>
        </w:rPr>
        <w:t> </w:t>
      </w:r>
      <w:r>
        <w:rPr/>
        <w:t>has</w:t>
      </w:r>
      <w:r>
        <w:rPr>
          <w:spacing w:val="-6"/>
        </w:rPr>
        <w:t> </w:t>
      </w:r>
      <w:r>
        <w:rPr/>
        <w:t>been</w:t>
      </w:r>
      <w:r>
        <w:rPr>
          <w:spacing w:val="-7"/>
        </w:rPr>
        <w:t> </w:t>
      </w:r>
      <w:r>
        <w:rPr/>
        <w:t>severely</w:t>
      </w:r>
      <w:r>
        <w:rPr>
          <w:spacing w:val="-6"/>
        </w:rPr>
        <w:t> </w:t>
      </w:r>
      <w:r>
        <w:rPr/>
        <w:t>curtailed.</w:t>
      </w:r>
    </w:p>
    <w:p>
      <w:pPr>
        <w:pStyle w:val="BodyText"/>
        <w:spacing w:before="3"/>
        <w:rPr>
          <w:sz w:val="28"/>
        </w:rPr>
      </w:pPr>
    </w:p>
    <w:p>
      <w:pPr>
        <w:pStyle w:val="Heading1"/>
        <w:spacing w:line="355" w:lineRule="auto"/>
        <w:ind w:right="397"/>
        <w:jc w:val="both"/>
      </w:pPr>
      <w:r>
        <w:rPr/>
        <w:t>The</w:t>
      </w:r>
      <w:r>
        <w:rPr>
          <w:spacing w:val="-9"/>
        </w:rPr>
        <w:t> </w:t>
      </w:r>
      <w:r>
        <w:rPr/>
        <w:t>good</w:t>
      </w:r>
      <w:r>
        <w:rPr>
          <w:spacing w:val="-9"/>
        </w:rPr>
        <w:t> </w:t>
      </w:r>
      <w:r>
        <w:rPr/>
        <w:t>news</w:t>
      </w:r>
      <w:r>
        <w:rPr>
          <w:spacing w:val="-11"/>
        </w:rPr>
        <w:t> </w:t>
      </w:r>
      <w:r>
        <w:rPr/>
        <w:t>is</w:t>
      </w:r>
      <w:r>
        <w:rPr>
          <w:spacing w:val="-9"/>
        </w:rPr>
        <w:t> </w:t>
      </w:r>
      <w:r>
        <w:rPr/>
        <w:t>that</w:t>
      </w:r>
      <w:r>
        <w:rPr>
          <w:spacing w:val="-8"/>
        </w:rPr>
        <w:t> </w:t>
      </w:r>
      <w:r>
        <w:rPr/>
        <w:t>European</w:t>
      </w:r>
      <w:r>
        <w:rPr>
          <w:spacing w:val="-7"/>
        </w:rPr>
        <w:t> </w:t>
      </w:r>
      <w:r>
        <w:rPr/>
        <w:t>authorities</w:t>
      </w:r>
      <w:r>
        <w:rPr>
          <w:spacing w:val="-10"/>
        </w:rPr>
        <w:t> </w:t>
      </w:r>
      <w:r>
        <w:rPr/>
        <w:t>recognise</w:t>
      </w:r>
      <w:r>
        <w:rPr>
          <w:spacing w:val="-9"/>
        </w:rPr>
        <w:t> </w:t>
      </w:r>
      <w:r>
        <w:rPr/>
        <w:t>the</w:t>
      </w:r>
      <w:r>
        <w:rPr>
          <w:spacing w:val="-8"/>
        </w:rPr>
        <w:t> </w:t>
      </w:r>
      <w:r>
        <w:rPr/>
        <w:t>need</w:t>
      </w:r>
      <w:r>
        <w:rPr>
          <w:spacing w:val="-8"/>
        </w:rPr>
        <w:t> </w:t>
      </w:r>
      <w:r>
        <w:rPr/>
        <w:t>to</w:t>
      </w:r>
      <w:r>
        <w:rPr>
          <w:spacing w:val="-9"/>
        </w:rPr>
        <w:t> </w:t>
      </w:r>
      <w:r>
        <w:rPr/>
        <w:t>re-found</w:t>
      </w:r>
      <w:r>
        <w:rPr>
          <w:spacing w:val="-8"/>
        </w:rPr>
        <w:t> </w:t>
      </w:r>
      <w:r>
        <w:rPr/>
        <w:t>the</w:t>
      </w:r>
      <w:r>
        <w:rPr>
          <w:spacing w:val="-9"/>
        </w:rPr>
        <w:t> </w:t>
      </w:r>
      <w:r>
        <w:rPr/>
        <w:t>euro</w:t>
      </w:r>
      <w:r>
        <w:rPr>
          <w:spacing w:val="-8"/>
        </w:rPr>
        <w:t> </w:t>
      </w:r>
      <w:r>
        <w:rPr/>
        <w:t>area</w:t>
      </w:r>
      <w:r>
        <w:rPr>
          <w:spacing w:val="-10"/>
        </w:rPr>
        <w:t> </w:t>
      </w:r>
      <w:r>
        <w:rPr/>
        <w:t>financial union on the principle of risk</w:t>
      </w:r>
      <w:r>
        <w:rPr>
          <w:spacing w:val="-10"/>
        </w:rPr>
        <w:t> </w:t>
      </w:r>
      <w:r>
        <w:rPr/>
        <w:t>sharing.</w:t>
      </w:r>
    </w:p>
    <w:p>
      <w:pPr>
        <w:pStyle w:val="BodyText"/>
        <w:spacing w:before="6"/>
        <w:rPr>
          <w:b/>
          <w:sz w:val="28"/>
        </w:rPr>
      </w:pPr>
    </w:p>
    <w:p>
      <w:pPr>
        <w:pStyle w:val="BodyText"/>
        <w:spacing w:line="357" w:lineRule="auto"/>
        <w:ind w:left="226"/>
      </w:pPr>
      <w:r>
        <w:rPr/>
        <w:t>The current fragmentation of the system stems in part from a collapse of confidence in financial institutions across national borders. The recent Asset Quality Review and stress tests conducted by the ECB represent</w:t>
      </w:r>
    </w:p>
    <w:p>
      <w:pPr>
        <w:pStyle w:val="BodyText"/>
        <w:rPr>
          <w:sz w:val="20"/>
        </w:rPr>
      </w:pPr>
    </w:p>
    <w:p>
      <w:pPr>
        <w:pStyle w:val="BodyText"/>
        <w:rPr>
          <w:sz w:val="20"/>
        </w:rPr>
      </w:pPr>
    </w:p>
    <w:p>
      <w:pPr>
        <w:pStyle w:val="BodyText"/>
        <w:rPr>
          <w:sz w:val="20"/>
        </w:rPr>
      </w:pPr>
    </w:p>
    <w:p>
      <w:pPr>
        <w:pStyle w:val="BodyText"/>
        <w:spacing w:before="11"/>
        <w:rPr>
          <w:sz w:val="17"/>
        </w:rPr>
      </w:pPr>
      <w:r>
        <w:rPr/>
        <w:pict>
          <v:shape style="position:absolute;margin-left:79.320pt;margin-top:12.530305pt;width:135.5pt;height:.1pt;mso-position-horizontal-relative:page;mso-position-vertical-relative:paragraph;z-index:-251650048;mso-wrap-distance-left:0;mso-wrap-distance-right:0" coordorigin="1586,251" coordsize="2710,0" path="m1586,251l4296,251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19 </w:t>
      </w:r>
      <w:r>
        <w:rPr>
          <w:sz w:val="15"/>
        </w:rPr>
        <w:t>In this regard it is impressive that some suggest centralised oversight and influence over such decisions. See Draghi (op. cit.) and Trichet, J C (2011), “Building Europe, building institutions”, on receiving the Karlspreis 2011 in Aachen, 2 June 2011.</w:t>
      </w:r>
    </w:p>
    <w:p>
      <w:pPr>
        <w:spacing w:line="174" w:lineRule="exact" w:before="0"/>
        <w:ind w:left="226" w:right="0" w:firstLine="0"/>
        <w:jc w:val="left"/>
        <w:rPr>
          <w:sz w:val="15"/>
        </w:rPr>
      </w:pPr>
      <w:r>
        <w:rPr>
          <w:position w:val="8"/>
          <w:sz w:val="9"/>
        </w:rPr>
        <w:t>20 </w:t>
      </w:r>
      <w:r>
        <w:rPr>
          <w:sz w:val="15"/>
        </w:rPr>
        <w:t>Real incomes should eventually rise if structural reforms generate a productivity dividend.</w:t>
      </w:r>
    </w:p>
    <w:p>
      <w:pPr>
        <w:spacing w:after="0" w:line="174" w:lineRule="exact"/>
        <w:jc w:val="left"/>
        <w:rPr>
          <w:sz w:val="15"/>
        </w:rPr>
        <w:sectPr>
          <w:footerReference w:type="default" r:id="rId14"/>
          <w:pgSz w:w="12240" w:h="15840"/>
          <w:pgMar w:footer="1240" w:header="0" w:top="1440" w:bottom="1440" w:left="1360" w:right="1480"/>
        </w:sectPr>
      </w:pPr>
    </w:p>
    <w:p>
      <w:pPr>
        <w:pStyle w:val="BodyText"/>
        <w:spacing w:line="362" w:lineRule="auto" w:before="69"/>
        <w:ind w:left="226" w:right="878"/>
      </w:pPr>
      <w:r>
        <w:rPr/>
        <w:t>a major step towards restoring that confidence. Close to </w:t>
      </w:r>
      <w:r>
        <w:rPr>
          <w:sz w:val="20"/>
        </w:rPr>
        <w:t>€</w:t>
      </w:r>
      <w:r>
        <w:rPr/>
        <w:t>60billion of capital has been raised since January 2014 as a result.</w:t>
      </w:r>
      <w:r>
        <w:rPr>
          <w:vertAlign w:val="superscript"/>
        </w:rPr>
        <w:t>21</w:t>
      </w:r>
    </w:p>
    <w:p>
      <w:pPr>
        <w:pStyle w:val="BodyText"/>
        <w:spacing w:before="8"/>
        <w:rPr>
          <w:sz w:val="27"/>
        </w:rPr>
      </w:pPr>
    </w:p>
    <w:p>
      <w:pPr>
        <w:pStyle w:val="BodyText"/>
        <w:spacing w:line="357" w:lineRule="auto"/>
        <w:ind w:left="226" w:right="197"/>
      </w:pPr>
      <w:r>
        <w:rPr/>
        <w:t>The</w:t>
      </w:r>
      <w:r>
        <w:rPr>
          <w:spacing w:val="-10"/>
        </w:rPr>
        <w:t> </w:t>
      </w:r>
      <w:r>
        <w:rPr/>
        <w:t>establishment</w:t>
      </w:r>
      <w:r>
        <w:rPr>
          <w:spacing w:val="-8"/>
        </w:rPr>
        <w:t> </w:t>
      </w:r>
      <w:r>
        <w:rPr/>
        <w:t>of</w:t>
      </w:r>
      <w:r>
        <w:rPr>
          <w:spacing w:val="-7"/>
        </w:rPr>
        <w:t> </w:t>
      </w:r>
      <w:r>
        <w:rPr/>
        <w:t>a</w:t>
      </w:r>
      <w:r>
        <w:rPr>
          <w:spacing w:val="-10"/>
        </w:rPr>
        <w:t> </w:t>
      </w:r>
      <w:r>
        <w:rPr/>
        <w:t>Banking</w:t>
      </w:r>
      <w:r>
        <w:rPr>
          <w:spacing w:val="-10"/>
        </w:rPr>
        <w:t> </w:t>
      </w:r>
      <w:r>
        <w:rPr/>
        <w:t>Union</w:t>
      </w:r>
      <w:r>
        <w:rPr>
          <w:spacing w:val="-9"/>
        </w:rPr>
        <w:t> </w:t>
      </w:r>
      <w:r>
        <w:rPr/>
        <w:t>and</w:t>
      </w:r>
      <w:r>
        <w:rPr>
          <w:spacing w:val="-10"/>
        </w:rPr>
        <w:t> </w:t>
      </w:r>
      <w:r>
        <w:rPr/>
        <w:t>Single</w:t>
      </w:r>
      <w:r>
        <w:rPr>
          <w:spacing w:val="-10"/>
        </w:rPr>
        <w:t> </w:t>
      </w:r>
      <w:r>
        <w:rPr/>
        <w:t>Resolution</w:t>
      </w:r>
      <w:r>
        <w:rPr>
          <w:spacing w:val="-9"/>
        </w:rPr>
        <w:t> </w:t>
      </w:r>
      <w:r>
        <w:rPr/>
        <w:t>Mechanism</w:t>
      </w:r>
      <w:r>
        <w:rPr>
          <w:spacing w:val="-8"/>
        </w:rPr>
        <w:t> </w:t>
      </w:r>
      <w:r>
        <w:rPr/>
        <w:t>as</w:t>
      </w:r>
      <w:r>
        <w:rPr>
          <w:spacing w:val="-7"/>
        </w:rPr>
        <w:t> </w:t>
      </w:r>
      <w:r>
        <w:rPr/>
        <w:t>well</w:t>
      </w:r>
      <w:r>
        <w:rPr>
          <w:spacing w:val="-9"/>
        </w:rPr>
        <w:t> </w:t>
      </w:r>
      <w:r>
        <w:rPr/>
        <w:t>as</w:t>
      </w:r>
      <w:r>
        <w:rPr>
          <w:spacing w:val="-9"/>
        </w:rPr>
        <w:t> </w:t>
      </w:r>
      <w:r>
        <w:rPr/>
        <w:t>implementation</w:t>
      </w:r>
      <w:r>
        <w:rPr>
          <w:spacing w:val="-10"/>
        </w:rPr>
        <w:t> </w:t>
      </w:r>
      <w:r>
        <w:rPr/>
        <w:t>of</w:t>
      </w:r>
      <w:r>
        <w:rPr>
          <w:spacing w:val="-9"/>
        </w:rPr>
        <w:t> </w:t>
      </w:r>
      <w:r>
        <w:rPr/>
        <w:t>the G20 proposal on Total Loss Absorbing Capacity (TLAC) will help break the link between sovereigns and banks and establish greater risk sharing between creditors and debtors. When combined with improved resiliency of banks, more sustainable cross-border banking flows should grow with</w:t>
      </w:r>
      <w:r>
        <w:rPr>
          <w:spacing w:val="-38"/>
        </w:rPr>
        <w:t> </w:t>
      </w:r>
      <w:r>
        <w:rPr/>
        <w:t>time.</w:t>
      </w:r>
    </w:p>
    <w:p>
      <w:pPr>
        <w:pStyle w:val="BodyText"/>
        <w:rPr>
          <w:sz w:val="28"/>
        </w:rPr>
      </w:pPr>
    </w:p>
    <w:p>
      <w:pPr>
        <w:pStyle w:val="BodyText"/>
        <w:spacing w:line="357" w:lineRule="auto"/>
        <w:ind w:left="226" w:right="186"/>
        <w:jc w:val="both"/>
      </w:pPr>
      <w:r>
        <w:rPr/>
        <w:t>It</w:t>
      </w:r>
      <w:r>
        <w:rPr>
          <w:spacing w:val="-8"/>
        </w:rPr>
        <w:t> </w:t>
      </w:r>
      <w:r>
        <w:rPr/>
        <w:t>is</w:t>
      </w:r>
      <w:r>
        <w:rPr>
          <w:spacing w:val="-6"/>
        </w:rPr>
        <w:t> </w:t>
      </w:r>
      <w:r>
        <w:rPr/>
        <w:t>also</w:t>
      </w:r>
      <w:r>
        <w:rPr>
          <w:spacing w:val="-8"/>
        </w:rPr>
        <w:t> </w:t>
      </w:r>
      <w:r>
        <w:rPr/>
        <w:t>welcome</w:t>
      </w:r>
      <w:r>
        <w:rPr>
          <w:spacing w:val="-7"/>
        </w:rPr>
        <w:t> </w:t>
      </w:r>
      <w:r>
        <w:rPr/>
        <w:t>that</w:t>
      </w:r>
      <w:r>
        <w:rPr>
          <w:spacing w:val="-7"/>
        </w:rPr>
        <w:t> </w:t>
      </w:r>
      <w:r>
        <w:rPr/>
        <w:t>the</w:t>
      </w:r>
      <w:r>
        <w:rPr>
          <w:spacing w:val="-8"/>
        </w:rPr>
        <w:t> </w:t>
      </w:r>
      <w:r>
        <w:rPr/>
        <w:t>new</w:t>
      </w:r>
      <w:r>
        <w:rPr>
          <w:spacing w:val="-9"/>
        </w:rPr>
        <w:t> </w:t>
      </w:r>
      <w:r>
        <w:rPr/>
        <w:t>Commission</w:t>
      </w:r>
      <w:r>
        <w:rPr>
          <w:spacing w:val="-7"/>
        </w:rPr>
        <w:t> </w:t>
      </w:r>
      <w:r>
        <w:rPr/>
        <w:t>has</w:t>
      </w:r>
      <w:r>
        <w:rPr>
          <w:spacing w:val="-7"/>
        </w:rPr>
        <w:t> </w:t>
      </w:r>
      <w:r>
        <w:rPr/>
        <w:t>advocated</w:t>
      </w:r>
      <w:r>
        <w:rPr>
          <w:spacing w:val="-7"/>
        </w:rPr>
        <w:t> </w:t>
      </w:r>
      <w:r>
        <w:rPr/>
        <w:t>the</w:t>
      </w:r>
      <w:r>
        <w:rPr>
          <w:spacing w:val="-7"/>
        </w:rPr>
        <w:t> </w:t>
      </w:r>
      <w:r>
        <w:rPr/>
        <w:t>creation</w:t>
      </w:r>
      <w:r>
        <w:rPr>
          <w:spacing w:val="-8"/>
        </w:rPr>
        <w:t> </w:t>
      </w:r>
      <w:r>
        <w:rPr/>
        <w:t>of</w:t>
      </w:r>
      <w:r>
        <w:rPr>
          <w:spacing w:val="-7"/>
        </w:rPr>
        <w:t> </w:t>
      </w:r>
      <w:r>
        <w:rPr/>
        <w:t>a</w:t>
      </w:r>
      <w:r>
        <w:rPr>
          <w:spacing w:val="-7"/>
        </w:rPr>
        <w:t> </w:t>
      </w:r>
      <w:r>
        <w:rPr/>
        <w:t>Capital</w:t>
      </w:r>
      <w:r>
        <w:rPr>
          <w:spacing w:val="-8"/>
        </w:rPr>
        <w:t> </w:t>
      </w:r>
      <w:r>
        <w:rPr/>
        <w:t>Markets</w:t>
      </w:r>
      <w:r>
        <w:rPr>
          <w:spacing w:val="-6"/>
        </w:rPr>
        <w:t> </w:t>
      </w:r>
      <w:r>
        <w:rPr/>
        <w:t>Union</w:t>
      </w:r>
      <w:r>
        <w:rPr>
          <w:spacing w:val="-8"/>
        </w:rPr>
        <w:t> </w:t>
      </w:r>
      <w:r>
        <w:rPr/>
        <w:t>to</w:t>
      </w:r>
      <w:r>
        <w:rPr>
          <w:spacing w:val="-7"/>
        </w:rPr>
        <w:t> </w:t>
      </w:r>
      <w:r>
        <w:rPr/>
        <w:t>boost cross-border</w:t>
      </w:r>
      <w:r>
        <w:rPr>
          <w:spacing w:val="-7"/>
        </w:rPr>
        <w:t> </w:t>
      </w:r>
      <w:r>
        <w:rPr/>
        <w:t>flows</w:t>
      </w:r>
      <w:r>
        <w:rPr>
          <w:spacing w:val="-8"/>
        </w:rPr>
        <w:t> </w:t>
      </w:r>
      <w:r>
        <w:rPr/>
        <w:t>of</w:t>
      </w:r>
      <w:r>
        <w:rPr>
          <w:spacing w:val="-7"/>
        </w:rPr>
        <w:t> </w:t>
      </w:r>
      <w:r>
        <w:rPr/>
        <w:t>market-based</w:t>
      </w:r>
      <w:r>
        <w:rPr>
          <w:spacing w:val="-8"/>
        </w:rPr>
        <w:t> </w:t>
      </w:r>
      <w:r>
        <w:rPr/>
        <w:t>finance.</w:t>
      </w:r>
      <w:r>
        <w:rPr>
          <w:spacing w:val="36"/>
        </w:rPr>
        <w:t> </w:t>
      </w:r>
      <w:r>
        <w:rPr/>
        <w:t>Such</w:t>
      </w:r>
      <w:r>
        <w:rPr>
          <w:spacing w:val="-9"/>
        </w:rPr>
        <w:t> </w:t>
      </w:r>
      <w:r>
        <w:rPr/>
        <w:t>a</w:t>
      </w:r>
      <w:r>
        <w:rPr>
          <w:spacing w:val="-9"/>
        </w:rPr>
        <w:t> </w:t>
      </w:r>
      <w:r>
        <w:rPr/>
        <w:t>union</w:t>
      </w:r>
      <w:r>
        <w:rPr>
          <w:spacing w:val="-9"/>
        </w:rPr>
        <w:t> </w:t>
      </w:r>
      <w:r>
        <w:rPr/>
        <w:t>would</w:t>
      </w:r>
      <w:r>
        <w:rPr>
          <w:spacing w:val="-8"/>
        </w:rPr>
        <w:t> </w:t>
      </w:r>
      <w:r>
        <w:rPr/>
        <w:t>deepen</w:t>
      </w:r>
      <w:r>
        <w:rPr>
          <w:spacing w:val="-10"/>
        </w:rPr>
        <w:t> </w:t>
      </w:r>
      <w:r>
        <w:rPr/>
        <w:t>the</w:t>
      </w:r>
      <w:r>
        <w:rPr>
          <w:spacing w:val="-8"/>
        </w:rPr>
        <w:t> </w:t>
      </w:r>
      <w:r>
        <w:rPr/>
        <w:t>single</w:t>
      </w:r>
      <w:r>
        <w:rPr>
          <w:spacing w:val="-9"/>
        </w:rPr>
        <w:t> </w:t>
      </w:r>
      <w:r>
        <w:rPr/>
        <w:t>market,</w:t>
      </w:r>
      <w:r>
        <w:rPr>
          <w:spacing w:val="-9"/>
        </w:rPr>
        <w:t> </w:t>
      </w:r>
      <w:r>
        <w:rPr/>
        <w:t>could</w:t>
      </w:r>
      <w:r>
        <w:rPr>
          <w:spacing w:val="-9"/>
        </w:rPr>
        <w:t> </w:t>
      </w:r>
      <w:r>
        <w:rPr/>
        <w:t>benefit</w:t>
      </w:r>
      <w:r>
        <w:rPr>
          <w:spacing w:val="-10"/>
        </w:rPr>
        <w:t> </w:t>
      </w:r>
      <w:r>
        <w:rPr/>
        <w:t>all member</w:t>
      </w:r>
      <w:r>
        <w:rPr>
          <w:spacing w:val="-5"/>
        </w:rPr>
        <w:t> </w:t>
      </w:r>
      <w:r>
        <w:rPr/>
        <w:t>states,</w:t>
      </w:r>
      <w:r>
        <w:rPr>
          <w:spacing w:val="-4"/>
        </w:rPr>
        <w:t> </w:t>
      </w:r>
      <w:r>
        <w:rPr/>
        <w:t>and</w:t>
      </w:r>
      <w:r>
        <w:rPr>
          <w:spacing w:val="-4"/>
        </w:rPr>
        <w:t> </w:t>
      </w:r>
      <w:r>
        <w:rPr/>
        <w:t>could</w:t>
      </w:r>
      <w:r>
        <w:rPr>
          <w:spacing w:val="-5"/>
        </w:rPr>
        <w:t> </w:t>
      </w:r>
      <w:r>
        <w:rPr/>
        <w:t>promote</w:t>
      </w:r>
      <w:r>
        <w:rPr>
          <w:spacing w:val="-4"/>
        </w:rPr>
        <w:t> </w:t>
      </w:r>
      <w:r>
        <w:rPr/>
        <w:t>much</w:t>
      </w:r>
      <w:r>
        <w:rPr>
          <w:spacing w:val="-5"/>
        </w:rPr>
        <w:t> </w:t>
      </w:r>
      <w:r>
        <w:rPr/>
        <w:t>greater</w:t>
      </w:r>
      <w:r>
        <w:rPr>
          <w:spacing w:val="-4"/>
        </w:rPr>
        <w:t> </w:t>
      </w:r>
      <w:r>
        <w:rPr/>
        <w:t>cross-border</w:t>
      </w:r>
      <w:r>
        <w:rPr>
          <w:spacing w:val="-4"/>
        </w:rPr>
        <w:t> </w:t>
      </w:r>
      <w:r>
        <w:rPr/>
        <w:t>risk</w:t>
      </w:r>
      <w:r>
        <w:rPr>
          <w:spacing w:val="-5"/>
        </w:rPr>
        <w:t> </w:t>
      </w:r>
      <w:r>
        <w:rPr/>
        <w:t>sharing</w:t>
      </w:r>
      <w:r>
        <w:rPr>
          <w:spacing w:val="-2"/>
        </w:rPr>
        <w:t> </w:t>
      </w:r>
      <w:r>
        <w:rPr/>
        <w:t>within</w:t>
      </w:r>
      <w:r>
        <w:rPr>
          <w:spacing w:val="-4"/>
        </w:rPr>
        <w:t> </w:t>
      </w:r>
      <w:r>
        <w:rPr/>
        <w:t>the</w:t>
      </w:r>
      <w:r>
        <w:rPr>
          <w:spacing w:val="-6"/>
        </w:rPr>
        <w:t> </w:t>
      </w:r>
      <w:r>
        <w:rPr/>
        <w:t>euro</w:t>
      </w:r>
      <w:r>
        <w:rPr>
          <w:spacing w:val="-4"/>
        </w:rPr>
        <w:t> </w:t>
      </w:r>
      <w:r>
        <w:rPr/>
        <w:t>area.</w:t>
      </w:r>
    </w:p>
    <w:p>
      <w:pPr>
        <w:pStyle w:val="BodyText"/>
        <w:rPr>
          <w:sz w:val="28"/>
        </w:rPr>
      </w:pPr>
    </w:p>
    <w:p>
      <w:pPr>
        <w:pStyle w:val="BodyText"/>
        <w:spacing w:line="355" w:lineRule="auto"/>
        <w:ind w:left="226"/>
      </w:pPr>
      <w:r>
        <w:rPr/>
        <w:t>Had</w:t>
      </w:r>
      <w:r>
        <w:rPr>
          <w:spacing w:val="-9"/>
        </w:rPr>
        <w:t> </w:t>
      </w:r>
      <w:r>
        <w:rPr/>
        <w:t>the</w:t>
      </w:r>
      <w:r>
        <w:rPr>
          <w:spacing w:val="-8"/>
        </w:rPr>
        <w:t> </w:t>
      </w:r>
      <w:r>
        <w:rPr/>
        <w:t>cross-border</w:t>
      </w:r>
      <w:r>
        <w:rPr>
          <w:spacing w:val="-8"/>
        </w:rPr>
        <w:t> </w:t>
      </w:r>
      <w:r>
        <w:rPr/>
        <w:t>financing</w:t>
      </w:r>
      <w:r>
        <w:rPr>
          <w:spacing w:val="-8"/>
        </w:rPr>
        <w:t> </w:t>
      </w:r>
      <w:r>
        <w:rPr/>
        <w:t>of</w:t>
      </w:r>
      <w:r>
        <w:rPr>
          <w:spacing w:val="-7"/>
        </w:rPr>
        <w:t> </w:t>
      </w:r>
      <w:r>
        <w:rPr/>
        <w:t>deficit</w:t>
      </w:r>
      <w:r>
        <w:rPr>
          <w:spacing w:val="-9"/>
        </w:rPr>
        <w:t> </w:t>
      </w:r>
      <w:r>
        <w:rPr/>
        <w:t>countries</w:t>
      </w:r>
      <w:r>
        <w:rPr>
          <w:spacing w:val="-8"/>
        </w:rPr>
        <w:t> </w:t>
      </w:r>
      <w:r>
        <w:rPr/>
        <w:t>taken</w:t>
      </w:r>
      <w:r>
        <w:rPr>
          <w:spacing w:val="-8"/>
        </w:rPr>
        <w:t> </w:t>
      </w:r>
      <w:r>
        <w:rPr/>
        <w:t>the</w:t>
      </w:r>
      <w:r>
        <w:rPr>
          <w:spacing w:val="-9"/>
        </w:rPr>
        <w:t> </w:t>
      </w:r>
      <w:r>
        <w:rPr/>
        <w:t>form</w:t>
      </w:r>
      <w:r>
        <w:rPr>
          <w:spacing w:val="-6"/>
        </w:rPr>
        <w:t> </w:t>
      </w:r>
      <w:r>
        <w:rPr/>
        <w:t>of</w:t>
      </w:r>
      <w:r>
        <w:rPr>
          <w:spacing w:val="-7"/>
        </w:rPr>
        <w:t> </w:t>
      </w:r>
      <w:r>
        <w:rPr/>
        <w:t>equity</w:t>
      </w:r>
      <w:r>
        <w:rPr>
          <w:spacing w:val="-6"/>
        </w:rPr>
        <w:t> </w:t>
      </w:r>
      <w:r>
        <w:rPr/>
        <w:t>rather</w:t>
      </w:r>
      <w:r>
        <w:rPr>
          <w:spacing w:val="-8"/>
        </w:rPr>
        <w:t> </w:t>
      </w:r>
      <w:r>
        <w:rPr/>
        <w:t>than</w:t>
      </w:r>
      <w:r>
        <w:rPr>
          <w:spacing w:val="-9"/>
        </w:rPr>
        <w:t> </w:t>
      </w:r>
      <w:r>
        <w:rPr/>
        <w:t>debt,</w:t>
      </w:r>
      <w:r>
        <w:rPr>
          <w:spacing w:val="-9"/>
        </w:rPr>
        <w:t> </w:t>
      </w:r>
      <w:r>
        <w:rPr/>
        <w:t>firms</w:t>
      </w:r>
      <w:r>
        <w:rPr>
          <w:spacing w:val="-8"/>
        </w:rPr>
        <w:t> </w:t>
      </w:r>
      <w:r>
        <w:rPr/>
        <w:t>in</w:t>
      </w:r>
      <w:r>
        <w:rPr>
          <w:spacing w:val="-8"/>
        </w:rPr>
        <w:t> </w:t>
      </w:r>
      <w:r>
        <w:rPr/>
        <w:t>deficit countries would have been more robust and losses would have been</w:t>
      </w:r>
      <w:r>
        <w:rPr>
          <w:spacing w:val="-28"/>
        </w:rPr>
        <w:t> </w:t>
      </w:r>
      <w:r>
        <w:rPr/>
        <w:t>dispersed.</w:t>
      </w:r>
    </w:p>
    <w:p>
      <w:pPr>
        <w:pStyle w:val="BodyText"/>
        <w:spacing w:before="4"/>
        <w:rPr>
          <w:sz w:val="28"/>
        </w:rPr>
      </w:pPr>
    </w:p>
    <w:p>
      <w:pPr>
        <w:pStyle w:val="BodyText"/>
        <w:spacing w:line="355" w:lineRule="auto"/>
        <w:ind w:left="226" w:right="37"/>
      </w:pPr>
      <w:r>
        <w:rPr/>
        <w:t>In addition, greater direct market-based debt financing could also help share risks. For historical reasons Europe has a much less well developed system of market-based finance, with banks dominating the provision of credit.</w:t>
      </w:r>
      <w:r>
        <w:rPr>
          <w:vertAlign w:val="superscript"/>
        </w:rPr>
        <w:t>22</w:t>
      </w:r>
      <w:r>
        <w:rPr>
          <w:vertAlign w:val="baseline"/>
        </w:rPr>
        <w:t> This need for diversity is one reason why the Bank of England and the ECB are working towards proposals to revive the European securitisation market.</w:t>
      </w:r>
      <w:r>
        <w:rPr>
          <w:vertAlign w:val="superscript"/>
        </w:rPr>
        <w:t>23</w:t>
      </w:r>
    </w:p>
    <w:p>
      <w:pPr>
        <w:pStyle w:val="BodyText"/>
        <w:spacing w:before="7"/>
        <w:rPr>
          <w:sz w:val="28"/>
        </w:rPr>
      </w:pPr>
    </w:p>
    <w:p>
      <w:pPr>
        <w:pStyle w:val="BodyText"/>
        <w:spacing w:line="357" w:lineRule="auto"/>
        <w:ind w:left="226" w:right="237"/>
      </w:pPr>
      <w:r>
        <w:rPr/>
        <w:t>To achieve this, the significant home bias in equity investment within Europe will need to be reduced, through</w:t>
      </w:r>
      <w:r>
        <w:rPr>
          <w:spacing w:val="-10"/>
        </w:rPr>
        <w:t> </w:t>
      </w:r>
      <w:r>
        <w:rPr/>
        <w:t>measures</w:t>
      </w:r>
      <w:r>
        <w:rPr>
          <w:spacing w:val="-8"/>
        </w:rPr>
        <w:t> </w:t>
      </w:r>
      <w:r>
        <w:rPr/>
        <w:t>such</w:t>
      </w:r>
      <w:r>
        <w:rPr>
          <w:spacing w:val="-9"/>
        </w:rPr>
        <w:t> </w:t>
      </w:r>
      <w:r>
        <w:rPr/>
        <w:t>as</w:t>
      </w:r>
      <w:r>
        <w:rPr>
          <w:spacing w:val="-10"/>
        </w:rPr>
        <w:t> </w:t>
      </w:r>
      <w:r>
        <w:rPr/>
        <w:t>the</w:t>
      </w:r>
      <w:r>
        <w:rPr>
          <w:spacing w:val="-9"/>
        </w:rPr>
        <w:t> </w:t>
      </w:r>
      <w:r>
        <w:rPr/>
        <w:t>removal</w:t>
      </w:r>
      <w:r>
        <w:rPr>
          <w:spacing w:val="-10"/>
        </w:rPr>
        <w:t> </w:t>
      </w:r>
      <w:r>
        <w:rPr/>
        <w:t>of</w:t>
      </w:r>
      <w:r>
        <w:rPr>
          <w:spacing w:val="-7"/>
        </w:rPr>
        <w:t> </w:t>
      </w:r>
      <w:r>
        <w:rPr/>
        <w:t>national</w:t>
      </w:r>
      <w:r>
        <w:rPr>
          <w:spacing w:val="-9"/>
        </w:rPr>
        <w:t> </w:t>
      </w:r>
      <w:r>
        <w:rPr/>
        <w:t>restrictions</w:t>
      </w:r>
      <w:r>
        <w:rPr>
          <w:spacing w:val="-8"/>
        </w:rPr>
        <w:t> </w:t>
      </w:r>
      <w:r>
        <w:rPr/>
        <w:t>on</w:t>
      </w:r>
      <w:r>
        <w:rPr>
          <w:spacing w:val="-10"/>
        </w:rPr>
        <w:t> </w:t>
      </w:r>
      <w:r>
        <w:rPr/>
        <w:t>investments</w:t>
      </w:r>
      <w:r>
        <w:rPr>
          <w:spacing w:val="-9"/>
        </w:rPr>
        <w:t> </w:t>
      </w:r>
      <w:r>
        <w:rPr/>
        <w:t>by</w:t>
      </w:r>
      <w:r>
        <w:rPr>
          <w:spacing w:val="-9"/>
        </w:rPr>
        <w:t> </w:t>
      </w:r>
      <w:r>
        <w:rPr/>
        <w:t>funds,</w:t>
      </w:r>
      <w:r>
        <w:rPr>
          <w:spacing w:val="-10"/>
        </w:rPr>
        <w:t> </w:t>
      </w:r>
      <w:r>
        <w:rPr/>
        <w:t>greater</w:t>
      </w:r>
      <w:r>
        <w:rPr>
          <w:spacing w:val="-8"/>
        </w:rPr>
        <w:t> </w:t>
      </w:r>
      <w:r>
        <w:rPr/>
        <w:t>provision</w:t>
      </w:r>
      <w:r>
        <w:rPr>
          <w:spacing w:val="-10"/>
        </w:rPr>
        <w:t> </w:t>
      </w:r>
      <w:r>
        <w:rPr/>
        <w:t>of cross-border borrower information and greater pre and post trade transparency of prices and investment terms.</w:t>
      </w:r>
    </w:p>
    <w:p>
      <w:pPr>
        <w:pStyle w:val="BodyText"/>
        <w:rPr>
          <w:sz w:val="28"/>
        </w:rPr>
      </w:pPr>
    </w:p>
    <w:p>
      <w:pPr>
        <w:pStyle w:val="BodyText"/>
        <w:spacing w:line="355" w:lineRule="auto"/>
        <w:ind w:left="226"/>
      </w:pPr>
      <w:r>
        <w:rPr/>
        <w:t>These reforms hold out some promise of helping to prevent a repeat of the crisis. Unlike banking union, they do not require institutional changes. They will benefit all member states in the single market. However, they will take time to design and longer to implement, and they will have no impact on the burden of the debt overhang that already exists.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r>
        <w:rPr/>
        <w:pict>
          <v:shape style="position:absolute;margin-left:79.320pt;margin-top:11.769301pt;width:135.5pt;height:.1pt;mso-position-horizontal-relative:page;mso-position-vertical-relative:paragraph;z-index:-251649024;mso-wrap-distance-left:0;mso-wrap-distance-right:0" coordorigin="1586,235" coordsize="2710,0" path="m1586,235l4296,235e" filled="false" stroked="true" strokeweight=".48pt" strokecolor="#000000">
            <v:path arrowok="t"/>
            <v:stroke dashstyle="solid"/>
            <w10:wrap type="topAndBottom"/>
          </v:shape>
        </w:pict>
      </w:r>
    </w:p>
    <w:p>
      <w:pPr>
        <w:spacing w:line="185" w:lineRule="exact" w:before="27"/>
        <w:ind w:left="226" w:right="0" w:firstLine="0"/>
        <w:jc w:val="left"/>
        <w:rPr>
          <w:sz w:val="15"/>
        </w:rPr>
      </w:pPr>
      <w:r>
        <w:rPr>
          <w:position w:val="8"/>
          <w:sz w:val="9"/>
        </w:rPr>
        <w:t>21 </w:t>
      </w:r>
      <w:r>
        <w:rPr>
          <w:sz w:val="15"/>
        </w:rPr>
        <w:t>See ECB (2014), “Aggregate report on the comprehensive assessment”, October.</w:t>
      </w:r>
    </w:p>
    <w:p>
      <w:pPr>
        <w:spacing w:line="172" w:lineRule="exact" w:before="15"/>
        <w:ind w:left="226" w:right="123" w:firstLine="0"/>
        <w:jc w:val="left"/>
        <w:rPr>
          <w:sz w:val="15"/>
        </w:rPr>
      </w:pPr>
      <w:r>
        <w:rPr>
          <w:position w:val="8"/>
          <w:sz w:val="9"/>
        </w:rPr>
        <w:t>22 </w:t>
      </w:r>
      <w:r>
        <w:rPr>
          <w:sz w:val="15"/>
        </w:rPr>
        <w:t>In the euro area, banks have historically played an important role in financing the real economy. Banks loans account for around 50% of firms’ external financing, which is very different from the US where around 80% of firms’ financing comes from capital markets (equity</w:t>
      </w:r>
    </w:p>
    <w:p>
      <w:pPr>
        <w:spacing w:line="160" w:lineRule="exact" w:before="0"/>
        <w:ind w:left="226" w:right="0" w:firstLine="0"/>
        <w:jc w:val="left"/>
        <w:rPr>
          <w:sz w:val="15"/>
        </w:rPr>
      </w:pPr>
      <w:r>
        <w:rPr>
          <w:sz w:val="15"/>
        </w:rPr>
        <w:t>and debt securities).</w:t>
      </w:r>
    </w:p>
    <w:p>
      <w:pPr>
        <w:spacing w:line="172" w:lineRule="exact" w:before="15"/>
        <w:ind w:left="226" w:right="197" w:firstLine="0"/>
        <w:jc w:val="left"/>
        <w:rPr>
          <w:sz w:val="15"/>
        </w:rPr>
      </w:pPr>
      <w:r>
        <w:rPr>
          <w:position w:val="8"/>
          <w:sz w:val="9"/>
        </w:rPr>
        <w:t>23 </w:t>
      </w:r>
      <w:r>
        <w:rPr>
          <w:sz w:val="15"/>
        </w:rPr>
        <w:t>Had debts taken the form of corporate bonds or proper securitisations with real risk transfer, defaults by borrowers in the periphery would have been passed to the creditors in the core and this would have meant the financial system was more reliably available post</w:t>
      </w:r>
    </w:p>
    <w:p>
      <w:pPr>
        <w:spacing w:line="172" w:lineRule="exact" w:before="0"/>
        <w:ind w:left="226" w:right="0" w:firstLine="0"/>
        <w:jc w:val="left"/>
        <w:rPr>
          <w:sz w:val="15"/>
        </w:rPr>
      </w:pPr>
      <w:r>
        <w:rPr>
          <w:sz w:val="15"/>
        </w:rPr>
        <w:t>crisis.</w:t>
      </w:r>
    </w:p>
    <w:p>
      <w:pPr>
        <w:spacing w:after="0" w:line="172" w:lineRule="exact"/>
        <w:jc w:val="left"/>
        <w:rPr>
          <w:sz w:val="15"/>
        </w:rPr>
        <w:sectPr>
          <w:footerReference w:type="default" r:id="rId15"/>
          <w:pgSz w:w="12240" w:h="15840"/>
          <w:pgMar w:footer="1240" w:header="0" w:top="1460" w:bottom="1440" w:left="1360" w:right="1480"/>
        </w:sectPr>
      </w:pPr>
    </w:p>
    <w:p>
      <w:pPr>
        <w:pStyle w:val="Heading1"/>
        <w:spacing w:line="357" w:lineRule="auto" w:before="78"/>
      </w:pPr>
      <w:r>
        <w:rPr/>
        <w:t>For</w:t>
      </w:r>
      <w:r>
        <w:rPr>
          <w:spacing w:val="-9"/>
        </w:rPr>
        <w:t> </w:t>
      </w:r>
      <w:r>
        <w:rPr/>
        <w:t>complete</w:t>
      </w:r>
      <w:r>
        <w:rPr>
          <w:spacing w:val="-9"/>
        </w:rPr>
        <w:t> </w:t>
      </w:r>
      <w:r>
        <w:rPr/>
        <w:t>solutions</w:t>
      </w:r>
      <w:r>
        <w:rPr>
          <w:spacing w:val="-9"/>
        </w:rPr>
        <w:t> </w:t>
      </w:r>
      <w:r>
        <w:rPr/>
        <w:t>to</w:t>
      </w:r>
      <w:r>
        <w:rPr>
          <w:spacing w:val="-8"/>
        </w:rPr>
        <w:t> </w:t>
      </w:r>
      <w:r>
        <w:rPr/>
        <w:t>both</w:t>
      </w:r>
      <w:r>
        <w:rPr>
          <w:spacing w:val="-8"/>
        </w:rPr>
        <w:t> </w:t>
      </w:r>
      <w:r>
        <w:rPr/>
        <w:t>current</w:t>
      </w:r>
      <w:r>
        <w:rPr>
          <w:spacing w:val="-8"/>
        </w:rPr>
        <w:t> </w:t>
      </w:r>
      <w:r>
        <w:rPr/>
        <w:t>and</w:t>
      </w:r>
      <w:r>
        <w:rPr>
          <w:spacing w:val="-8"/>
        </w:rPr>
        <w:t> </w:t>
      </w:r>
      <w:r>
        <w:rPr/>
        <w:t>potential</w:t>
      </w:r>
      <w:r>
        <w:rPr>
          <w:spacing w:val="-7"/>
        </w:rPr>
        <w:t> </w:t>
      </w:r>
      <w:r>
        <w:rPr/>
        <w:t>future</w:t>
      </w:r>
      <w:r>
        <w:rPr>
          <w:spacing w:val="-10"/>
        </w:rPr>
        <w:t> </w:t>
      </w:r>
      <w:r>
        <w:rPr/>
        <w:t>problems</w:t>
      </w:r>
      <w:r>
        <w:rPr>
          <w:spacing w:val="-8"/>
        </w:rPr>
        <w:t> </w:t>
      </w:r>
      <w:r>
        <w:rPr/>
        <w:t>the</w:t>
      </w:r>
      <w:r>
        <w:rPr>
          <w:spacing w:val="-9"/>
        </w:rPr>
        <w:t> </w:t>
      </w:r>
      <w:r>
        <w:rPr/>
        <w:t>sharing</w:t>
      </w:r>
      <w:r>
        <w:rPr>
          <w:spacing w:val="-10"/>
        </w:rPr>
        <w:t> </w:t>
      </w:r>
      <w:r>
        <w:rPr/>
        <w:t>of</w:t>
      </w:r>
      <w:r>
        <w:rPr>
          <w:spacing w:val="-8"/>
        </w:rPr>
        <w:t> </w:t>
      </w:r>
      <w:r>
        <w:rPr/>
        <w:t>fiscal</w:t>
      </w:r>
      <w:r>
        <w:rPr>
          <w:spacing w:val="-9"/>
        </w:rPr>
        <w:t> </w:t>
      </w:r>
      <w:r>
        <w:rPr/>
        <w:t>risks</w:t>
      </w:r>
      <w:r>
        <w:rPr>
          <w:spacing w:val="-9"/>
        </w:rPr>
        <w:t> </w:t>
      </w:r>
      <w:r>
        <w:rPr/>
        <w:t>is required.</w:t>
      </w:r>
    </w:p>
    <w:p>
      <w:pPr>
        <w:pStyle w:val="BodyText"/>
        <w:spacing w:before="3"/>
        <w:rPr>
          <w:b/>
          <w:sz w:val="28"/>
        </w:rPr>
      </w:pPr>
    </w:p>
    <w:p>
      <w:pPr>
        <w:pStyle w:val="BodyText"/>
        <w:spacing w:line="355" w:lineRule="auto"/>
        <w:ind w:left="226" w:right="205"/>
        <w:jc w:val="both"/>
      </w:pPr>
      <w:r>
        <w:rPr/>
        <w:t>It</w:t>
      </w:r>
      <w:r>
        <w:rPr>
          <w:spacing w:val="-10"/>
        </w:rPr>
        <w:t> </w:t>
      </w:r>
      <w:r>
        <w:rPr/>
        <w:t>is</w:t>
      </w:r>
      <w:r>
        <w:rPr>
          <w:spacing w:val="-8"/>
        </w:rPr>
        <w:t> </w:t>
      </w:r>
      <w:r>
        <w:rPr/>
        <w:t>no</w:t>
      </w:r>
      <w:r>
        <w:rPr>
          <w:spacing w:val="-9"/>
        </w:rPr>
        <w:t> </w:t>
      </w:r>
      <w:r>
        <w:rPr/>
        <w:t>coincidence</w:t>
      </w:r>
      <w:r>
        <w:rPr>
          <w:spacing w:val="-10"/>
        </w:rPr>
        <w:t> </w:t>
      </w:r>
      <w:r>
        <w:rPr/>
        <w:t>that</w:t>
      </w:r>
      <w:r>
        <w:rPr>
          <w:spacing w:val="-9"/>
        </w:rPr>
        <w:t> </w:t>
      </w:r>
      <w:r>
        <w:rPr/>
        <w:t>effective</w:t>
      </w:r>
      <w:r>
        <w:rPr>
          <w:spacing w:val="-10"/>
        </w:rPr>
        <w:t> </w:t>
      </w:r>
      <w:r>
        <w:rPr/>
        <w:t>currency</w:t>
      </w:r>
      <w:r>
        <w:rPr>
          <w:spacing w:val="-9"/>
        </w:rPr>
        <w:t> </w:t>
      </w:r>
      <w:r>
        <w:rPr/>
        <w:t>unions</w:t>
      </w:r>
      <w:r>
        <w:rPr>
          <w:spacing w:val="-9"/>
        </w:rPr>
        <w:t> </w:t>
      </w:r>
      <w:r>
        <w:rPr/>
        <w:t>tend</w:t>
      </w:r>
      <w:r>
        <w:rPr>
          <w:spacing w:val="-9"/>
        </w:rPr>
        <w:t> </w:t>
      </w:r>
      <w:r>
        <w:rPr/>
        <w:t>to</w:t>
      </w:r>
      <w:r>
        <w:rPr>
          <w:spacing w:val="-9"/>
        </w:rPr>
        <w:t> </w:t>
      </w:r>
      <w:r>
        <w:rPr/>
        <w:t>have</w:t>
      </w:r>
      <w:r>
        <w:rPr>
          <w:spacing w:val="-10"/>
        </w:rPr>
        <w:t> </w:t>
      </w:r>
      <w:r>
        <w:rPr/>
        <w:t>centralised</w:t>
      </w:r>
      <w:r>
        <w:rPr>
          <w:spacing w:val="-9"/>
        </w:rPr>
        <w:t> </w:t>
      </w:r>
      <w:r>
        <w:rPr/>
        <w:t>fiscal</w:t>
      </w:r>
      <w:r>
        <w:rPr>
          <w:spacing w:val="-10"/>
        </w:rPr>
        <w:t> </w:t>
      </w:r>
      <w:r>
        <w:rPr/>
        <w:t>authorities</w:t>
      </w:r>
      <w:r>
        <w:rPr>
          <w:spacing w:val="-8"/>
        </w:rPr>
        <w:t> </w:t>
      </w:r>
      <w:r>
        <w:rPr/>
        <w:t>whose</w:t>
      </w:r>
      <w:r>
        <w:rPr>
          <w:spacing w:val="-10"/>
        </w:rPr>
        <w:t> </w:t>
      </w:r>
      <w:r>
        <w:rPr/>
        <w:t>spending is</w:t>
      </w:r>
      <w:r>
        <w:rPr>
          <w:spacing w:val="-7"/>
        </w:rPr>
        <w:t> </w:t>
      </w:r>
      <w:r>
        <w:rPr/>
        <w:t>a</w:t>
      </w:r>
      <w:r>
        <w:rPr>
          <w:spacing w:val="-8"/>
        </w:rPr>
        <w:t> </w:t>
      </w:r>
      <w:r>
        <w:rPr/>
        <w:t>sizeable</w:t>
      </w:r>
      <w:r>
        <w:rPr>
          <w:spacing w:val="-7"/>
        </w:rPr>
        <w:t> </w:t>
      </w:r>
      <w:r>
        <w:rPr/>
        <w:t>share</w:t>
      </w:r>
      <w:r>
        <w:rPr>
          <w:spacing w:val="-7"/>
        </w:rPr>
        <w:t> </w:t>
      </w:r>
      <w:r>
        <w:rPr/>
        <w:t>of</w:t>
      </w:r>
      <w:r>
        <w:rPr>
          <w:spacing w:val="-5"/>
        </w:rPr>
        <w:t> </w:t>
      </w:r>
      <w:r>
        <w:rPr/>
        <w:t>GDP</w:t>
      </w:r>
      <w:r>
        <w:rPr>
          <w:spacing w:val="-5"/>
        </w:rPr>
        <w:t> </w:t>
      </w:r>
      <w:r>
        <w:rPr/>
        <w:t>–</w:t>
      </w:r>
      <w:r>
        <w:rPr>
          <w:spacing w:val="-8"/>
        </w:rPr>
        <w:t> </w:t>
      </w:r>
      <w:r>
        <w:rPr/>
        <w:t>averaging</w:t>
      </w:r>
      <w:r>
        <w:rPr>
          <w:spacing w:val="-7"/>
        </w:rPr>
        <w:t> </w:t>
      </w:r>
      <w:r>
        <w:rPr/>
        <w:t>over</w:t>
      </w:r>
      <w:r>
        <w:rPr>
          <w:spacing w:val="-8"/>
        </w:rPr>
        <w:t> </w:t>
      </w:r>
      <w:r>
        <w:rPr/>
        <w:t>a</w:t>
      </w:r>
      <w:r>
        <w:rPr>
          <w:spacing w:val="-7"/>
        </w:rPr>
        <w:t> </w:t>
      </w:r>
      <w:r>
        <w:rPr/>
        <w:t>quarter</w:t>
      </w:r>
      <w:r>
        <w:rPr>
          <w:spacing w:val="-7"/>
        </w:rPr>
        <w:t> </w:t>
      </w:r>
      <w:r>
        <w:rPr/>
        <w:t>of</w:t>
      </w:r>
      <w:r>
        <w:rPr>
          <w:spacing w:val="-7"/>
        </w:rPr>
        <w:t> </w:t>
      </w:r>
      <w:r>
        <w:rPr/>
        <w:t>GDP</w:t>
      </w:r>
      <w:r>
        <w:rPr>
          <w:spacing w:val="-8"/>
        </w:rPr>
        <w:t> </w:t>
      </w:r>
      <w:r>
        <w:rPr/>
        <w:t>for</w:t>
      </w:r>
      <w:r>
        <w:rPr>
          <w:spacing w:val="-8"/>
        </w:rPr>
        <w:t> </w:t>
      </w:r>
      <w:r>
        <w:rPr/>
        <w:t>advanced</w:t>
      </w:r>
      <w:r>
        <w:rPr>
          <w:spacing w:val="-8"/>
        </w:rPr>
        <w:t> </w:t>
      </w:r>
      <w:r>
        <w:rPr/>
        <w:t>countries</w:t>
      </w:r>
      <w:r>
        <w:rPr>
          <w:spacing w:val="-5"/>
        </w:rPr>
        <w:t> </w:t>
      </w:r>
      <w:r>
        <w:rPr/>
        <w:t>outside</w:t>
      </w:r>
      <w:r>
        <w:rPr>
          <w:spacing w:val="-7"/>
        </w:rPr>
        <w:t> </w:t>
      </w:r>
      <w:r>
        <w:rPr/>
        <w:t>the</w:t>
      </w:r>
      <w:r>
        <w:rPr>
          <w:spacing w:val="-7"/>
        </w:rPr>
        <w:t> </w:t>
      </w:r>
      <w:r>
        <w:rPr/>
        <w:t>euro</w:t>
      </w:r>
      <w:r>
        <w:rPr>
          <w:spacing w:val="-7"/>
        </w:rPr>
        <w:t> </w:t>
      </w:r>
      <w:r>
        <w:rPr/>
        <w:t>area (</w:t>
      </w:r>
      <w:r>
        <w:rPr>
          <w:b/>
        </w:rPr>
        <w:t>Table</w:t>
      </w:r>
      <w:r>
        <w:rPr>
          <w:b/>
          <w:spacing w:val="-3"/>
        </w:rPr>
        <w:t> </w:t>
      </w:r>
      <w:r>
        <w:rPr>
          <w:b/>
        </w:rPr>
        <w:t>1</w:t>
      </w:r>
      <w:r>
        <w:rPr/>
        <w:t>).</w:t>
      </w:r>
    </w:p>
    <w:p>
      <w:pPr>
        <w:pStyle w:val="BodyText"/>
        <w:spacing w:before="5"/>
        <w:rPr>
          <w:sz w:val="28"/>
        </w:rPr>
      </w:pPr>
    </w:p>
    <w:p>
      <w:pPr>
        <w:pStyle w:val="BodyText"/>
        <w:spacing w:line="355" w:lineRule="auto"/>
        <w:ind w:left="226" w:right="197"/>
      </w:pPr>
      <w:r>
        <w:rPr/>
        <w:t>I</w:t>
      </w:r>
      <w:r>
        <w:rPr>
          <w:spacing w:val="-6"/>
        </w:rPr>
        <w:t> </w:t>
      </w:r>
      <w:r>
        <w:rPr/>
        <w:t>have</w:t>
      </w:r>
      <w:r>
        <w:rPr>
          <w:spacing w:val="-8"/>
        </w:rPr>
        <w:t> </w:t>
      </w:r>
      <w:r>
        <w:rPr/>
        <w:t>already</w:t>
      </w:r>
      <w:r>
        <w:rPr>
          <w:spacing w:val="-7"/>
        </w:rPr>
        <w:t> </w:t>
      </w:r>
      <w:r>
        <w:rPr/>
        <w:t>discussed</w:t>
      </w:r>
      <w:r>
        <w:rPr>
          <w:spacing w:val="-7"/>
        </w:rPr>
        <w:t> </w:t>
      </w:r>
      <w:r>
        <w:rPr/>
        <w:t>how</w:t>
      </w:r>
      <w:r>
        <w:rPr>
          <w:spacing w:val="-8"/>
        </w:rPr>
        <w:t> </w:t>
      </w:r>
      <w:r>
        <w:rPr/>
        <w:t>parts</w:t>
      </w:r>
      <w:r>
        <w:rPr>
          <w:spacing w:val="-6"/>
        </w:rPr>
        <w:t> </w:t>
      </w:r>
      <w:r>
        <w:rPr/>
        <w:t>of</w:t>
      </w:r>
      <w:r>
        <w:rPr>
          <w:spacing w:val="-7"/>
        </w:rPr>
        <w:t> </w:t>
      </w:r>
      <w:r>
        <w:rPr/>
        <w:t>the</w:t>
      </w:r>
      <w:r>
        <w:rPr>
          <w:spacing w:val="-7"/>
        </w:rPr>
        <w:t> </w:t>
      </w:r>
      <w:r>
        <w:rPr/>
        <w:t>UK</w:t>
      </w:r>
      <w:r>
        <w:rPr>
          <w:spacing w:val="-7"/>
        </w:rPr>
        <w:t> </w:t>
      </w:r>
      <w:r>
        <w:rPr/>
        <w:t>have</w:t>
      </w:r>
      <w:r>
        <w:rPr>
          <w:spacing w:val="-7"/>
        </w:rPr>
        <w:t> </w:t>
      </w:r>
      <w:r>
        <w:rPr/>
        <w:t>benefitted</w:t>
      </w:r>
      <w:r>
        <w:rPr>
          <w:spacing w:val="-8"/>
        </w:rPr>
        <w:t> </w:t>
      </w:r>
      <w:r>
        <w:rPr/>
        <w:t>from</w:t>
      </w:r>
      <w:r>
        <w:rPr>
          <w:spacing w:val="-7"/>
        </w:rPr>
        <w:t> </w:t>
      </w:r>
      <w:r>
        <w:rPr/>
        <w:t>fiscal</w:t>
      </w:r>
      <w:r>
        <w:rPr>
          <w:spacing w:val="-6"/>
        </w:rPr>
        <w:t> </w:t>
      </w:r>
      <w:r>
        <w:rPr/>
        <w:t>risk</w:t>
      </w:r>
      <w:r>
        <w:rPr>
          <w:spacing w:val="-7"/>
        </w:rPr>
        <w:t> </w:t>
      </w:r>
      <w:r>
        <w:rPr/>
        <w:t>sharing.</w:t>
      </w:r>
      <w:r>
        <w:rPr>
          <w:spacing w:val="42"/>
        </w:rPr>
        <w:t> </w:t>
      </w:r>
      <w:r>
        <w:rPr/>
        <w:t>The</w:t>
      </w:r>
      <w:r>
        <w:rPr>
          <w:spacing w:val="-7"/>
        </w:rPr>
        <w:t> </w:t>
      </w:r>
      <w:r>
        <w:rPr/>
        <w:t>euro</w:t>
      </w:r>
      <w:r>
        <w:rPr>
          <w:spacing w:val="-7"/>
        </w:rPr>
        <w:t> </w:t>
      </w:r>
      <w:r>
        <w:rPr/>
        <w:t>area</w:t>
      </w:r>
      <w:r>
        <w:rPr>
          <w:spacing w:val="-8"/>
        </w:rPr>
        <w:t> </w:t>
      </w:r>
      <w:r>
        <w:rPr/>
        <w:t>also stands out from federal systems like the US, Canada and Germany. In those systems, the impact of localised shocks to income is reduced by between one tenth and one fifth by centralised fiscal transfers (</w:t>
      </w:r>
      <w:r>
        <w:rPr>
          <w:b/>
        </w:rPr>
        <w:t>Chart</w:t>
      </w:r>
      <w:r>
        <w:rPr>
          <w:b/>
          <w:spacing w:val="-2"/>
        </w:rPr>
        <w:t> </w:t>
      </w:r>
      <w:r>
        <w:rPr>
          <w:b/>
        </w:rPr>
        <w:t>6</w:t>
      </w:r>
      <w:r>
        <w:rPr/>
        <w:t>).</w:t>
      </w:r>
    </w:p>
    <w:p>
      <w:pPr>
        <w:pStyle w:val="BodyText"/>
        <w:spacing w:before="8"/>
        <w:rPr>
          <w:sz w:val="28"/>
        </w:rPr>
      </w:pPr>
    </w:p>
    <w:p>
      <w:pPr>
        <w:pStyle w:val="BodyText"/>
        <w:ind w:left="226"/>
      </w:pPr>
      <w:r>
        <w:rPr/>
        <w:t>Without this risk sharing, the euro area finds itself in an odd position.</w:t>
      </w:r>
    </w:p>
    <w:p>
      <w:pPr>
        <w:pStyle w:val="BodyText"/>
        <w:rPr>
          <w:sz w:val="20"/>
        </w:rPr>
      </w:pPr>
    </w:p>
    <w:p>
      <w:pPr>
        <w:pStyle w:val="BodyText"/>
        <w:spacing w:before="5"/>
        <w:rPr>
          <w:sz w:val="17"/>
        </w:rPr>
      </w:pPr>
    </w:p>
    <w:p>
      <w:pPr>
        <w:pStyle w:val="BodyText"/>
        <w:spacing w:line="357" w:lineRule="auto" w:before="1"/>
        <w:ind w:left="226"/>
      </w:pPr>
      <w:r>
        <w:rPr/>
        <w:t>As</w:t>
      </w:r>
      <w:r>
        <w:rPr>
          <w:spacing w:val="-11"/>
        </w:rPr>
        <w:t> </w:t>
      </w:r>
      <w:r>
        <w:rPr/>
        <w:t>the</w:t>
      </w:r>
      <w:r>
        <w:rPr>
          <w:spacing w:val="-11"/>
        </w:rPr>
        <w:t> </w:t>
      </w:r>
      <w:r>
        <w:rPr/>
        <w:t>Presidents</w:t>
      </w:r>
      <w:r>
        <w:rPr>
          <w:spacing w:val="-9"/>
        </w:rPr>
        <w:t> </w:t>
      </w:r>
      <w:r>
        <w:rPr/>
        <w:t>of</w:t>
      </w:r>
      <w:r>
        <w:rPr>
          <w:spacing w:val="-11"/>
        </w:rPr>
        <w:t> </w:t>
      </w:r>
      <w:r>
        <w:rPr/>
        <w:t>the</w:t>
      </w:r>
      <w:r>
        <w:rPr>
          <w:spacing w:val="-10"/>
        </w:rPr>
        <w:t> </w:t>
      </w:r>
      <w:r>
        <w:rPr/>
        <w:t>European</w:t>
      </w:r>
      <w:r>
        <w:rPr>
          <w:spacing w:val="-11"/>
        </w:rPr>
        <w:t> </w:t>
      </w:r>
      <w:r>
        <w:rPr/>
        <w:t>Council,</w:t>
      </w:r>
      <w:r>
        <w:rPr>
          <w:spacing w:val="-10"/>
        </w:rPr>
        <w:t> </w:t>
      </w:r>
      <w:r>
        <w:rPr/>
        <w:t>European</w:t>
      </w:r>
      <w:r>
        <w:rPr>
          <w:spacing w:val="-10"/>
        </w:rPr>
        <w:t> </w:t>
      </w:r>
      <w:r>
        <w:rPr/>
        <w:t>Commission,</w:t>
      </w:r>
      <w:r>
        <w:rPr>
          <w:spacing w:val="-10"/>
        </w:rPr>
        <w:t> </w:t>
      </w:r>
      <w:r>
        <w:rPr/>
        <w:t>Eurogroup</w:t>
      </w:r>
      <w:r>
        <w:rPr>
          <w:spacing w:val="-11"/>
        </w:rPr>
        <w:t> </w:t>
      </w:r>
      <w:r>
        <w:rPr/>
        <w:t>and</w:t>
      </w:r>
      <w:r>
        <w:rPr>
          <w:spacing w:val="-10"/>
        </w:rPr>
        <w:t> </w:t>
      </w:r>
      <w:r>
        <w:rPr/>
        <w:t>European</w:t>
      </w:r>
      <w:r>
        <w:rPr>
          <w:spacing w:val="-10"/>
        </w:rPr>
        <w:t> </w:t>
      </w:r>
      <w:r>
        <w:rPr/>
        <w:t>Central</w:t>
      </w:r>
      <w:r>
        <w:rPr>
          <w:spacing w:val="-10"/>
        </w:rPr>
        <w:t> </w:t>
      </w:r>
      <w:r>
        <w:rPr/>
        <w:t>Bank argued in their report, European Monetary Union will not be complete until it builds mechanisms to share fiscal</w:t>
      </w:r>
      <w:r>
        <w:rPr>
          <w:spacing w:val="-3"/>
        </w:rPr>
        <w:t> </w:t>
      </w:r>
      <w:r>
        <w:rPr/>
        <w:t>sovereignty.</w:t>
      </w:r>
    </w:p>
    <w:p>
      <w:pPr>
        <w:pStyle w:val="BodyText"/>
        <w:spacing w:before="11"/>
        <w:rPr>
          <w:sz w:val="27"/>
        </w:rPr>
      </w:pPr>
    </w:p>
    <w:p>
      <w:pPr>
        <w:pStyle w:val="BodyText"/>
        <w:spacing w:line="355" w:lineRule="auto"/>
        <w:ind w:left="226"/>
      </w:pPr>
      <w:r>
        <w:rPr/>
        <w:t>Possible options for sharing fiscal risks range from a transfer union to a pooled employment insurance mechanism. The latter would appear to be an opportunity to combine the current enthusiasm for labour market reform with the longer term imperative to build elements of an efficient transfer union. And it would ensure risk sharing was based on cyclical, rather than structural, labour market positions.</w:t>
      </w:r>
    </w:p>
    <w:p>
      <w:pPr>
        <w:pStyle w:val="BodyText"/>
        <w:spacing w:before="7"/>
        <w:rPr>
          <w:sz w:val="28"/>
        </w:rPr>
      </w:pPr>
    </w:p>
    <w:p>
      <w:pPr>
        <w:pStyle w:val="BodyText"/>
        <w:spacing w:line="357" w:lineRule="auto"/>
        <w:ind w:left="226"/>
      </w:pPr>
      <w:r>
        <w:rPr/>
        <w:t>And what of short-term fiscal dynamics in the euro area? President Draghi recently underscored the importance</w:t>
      </w:r>
      <w:r>
        <w:rPr>
          <w:spacing w:val="-7"/>
        </w:rPr>
        <w:t> </w:t>
      </w:r>
      <w:r>
        <w:rPr/>
        <w:t>of</w:t>
      </w:r>
      <w:r>
        <w:rPr>
          <w:spacing w:val="-3"/>
        </w:rPr>
        <w:t> </w:t>
      </w:r>
      <w:r>
        <w:rPr/>
        <w:t>fiscal</w:t>
      </w:r>
      <w:r>
        <w:rPr>
          <w:spacing w:val="-5"/>
        </w:rPr>
        <w:t> </w:t>
      </w:r>
      <w:r>
        <w:rPr/>
        <w:t>policy</w:t>
      </w:r>
      <w:r>
        <w:rPr>
          <w:spacing w:val="-5"/>
        </w:rPr>
        <w:t> </w:t>
      </w:r>
      <w:r>
        <w:rPr/>
        <w:t>as</w:t>
      </w:r>
      <w:r>
        <w:rPr>
          <w:spacing w:val="-6"/>
        </w:rPr>
        <w:t> </w:t>
      </w:r>
      <w:r>
        <w:rPr/>
        <w:t>a</w:t>
      </w:r>
      <w:r>
        <w:rPr>
          <w:spacing w:val="-5"/>
        </w:rPr>
        <w:t> </w:t>
      </w:r>
      <w:r>
        <w:rPr/>
        <w:t>short</w:t>
      </w:r>
      <w:r>
        <w:rPr>
          <w:spacing w:val="-7"/>
        </w:rPr>
        <w:t> </w:t>
      </w:r>
      <w:r>
        <w:rPr/>
        <w:t>term</w:t>
      </w:r>
      <w:r>
        <w:rPr>
          <w:spacing w:val="-7"/>
        </w:rPr>
        <w:t> </w:t>
      </w:r>
      <w:r>
        <w:rPr/>
        <w:t>stabilisation</w:t>
      </w:r>
      <w:r>
        <w:rPr>
          <w:spacing w:val="-6"/>
        </w:rPr>
        <w:t> </w:t>
      </w:r>
      <w:r>
        <w:rPr/>
        <w:t>tool</w:t>
      </w:r>
      <w:r>
        <w:rPr>
          <w:spacing w:val="-4"/>
        </w:rPr>
        <w:t> </w:t>
      </w:r>
      <w:r>
        <w:rPr/>
        <w:t>as</w:t>
      </w:r>
      <w:r>
        <w:rPr>
          <w:spacing w:val="-4"/>
        </w:rPr>
        <w:t> </w:t>
      </w:r>
      <w:r>
        <w:rPr/>
        <w:t>well</w:t>
      </w:r>
      <w:r>
        <w:rPr>
          <w:spacing w:val="-4"/>
        </w:rPr>
        <w:t> </w:t>
      </w:r>
      <w:r>
        <w:rPr/>
        <w:t>as</w:t>
      </w:r>
      <w:r>
        <w:rPr>
          <w:spacing w:val="-5"/>
        </w:rPr>
        <w:t> </w:t>
      </w:r>
      <w:r>
        <w:rPr/>
        <w:t>the</w:t>
      </w:r>
      <w:r>
        <w:rPr>
          <w:spacing w:val="-7"/>
        </w:rPr>
        <w:t> </w:t>
      </w:r>
      <w:r>
        <w:rPr/>
        <w:t>difficulty</w:t>
      </w:r>
      <w:r>
        <w:rPr>
          <w:spacing w:val="-6"/>
        </w:rPr>
        <w:t> </w:t>
      </w:r>
      <w:r>
        <w:rPr/>
        <w:t>of</w:t>
      </w:r>
      <w:r>
        <w:rPr>
          <w:spacing w:val="-5"/>
        </w:rPr>
        <w:t> </w:t>
      </w:r>
      <w:r>
        <w:rPr/>
        <w:t>utilising</w:t>
      </w:r>
      <w:r>
        <w:rPr>
          <w:spacing w:val="-6"/>
        </w:rPr>
        <w:t> </w:t>
      </w:r>
      <w:r>
        <w:rPr/>
        <w:t>it</w:t>
      </w:r>
      <w:r>
        <w:rPr>
          <w:spacing w:val="-5"/>
        </w:rPr>
        <w:t> </w:t>
      </w:r>
      <w:r>
        <w:rPr/>
        <w:t>in</w:t>
      </w:r>
      <w:r>
        <w:rPr>
          <w:spacing w:val="-7"/>
        </w:rPr>
        <w:t> </w:t>
      </w:r>
      <w:r>
        <w:rPr/>
        <w:t>the</w:t>
      </w:r>
      <w:r>
        <w:rPr>
          <w:spacing w:val="-5"/>
        </w:rPr>
        <w:t> </w:t>
      </w:r>
      <w:r>
        <w:rPr/>
        <w:t>current imperfect union.</w:t>
      </w:r>
    </w:p>
    <w:p>
      <w:pPr>
        <w:pStyle w:val="BodyText"/>
        <w:spacing w:before="11"/>
        <w:rPr>
          <w:sz w:val="27"/>
        </w:rPr>
      </w:pPr>
    </w:p>
    <w:p>
      <w:pPr>
        <w:pStyle w:val="BodyText"/>
        <w:ind w:left="226"/>
      </w:pPr>
      <w:r>
        <w:rPr/>
        <w:t>Consider the following comparison between the euro area and the UK.</w:t>
      </w:r>
    </w:p>
    <w:p>
      <w:pPr>
        <w:pStyle w:val="BodyText"/>
        <w:rPr>
          <w:sz w:val="20"/>
        </w:rPr>
      </w:pPr>
    </w:p>
    <w:p>
      <w:pPr>
        <w:pStyle w:val="BodyText"/>
        <w:spacing w:before="4"/>
        <w:rPr>
          <w:sz w:val="17"/>
        </w:rPr>
      </w:pPr>
    </w:p>
    <w:p>
      <w:pPr>
        <w:pStyle w:val="BodyText"/>
        <w:spacing w:line="357" w:lineRule="auto"/>
        <w:ind w:left="226"/>
      </w:pPr>
      <w:r>
        <w:rPr/>
        <w:t>In the euro area, the private sector continues to generate surplus savings of 3½% of GDP (</w:t>
      </w:r>
      <w:r>
        <w:rPr>
          <w:b/>
        </w:rPr>
        <w:t>Chart 7</w:t>
      </w:r>
      <w:r>
        <w:rPr/>
        <w:t>). Those must be recycled effectively to generate an expansion. The UK no longer faces that challenge. Its private sector is in balance.</w:t>
      </w:r>
    </w:p>
    <w:p>
      <w:pPr>
        <w:pStyle w:val="BodyText"/>
        <w:spacing w:before="1"/>
        <w:rPr>
          <w:sz w:val="28"/>
        </w:rPr>
      </w:pPr>
    </w:p>
    <w:p>
      <w:pPr>
        <w:pStyle w:val="BodyText"/>
        <w:ind w:left="226"/>
      </w:pPr>
      <w:r>
        <w:rPr/>
        <w:t>The euro area unemployment rate of 11½% is twice that in the UK.</w:t>
      </w:r>
    </w:p>
    <w:p>
      <w:pPr>
        <w:pStyle w:val="BodyText"/>
        <w:rPr>
          <w:sz w:val="20"/>
        </w:rPr>
      </w:pPr>
    </w:p>
    <w:p>
      <w:pPr>
        <w:pStyle w:val="BodyText"/>
        <w:spacing w:before="5"/>
        <w:rPr>
          <w:sz w:val="17"/>
        </w:rPr>
      </w:pPr>
    </w:p>
    <w:p>
      <w:pPr>
        <w:pStyle w:val="BodyText"/>
        <w:spacing w:line="355" w:lineRule="auto"/>
        <w:ind w:left="226" w:right="226"/>
        <w:jc w:val="both"/>
      </w:pPr>
      <w:r>
        <w:rPr/>
        <w:t>Gross</w:t>
      </w:r>
      <w:r>
        <w:rPr>
          <w:spacing w:val="-6"/>
        </w:rPr>
        <w:t> </w:t>
      </w:r>
      <w:r>
        <w:rPr/>
        <w:t>general</w:t>
      </w:r>
      <w:r>
        <w:rPr>
          <w:spacing w:val="-7"/>
        </w:rPr>
        <w:t> </w:t>
      </w:r>
      <w:r>
        <w:rPr/>
        <w:t>government</w:t>
      </w:r>
      <w:r>
        <w:rPr>
          <w:spacing w:val="-5"/>
        </w:rPr>
        <w:t> </w:t>
      </w:r>
      <w:r>
        <w:rPr/>
        <w:t>debt</w:t>
      </w:r>
      <w:r>
        <w:rPr>
          <w:spacing w:val="-5"/>
        </w:rPr>
        <w:t> </w:t>
      </w:r>
      <w:r>
        <w:rPr/>
        <w:t>in</w:t>
      </w:r>
      <w:r>
        <w:rPr>
          <w:spacing w:val="-7"/>
        </w:rPr>
        <w:t> </w:t>
      </w:r>
      <w:r>
        <w:rPr/>
        <w:t>the</w:t>
      </w:r>
      <w:r>
        <w:rPr>
          <w:spacing w:val="-7"/>
        </w:rPr>
        <w:t> </w:t>
      </w:r>
      <w:r>
        <w:rPr/>
        <w:t>euro</w:t>
      </w:r>
      <w:r>
        <w:rPr>
          <w:spacing w:val="-7"/>
        </w:rPr>
        <w:t> </w:t>
      </w:r>
      <w:r>
        <w:rPr/>
        <w:t>area</w:t>
      </w:r>
      <w:r>
        <w:rPr>
          <w:spacing w:val="-7"/>
        </w:rPr>
        <w:t> </w:t>
      </w:r>
      <w:r>
        <w:rPr/>
        <w:t>is</w:t>
      </w:r>
      <w:r>
        <w:rPr>
          <w:spacing w:val="-6"/>
        </w:rPr>
        <w:t> </w:t>
      </w:r>
      <w:r>
        <w:rPr/>
        <w:t>roughly</w:t>
      </w:r>
      <w:r>
        <w:rPr>
          <w:spacing w:val="-7"/>
        </w:rPr>
        <w:t> </w:t>
      </w:r>
      <w:r>
        <w:rPr/>
        <w:t>the</w:t>
      </w:r>
      <w:r>
        <w:rPr>
          <w:spacing w:val="-7"/>
        </w:rPr>
        <w:t> </w:t>
      </w:r>
      <w:r>
        <w:rPr/>
        <w:t>same</w:t>
      </w:r>
      <w:r>
        <w:rPr>
          <w:spacing w:val="-7"/>
        </w:rPr>
        <w:t> </w:t>
      </w:r>
      <w:r>
        <w:rPr/>
        <w:t>as</w:t>
      </w:r>
      <w:r>
        <w:rPr>
          <w:spacing w:val="-6"/>
        </w:rPr>
        <w:t> </w:t>
      </w:r>
      <w:r>
        <w:rPr/>
        <w:t>in</w:t>
      </w:r>
      <w:r>
        <w:rPr>
          <w:spacing w:val="-7"/>
        </w:rPr>
        <w:t> </w:t>
      </w:r>
      <w:r>
        <w:rPr/>
        <w:t>the</w:t>
      </w:r>
      <w:r>
        <w:rPr>
          <w:spacing w:val="-6"/>
        </w:rPr>
        <w:t> </w:t>
      </w:r>
      <w:r>
        <w:rPr/>
        <w:t>UK</w:t>
      </w:r>
      <w:r>
        <w:rPr>
          <w:spacing w:val="-6"/>
        </w:rPr>
        <w:t> </w:t>
      </w:r>
      <w:r>
        <w:rPr/>
        <w:t>and</w:t>
      </w:r>
      <w:r>
        <w:rPr>
          <w:spacing w:val="-7"/>
        </w:rPr>
        <w:t> </w:t>
      </w:r>
      <w:r>
        <w:rPr/>
        <w:t>below</w:t>
      </w:r>
      <w:r>
        <w:rPr>
          <w:spacing w:val="-8"/>
        </w:rPr>
        <w:t> </w:t>
      </w:r>
      <w:r>
        <w:rPr/>
        <w:t>the</w:t>
      </w:r>
      <w:r>
        <w:rPr>
          <w:spacing w:val="-6"/>
        </w:rPr>
        <w:t> </w:t>
      </w:r>
      <w:r>
        <w:rPr/>
        <w:t>average</w:t>
      </w:r>
      <w:r>
        <w:rPr>
          <w:spacing w:val="-7"/>
        </w:rPr>
        <w:t> </w:t>
      </w:r>
      <w:r>
        <w:rPr/>
        <w:t>of advanced</w:t>
      </w:r>
      <w:r>
        <w:rPr>
          <w:spacing w:val="-2"/>
        </w:rPr>
        <w:t> </w:t>
      </w:r>
      <w:r>
        <w:rPr/>
        <w:t>economies.</w:t>
      </w:r>
    </w:p>
    <w:p>
      <w:pPr>
        <w:pStyle w:val="BodyText"/>
        <w:spacing w:before="5"/>
        <w:rPr>
          <w:sz w:val="28"/>
        </w:rPr>
      </w:pPr>
    </w:p>
    <w:p>
      <w:pPr>
        <w:pStyle w:val="BodyText"/>
        <w:ind w:left="226"/>
      </w:pPr>
      <w:r>
        <w:rPr/>
        <w:t>The weighted average yield on 10-year euro area sovereign debt is around 1%, compared to 1½% in the UK.</w:t>
      </w:r>
    </w:p>
    <w:p>
      <w:pPr>
        <w:spacing w:after="0"/>
        <w:sectPr>
          <w:footerReference w:type="default" r:id="rId16"/>
          <w:pgSz w:w="12240" w:h="15840"/>
          <w:pgMar w:footer="1240" w:header="0" w:top="1440" w:bottom="1440" w:left="1360" w:right="1480"/>
          <w:pgNumType w:start="11"/>
        </w:sectPr>
      </w:pPr>
    </w:p>
    <w:p>
      <w:pPr>
        <w:pStyle w:val="BodyText"/>
        <w:spacing w:line="357" w:lineRule="auto" w:before="80"/>
        <w:ind w:left="226"/>
      </w:pPr>
      <w:r>
        <w:rPr/>
        <w:t>And yet, the euro area’s fiscal deficit is half that in the UK. It structural deficit, according to the IMF, is less than one third as large.</w:t>
      </w:r>
    </w:p>
    <w:p>
      <w:pPr>
        <w:pStyle w:val="BodyText"/>
        <w:spacing w:before="1"/>
        <w:rPr>
          <w:sz w:val="28"/>
        </w:rPr>
      </w:pPr>
    </w:p>
    <w:p>
      <w:pPr>
        <w:pStyle w:val="BodyText"/>
        <w:spacing w:line="357" w:lineRule="auto"/>
        <w:ind w:left="226" w:right="123"/>
      </w:pPr>
      <w:r>
        <w:rPr/>
        <w:t>It is difficult to avoid the conclusion that, if the euro zone were a country, fiscal policy would be substantially more supportive. However, it is tighter than in the UK, even though Europe still lacks other effective risk sharing mechanisms and is relatively inflexible. A more constructive fiscal policy would help recycle surplus private savings and mitigate the tail risk of stagnation. It would also bridge the drag from structural reforms on nominal spending and would be consistent with the longer term direction of travel towards greater integration.</w:t>
      </w:r>
    </w:p>
    <w:p>
      <w:pPr>
        <w:pStyle w:val="BodyText"/>
        <w:spacing w:before="8"/>
        <w:rPr>
          <w:sz w:val="27"/>
        </w:rPr>
      </w:pPr>
    </w:p>
    <w:p>
      <w:pPr>
        <w:pStyle w:val="BodyText"/>
        <w:ind w:left="226"/>
      </w:pPr>
      <w:r>
        <w:rPr/>
        <w:t>It would be bold, and it would be favoured by fortune.</w:t>
      </w:r>
    </w:p>
    <w:p>
      <w:pPr>
        <w:pStyle w:val="BodyText"/>
        <w:rPr>
          <w:sz w:val="20"/>
        </w:rPr>
      </w:pPr>
    </w:p>
    <w:p>
      <w:pPr>
        <w:pStyle w:val="BodyText"/>
        <w:spacing w:before="4"/>
        <w:rPr>
          <w:sz w:val="17"/>
        </w:rPr>
      </w:pPr>
    </w:p>
    <w:p>
      <w:pPr>
        <w:pStyle w:val="Heading1"/>
        <w:numPr>
          <w:ilvl w:val="0"/>
          <w:numId w:val="1"/>
        </w:numPr>
        <w:tabs>
          <w:tab w:pos="565" w:val="left" w:leader="none"/>
        </w:tabs>
        <w:spacing w:line="240" w:lineRule="auto" w:before="0" w:after="0"/>
        <w:ind w:left="564" w:right="0" w:hanging="339"/>
        <w:jc w:val="left"/>
      </w:pPr>
      <w:r>
        <w:rPr/>
        <w:t>Conclusion</w:t>
      </w:r>
    </w:p>
    <w:p>
      <w:pPr>
        <w:pStyle w:val="BodyText"/>
        <w:spacing w:line="650" w:lineRule="atLeast"/>
        <w:ind w:left="226" w:right="842"/>
      </w:pPr>
      <w:r>
        <w:rPr/>
        <w:t>Jim Flaherty understood the importance of having a plan, and implementing it diligently and clearly. Not just because, as policymakers, that is our job. But also because in the absence of such a plan,</w:t>
      </w:r>
    </w:p>
    <w:p>
      <w:pPr>
        <w:pStyle w:val="BodyText"/>
        <w:spacing w:before="105"/>
        <w:ind w:left="226"/>
      </w:pPr>
      <w:r>
        <w:rPr/>
        <w:t>businesses and households would shy away from the risk-taking we need for a sustained global expansion.</w:t>
      </w:r>
    </w:p>
    <w:p>
      <w:pPr>
        <w:pStyle w:val="BodyText"/>
        <w:rPr>
          <w:sz w:val="20"/>
        </w:rPr>
      </w:pPr>
    </w:p>
    <w:p>
      <w:pPr>
        <w:pStyle w:val="BodyText"/>
        <w:spacing w:before="5"/>
        <w:rPr>
          <w:sz w:val="17"/>
        </w:rPr>
      </w:pPr>
    </w:p>
    <w:p>
      <w:pPr>
        <w:pStyle w:val="BodyText"/>
        <w:spacing w:line="357" w:lineRule="auto"/>
        <w:ind w:left="226"/>
      </w:pPr>
      <w:r>
        <w:rPr/>
        <w:t>Europe</w:t>
      </w:r>
      <w:r>
        <w:rPr>
          <w:spacing w:val="-10"/>
        </w:rPr>
        <w:t> </w:t>
      </w:r>
      <w:r>
        <w:rPr/>
        <w:t>needs</w:t>
      </w:r>
      <w:r>
        <w:rPr>
          <w:spacing w:val="-9"/>
        </w:rPr>
        <w:t> </w:t>
      </w:r>
      <w:r>
        <w:rPr/>
        <w:t>a</w:t>
      </w:r>
      <w:r>
        <w:rPr>
          <w:spacing w:val="-11"/>
        </w:rPr>
        <w:t> </w:t>
      </w:r>
      <w:r>
        <w:rPr/>
        <w:t>comprehensive,</w:t>
      </w:r>
      <w:r>
        <w:rPr>
          <w:spacing w:val="-10"/>
        </w:rPr>
        <w:t> </w:t>
      </w:r>
      <w:r>
        <w:rPr/>
        <w:t>coherent</w:t>
      </w:r>
      <w:r>
        <w:rPr>
          <w:spacing w:val="-10"/>
        </w:rPr>
        <w:t> </w:t>
      </w:r>
      <w:r>
        <w:rPr/>
        <w:t>plan</w:t>
      </w:r>
      <w:r>
        <w:rPr>
          <w:spacing w:val="-10"/>
        </w:rPr>
        <w:t> </w:t>
      </w:r>
      <w:r>
        <w:rPr/>
        <w:t>to</w:t>
      </w:r>
      <w:r>
        <w:rPr>
          <w:spacing w:val="-10"/>
        </w:rPr>
        <w:t> </w:t>
      </w:r>
      <w:r>
        <w:rPr/>
        <w:t>anchor</w:t>
      </w:r>
      <w:r>
        <w:rPr>
          <w:spacing w:val="-9"/>
        </w:rPr>
        <w:t> </w:t>
      </w:r>
      <w:r>
        <w:rPr/>
        <w:t>expectations,</w:t>
      </w:r>
      <w:r>
        <w:rPr>
          <w:spacing w:val="-9"/>
        </w:rPr>
        <w:t> </w:t>
      </w:r>
      <w:r>
        <w:rPr/>
        <w:t>build</w:t>
      </w:r>
      <w:r>
        <w:rPr>
          <w:spacing w:val="-10"/>
        </w:rPr>
        <w:t> </w:t>
      </w:r>
      <w:r>
        <w:rPr/>
        <w:t>confidence</w:t>
      </w:r>
      <w:r>
        <w:rPr>
          <w:spacing w:val="-10"/>
        </w:rPr>
        <w:t> </w:t>
      </w:r>
      <w:r>
        <w:rPr/>
        <w:t>and</w:t>
      </w:r>
      <w:r>
        <w:rPr>
          <w:spacing w:val="-8"/>
        </w:rPr>
        <w:t> </w:t>
      </w:r>
      <w:r>
        <w:rPr/>
        <w:t>escape</w:t>
      </w:r>
      <w:r>
        <w:rPr>
          <w:spacing w:val="-11"/>
        </w:rPr>
        <w:t> </w:t>
      </w:r>
      <w:r>
        <w:rPr/>
        <w:t>its</w:t>
      </w:r>
      <w:r>
        <w:rPr>
          <w:spacing w:val="-9"/>
        </w:rPr>
        <w:t> </w:t>
      </w:r>
      <w:r>
        <w:rPr/>
        <w:t>debt trap.</w:t>
      </w:r>
    </w:p>
    <w:p>
      <w:pPr>
        <w:pStyle w:val="BodyText"/>
        <w:spacing w:before="1"/>
        <w:rPr>
          <w:sz w:val="28"/>
        </w:rPr>
      </w:pPr>
    </w:p>
    <w:p>
      <w:pPr>
        <w:pStyle w:val="BodyText"/>
        <w:spacing w:line="712" w:lineRule="auto" w:before="1"/>
        <w:ind w:left="226" w:right="2011"/>
      </w:pPr>
      <w:r>
        <w:rPr/>
        <w:t>That plan begins but does not end with the monetary policy boldness of the ECB. That plan includes difficult structural reforms, but cannot be wholly reliant on them. That</w:t>
      </w:r>
      <w:r>
        <w:rPr>
          <w:spacing w:val="-8"/>
        </w:rPr>
        <w:t> </w:t>
      </w:r>
      <w:r>
        <w:rPr/>
        <w:t>plan</w:t>
      </w:r>
      <w:r>
        <w:rPr>
          <w:spacing w:val="-9"/>
        </w:rPr>
        <w:t> </w:t>
      </w:r>
      <w:r>
        <w:rPr/>
        <w:t>requires</w:t>
      </w:r>
      <w:r>
        <w:rPr>
          <w:spacing w:val="-9"/>
        </w:rPr>
        <w:t> </w:t>
      </w:r>
      <w:r>
        <w:rPr/>
        <w:t>greater</w:t>
      </w:r>
      <w:r>
        <w:rPr>
          <w:spacing w:val="-9"/>
        </w:rPr>
        <w:t> </w:t>
      </w:r>
      <w:r>
        <w:rPr/>
        <w:t>private</w:t>
      </w:r>
      <w:r>
        <w:rPr>
          <w:spacing w:val="-9"/>
        </w:rPr>
        <w:t> </w:t>
      </w:r>
      <w:r>
        <w:rPr/>
        <w:t>risk</w:t>
      </w:r>
      <w:r>
        <w:rPr>
          <w:spacing w:val="-9"/>
        </w:rPr>
        <w:t> </w:t>
      </w:r>
      <w:r>
        <w:rPr/>
        <w:t>sharing</w:t>
      </w:r>
      <w:r>
        <w:rPr>
          <w:spacing w:val="-10"/>
        </w:rPr>
        <w:t> </w:t>
      </w:r>
      <w:r>
        <w:rPr/>
        <w:t>via</w:t>
      </w:r>
      <w:r>
        <w:rPr>
          <w:spacing w:val="-10"/>
        </w:rPr>
        <w:t> </w:t>
      </w:r>
      <w:r>
        <w:rPr/>
        <w:t>banking</w:t>
      </w:r>
      <w:r>
        <w:rPr>
          <w:spacing w:val="-9"/>
        </w:rPr>
        <w:t> </w:t>
      </w:r>
      <w:r>
        <w:rPr/>
        <w:t>and</w:t>
      </w:r>
      <w:r>
        <w:rPr>
          <w:spacing w:val="-9"/>
        </w:rPr>
        <w:t> </w:t>
      </w:r>
      <w:r>
        <w:rPr/>
        <w:t>capital</w:t>
      </w:r>
      <w:r>
        <w:rPr>
          <w:spacing w:val="-9"/>
        </w:rPr>
        <w:t> </w:t>
      </w:r>
      <w:r>
        <w:rPr/>
        <w:t>markets</w:t>
      </w:r>
      <w:r>
        <w:rPr>
          <w:spacing w:val="-9"/>
        </w:rPr>
        <w:t> </w:t>
      </w:r>
      <w:r>
        <w:rPr/>
        <w:t>unions.</w:t>
      </w:r>
    </w:p>
    <w:p>
      <w:pPr>
        <w:pStyle w:val="BodyText"/>
        <w:spacing w:line="357" w:lineRule="auto"/>
        <w:ind w:left="226" w:right="352"/>
        <w:jc w:val="both"/>
      </w:pPr>
      <w:r>
        <w:rPr/>
        <w:t>But</w:t>
      </w:r>
      <w:r>
        <w:rPr>
          <w:spacing w:val="-5"/>
        </w:rPr>
        <w:t> </w:t>
      </w:r>
      <w:r>
        <w:rPr/>
        <w:t>that</w:t>
      </w:r>
      <w:r>
        <w:rPr>
          <w:spacing w:val="-5"/>
        </w:rPr>
        <w:t> </w:t>
      </w:r>
      <w:r>
        <w:rPr/>
        <w:t>plan</w:t>
      </w:r>
      <w:r>
        <w:rPr>
          <w:spacing w:val="-6"/>
        </w:rPr>
        <w:t> </w:t>
      </w:r>
      <w:r>
        <w:rPr/>
        <w:t>also</w:t>
      </w:r>
      <w:r>
        <w:rPr>
          <w:spacing w:val="-6"/>
        </w:rPr>
        <w:t> </w:t>
      </w:r>
      <w:r>
        <w:rPr/>
        <w:t>needs</w:t>
      </w:r>
      <w:r>
        <w:rPr>
          <w:spacing w:val="-4"/>
        </w:rPr>
        <w:t> </w:t>
      </w:r>
      <w:r>
        <w:rPr/>
        <w:t>to</w:t>
      </w:r>
      <w:r>
        <w:rPr>
          <w:spacing w:val="-7"/>
        </w:rPr>
        <w:t> </w:t>
      </w:r>
      <w:r>
        <w:rPr/>
        <w:t>recognise</w:t>
      </w:r>
      <w:r>
        <w:rPr>
          <w:spacing w:val="-5"/>
        </w:rPr>
        <w:t> </w:t>
      </w:r>
      <w:r>
        <w:rPr/>
        <w:t>that</w:t>
      </w:r>
      <w:r>
        <w:rPr>
          <w:spacing w:val="-5"/>
        </w:rPr>
        <w:t> </w:t>
      </w:r>
      <w:r>
        <w:rPr/>
        <w:t>private</w:t>
      </w:r>
      <w:r>
        <w:rPr>
          <w:spacing w:val="-6"/>
        </w:rPr>
        <w:t> </w:t>
      </w:r>
      <w:r>
        <w:rPr/>
        <w:t>risk</w:t>
      </w:r>
      <w:r>
        <w:rPr>
          <w:spacing w:val="-5"/>
        </w:rPr>
        <w:t> </w:t>
      </w:r>
      <w:r>
        <w:rPr/>
        <w:t>sharing</w:t>
      </w:r>
      <w:r>
        <w:rPr>
          <w:spacing w:val="-6"/>
        </w:rPr>
        <w:t> </w:t>
      </w:r>
      <w:r>
        <w:rPr/>
        <w:t>will</w:t>
      </w:r>
      <w:r>
        <w:rPr>
          <w:spacing w:val="-5"/>
        </w:rPr>
        <w:t> </w:t>
      </w:r>
      <w:r>
        <w:rPr/>
        <w:t>never</w:t>
      </w:r>
      <w:r>
        <w:rPr>
          <w:spacing w:val="-7"/>
        </w:rPr>
        <w:t> </w:t>
      </w:r>
      <w:r>
        <w:rPr/>
        <w:t>fully</w:t>
      </w:r>
      <w:r>
        <w:rPr>
          <w:spacing w:val="-5"/>
        </w:rPr>
        <w:t> </w:t>
      </w:r>
      <w:r>
        <w:rPr/>
        <w:t>replace</w:t>
      </w:r>
      <w:r>
        <w:rPr>
          <w:spacing w:val="-5"/>
        </w:rPr>
        <w:t> </w:t>
      </w:r>
      <w:r>
        <w:rPr/>
        <w:t>public</w:t>
      </w:r>
      <w:r>
        <w:rPr>
          <w:spacing w:val="-4"/>
        </w:rPr>
        <w:t> </w:t>
      </w:r>
      <w:r>
        <w:rPr/>
        <w:t>risk</w:t>
      </w:r>
      <w:r>
        <w:rPr>
          <w:spacing w:val="-6"/>
        </w:rPr>
        <w:t> </w:t>
      </w:r>
      <w:r>
        <w:rPr/>
        <w:t>sharing</w:t>
      </w:r>
      <w:r>
        <w:rPr>
          <w:spacing w:val="-6"/>
        </w:rPr>
        <w:t> </w:t>
      </w:r>
      <w:r>
        <w:rPr/>
        <w:t>so that</w:t>
      </w:r>
      <w:r>
        <w:rPr>
          <w:spacing w:val="-7"/>
        </w:rPr>
        <w:t> </w:t>
      </w:r>
      <w:r>
        <w:rPr/>
        <w:t>plan</w:t>
      </w:r>
      <w:r>
        <w:rPr>
          <w:spacing w:val="-9"/>
        </w:rPr>
        <w:t> </w:t>
      </w:r>
      <w:r>
        <w:rPr/>
        <w:t>should</w:t>
      </w:r>
      <w:r>
        <w:rPr>
          <w:spacing w:val="-8"/>
        </w:rPr>
        <w:t> </w:t>
      </w:r>
      <w:r>
        <w:rPr/>
        <w:t>include</w:t>
      </w:r>
      <w:r>
        <w:rPr>
          <w:spacing w:val="-7"/>
        </w:rPr>
        <w:t> </w:t>
      </w:r>
      <w:r>
        <w:rPr/>
        <w:t>what</w:t>
      </w:r>
      <w:r>
        <w:rPr>
          <w:spacing w:val="-9"/>
        </w:rPr>
        <w:t> </w:t>
      </w:r>
      <w:r>
        <w:rPr/>
        <w:t>every</w:t>
      </w:r>
      <w:r>
        <w:rPr>
          <w:spacing w:val="-8"/>
        </w:rPr>
        <w:t> </w:t>
      </w:r>
      <w:r>
        <w:rPr/>
        <w:t>other</w:t>
      </w:r>
      <w:r>
        <w:rPr>
          <w:spacing w:val="-9"/>
        </w:rPr>
        <w:t> </w:t>
      </w:r>
      <w:r>
        <w:rPr/>
        <w:t>successful</w:t>
      </w:r>
      <w:r>
        <w:rPr>
          <w:spacing w:val="-9"/>
        </w:rPr>
        <w:t> </w:t>
      </w:r>
      <w:r>
        <w:rPr/>
        <w:t>currency</w:t>
      </w:r>
      <w:r>
        <w:rPr>
          <w:spacing w:val="-8"/>
        </w:rPr>
        <w:t> </w:t>
      </w:r>
      <w:r>
        <w:rPr/>
        <w:t>union</w:t>
      </w:r>
      <w:r>
        <w:rPr>
          <w:spacing w:val="-9"/>
        </w:rPr>
        <w:t> </w:t>
      </w:r>
      <w:r>
        <w:rPr/>
        <w:t>has</w:t>
      </w:r>
      <w:r>
        <w:rPr>
          <w:spacing w:val="-7"/>
        </w:rPr>
        <w:t> </w:t>
      </w:r>
      <w:r>
        <w:rPr/>
        <w:t>at</w:t>
      </w:r>
      <w:r>
        <w:rPr>
          <w:spacing w:val="-9"/>
        </w:rPr>
        <w:t> </w:t>
      </w:r>
      <w:r>
        <w:rPr/>
        <w:t>its</w:t>
      </w:r>
      <w:r>
        <w:rPr>
          <w:spacing w:val="-7"/>
        </w:rPr>
        <w:t> </w:t>
      </w:r>
      <w:r>
        <w:rPr/>
        <w:t>heart:</w:t>
      </w:r>
      <w:r>
        <w:rPr>
          <w:spacing w:val="-6"/>
        </w:rPr>
        <w:t> </w:t>
      </w:r>
      <w:r>
        <w:rPr/>
        <w:t>mechanisms</w:t>
      </w:r>
      <w:r>
        <w:rPr>
          <w:spacing w:val="-8"/>
        </w:rPr>
        <w:t> </w:t>
      </w:r>
      <w:r>
        <w:rPr/>
        <w:t>to</w:t>
      </w:r>
      <w:r>
        <w:rPr>
          <w:spacing w:val="-10"/>
        </w:rPr>
        <w:t> </w:t>
      </w:r>
      <w:r>
        <w:rPr/>
        <w:t>share fiscal</w:t>
      </w:r>
      <w:r>
        <w:rPr>
          <w:spacing w:val="-3"/>
        </w:rPr>
        <w:t> </w:t>
      </w:r>
      <w:r>
        <w:rPr/>
        <w:t>sovereignty.</w:t>
      </w:r>
    </w:p>
    <w:p>
      <w:pPr>
        <w:pStyle w:val="BodyText"/>
        <w:spacing w:before="10"/>
        <w:rPr>
          <w:sz w:val="27"/>
        </w:rPr>
      </w:pPr>
    </w:p>
    <w:p>
      <w:pPr>
        <w:pStyle w:val="BodyText"/>
        <w:spacing w:line="357" w:lineRule="auto" w:before="1"/>
        <w:ind w:left="226" w:right="197"/>
      </w:pPr>
      <w:r>
        <w:rPr/>
        <w:t>As of this evening, progress on structural reforms in the euro area remains uneven. Cross border risk sharing</w:t>
      </w:r>
      <w:r>
        <w:rPr>
          <w:spacing w:val="-10"/>
        </w:rPr>
        <w:t> </w:t>
      </w:r>
      <w:r>
        <w:rPr/>
        <w:t>through</w:t>
      </w:r>
      <w:r>
        <w:rPr>
          <w:spacing w:val="-10"/>
        </w:rPr>
        <w:t> </w:t>
      </w:r>
      <w:r>
        <w:rPr/>
        <w:t>the</w:t>
      </w:r>
      <w:r>
        <w:rPr>
          <w:spacing w:val="-10"/>
        </w:rPr>
        <w:t> </w:t>
      </w:r>
      <w:r>
        <w:rPr/>
        <w:t>financial</w:t>
      </w:r>
      <w:r>
        <w:rPr>
          <w:spacing w:val="-10"/>
        </w:rPr>
        <w:t> </w:t>
      </w:r>
      <w:r>
        <w:rPr/>
        <w:t>system</w:t>
      </w:r>
      <w:r>
        <w:rPr>
          <w:spacing w:val="-8"/>
        </w:rPr>
        <w:t> </w:t>
      </w:r>
      <w:r>
        <w:rPr/>
        <w:t>has</w:t>
      </w:r>
      <w:r>
        <w:rPr>
          <w:spacing w:val="-9"/>
        </w:rPr>
        <w:t> </w:t>
      </w:r>
      <w:r>
        <w:rPr/>
        <w:t>slid</w:t>
      </w:r>
      <w:r>
        <w:rPr>
          <w:spacing w:val="-10"/>
        </w:rPr>
        <w:t> </w:t>
      </w:r>
      <w:r>
        <w:rPr/>
        <w:t>backwards.</w:t>
      </w:r>
      <w:r>
        <w:rPr>
          <w:spacing w:val="-9"/>
        </w:rPr>
        <w:t> </w:t>
      </w:r>
      <w:r>
        <w:rPr/>
        <w:t>Europe’s</w:t>
      </w:r>
      <w:r>
        <w:rPr>
          <w:spacing w:val="-9"/>
        </w:rPr>
        <w:t> </w:t>
      </w:r>
      <w:r>
        <w:rPr/>
        <w:t>leaders</w:t>
      </w:r>
      <w:r>
        <w:rPr>
          <w:spacing w:val="-9"/>
        </w:rPr>
        <w:t> </w:t>
      </w:r>
      <w:r>
        <w:rPr/>
        <w:t>do</w:t>
      </w:r>
      <w:r>
        <w:rPr>
          <w:spacing w:val="-10"/>
        </w:rPr>
        <w:t> </w:t>
      </w:r>
      <w:r>
        <w:rPr/>
        <w:t>not</w:t>
      </w:r>
      <w:r>
        <w:rPr>
          <w:spacing w:val="-8"/>
        </w:rPr>
        <w:t> </w:t>
      </w:r>
      <w:r>
        <w:rPr/>
        <w:t>currently</w:t>
      </w:r>
      <w:r>
        <w:rPr>
          <w:spacing w:val="-10"/>
        </w:rPr>
        <w:t> </w:t>
      </w:r>
      <w:r>
        <w:rPr/>
        <w:t>foresee</w:t>
      </w:r>
      <w:r>
        <w:rPr>
          <w:spacing w:val="-9"/>
        </w:rPr>
        <w:t> </w:t>
      </w:r>
      <w:r>
        <w:rPr/>
        <w:t>fiscal union as part of monetary</w:t>
      </w:r>
      <w:r>
        <w:rPr>
          <w:spacing w:val="-4"/>
        </w:rPr>
        <w:t> </w:t>
      </w:r>
      <w:r>
        <w:rPr/>
        <w:t>union.</w:t>
      </w:r>
      <w:r>
        <w:rPr>
          <w:vertAlign w:val="superscript"/>
        </w:rPr>
        <w:t>24</w:t>
      </w:r>
    </w:p>
    <w:p>
      <w:pPr>
        <w:pStyle w:val="BodyText"/>
        <w:rPr>
          <w:sz w:val="20"/>
        </w:rPr>
      </w:pPr>
    </w:p>
    <w:p>
      <w:pPr>
        <w:pStyle w:val="BodyText"/>
        <w:spacing w:before="7"/>
        <w:rPr>
          <w:sz w:val="29"/>
        </w:rPr>
      </w:pPr>
      <w:r>
        <w:rPr/>
        <w:pict>
          <v:shape style="position:absolute;margin-left:79.320pt;margin-top:19.224373pt;width:135.5pt;height:.1pt;mso-position-horizontal-relative:page;mso-position-vertical-relative:paragraph;z-index:-251648000;mso-wrap-distance-left:0;mso-wrap-distance-right:0" coordorigin="1586,384" coordsize="2710,0" path="m1586,384l4296,384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24 </w:t>
      </w:r>
      <w:r>
        <w:rPr>
          <w:sz w:val="15"/>
        </w:rPr>
        <w:t>As President Draghi recently noted, “In other political unions, cohesion is maintained through a strong common identity, but often also through permanent fiscal transfers between richer and poorer regions that even out incomes </w:t>
      </w:r>
      <w:r>
        <w:rPr>
          <w:i/>
          <w:sz w:val="15"/>
        </w:rPr>
        <w:t>ex post</w:t>
      </w:r>
      <w:r>
        <w:rPr>
          <w:sz w:val="15"/>
        </w:rPr>
        <w:t>. In the euro area, </w:t>
      </w:r>
      <w:r>
        <w:rPr>
          <w:sz w:val="15"/>
          <w:u w:val="single"/>
        </w:rPr>
        <w:t>such one-way</w:t>
      </w:r>
      <w:r>
        <w:rPr>
          <w:sz w:val="15"/>
        </w:rPr>
        <w:t> </w:t>
      </w:r>
      <w:r>
        <w:rPr>
          <w:sz w:val="15"/>
          <w:u w:val="single"/>
        </w:rPr>
        <w:t>transfers between countries are not foreseen</w:t>
      </w:r>
      <w:r>
        <w:rPr>
          <w:sz w:val="15"/>
        </w:rPr>
        <w:t>…”</w:t>
      </w:r>
    </w:p>
    <w:p>
      <w:pPr>
        <w:spacing w:after="0"/>
        <w:jc w:val="left"/>
        <w:rPr>
          <w:sz w:val="15"/>
        </w:rPr>
        <w:sectPr>
          <w:footerReference w:type="default" r:id="rId17"/>
          <w:pgSz w:w="12240" w:h="15840"/>
          <w:pgMar w:footer="1240" w:header="0" w:top="1440" w:bottom="1440" w:left="1360" w:right="1480"/>
          <w:pgNumType w:start="12"/>
        </w:sectPr>
      </w:pPr>
    </w:p>
    <w:p>
      <w:pPr>
        <w:pStyle w:val="BodyText"/>
        <w:spacing w:before="80"/>
        <w:ind w:left="226"/>
      </w:pPr>
      <w:r>
        <w:rPr/>
        <w:t>Such timidity has costs.</w:t>
      </w:r>
    </w:p>
    <w:p>
      <w:pPr>
        <w:pStyle w:val="BodyText"/>
        <w:rPr>
          <w:sz w:val="20"/>
        </w:rPr>
      </w:pPr>
    </w:p>
    <w:p>
      <w:pPr>
        <w:pStyle w:val="BodyText"/>
        <w:spacing w:before="5"/>
        <w:rPr>
          <w:sz w:val="17"/>
        </w:rPr>
      </w:pPr>
    </w:p>
    <w:p>
      <w:pPr>
        <w:pStyle w:val="BodyText"/>
        <w:ind w:left="226"/>
      </w:pPr>
      <w:r>
        <w:rPr/>
        <w:t>I think we all know what Jim Flaherty would have said about that.</w:t>
      </w:r>
    </w:p>
    <w:p>
      <w:pPr>
        <w:spacing w:after="0"/>
        <w:sectPr>
          <w:pgSz w:w="12240" w:h="15840"/>
          <w:pgMar w:header="0" w:footer="1240" w:top="1440" w:bottom="1440" w:left="1360" w:right="1480"/>
        </w:sectPr>
      </w:pPr>
    </w:p>
    <w:p>
      <w:pPr>
        <w:pStyle w:val="Heading1"/>
        <w:spacing w:line="237" w:lineRule="auto" w:before="100"/>
        <w:ind w:left="227" w:right="-15"/>
      </w:pPr>
      <w:r>
        <w:rPr/>
        <w:t>Chart 1: House prices</w:t>
      </w:r>
      <w:r>
        <w:rPr>
          <w:vertAlign w:val="superscript"/>
        </w:rPr>
        <w:t>(a)</w:t>
      </w:r>
      <w:r>
        <w:rPr>
          <w:vertAlign w:val="baseline"/>
        </w:rPr>
        <w:t> rose significantly during the boom years across euro area periphery countries and in the UK</w:t>
      </w:r>
    </w:p>
    <w:p>
      <w:pPr>
        <w:spacing w:line="237" w:lineRule="auto" w:before="100"/>
        <w:ind w:left="227" w:right="644" w:firstLine="0"/>
        <w:jc w:val="left"/>
        <w:rPr>
          <w:b/>
          <w:sz w:val="19"/>
        </w:rPr>
      </w:pPr>
      <w:r>
        <w:rPr/>
        <w:br w:type="column"/>
      </w:r>
      <w:r>
        <w:rPr>
          <w:b/>
          <w:sz w:val="19"/>
        </w:rPr>
        <w:t>Chart 2: UK private sector swung sharply into surplus when the crisis hit but now back close to balance…</w:t>
      </w:r>
    </w:p>
    <w:p>
      <w:pPr>
        <w:spacing w:after="0" w:line="237" w:lineRule="auto"/>
        <w:jc w:val="left"/>
        <w:rPr>
          <w:sz w:val="19"/>
        </w:rPr>
        <w:sectPr>
          <w:pgSz w:w="12240" w:h="15840"/>
          <w:pgMar w:header="0" w:footer="1240" w:top="1420" w:bottom="1440" w:left="1360" w:right="1480"/>
          <w:cols w:num="2" w:equalWidth="0">
            <w:col w:w="3963" w:space="417"/>
            <w:col w:w="5020"/>
          </w:cols>
        </w:sectPr>
      </w:pPr>
    </w:p>
    <w:p>
      <w:pPr>
        <w:pStyle w:val="BodyText"/>
        <w:spacing w:before="10"/>
        <w:rPr>
          <w:b/>
          <w:sz w:val="3"/>
        </w:rPr>
      </w:pPr>
    </w:p>
    <w:p>
      <w:pPr>
        <w:tabs>
          <w:tab w:pos="4706" w:val="left" w:leader="none"/>
        </w:tabs>
        <w:spacing w:line="240" w:lineRule="auto"/>
        <w:ind w:left="326" w:right="0" w:firstLine="0"/>
        <w:rPr>
          <w:sz w:val="20"/>
        </w:rPr>
      </w:pPr>
      <w:r>
        <w:rPr>
          <w:position w:val="3"/>
          <w:sz w:val="20"/>
        </w:rPr>
        <w:drawing>
          <wp:inline distT="0" distB="0" distL="0" distR="0">
            <wp:extent cx="2552986" cy="213360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2552986" cy="2133600"/>
                    </a:xfrm>
                    <a:prstGeom prst="rect">
                      <a:avLst/>
                    </a:prstGeom>
                  </pic:spPr>
                </pic:pic>
              </a:graphicData>
            </a:graphic>
          </wp:inline>
        </w:drawing>
      </w:r>
      <w:r>
        <w:rPr>
          <w:position w:val="3"/>
          <w:sz w:val="20"/>
        </w:rPr>
      </w:r>
      <w:r>
        <w:rPr>
          <w:position w:val="3"/>
          <w:sz w:val="20"/>
        </w:rPr>
        <w:tab/>
      </w:r>
      <w:r>
        <w:rPr>
          <w:sz w:val="20"/>
        </w:rPr>
        <w:drawing>
          <wp:inline distT="0" distB="0" distL="0" distR="0">
            <wp:extent cx="2500789" cy="2166937"/>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9" cstate="print"/>
                    <a:stretch>
                      <a:fillRect/>
                    </a:stretch>
                  </pic:blipFill>
                  <pic:spPr>
                    <a:xfrm>
                      <a:off x="0" y="0"/>
                      <a:ext cx="2500789" cy="2166937"/>
                    </a:xfrm>
                    <a:prstGeom prst="rect">
                      <a:avLst/>
                    </a:prstGeom>
                  </pic:spPr>
                </pic:pic>
              </a:graphicData>
            </a:graphic>
          </wp:inline>
        </w:drawing>
      </w:r>
      <w:r>
        <w:rPr>
          <w:sz w:val="20"/>
        </w:rPr>
      </w:r>
    </w:p>
    <w:p>
      <w:pPr>
        <w:tabs>
          <w:tab w:pos="4607" w:val="left" w:leader="none"/>
        </w:tabs>
        <w:spacing w:before="73"/>
        <w:ind w:left="227" w:right="0" w:firstLine="0"/>
        <w:jc w:val="left"/>
        <w:rPr>
          <w:sz w:val="15"/>
        </w:rPr>
      </w:pPr>
      <w:r>
        <w:rPr>
          <w:sz w:val="15"/>
        </w:rPr>
        <w:t>(a) Nominal house price indices.</w:t>
      </w:r>
      <w:r>
        <w:rPr>
          <w:spacing w:val="-11"/>
          <w:sz w:val="15"/>
        </w:rPr>
        <w:t> </w:t>
      </w:r>
      <w:r>
        <w:rPr>
          <w:sz w:val="15"/>
        </w:rPr>
        <w:t>Source:</w:t>
      </w:r>
      <w:r>
        <w:rPr>
          <w:spacing w:val="-2"/>
          <w:sz w:val="15"/>
        </w:rPr>
        <w:t> </w:t>
      </w:r>
      <w:r>
        <w:rPr>
          <w:sz w:val="15"/>
        </w:rPr>
        <w:t>OECD</w:t>
        <w:tab/>
        <w:t>Source: Eurostat (ESA 95</w:t>
      </w:r>
      <w:r>
        <w:rPr>
          <w:spacing w:val="-3"/>
          <w:sz w:val="15"/>
        </w:rPr>
        <w:t> </w:t>
      </w:r>
      <w:r>
        <w:rPr>
          <w:sz w:val="15"/>
        </w:rPr>
        <w:t>definitions)</w:t>
      </w:r>
    </w:p>
    <w:p>
      <w:pPr>
        <w:pStyle w:val="BodyText"/>
        <w:spacing w:before="7"/>
      </w:pPr>
    </w:p>
    <w:p>
      <w:pPr>
        <w:spacing w:after="0"/>
        <w:sectPr>
          <w:type w:val="continuous"/>
          <w:pgSz w:w="12240" w:h="15840"/>
          <w:pgMar w:top="1120" w:bottom="1440" w:left="1360" w:right="1480"/>
        </w:sectPr>
      </w:pPr>
    </w:p>
    <w:p>
      <w:pPr>
        <w:pStyle w:val="Heading1"/>
        <w:spacing w:line="235" w:lineRule="auto" w:before="96"/>
        <w:ind w:left="227" w:right="-14"/>
      </w:pPr>
      <w:r>
        <w:rPr/>
        <w:t>Chart 3: … while Irish private sector surplus endures.</w:t>
      </w:r>
    </w:p>
    <w:p>
      <w:pPr>
        <w:spacing w:line="235" w:lineRule="auto" w:before="96"/>
        <w:ind w:left="233" w:right="754" w:firstLine="0"/>
        <w:jc w:val="left"/>
        <w:rPr>
          <w:b/>
          <w:sz w:val="19"/>
        </w:rPr>
      </w:pPr>
      <w:r>
        <w:rPr/>
        <w:br w:type="column"/>
      </w:r>
      <w:r>
        <w:rPr>
          <w:b/>
          <w:sz w:val="19"/>
        </w:rPr>
        <w:t>Chart 4: Aggregate euro area debt has not fallen relative to GDP since 2007</w:t>
      </w:r>
    </w:p>
    <w:p>
      <w:pPr>
        <w:spacing w:after="0" w:line="235" w:lineRule="auto"/>
        <w:jc w:val="left"/>
        <w:rPr>
          <w:sz w:val="19"/>
        </w:rPr>
        <w:sectPr>
          <w:type w:val="continuous"/>
          <w:pgSz w:w="12240" w:h="15840"/>
          <w:pgMar w:top="1120" w:bottom="1440" w:left="1360" w:right="1480"/>
          <w:cols w:num="2" w:equalWidth="0">
            <w:col w:w="4214" w:space="160"/>
            <w:col w:w="5026"/>
          </w:cols>
        </w:sectPr>
      </w:pPr>
    </w:p>
    <w:p>
      <w:pPr>
        <w:spacing w:line="441" w:lineRule="auto" w:before="71"/>
        <w:ind w:left="978" w:right="-14" w:firstLine="0"/>
        <w:jc w:val="left"/>
        <w:rPr>
          <w:rFonts w:ascii="Times New Roman"/>
          <w:sz w:val="15"/>
        </w:rPr>
      </w:pPr>
      <w:r>
        <w:rPr/>
        <w:pict>
          <v:line style="position:absolute;mso-position-horizontal-relative:page;mso-position-vertical-relative:paragraph;z-index:251671552" from="96.480003pt,8.181938pt" to="115.440003pt,8.181938pt" stroked="true" strokeweight=".9pt" strokecolor="#3366ff">
            <v:stroke dashstyle="solid"/>
            <w10:wrap type="none"/>
          </v:line>
        </w:pict>
      </w:r>
      <w:r>
        <w:rPr/>
        <w:pict>
          <v:line style="position:absolute;mso-position-horizontal-relative:page;mso-position-vertical-relative:paragraph;z-index:251672576" from="96.480003pt,24.021938pt" to="115.440003pt,24.021938pt" stroked="true" strokeweight=".9pt" strokecolor="#993366">
            <v:stroke dashstyle="solid"/>
            <w10:wrap type="none"/>
          </v:line>
        </w:pict>
      </w:r>
      <w:r>
        <w:rPr>
          <w:rFonts w:ascii="Times New Roman"/>
          <w:sz w:val="15"/>
        </w:rPr>
        <w:t>Non-financial private sector General government</w:t>
      </w:r>
    </w:p>
    <w:p>
      <w:pPr>
        <w:spacing w:before="73"/>
        <w:ind w:left="416" w:right="0" w:firstLine="0"/>
        <w:jc w:val="left"/>
        <w:rPr>
          <w:rFonts w:ascii="Times New Roman"/>
          <w:sz w:val="15"/>
        </w:rPr>
      </w:pPr>
      <w:r>
        <w:rPr/>
        <w:br w:type="column"/>
      </w:r>
      <w:r>
        <w:rPr>
          <w:rFonts w:ascii="Times New Roman"/>
          <w:sz w:val="15"/>
        </w:rPr>
        <w:t>Per cent of GDP</w:t>
      </w:r>
    </w:p>
    <w:p>
      <w:pPr>
        <w:pStyle w:val="BodyText"/>
        <w:spacing w:before="10"/>
        <w:rPr>
          <w:rFonts w:ascii="Times New Roman"/>
          <w:sz w:val="21"/>
        </w:rPr>
      </w:pPr>
    </w:p>
    <w:p>
      <w:pPr>
        <w:spacing w:before="0"/>
        <w:ind w:left="893" w:right="0" w:firstLine="0"/>
        <w:jc w:val="left"/>
        <w:rPr>
          <w:rFonts w:ascii="Times New Roman"/>
          <w:sz w:val="15"/>
        </w:rPr>
      </w:pPr>
      <w:r>
        <w:rPr/>
        <w:pict>
          <v:group style="position:absolute;margin-left:92.339996pt;margin-top:4.542866pt;width:151.5pt;height:132.4pt;mso-position-horizontal-relative:page;mso-position-vertical-relative:paragraph;z-index:-252660736" coordorigin="1847,91" coordsize="3030,2648">
            <v:line style="position:absolute" from="4832,93" to="4832,2736" stroked="true" strokeweight=".24001pt" strokecolor="#000000">
              <v:stroke dashstyle="solid"/>
            </v:line>
            <v:shape style="position:absolute;left:4832;top:90;width:45;height:2648" coordorigin="4832,91" coordsize="45,2648" path="m4877,2733l4832,2733,4832,2738,4877,2738,4877,2733m4877,2356l4832,2356,4832,2361,4877,2361,4877,2356m4877,1978l4832,1978,4832,1983,4877,1983,4877,1978m4877,1602l4832,1602,4832,1605,4877,1605,4877,1602m4877,1224l4832,1224,4832,1227,4877,1227,4877,1224m4877,846l4832,846,4832,850,4877,850,4877,846m4877,468l4832,468,4832,472,4877,472,4877,468m4877,91l4832,91,4832,96,4877,96,4877,91e" filled="true" fillcolor="#000000" stroked="false">
              <v:path arrowok="t"/>
              <v:fill type="solid"/>
            </v:shape>
            <v:line style="position:absolute" from="1849,2736" to="4832,2736" stroked="true" strokeweight=".23999pt" strokecolor="#000000">
              <v:stroke dashstyle="solid"/>
            </v:line>
            <v:shape style="position:absolute;left:1846;top:2692;width:2740;height:44" coordorigin="1847,2692" coordsize="2740,44" path="m1852,2692l1847,2692,1847,2736,1852,2736,1852,2692m2100,2692l2095,2692,2095,2736,2100,2736,2100,2692m2350,2692l2345,2692,2345,2736,2350,2736,2350,2692m2598,2692l2593,2692,2593,2736,2598,2736,2598,2692m2846,2692l2842,2692,2842,2736,2846,2736,2846,2692m3095,2692l3090,2692,3090,2736,3095,2736,3095,2692m3343,2692l3338,2692,3338,2736,3343,2736,3343,2692m3592,2692l3587,2692,3587,2736,3592,2736,3592,2692m3840,2692l3835,2692,3835,2736,3840,2736,3840,2692m4088,2692l4084,2692,4084,2736,4088,2736,4088,2692m4337,2692l4332,2692,4332,2736,4337,2736,4337,2692m4586,2692l4582,2692,4582,2736,4586,2736,4586,2692e" filled="true" fillcolor="#000000" stroked="false">
              <v:path arrowok="t"/>
              <v:fill type="solid"/>
            </v:shape>
            <v:shape style="position:absolute;left:1850;top:722;width:2992;height:1172" coordorigin="1850,722" coordsize="2992,1172" path="m2857,1774l2851,1774,2842,1787,2898,1890,2900,1894,2910,1894,2914,1892,2915,1890,2918,1882,2898,1882,2905,1866,2857,1774xm2905,1866l2898,1882,2914,1882,2905,1866xm2971,1722l2964,1722,2962,1724,2960,1728,2905,1866,2914,1882,2918,1882,2969,1756,2960,1736,2980,1736,2976,1728,2975,1724,2971,1722xm2980,1736l2977,1736,2969,1756,3022,1872,3023,1874,3026,1878,3035,1878,3037,1874,3047,1864,3038,1864,3024,1862,3033,1853,2980,1736xm2670,1542l2650,1542,2662,1546,2653,1551,2712,1688,2773,1858,2774,1862,2778,1864,2784,1864,2788,1862,2789,1860,2795,1852,2790,1852,2774,1850,2784,1837,2729,1682,2670,1542xm3033,1853l3024,1862,3038,1864,3033,1853xm3105,1802l3086,1802,3033,1853,3038,1864,3047,1864,3098,1814,3101,1814,3101,1812,3105,1802xm2784,1837l2774,1850,2790,1852,2784,1837xm2845,1760l2842,1760,2837,1764,2784,1837,2790,1852,2795,1852,2842,1787,2836,1774,2857,1774,2852,1766,2851,1762,2848,1762,2845,1760xm3208,1623l3150,1660,3146,1664,3084,1804,3086,1802,3105,1802,3161,1676,3160,1676,3163,1670,3169,1670,3222,1636,3226,1630,3228,1624,3208,1624,3208,1623xm2851,1774l2836,1774,2842,1787,2851,1774xm2977,1736l2960,1736,2969,1756,2977,1736xm3291,1458l3287,1458,3280,1478,3332,1586,3334,1590,3337,1592,3396,1592,3402,1596,3399,1596,3457,1684,3461,1688,3466,1688,3469,1686,3493,1672,3473,1672,3461,1670,3468,1666,3420,1596,3402,1596,3399,1596,3420,1596,3410,1582,3409,1580,3407,1578,3349,1578,3342,1574,3347,1574,3291,1458xm3163,1670l3160,1676,3161,1676,3163,1670xm3161,1676l3160,1676,3161,1676,3161,1676xm3169,1670l3163,1670,3161,1676,3169,1670xm3468,1666l3461,1670,3473,1672,3468,1666xm3519,1636l3468,1666,3473,1672,3493,1672,3532,1650,3534,1648,3535,1646,3539,1638,3518,1638,3519,1636xm3522,1634l3519,1636,3518,1638,3522,1634xm3540,1634l3522,1634,3518,1638,3539,1638,3540,1634xm3769,1217l3712,1226,3707,1228,3706,1230,3643,1338,3581,1492,3519,1636,3522,1634,3540,1634,3598,1498,3660,1346,3719,1244,3715,1244,3721,1240,3740,1240,3776,1234,3780,1234,3782,1232,3784,1228,3786,1222,3767,1222,3769,1217xm3212,1620l3208,1623,3208,1624,3212,1620xm3229,1620l3212,1620,3208,1624,3228,1624,3229,1620xm3282,1446l3275,1446,3271,1448,3270,1452,3208,1623,3212,1620,3229,1620,3280,1478,3271,1460,3287,1458,3291,1458,3287,1450,3286,1448,3282,1446xm3396,1592l3399,1596,3402,1596,3396,1592xm3396,1592l3341,1592,3399,1596,3396,1592xm3342,1574l3349,1578,3347,1575,3342,1574xm3347,1575l3349,1578,3403,1578,3347,1575xm2544,1246l2525,1246,2539,1250,2528,1261,2587,1570,2587,1572,2590,1574,2594,1576,2599,1576,2620,1566,2605,1566,2592,1560,2603,1555,2544,1246xm3347,1574l3342,1574,3347,1575,3347,1574xm2603,1555l2592,1560,2605,1566,2603,1555xm2659,1528l2657,1528,2654,1530,2603,1555,2605,1566,2620,1566,2653,1551,2650,1542,2670,1542,2666,1534,2665,1532,2663,1532,2662,1530,2659,1528xm2650,1542l2653,1551,2662,1546,2650,1542xm3287,1458l3271,1460,3280,1478,3287,1458xm2027,1056l2089,1238,2089,1240,2090,1240,2090,1242,2153,1318,2154,1318,2154,1320,2218,1372,2219,1374,2221,1376,2224,1376,2286,1370,2288,1370,2293,1366,2299,1358,2222,1358,2228,1358,2166,1306,2167,1306,2106,1232,2106,1232,2105,1230,2105,1230,2047,1058,2029,1058,2027,1056xm2228,1358l2222,1358,2228,1358,2228,1358xm2280,1353l2228,1358,2228,1358,2299,1358,2300,1356,2278,1356,2280,1353xm2285,1352l2280,1353,2278,1356,2285,1352xm2303,1352l2285,1352,2278,1356,2300,1356,2303,1352xm2351,1264l2342,1264,2340,1268,2280,1353,2285,1352,2303,1352,2350,1285,2344,1282,2354,1278,2382,1278,2351,1264xm2382,1278l2354,1278,2350,1285,2406,1308,2410,1308,2472,1304,2477,1304,2491,1292,2413,1292,2408,1290,2409,1290,2382,1278xm2409,1290l2408,1290,2413,1292,2409,1290xm2468,1287l2409,1290,2413,1292,2491,1292,2495,1288,2466,1288,2468,1287xm2471,1286l2468,1287,2466,1288,2471,1286xm2498,1286l2471,1286,2466,1288,2495,1288,2498,1286xm2537,1234l2531,1234,2528,1238,2468,1287,2471,1286,2498,1286,2528,1261,2525,1246,2544,1246,2543,1242,2542,1238,2537,1234xm2354,1278l2344,1282,2350,1285,2354,1278xm2525,1246l2528,1261,2539,1250,2525,1246xm3721,1240l3715,1244,3719,1244,3721,1240xm3719,1244l3715,1244,3719,1244,3719,1244xm3740,1240l3721,1240,3719,1244,3740,1240xm2105,1230l2106,1232,2106,1232,2105,1230xm2106,1232l2106,1232,2106,1232,2106,1232xm2105,1230l2105,1230,2106,1232,2105,1230xm3774,1216l3769,1217,3767,1222,3774,1216xm3788,1216l3774,1216,3767,1222,3786,1222,3788,1216xm3894,1041l3836,1052,3833,1052,3830,1054,3829,1056,3769,1217,3774,1216,3788,1216,3844,1070,3839,1070,3846,1064,3870,1064,3901,1058,3905,1058,3908,1052,3911,1046,3892,1046,3894,1041xm3846,1064l3839,1070,3844,1069,3846,1064xm3844,1069l3839,1070,3844,1070,3844,1069xm3870,1064l3846,1064,3844,1069,3870,1064xm1970,986l2029,1058,2047,1058,2045,1050,2044,1048,2042,1048,1994,986,1972,986,1970,986xm3898,1040l3894,1041,3892,1046,3898,1040xm3914,1040l3898,1040,3892,1046,3911,1046,3914,1040xm4087,828l4085,828,4080,830,4018,880,4021,880,3959,898,3954,900,3954,902,3894,1041,3898,1040,3914,1040,3968,914,3965,914,3970,910,3978,910,4026,896,4030,896,4089,847,4085,846,4092,844,4202,844,4204,842,4150,836,4087,828xm1967,982l1970,986,1972,986,1967,982xm1991,982l1967,982,1972,986,1994,986,1991,982xm1850,926l1850,946,1908,972,1909,972,1910,974,1970,986,1967,982,1991,982,1981,970,1978,968,1975,968,1913,956,1915,956,1853,928,1850,926xm4287,758l4280,758,4273,771,4327,856,4390,938,4392,942,4394,942,4458,956,4462,956,4466,954,4468,950,4470,944,4451,944,4454,937,4416,928,4404,928,4398,924,4401,924,4342,846,4287,758xm4454,937l4451,944,4462,938,4454,937xm4649,722l4644,722,4642,724,4580,762,4518,792,4516,794,4514,794,4513,796,4454,937,4462,938,4451,944,4470,944,4528,808,4525,808,4530,804,4534,804,4588,778,4645,744,4640,740,4672,740,4651,724,4649,722xm4764,812l4824,934,4826,938,4831,940,4841,936,4842,930,4841,926,4785,812,4766,812,4764,812xm4398,924l4404,928,4402,925,4398,924xm4402,925l4404,928,4416,928,4402,925xm4401,924l4398,924,4402,925,4401,924xm3970,910l3965,914,3968,913,3970,910xm3968,913l3965,914,3968,914,3968,913xm3978,910l3970,910,3968,913,3978,910xm4276,744l4270,744,4266,746,4265,748,4204,842,4211,842,4202,844,4092,844,4089,847,4147,854,4210,860,4213,860,4216,858,4218,854,4273,771,4265,758,4287,758,4280,748,4276,744xm4092,844l4085,846,4089,847,4092,844xm4204,842l4202,844,4211,842,4204,842xm4762,806l4764,812,4766,812,4762,806xm4782,806l4762,806,4766,812,4785,812,4782,806xm4672,740l4651,740,4645,744,4703,786,4704,788,4705,788,4764,812,4762,806,4782,806,4778,798,4776,794,4774,794,4716,772,4714,772,4672,740xm4530,804l4525,808,4529,807,4530,804xm4529,807l4525,808,4528,808,4529,807xm4534,804l4530,804,4529,807,4534,804xm4711,770l4714,772,4716,772,4711,770xm4280,758l4265,758,4273,771,4280,758xm4651,740l4640,740,4645,744,4651,740xe" filled="true" fillcolor="#3366ff" stroked="false">
              <v:path arrowok="t"/>
              <v:fill type="solid"/>
            </v:shape>
            <v:shape style="position:absolute;left:1850;top:1126;width:2992;height:1250" coordorigin="1850,1126" coordsize="2992,1250" path="m3911,1988l3892,1988,3906,1992,3896,2001,3953,2158,4015,2370,4016,2373,4020,2376,4028,2376,4032,2372,4033,2368,4034,2365,4015,2365,4022,2331,3971,2152,3911,1988xm4022,2331l4015,2365,4032,2364,4022,2331xm4202,1943l4141,2005,4080,2065,4078,2067,4078,2070,4022,2331,4032,2364,4015,2365,4034,2365,4094,2077,4092,2077,4094,2073,4096,2073,4154,2018,4218,1953,4218,1952,4219,1950,4220,1946,4201,1946,4202,1943xm4094,2073l4092,2077,4094,2075,4094,2073xm4094,2075l4092,2077,4094,2077,4094,2075xm4096,2073l4094,2073,4094,2075,4096,2073xm3785,1730l3767,1730,3774,1737,3768,1737,3829,2047,3829,2050,3832,2053,3835,2054,3841,2054,3844,2052,3852,2043,3846,2043,3832,2038,3843,2028,3787,1737,3774,1737,3768,1736,3787,1736,3785,1730xm3843,2028l3832,2038,3846,2043,3843,2028xm3901,1976l3895,1976,3894,1978,3843,2028,3846,2043,3852,2043,3896,2001,3892,1988,3911,1988,3908,1982,3907,1980,3905,1977,3901,1976xm3892,1988l3896,2001,3906,1992,3892,1988xm4204,1941l4202,1943,4201,1946,4204,1941xm4221,1941l4204,1941,4201,1946,4220,1946,4221,1941xm4391,1675l4334,1676,4272,1680,4267,1680,4265,1682,4264,1686,4202,1943,4204,1941,4221,1941,4280,1698,4273,1698,4282,1690,4404,1690,4405,1687,4407,1681,4388,1681,4391,1675xm3767,1730l3768,1736,3774,1737,3767,1730xm3582,1588l3643,1684,3644,1686,3646,1686,3647,1687,3708,1728,3709,1728,3710,1729,3712,1729,3768,1736,3767,1730,3785,1730,3785,1728,3784,1723,3780,1720,3776,1720,3723,1712,3719,1712,3715,1711,3717,1711,3662,1675,3659,1675,3656,1671,3656,1671,3603,1590,3583,1590,3582,1588xm3715,1711l3719,1712,3718,1711,3715,1711xm3718,1711l3719,1712,3723,1712,3718,1711xm3717,1711l3715,1711,3718,1711,3717,1711xm4282,1690l4273,1698,4280,1697,4282,1690xm4280,1697l4273,1698,4280,1698,4280,1697xm4404,1690l4282,1690,4280,1697,4334,1694,4397,1693,4400,1693,4404,1690xm4397,1675l4391,1675,4388,1681,4397,1675xm4410,1675l4397,1675,4388,1681,4407,1681,4410,1675xm4708,1468l4705,1470,4643,1489,4645,1489,4520,1494,4458,1503,4456,1503,4452,1506,4451,1509,4391,1675,4397,1675,4410,1675,4465,1521,4460,1521,4468,1515,4499,1515,4523,1512,4646,1507,4648,1507,4649,1506,4707,1488,4704,1486,4748,1486,4711,1470,4710,1470,4708,1468xm3656,1671l3659,1675,3657,1671,3656,1671xm3657,1671l3659,1675,3662,1675,3657,1671xm3656,1671l3656,1671,3657,1671,3656,1671xm3476,1390l3457,1390,3458,1393,3458,1393,3518,1522,3520,1524,3520,1525,3521,1525,3583,1590,3603,1590,3596,1579,3596,1578,3595,1576,3536,1515,3535,1515,3534,1513,3534,1513,3476,1390xm4468,1515l4460,1521,4466,1520,4468,1515xm4466,1520l4460,1521,4465,1521,4466,1520xm4499,1515l4468,1515,4466,1520,4499,1515xm4748,1486l4711,1486,4707,1488,4766,1515,4771,1516,4776,1515,4778,1510,4783,1502,4763,1502,4767,1495,4748,1486xm3534,1513l3535,1515,3534,1513,3534,1513xm3534,1513l3535,1515,3536,1515,3534,1513xm3534,1513l3534,1513,3534,1513,3534,1513xm4767,1495l4763,1502,4774,1498,4767,1495xm4832,1387l4826,1388,4824,1393,4767,1495,4774,1498,4763,1502,4783,1502,4840,1401,4842,1398,4841,1392,4837,1389,4832,1387xm4711,1486l4704,1486,4707,1488,4711,1486xm3458,1393l3458,1393,3458,1393,3458,1393xm3457,1390l3458,1393,3458,1393,3457,1390xm3360,1269l3335,1269,3336,1270,3336,1270,3396,1332,3458,1393,3457,1390,3476,1390,3473,1383,3473,1382,3409,1320,3360,1269xm2076,1243l2036,1243,2033,1243,2094,1270,2096,1272,2100,1272,2102,1270,2126,1255,2093,1255,2096,1253,2076,1243xm3336,1270l3336,1270,3336,1270,3336,1270xm3310,1234l3275,1234,3277,1236,3277,1236,3336,1270,3335,1269,3360,1269,3346,1255,3312,1236,3277,1236,3277,1236,3312,1236,3310,1234xm2096,1253l2093,1255,2101,1255,2096,1253xm2162,1213l2158,1213,2155,1214,2096,1253,2101,1255,2126,1255,2161,1232,2158,1231,2165,1230,2224,1230,2225,1229,2162,1213xm1850,1219l1850,1237,1910,1249,1912,1249,1973,1251,1975,1251,2033,1243,2032,1243,2076,1243,2055,1233,1973,1233,1973,1233,1912,1231,1913,1231,1852,1219,1850,1219xm2224,1230l2165,1230,2161,1232,2221,1248,2226,1248,2281,1231,2220,1231,2224,1230xm2036,1243l2032,1243,2033,1243,2036,1243xm3275,1234l3277,1236,3277,1236,3275,1234xm3175,1170l3149,1170,3210,1226,3212,1227,3214,1228,3216,1228,3277,1236,3275,1234,3310,1234,3283,1219,3282,1218,3280,1218,3238,1213,3223,1213,3217,1210,3221,1210,3175,1170xm1973,1233l1973,1233,1974,1233,1973,1233xm2036,1225l2035,1225,1973,1233,1974,1233,2055,1233,2040,1226,2038,1226,2036,1225xm2165,1230l2158,1231,2161,1232,2165,1230xm2225,1229l2220,1231,2226,1230,2225,1229xm2598,1142l2593,1142,2533,1156,2471,1162,2408,1167,2346,1176,2345,1176,2344,1177,2342,1177,2281,1212,2282,1212,2225,1229,2226,1230,2220,1231,2281,1231,2288,1228,2290,1228,2290,1227,2350,1194,2348,1194,2352,1192,2356,1192,2411,1184,2472,1180,2534,1174,2596,1161,2592,1159,2632,1159,2599,1143,2598,1142xm3217,1210l3223,1213,3221,1211,3217,1210xm3221,1211l3223,1213,3238,1213,3221,1211xm3221,1210l3217,1210,3221,1211,3221,1210xm2352,1192l2348,1194,2350,1193,2352,1192xm2350,1193l2348,1194,2350,1194,2350,1193xm2356,1192l2352,1192,2350,1193,2356,1192xm2632,1159l2592,1159,2598,1160,2596,1161,2654,1189,2656,1190,2660,1190,2715,1173,2656,1173,2659,1172,2632,1159xm2983,1164l2783,1164,2781,1164,2843,1174,2845,1174,2908,1167,2974,1167,2983,1164xm2659,1172l2656,1173,2662,1173,2659,1172xm2784,1146l2780,1146,2719,1153,2718,1153,2717,1154,2659,1172,2662,1173,2715,1173,2723,1171,2722,1171,2781,1164,2780,1164,2983,1164,3001,1156,2843,1156,2844,1156,2784,1146xm3125,1143l3034,1143,3031,1144,3091,1149,3089,1149,3151,1172,3149,1170,3175,1170,3161,1156,3160,1155,3157,1155,3125,1143xm2974,1167l2908,1167,2968,1168,2971,1168,2974,1167xm2783,1164l2780,1164,2781,1164,2783,1164xm2592,1159l2596,1161,2598,1160,2592,1159xm2844,1156l2843,1156,2845,1156,2844,1156xm2905,1149l2844,1156,2845,1156,3001,1156,3013,1152,2965,1152,2968,1150,2905,1149xm2968,1150l2965,1152,2969,1150,2968,1150xm3031,1126l3028,1126,2968,1150,2969,1150,2965,1152,3013,1152,3031,1144,3030,1144,3034,1143,3125,1143,3096,1132,3095,1132,3094,1131,3031,1126xm3034,1143l3030,1144,3031,1144,3034,1143xe" filled="true" fillcolor="#993366" stroked="false">
              <v:path arrowok="t"/>
              <v:fill type="solid"/>
            </v:shape>
            <v:shape style="position:absolute;left:1850;top:415;width:2992;height:1108" coordorigin="1850,416" coordsize="2992,1108" path="m1968,1453l1909,1466,1907,1466,1850,1504,1850,1524,1854,1522,1916,1482,1923,1482,1975,1470,1980,1466,1991,1454,1967,1454,1968,1453xm1923,1482l1916,1482,1914,1484,1923,1482xm4408,1066l4388,1066,4404,1068,4394,1080,4513,1378,4514,1382,4516,1382,4518,1384,4579,1416,4640,1456,4644,1458,4646,1458,4650,1456,4683,1442,4651,1442,4643,1440,4646,1438,4588,1400,4534,1372,4530,1372,4526,1368,4528,1368,4408,1066xm1972,1452l1968,1453,1967,1454,1972,1452xm1992,1452l1972,1452,1967,1454,1991,1454,1992,1452xm2027,1386l1968,1453,1972,1452,1992,1452,2042,1396,2044,1396,2044,1394,2045,1394,2047,1388,2027,1388,2027,1386xm4646,1438l4643,1440,4651,1442,4646,1438xm4704,1412l4646,1438,4651,1442,4683,1442,4711,1430,4712,1430,4714,1428,4731,1414,4703,1414,4704,1412xm4835,1340l4830,1342,4768,1362,4765,1362,4764,1364,4703,1414,4731,1414,4776,1378,4772,1378,4835,1360,4840,1358,4842,1354,4840,1344,4835,1340xm2029,1384l2027,1386,2027,1388,2029,1384xm2048,1384l2029,1384,2027,1388,2047,1388,2048,1384xm2154,1136l2093,1172,2089,1178,2027,1386,2029,1384,2048,1384,2105,1188,2102,1188,2106,1184,2109,1184,2165,1152,2166,1150,2167,1150,2178,1138,2153,1138,2154,1136xm4526,1368l4530,1372,4529,1369,4526,1368xm4529,1369l4530,1372,4534,1372,4529,1369xm4528,1368l4526,1368,4529,1369,4528,1368xm2468,1221l2527,1276,2530,1280,2533,1280,2537,1278,2542,1274,2543,1272,2544,1268,2525,1268,2528,1253,2495,1222,2471,1222,2468,1221xm2528,1253l2525,1268,2539,1264,2528,1253xm2653,950l2592,950,2587,952,2587,958,2528,1253,2539,1264,2525,1268,2544,1268,2604,968,2596,968,2605,962,2667,962,2670,956,2650,956,2653,950xm4202,886l4264,1238,4264,1242,4267,1246,4278,1246,4279,1242,4283,1236,4282,1236,4265,1232,4278,1212,4221,888,4204,888,4202,886xm4278,1212l4265,1232,4282,1236,4278,1212xm4394,1052l4391,1054,4390,1056,4327,1138,4278,1212,4282,1236,4283,1236,4342,1148,4394,1080,4388,1066,4408,1066,4405,1058,4404,1056,4400,1054,4398,1054,4394,1052xm2279,1104l2339,1224,2341,1228,2346,1230,2350,1228,2403,1216,2356,1216,2345,1210,2352,1208,2299,1106,2282,1106,2279,1104xm2466,1220l2468,1221,2471,1222,2466,1220xm2493,1220l2466,1220,2471,1222,2495,1222,2493,1220xm2486,1214l2412,1214,2411,1214,2468,1221,2466,1220,2493,1220,2486,1214xm2352,1208l2345,1210,2356,1216,2352,1208xm2411,1196l2407,1196,2352,1208,2356,1216,2403,1216,2411,1214,2408,1214,2486,1214,2478,1206,2477,1204,2473,1204,2411,1196xm2412,1214l2408,1214,2411,1214,2412,1214xm2106,1184l2102,1188,2105,1186,2106,1184xm2105,1186l2102,1188,2105,1188,2105,1186xm2109,1184l2106,1184,2105,1186,2109,1184xm2155,1136l2154,1136,2153,1138,2155,1136xm2179,1136l2155,1136,2153,1138,2178,1138,2179,1136xm2226,1064l2219,1064,2216,1066,2154,1136,2155,1136,2179,1136,2225,1083,2220,1082,2230,1078,2260,1078,2226,1064xm2278,1102l2279,1104,2282,1106,2278,1102xm2297,1102l2278,1102,2282,1106,2299,1106,2297,1102xm2260,1078l2230,1078,2225,1083,2279,1104,2278,1102,2297,1102,2293,1094,2291,1090,2288,1090,2260,1078xm2230,1078l2220,1082,2225,1083,2230,1078xm4388,1066l4394,1080,4404,1068,4388,1066xm3228,834l3209,834,3220,838,3211,840,3270,1000,3271,1004,3275,1006,3282,1006,3286,1004,3287,1000,3289,994,3270,994,3279,971,3228,834xm3279,971l3270,994,3287,994,3279,971xm3396,760l3334,828,3334,830,3332,830,3279,971,3287,994,3289,994,3348,840,3348,840,3349,838,3350,838,3409,772,3410,772,3410,770,3412,770,3414,764,3395,764,3396,760xm2605,962l2596,968,2604,968,2605,962xm2667,962l2605,962,2604,968,2662,968,2666,964,2667,962xm2784,660l2780,660,2777,662,2774,662,2773,666,2712,828,2650,956,2658,950,2673,950,2728,836,2785,685,2776,674,2790,672,2796,672,2789,664,2784,660xm2673,950l2658,950,2650,956,2670,956,2673,950xm4201,884l4202,886,4204,888,4201,884xm4220,884l4201,884,4204,888,4221,888,4220,884xm4034,426l4015,426,4032,428,4022,461,4078,772,4078,774,4080,778,4142,830,4202,886,4201,884,4220,884,4219,880,4219,878,4217,874,4154,816,4099,770,4094,770,4092,764,4093,764,4034,426xm3084,736l3146,854,3149,856,3152,858,3157,856,3199,844,3162,844,3152,840,3159,838,3106,738,3086,738,3084,736xm3159,838l3152,840,3162,844,3159,838xm3218,820l3214,822,3159,838,3162,844,3199,844,3211,840,3209,834,3228,834,3226,828,3223,824,3218,820xm3209,834l3211,840,3220,838,3209,834xm3349,838l3348,840,3349,839,3349,838xm3349,839l3348,840,3348,840,3349,839xm3350,838l3349,838,3349,839,3350,838xm2917,636l2898,636,2914,638,2905,653,2960,790,2962,794,2964,796,2971,796,2975,794,2976,790,2979,784,2977,784,2960,782,2970,765,2917,636xm2970,765l2960,782,2977,784,2970,765xm3035,668l3026,668,3024,670,3023,672,2970,765,2977,784,2979,784,3033,690,3024,682,3038,680,3048,680,3036,670,3035,668xm4092,764l4094,770,4094,765,4092,764xm4094,765l4094,770,4099,770,4094,765xm4093,764l4092,764,4094,765,4093,764xm3529,510l3524,510,3521,512,3520,514,3457,608,3457,610,3395,764,3414,764,3474,616,3475,616,3528,535,3520,524,3542,524,3534,514,3533,512,3529,510xm2796,672l2790,672,2785,685,2837,750,2842,752,2850,752,2852,748,2857,740,2837,740,2843,728,2796,672xm2843,728l2837,740,2851,738,2843,728xm2910,624l2903,624,2898,628,2843,728,2851,738,2837,740,2857,740,2905,653,2898,636,2917,636,2915,630,2914,626,2910,624xm3048,680l3038,680,3033,690,3086,738,3106,738,3101,728,3100,726,3100,724,3098,724,3048,680xm3542,524l3535,524,3528,535,3582,604,3583,606,3646,664,3707,730,3708,732,3710,734,3779,734,3782,730,3784,728,3786,722,3767,722,3768,718,3720,718,3714,716,3718,716,3658,650,3597,594,3596,594,3542,524xm3842,566l3833,566,3830,568,3829,572,3767,722,3775,716,3789,716,3840,591,3830,580,3846,578,3854,578,3845,568,3842,566xm3789,716l3775,716,3767,722,3786,722,3789,716xm3718,716l3714,716,3720,718,3718,716xm3769,716l3718,716,3720,718,3768,718,3769,716xm3038,680l3024,682,3033,690,3038,680xm2790,672l2776,674,2785,685,2790,672xm3854,578l3846,578,3840,591,3893,650,3895,652,3900,654,3904,652,3937,638,3906,638,3896,636,3902,633,3854,578xm2898,636l2905,653,2914,638,2898,636xm3902,633l3896,636,3906,638,3902,633xm3954,609l3902,633,3906,638,3937,638,3965,626,3970,622,3971,620,3973,614,3953,614,3954,609xm3475,616l3474,616,3473,620,3475,616xm3958,608l3954,609,3953,614,3958,608xm3975,608l3958,608,3953,614,3973,614,3975,608xm4028,416l4020,416,4016,418,4015,422,3954,609,3958,608,3975,608,4022,461,4015,426,4034,426,4033,422,4032,418,4028,416xm3595,592l3596,594,3597,594,3595,592xm3846,578l3830,580,3840,591,3846,578xm3535,524l3520,524,3528,535,3535,524xm4015,426l4022,461,4032,428,4015,426xe" filled="true" fillcolor="#99cc00" stroked="false">
              <v:path arrowok="t"/>
              <v:fill type="solid"/>
            </v:shape>
            <v:line style="position:absolute" from="1850,1232" to="4839,1232" stroked="true" strokeweight=".2pt" strokecolor="#000000">
              <v:stroke dashstyle="solid"/>
            </v:line>
            <v:line style="position:absolute" from="1850,1225" to="4841,1225" stroked="true" strokeweight=".5pt" strokecolor="#000000">
              <v:stroke dashstyle="solid"/>
            </v:line>
            <v:line style="position:absolute" from="1850,1218" to="4839,1218" stroked="true" strokeweight=".2pt" strokecolor="#000000">
              <v:stroke dashstyle="solid"/>
            </v:line>
            <v:line style="position:absolute" from="1930,301" to="2309,301" stroked="true" strokeweight=".9pt" strokecolor="#99cc00">
              <v:stroke dashstyle="solid"/>
            </v:line>
            <v:shape style="position:absolute;left:2338;top:216;width:1535;height:167" type="#_x0000_t202" filled="false" stroked="false">
              <v:textbox inset="0,0,0,0">
                <w:txbxContent>
                  <w:p>
                    <w:pPr>
                      <w:spacing w:line="166" w:lineRule="exact" w:before="0"/>
                      <w:ind w:left="0" w:right="0" w:firstLine="0"/>
                      <w:jc w:val="left"/>
                      <w:rPr>
                        <w:rFonts w:ascii="Times New Roman"/>
                        <w:sz w:val="15"/>
                      </w:rPr>
                    </w:pPr>
                    <w:r>
                      <w:rPr>
                        <w:rFonts w:ascii="Times New Roman"/>
                        <w:sz w:val="15"/>
                      </w:rPr>
                      <w:t>Other (incl rest of world)</w:t>
                    </w:r>
                  </w:p>
                </w:txbxContent>
              </v:textbox>
              <w10:wrap type="none"/>
            </v:shape>
            <w10:wrap type="none"/>
          </v:group>
        </w:pict>
      </w:r>
      <w:r>
        <w:rPr/>
        <w:pict>
          <v:shape style="position:absolute;margin-left:263.279999pt;margin-top:4.362866pt;width:6.3pt;height:136.450pt;mso-position-horizontal-relative:page;mso-position-vertical-relative:paragraph;z-index:251673600" coordorigin="5266,87" coordsize="126,2729" path="m5266,2702l5321,2816,5369,2721,5312,2721,5312,2703,5266,2702xm5312,2703l5312,2721,5332,2721,5332,2703,5312,2703xm5332,2703l5332,2721,5369,2721,5378,2703,5332,2703xm5326,181l5312,2703,5332,2703,5345,182,5326,181xm5335,87l5279,200,5326,200,5326,181,5382,181,5335,87xm5382,181l5326,181,5345,182,5345,200,5392,200,5382,181xe" filled="true" fillcolor="#000000" stroked="false">
            <v:path arrowok="t"/>
            <v:fill type="solid"/>
            <w10:wrap type="none"/>
          </v:shape>
        </w:pict>
      </w:r>
      <w:r>
        <w:rPr/>
        <w:pict>
          <v:shape style="position:absolute;margin-left:272.149963pt;margin-top:8.412419pt;width:10.35pt;height:34.450pt;mso-position-horizontal-relative:page;mso-position-vertical-relative:paragraph;z-index:251676672" type="#_x0000_t202" filled="false" stroked="false">
            <v:textbox inset="0,0,0,0" style="layout-flow:vertical;mso-layout-flow-alt:bottom-to-top">
              <w:txbxContent>
                <w:p>
                  <w:pPr>
                    <w:spacing w:before="13"/>
                    <w:ind w:left="20" w:right="0" w:firstLine="0"/>
                    <w:jc w:val="left"/>
                    <w:rPr>
                      <w:rFonts w:ascii="Times New Roman"/>
                      <w:sz w:val="15"/>
                    </w:rPr>
                  </w:pPr>
                  <w:r>
                    <w:rPr>
                      <w:rFonts w:ascii="Times New Roman"/>
                      <w:sz w:val="15"/>
                    </w:rPr>
                    <w:t>Net saving</w:t>
                  </w:r>
                </w:p>
              </w:txbxContent>
            </v:textbox>
            <w10:wrap type="none"/>
          </v:shape>
        </w:pict>
      </w:r>
      <w:r>
        <w:rPr>
          <w:rFonts w:ascii="Times New Roman"/>
          <w:sz w:val="15"/>
        </w:rPr>
        <w:t>30</w:t>
      </w:r>
    </w:p>
    <w:p>
      <w:pPr>
        <w:pStyle w:val="BodyText"/>
        <w:spacing w:before="10"/>
        <w:rPr>
          <w:rFonts w:ascii="Times New Roman"/>
          <w:sz w:val="17"/>
        </w:rPr>
      </w:pPr>
    </w:p>
    <w:p>
      <w:pPr>
        <w:spacing w:before="0"/>
        <w:ind w:left="893" w:right="0" w:firstLine="0"/>
        <w:jc w:val="left"/>
        <w:rPr>
          <w:rFonts w:ascii="Times New Roman"/>
          <w:sz w:val="15"/>
        </w:rPr>
      </w:pPr>
      <w:r>
        <w:rPr>
          <w:rFonts w:ascii="Times New Roman"/>
          <w:sz w:val="15"/>
        </w:rPr>
        <w:t>20</w:t>
      </w:r>
    </w:p>
    <w:p>
      <w:pPr>
        <w:pStyle w:val="BodyText"/>
        <w:spacing w:before="10"/>
        <w:rPr>
          <w:rFonts w:ascii="Times New Roman"/>
          <w:sz w:val="17"/>
        </w:rPr>
      </w:pPr>
    </w:p>
    <w:p>
      <w:pPr>
        <w:spacing w:before="0"/>
        <w:ind w:left="893" w:right="0" w:firstLine="0"/>
        <w:jc w:val="left"/>
        <w:rPr>
          <w:rFonts w:ascii="Times New Roman"/>
          <w:sz w:val="15"/>
        </w:rPr>
      </w:pPr>
      <w:r>
        <w:rPr>
          <w:rFonts w:ascii="Times New Roman"/>
          <w:sz w:val="15"/>
        </w:rPr>
        <w:t>10</w:t>
      </w:r>
    </w:p>
    <w:p>
      <w:pPr>
        <w:pStyle w:val="BodyText"/>
        <w:spacing w:before="9"/>
        <w:rPr>
          <w:rFonts w:ascii="Times New Roman"/>
          <w:sz w:val="17"/>
        </w:rPr>
      </w:pPr>
    </w:p>
    <w:p>
      <w:pPr>
        <w:spacing w:before="0"/>
        <w:ind w:left="893" w:right="0" w:firstLine="0"/>
        <w:jc w:val="left"/>
        <w:rPr>
          <w:rFonts w:ascii="Times New Roman"/>
          <w:sz w:val="15"/>
        </w:rPr>
      </w:pPr>
      <w:r>
        <w:rPr>
          <w:rFonts w:ascii="Times New Roman"/>
          <w:sz w:val="15"/>
        </w:rPr>
        <w:t>0</w:t>
      </w:r>
    </w:p>
    <w:p>
      <w:pPr>
        <w:pStyle w:val="BodyText"/>
        <w:spacing w:before="10"/>
        <w:rPr>
          <w:rFonts w:ascii="Times New Roman"/>
          <w:sz w:val="17"/>
        </w:rPr>
      </w:pPr>
    </w:p>
    <w:p>
      <w:pPr>
        <w:spacing w:before="0"/>
        <w:ind w:left="893" w:right="0" w:firstLine="0"/>
        <w:jc w:val="left"/>
        <w:rPr>
          <w:rFonts w:ascii="Times New Roman"/>
          <w:sz w:val="15"/>
        </w:rPr>
      </w:pPr>
      <w:r>
        <w:rPr>
          <w:rFonts w:ascii="Times New Roman"/>
          <w:sz w:val="15"/>
        </w:rPr>
        <w:t>-10</w:t>
      </w:r>
    </w:p>
    <w:p>
      <w:pPr>
        <w:pStyle w:val="BodyText"/>
        <w:spacing w:before="10"/>
        <w:rPr>
          <w:rFonts w:ascii="Times New Roman"/>
          <w:sz w:val="17"/>
        </w:rPr>
      </w:pPr>
    </w:p>
    <w:p>
      <w:pPr>
        <w:spacing w:before="0"/>
        <w:ind w:left="893" w:right="0" w:firstLine="0"/>
        <w:jc w:val="left"/>
        <w:rPr>
          <w:rFonts w:ascii="Times New Roman"/>
          <w:sz w:val="15"/>
        </w:rPr>
      </w:pPr>
      <w:r>
        <w:rPr/>
        <w:pict>
          <v:shape style="position:absolute;margin-left:272.029846pt;margin-top:-2.14867pt;width:10.35pt;height:46.1pt;mso-position-horizontal-relative:page;mso-position-vertical-relative:paragraph;z-index:251675648" type="#_x0000_t202" filled="false" stroked="false">
            <v:textbox inset="0,0,0,0" style="layout-flow:vertical;mso-layout-flow-alt:bottom-to-top">
              <w:txbxContent>
                <w:p>
                  <w:pPr>
                    <w:spacing w:before="13"/>
                    <w:ind w:left="20" w:right="0" w:firstLine="0"/>
                    <w:jc w:val="left"/>
                    <w:rPr>
                      <w:rFonts w:ascii="Times New Roman"/>
                      <w:sz w:val="15"/>
                    </w:rPr>
                  </w:pPr>
                  <w:r>
                    <w:rPr>
                      <w:rFonts w:ascii="Times New Roman"/>
                      <w:sz w:val="15"/>
                    </w:rPr>
                    <w:t>Net borrowing</w:t>
                  </w:r>
                </w:p>
              </w:txbxContent>
            </v:textbox>
            <w10:wrap type="none"/>
          </v:shape>
        </w:pict>
      </w:r>
      <w:r>
        <w:rPr>
          <w:rFonts w:ascii="Times New Roman"/>
          <w:sz w:val="15"/>
        </w:rPr>
        <w:t>-20</w:t>
      </w:r>
    </w:p>
    <w:p>
      <w:pPr>
        <w:pStyle w:val="BodyText"/>
        <w:spacing w:before="9"/>
        <w:rPr>
          <w:rFonts w:ascii="Times New Roman"/>
          <w:sz w:val="17"/>
        </w:rPr>
      </w:pPr>
    </w:p>
    <w:p>
      <w:pPr>
        <w:spacing w:before="0"/>
        <w:ind w:left="893" w:right="0" w:firstLine="0"/>
        <w:jc w:val="left"/>
        <w:rPr>
          <w:rFonts w:ascii="Times New Roman"/>
          <w:sz w:val="15"/>
        </w:rPr>
      </w:pPr>
      <w:r>
        <w:rPr>
          <w:rFonts w:ascii="Times New Roman"/>
          <w:sz w:val="15"/>
        </w:rPr>
        <w:t>-30</w:t>
      </w:r>
    </w:p>
    <w:p>
      <w:pPr>
        <w:spacing w:after="0"/>
        <w:jc w:val="left"/>
        <w:rPr>
          <w:rFonts w:ascii="Times New Roman"/>
          <w:sz w:val="15"/>
        </w:rPr>
        <w:sectPr>
          <w:type w:val="continuous"/>
          <w:pgSz w:w="12240" w:h="15840"/>
          <w:pgMar w:top="1120" w:bottom="1440" w:left="1360" w:right="1480"/>
          <w:cols w:num="2" w:equalWidth="0">
            <w:col w:w="2667" w:space="40"/>
            <w:col w:w="6693"/>
          </w:cols>
        </w:sectPr>
      </w:pPr>
    </w:p>
    <w:p>
      <w:pPr>
        <w:pStyle w:val="BodyText"/>
        <w:spacing w:before="8"/>
        <w:rPr>
          <w:rFonts w:ascii="Times New Roman"/>
          <w:sz w:val="9"/>
        </w:rPr>
      </w:pPr>
    </w:p>
    <w:p>
      <w:pPr>
        <w:spacing w:after="0"/>
        <w:rPr>
          <w:rFonts w:ascii="Times New Roman"/>
          <w:sz w:val="9"/>
        </w:rPr>
        <w:sectPr>
          <w:type w:val="continuous"/>
          <w:pgSz w:w="12240" w:h="15840"/>
          <w:pgMar w:top="1120" w:bottom="1440" w:left="1360" w:right="1480"/>
        </w:sectPr>
      </w:pPr>
    </w:p>
    <w:p>
      <w:pPr>
        <w:pStyle w:val="BodyText"/>
        <w:spacing w:before="5"/>
        <w:rPr>
          <w:rFonts w:ascii="Times New Roman"/>
          <w:sz w:val="23"/>
        </w:rPr>
      </w:pPr>
    </w:p>
    <w:p>
      <w:pPr>
        <w:spacing w:before="1"/>
        <w:ind w:left="340" w:right="0" w:firstLine="0"/>
        <w:jc w:val="left"/>
        <w:rPr>
          <w:rFonts w:ascii="Times New Roman"/>
          <w:sz w:val="15"/>
        </w:rPr>
      </w:pPr>
      <w:r>
        <w:rPr>
          <w:rFonts w:ascii="Times New Roman"/>
          <w:sz w:val="15"/>
        </w:rPr>
        <w:t>2002 2004 2006 2008 2010 2012</w:t>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5"/>
        <w:rPr>
          <w:rFonts w:ascii="Times New Roman"/>
          <w:sz w:val="22"/>
        </w:rPr>
      </w:pPr>
    </w:p>
    <w:p>
      <w:pPr>
        <w:spacing w:before="1"/>
        <w:ind w:left="227" w:right="0" w:firstLine="0"/>
        <w:jc w:val="left"/>
        <w:rPr>
          <w:sz w:val="15"/>
        </w:rPr>
      </w:pPr>
      <w:r>
        <w:rPr>
          <w:sz w:val="15"/>
        </w:rPr>
        <w:t>Source: Eurostat (ESA 95 definitions)</w:t>
      </w:r>
    </w:p>
    <w:p>
      <w:pPr>
        <w:spacing w:before="94"/>
        <w:ind w:left="227" w:right="0" w:firstLine="0"/>
        <w:jc w:val="left"/>
        <w:rPr>
          <w:rFonts w:ascii="Times New Roman"/>
          <w:sz w:val="15"/>
        </w:rPr>
      </w:pPr>
      <w:r>
        <w:rPr/>
        <w:br w:type="column"/>
      </w:r>
      <w:r>
        <w:rPr>
          <w:rFonts w:ascii="Times New Roman"/>
          <w:sz w:val="15"/>
        </w:rPr>
        <w:t>-40</w:t>
      </w:r>
    </w:p>
    <w:p>
      <w:pPr>
        <w:pStyle w:val="BodyText"/>
        <w:rPr>
          <w:rFonts w:ascii="Times New Roman"/>
          <w:sz w:val="16"/>
        </w:rPr>
      </w:pPr>
      <w:r>
        <w:rPr/>
        <w:br w:type="column"/>
      </w:r>
      <w:r>
        <w:rPr>
          <w:rFonts w:ascii="Times New Roman"/>
          <w:sz w:val="16"/>
        </w:rPr>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2"/>
        <w:rPr>
          <w:rFonts w:ascii="Times New Roman"/>
          <w:sz w:val="16"/>
        </w:rPr>
      </w:pPr>
    </w:p>
    <w:p>
      <w:pPr>
        <w:spacing w:before="0"/>
        <w:ind w:left="233" w:right="754" w:firstLine="0"/>
        <w:jc w:val="left"/>
        <w:rPr>
          <w:sz w:val="15"/>
        </w:rPr>
      </w:pPr>
      <w:r>
        <w:rPr/>
        <w:drawing>
          <wp:anchor distT="0" distB="0" distL="0" distR="0" allowOverlap="1" layoutInCell="1" locked="0" behindDoc="0" simplePos="0" relativeHeight="251674624">
            <wp:simplePos x="0" y="0"/>
            <wp:positionH relativeFrom="page">
              <wp:posOffset>3785615</wp:posOffset>
            </wp:positionH>
            <wp:positionV relativeFrom="paragraph">
              <wp:posOffset>-2640142</wp:posOffset>
            </wp:positionV>
            <wp:extent cx="2638043" cy="2638043"/>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20" cstate="print"/>
                    <a:stretch>
                      <a:fillRect/>
                    </a:stretch>
                  </pic:blipFill>
                  <pic:spPr>
                    <a:xfrm>
                      <a:off x="0" y="0"/>
                      <a:ext cx="2638043" cy="2638043"/>
                    </a:xfrm>
                    <a:prstGeom prst="rect">
                      <a:avLst/>
                    </a:prstGeom>
                  </pic:spPr>
                </pic:pic>
              </a:graphicData>
            </a:graphic>
          </wp:anchor>
        </w:drawing>
      </w:r>
      <w:r>
        <w:rPr>
          <w:sz w:val="15"/>
        </w:rPr>
        <w:t>Source: Buttiglione, L, Lane, P, Reichlin, L and Reinhart, V (2014) “Deleveraging, what deleveraging?”, </w:t>
      </w:r>
      <w:r>
        <w:rPr>
          <w:i/>
          <w:sz w:val="15"/>
        </w:rPr>
        <w:t>Geneva Reports </w:t>
      </w:r>
      <w:r>
        <w:rPr>
          <w:i/>
          <w:sz w:val="15"/>
        </w:rPr>
        <w:t>on the World Economy</w:t>
      </w:r>
      <w:r>
        <w:rPr>
          <w:sz w:val="15"/>
        </w:rPr>
        <w:t>, 16, Centre for Economic Policy Research.</w:t>
      </w:r>
    </w:p>
    <w:p>
      <w:pPr>
        <w:spacing w:after="0"/>
        <w:jc w:val="left"/>
        <w:rPr>
          <w:sz w:val="15"/>
        </w:rPr>
        <w:sectPr>
          <w:type w:val="continuous"/>
          <w:pgSz w:w="12240" w:h="15840"/>
          <w:pgMar w:top="1120" w:bottom="1440" w:left="1360" w:right="1480"/>
          <w:cols w:num="3" w:equalWidth="0">
            <w:col w:w="3167" w:space="206"/>
            <w:col w:w="469" w:space="532"/>
            <w:col w:w="5026"/>
          </w:cols>
        </w:sectPr>
      </w:pPr>
    </w:p>
    <w:p>
      <w:pPr>
        <w:pStyle w:val="Heading1"/>
        <w:spacing w:line="237" w:lineRule="auto" w:before="100"/>
        <w:ind w:left="227"/>
      </w:pPr>
      <w:r>
        <w:rPr/>
        <w:t>Chart 5: Net migration</w:t>
      </w:r>
      <w:r>
        <w:rPr>
          <w:vertAlign w:val="superscript"/>
        </w:rPr>
        <w:t>(a)</w:t>
      </w:r>
      <w:r>
        <w:rPr>
          <w:vertAlign w:val="baseline"/>
        </w:rPr>
        <w:t> from Ireland overwhelmingly</w:t>
      </w:r>
      <w:r>
        <w:rPr>
          <w:spacing w:val="-13"/>
          <w:vertAlign w:val="baseline"/>
        </w:rPr>
        <w:t> </w:t>
      </w:r>
      <w:r>
        <w:rPr>
          <w:vertAlign w:val="baseline"/>
        </w:rPr>
        <w:t>to</w:t>
      </w:r>
      <w:r>
        <w:rPr>
          <w:spacing w:val="-12"/>
          <w:vertAlign w:val="baseline"/>
        </w:rPr>
        <w:t> </w:t>
      </w:r>
      <w:r>
        <w:rPr>
          <w:vertAlign w:val="baseline"/>
        </w:rPr>
        <w:t>economies</w:t>
      </w:r>
      <w:r>
        <w:rPr>
          <w:spacing w:val="-12"/>
          <w:vertAlign w:val="baseline"/>
        </w:rPr>
        <w:t> </w:t>
      </w:r>
      <w:r>
        <w:rPr>
          <w:vertAlign w:val="baseline"/>
        </w:rPr>
        <w:t>outside</w:t>
      </w:r>
      <w:r>
        <w:rPr>
          <w:spacing w:val="-12"/>
          <w:vertAlign w:val="baseline"/>
        </w:rPr>
        <w:t> </w:t>
      </w:r>
      <w:r>
        <w:rPr>
          <w:vertAlign w:val="baseline"/>
        </w:rPr>
        <w:t>the</w:t>
      </w:r>
      <w:r>
        <w:rPr>
          <w:spacing w:val="-13"/>
          <w:vertAlign w:val="baseline"/>
        </w:rPr>
        <w:t> </w:t>
      </w:r>
      <w:r>
        <w:rPr>
          <w:vertAlign w:val="baseline"/>
        </w:rPr>
        <w:t>euro area since the</w:t>
      </w:r>
      <w:r>
        <w:rPr>
          <w:spacing w:val="-4"/>
          <w:vertAlign w:val="baseline"/>
        </w:rPr>
        <w:t> </w:t>
      </w:r>
      <w:r>
        <w:rPr>
          <w:vertAlign w:val="baseline"/>
        </w:rPr>
        <w:t>crisis</w:t>
      </w:r>
    </w:p>
    <w:p>
      <w:pPr>
        <w:pStyle w:val="BodyText"/>
        <w:rPr>
          <w:b/>
          <w:sz w:val="20"/>
        </w:rPr>
      </w:pPr>
    </w:p>
    <w:p>
      <w:pPr>
        <w:pStyle w:val="BodyText"/>
        <w:spacing w:before="10"/>
        <w:rPr>
          <w:b/>
          <w:sz w:val="28"/>
        </w:rPr>
      </w:pPr>
      <w:r>
        <w:rPr/>
        <w:drawing>
          <wp:anchor distT="0" distB="0" distL="0" distR="0" allowOverlap="1" layoutInCell="1" locked="0" behindDoc="0" simplePos="0" relativeHeight="19">
            <wp:simplePos x="0" y="0"/>
            <wp:positionH relativeFrom="page">
              <wp:posOffset>1233694</wp:posOffset>
            </wp:positionH>
            <wp:positionV relativeFrom="paragraph">
              <wp:posOffset>235990</wp:posOffset>
            </wp:positionV>
            <wp:extent cx="2361940" cy="152400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21" cstate="print"/>
                    <a:stretch>
                      <a:fillRect/>
                    </a:stretch>
                  </pic:blipFill>
                  <pic:spPr>
                    <a:xfrm>
                      <a:off x="0" y="0"/>
                      <a:ext cx="2361940" cy="1524000"/>
                    </a:xfrm>
                    <a:prstGeom prst="rect">
                      <a:avLst/>
                    </a:prstGeom>
                  </pic:spPr>
                </pic:pic>
              </a:graphicData>
            </a:graphic>
          </wp:anchor>
        </w:drawing>
      </w:r>
    </w:p>
    <w:p>
      <w:pPr>
        <w:pStyle w:val="BodyText"/>
        <w:rPr>
          <w:b/>
          <w:sz w:val="20"/>
        </w:rPr>
      </w:pPr>
    </w:p>
    <w:p>
      <w:pPr>
        <w:pStyle w:val="BodyText"/>
        <w:spacing w:before="8"/>
        <w:rPr>
          <w:b/>
          <w:sz w:val="28"/>
        </w:rPr>
      </w:pPr>
    </w:p>
    <w:p>
      <w:pPr>
        <w:spacing w:before="0"/>
        <w:ind w:left="227" w:right="0" w:firstLine="0"/>
        <w:jc w:val="left"/>
        <w:rPr>
          <w:sz w:val="15"/>
        </w:rPr>
      </w:pPr>
      <w:r>
        <w:rPr>
          <w:sz w:val="15"/>
        </w:rPr>
        <w:t>(a) Cumulative net migration between 2009-14 from Ireland by destination. Source: Central Statistics Office of Ireland.</w:t>
      </w:r>
    </w:p>
    <w:p>
      <w:pPr>
        <w:pStyle w:val="BodyText"/>
        <w:rPr>
          <w:sz w:val="16"/>
        </w:rPr>
      </w:pPr>
    </w:p>
    <w:p>
      <w:pPr>
        <w:pStyle w:val="BodyText"/>
        <w:rPr>
          <w:sz w:val="16"/>
        </w:rPr>
      </w:pPr>
    </w:p>
    <w:p>
      <w:pPr>
        <w:pStyle w:val="BodyText"/>
        <w:rPr>
          <w:sz w:val="16"/>
        </w:rPr>
      </w:pPr>
    </w:p>
    <w:p>
      <w:pPr>
        <w:pStyle w:val="BodyText"/>
        <w:rPr>
          <w:sz w:val="16"/>
        </w:rPr>
      </w:pPr>
    </w:p>
    <w:p>
      <w:pPr>
        <w:pStyle w:val="Heading1"/>
        <w:spacing w:line="237" w:lineRule="auto" w:before="129"/>
        <w:ind w:left="227"/>
      </w:pPr>
      <w:r>
        <w:rPr/>
        <w:t>Chart 7: Rest of the world now borrowing from the euro area as a whole.</w:t>
      </w:r>
    </w:p>
    <w:p>
      <w:pPr>
        <w:pStyle w:val="BodyText"/>
        <w:spacing w:before="11"/>
        <w:rPr>
          <w:b/>
          <w:sz w:val="6"/>
        </w:rPr>
      </w:pPr>
    </w:p>
    <w:p>
      <w:pPr>
        <w:pStyle w:val="BodyText"/>
        <w:ind w:left="326"/>
        <w:rPr>
          <w:sz w:val="20"/>
        </w:rPr>
      </w:pPr>
      <w:r>
        <w:rPr>
          <w:sz w:val="20"/>
        </w:rPr>
        <w:drawing>
          <wp:inline distT="0" distB="0" distL="0" distR="0">
            <wp:extent cx="2500824" cy="2143125"/>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22" cstate="print"/>
                    <a:stretch>
                      <a:fillRect/>
                    </a:stretch>
                  </pic:blipFill>
                  <pic:spPr>
                    <a:xfrm>
                      <a:off x="0" y="0"/>
                      <a:ext cx="2500824" cy="2143125"/>
                    </a:xfrm>
                    <a:prstGeom prst="rect">
                      <a:avLst/>
                    </a:prstGeom>
                  </pic:spPr>
                </pic:pic>
              </a:graphicData>
            </a:graphic>
          </wp:inline>
        </w:drawing>
      </w:r>
      <w:r>
        <w:rPr>
          <w:sz w:val="20"/>
        </w:rPr>
      </w:r>
    </w:p>
    <w:p>
      <w:pPr>
        <w:spacing w:before="74"/>
        <w:ind w:left="227" w:right="0" w:firstLine="0"/>
        <w:jc w:val="left"/>
        <w:rPr>
          <w:sz w:val="15"/>
        </w:rPr>
      </w:pPr>
      <w:r>
        <w:rPr>
          <w:sz w:val="15"/>
        </w:rPr>
        <w:t>Source: Eurostat (ESA 95 definitions)</w:t>
      </w:r>
    </w:p>
    <w:p>
      <w:pPr>
        <w:pStyle w:val="Heading1"/>
        <w:spacing w:line="237" w:lineRule="auto" w:before="100"/>
        <w:ind w:left="182" w:right="668"/>
      </w:pPr>
      <w:r>
        <w:rPr>
          <w:b w:val="0"/>
        </w:rPr>
        <w:br w:type="column"/>
      </w:r>
      <w:r>
        <w:rPr/>
        <w:t>Chart 6: Risk-sharing in EMU substantially lower than in Canadian, US and German federal systems.</w:t>
      </w:r>
    </w:p>
    <w:p>
      <w:pPr>
        <w:pStyle w:val="BodyText"/>
        <w:spacing w:before="2"/>
        <w:rPr>
          <w:b/>
          <w:sz w:val="3"/>
        </w:rPr>
      </w:pPr>
    </w:p>
    <w:p>
      <w:pPr>
        <w:pStyle w:val="BodyText"/>
        <w:ind w:left="186"/>
        <w:rPr>
          <w:sz w:val="20"/>
        </w:rPr>
      </w:pPr>
      <w:r>
        <w:rPr>
          <w:sz w:val="20"/>
        </w:rPr>
        <w:drawing>
          <wp:inline distT="0" distB="0" distL="0" distR="0">
            <wp:extent cx="2581856" cy="2143125"/>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23" cstate="print"/>
                    <a:stretch>
                      <a:fillRect/>
                    </a:stretch>
                  </pic:blipFill>
                  <pic:spPr>
                    <a:xfrm>
                      <a:off x="0" y="0"/>
                      <a:ext cx="2581856" cy="2143125"/>
                    </a:xfrm>
                    <a:prstGeom prst="rect">
                      <a:avLst/>
                    </a:prstGeom>
                  </pic:spPr>
                </pic:pic>
              </a:graphicData>
            </a:graphic>
          </wp:inline>
        </w:drawing>
      </w:r>
      <w:r>
        <w:rPr>
          <w:sz w:val="20"/>
        </w:rPr>
      </w:r>
    </w:p>
    <w:p>
      <w:pPr>
        <w:spacing w:before="179"/>
        <w:ind w:left="160" w:right="668" w:firstLine="0"/>
        <w:jc w:val="left"/>
        <w:rPr>
          <w:sz w:val="15"/>
        </w:rPr>
      </w:pPr>
      <w:r>
        <w:rPr>
          <w:sz w:val="15"/>
        </w:rPr>
        <w:t>Source: IMF – Toward a fiscal union for the euro area, technical background notes (September 2013). Based on Hepp and von Hagen (2012) for Germany; Asdrubali, Sorensen and Yosha (1998) for the US; Balli, Basher and Rosmy (2011) for Canada; and Afonso and Furceri (2008) for the EMU and EU.</w:t>
      </w:r>
    </w:p>
    <w:p>
      <w:pPr>
        <w:spacing w:after="0"/>
        <w:jc w:val="left"/>
        <w:rPr>
          <w:sz w:val="15"/>
        </w:rPr>
        <w:sectPr>
          <w:pgSz w:w="12240" w:h="15840"/>
          <w:pgMar w:header="0" w:footer="1240" w:top="1420" w:bottom="1440" w:left="1360" w:right="1480"/>
          <w:cols w:num="2" w:equalWidth="0">
            <w:col w:w="4451" w:space="40"/>
            <w:col w:w="4909"/>
          </w:cols>
        </w:sectPr>
      </w:pPr>
    </w:p>
    <w:p>
      <w:pPr>
        <w:pStyle w:val="Heading1"/>
        <w:spacing w:before="123"/>
        <w:ind w:left="1712"/>
      </w:pPr>
      <w:r>
        <w:rPr/>
        <w:t>Table 1: General and central government expenditure as a % of GDP</w:t>
      </w:r>
    </w:p>
    <w:p>
      <w:pPr>
        <w:pStyle w:val="BodyText"/>
        <w:rPr>
          <w:b/>
          <w:sz w:val="20"/>
        </w:rPr>
      </w:pPr>
    </w:p>
    <w:p>
      <w:pPr>
        <w:pStyle w:val="BodyText"/>
        <w:spacing w:before="9"/>
        <w:rPr>
          <w:b/>
          <w:sz w:val="12"/>
        </w:rPr>
      </w:pPr>
    </w:p>
    <w:tbl>
      <w:tblPr>
        <w:tblW w:w="0" w:type="auto"/>
        <w:jc w:val="left"/>
        <w:tblInd w:w="1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8"/>
        <w:gridCol w:w="2451"/>
        <w:gridCol w:w="2238"/>
      </w:tblGrid>
      <w:tr>
        <w:trPr>
          <w:trHeight w:val="763" w:hRule="atLeast"/>
        </w:trPr>
        <w:tc>
          <w:tcPr>
            <w:tcW w:w="1358" w:type="dxa"/>
          </w:tcPr>
          <w:p>
            <w:pPr>
              <w:pStyle w:val="TableParagraph"/>
              <w:spacing w:before="0"/>
              <w:jc w:val="left"/>
              <w:rPr>
                <w:b/>
                <w:sz w:val="20"/>
              </w:rPr>
            </w:pPr>
          </w:p>
          <w:p>
            <w:pPr>
              <w:pStyle w:val="TableParagraph"/>
              <w:spacing w:before="9"/>
              <w:jc w:val="left"/>
              <w:rPr>
                <w:b/>
                <w:sz w:val="23"/>
              </w:rPr>
            </w:pPr>
          </w:p>
          <w:p>
            <w:pPr>
              <w:pStyle w:val="TableParagraph"/>
              <w:spacing w:before="0"/>
              <w:ind w:left="50"/>
              <w:jc w:val="left"/>
              <w:rPr>
                <w:sz w:val="19"/>
              </w:rPr>
            </w:pPr>
            <w:r>
              <w:rPr>
                <w:sz w:val="19"/>
              </w:rPr>
              <w:t>Australia</w:t>
            </w:r>
          </w:p>
        </w:tc>
        <w:tc>
          <w:tcPr>
            <w:tcW w:w="2451" w:type="dxa"/>
          </w:tcPr>
          <w:p>
            <w:pPr>
              <w:pStyle w:val="TableParagraph"/>
              <w:spacing w:line="237" w:lineRule="auto" w:before="0"/>
              <w:ind w:left="262" w:right="157" w:firstLine="1"/>
              <w:jc w:val="center"/>
              <w:rPr>
                <w:b/>
                <w:sz w:val="19"/>
              </w:rPr>
            </w:pPr>
            <w:r>
              <w:rPr>
                <w:b/>
                <w:sz w:val="19"/>
              </w:rPr>
              <w:t>General government expenditure, % of</w:t>
            </w:r>
            <w:r>
              <w:rPr>
                <w:b/>
                <w:spacing w:val="-20"/>
                <w:sz w:val="19"/>
              </w:rPr>
              <w:t> </w:t>
            </w:r>
            <w:r>
              <w:rPr>
                <w:b/>
                <w:spacing w:val="-5"/>
                <w:sz w:val="19"/>
              </w:rPr>
              <w:t>GDP</w:t>
            </w:r>
          </w:p>
          <w:p>
            <w:pPr>
              <w:pStyle w:val="TableParagraph"/>
              <w:spacing w:line="213" w:lineRule="exact" w:before="97"/>
              <w:ind w:left="1149" w:right="1049"/>
              <w:jc w:val="center"/>
              <w:rPr>
                <w:sz w:val="19"/>
              </w:rPr>
            </w:pPr>
            <w:r>
              <w:rPr>
                <w:sz w:val="19"/>
              </w:rPr>
              <w:t>36</w:t>
            </w:r>
          </w:p>
        </w:tc>
        <w:tc>
          <w:tcPr>
            <w:tcW w:w="2238" w:type="dxa"/>
          </w:tcPr>
          <w:p>
            <w:pPr>
              <w:pStyle w:val="TableParagraph"/>
              <w:spacing w:line="237" w:lineRule="auto" w:before="0"/>
              <w:ind w:left="135" w:right="22"/>
              <w:jc w:val="center"/>
              <w:rPr>
                <w:b/>
                <w:sz w:val="19"/>
              </w:rPr>
            </w:pPr>
            <w:r>
              <w:rPr>
                <w:b/>
                <w:sz w:val="19"/>
              </w:rPr>
              <w:t>Central government expenditure, % of GDP</w:t>
            </w:r>
          </w:p>
          <w:p>
            <w:pPr>
              <w:pStyle w:val="TableParagraph"/>
              <w:spacing w:before="71"/>
              <w:ind w:left="129" w:right="22"/>
              <w:jc w:val="center"/>
              <w:rPr>
                <w:sz w:val="19"/>
              </w:rPr>
            </w:pPr>
            <w:r>
              <w:rPr>
                <w:sz w:val="19"/>
              </w:rPr>
              <w:t>26</w:t>
            </w:r>
          </w:p>
        </w:tc>
      </w:tr>
      <w:tr>
        <w:trPr>
          <w:trHeight w:val="268" w:hRule="atLeast"/>
        </w:trPr>
        <w:tc>
          <w:tcPr>
            <w:tcW w:w="1358" w:type="dxa"/>
          </w:tcPr>
          <w:p>
            <w:pPr>
              <w:pStyle w:val="TableParagraph"/>
              <w:spacing w:before="7"/>
              <w:ind w:left="50"/>
              <w:jc w:val="left"/>
              <w:rPr>
                <w:sz w:val="19"/>
              </w:rPr>
            </w:pPr>
            <w:r>
              <w:rPr>
                <w:sz w:val="19"/>
              </w:rPr>
              <w:t>Austria</w:t>
            </w:r>
          </w:p>
        </w:tc>
        <w:tc>
          <w:tcPr>
            <w:tcW w:w="2451" w:type="dxa"/>
          </w:tcPr>
          <w:p>
            <w:pPr>
              <w:pStyle w:val="TableParagraph"/>
              <w:spacing w:line="214" w:lineRule="exact" w:before="34"/>
              <w:ind w:right="1070"/>
              <w:rPr>
                <w:sz w:val="19"/>
              </w:rPr>
            </w:pPr>
            <w:r>
              <w:rPr>
                <w:w w:val="95"/>
                <w:sz w:val="19"/>
              </w:rPr>
              <w:t>53</w:t>
            </w:r>
          </w:p>
        </w:tc>
        <w:tc>
          <w:tcPr>
            <w:tcW w:w="2238" w:type="dxa"/>
          </w:tcPr>
          <w:p>
            <w:pPr>
              <w:pStyle w:val="TableParagraph"/>
              <w:spacing w:before="7"/>
              <w:ind w:right="959"/>
              <w:rPr>
                <w:sz w:val="19"/>
              </w:rPr>
            </w:pPr>
            <w:r>
              <w:rPr>
                <w:w w:val="95"/>
                <w:sz w:val="19"/>
              </w:rPr>
              <w:t>27</w:t>
            </w:r>
          </w:p>
        </w:tc>
      </w:tr>
      <w:tr>
        <w:trPr>
          <w:trHeight w:val="268" w:hRule="atLeast"/>
        </w:trPr>
        <w:tc>
          <w:tcPr>
            <w:tcW w:w="1358" w:type="dxa"/>
          </w:tcPr>
          <w:p>
            <w:pPr>
              <w:pStyle w:val="TableParagraph"/>
              <w:ind w:left="50"/>
              <w:jc w:val="left"/>
              <w:rPr>
                <w:sz w:val="19"/>
              </w:rPr>
            </w:pPr>
            <w:r>
              <w:rPr>
                <w:sz w:val="19"/>
              </w:rPr>
              <w:t>Belgium</w:t>
            </w:r>
          </w:p>
        </w:tc>
        <w:tc>
          <w:tcPr>
            <w:tcW w:w="2451" w:type="dxa"/>
          </w:tcPr>
          <w:p>
            <w:pPr>
              <w:pStyle w:val="TableParagraph"/>
              <w:spacing w:line="213" w:lineRule="exact" w:before="34"/>
              <w:ind w:right="1070"/>
              <w:rPr>
                <w:sz w:val="19"/>
              </w:rPr>
            </w:pPr>
            <w:r>
              <w:rPr>
                <w:w w:val="95"/>
                <w:sz w:val="19"/>
              </w:rPr>
              <w:t>53</w:t>
            </w:r>
          </w:p>
        </w:tc>
        <w:tc>
          <w:tcPr>
            <w:tcW w:w="2238" w:type="dxa"/>
          </w:tcPr>
          <w:p>
            <w:pPr>
              <w:pStyle w:val="TableParagraph"/>
              <w:ind w:right="959"/>
              <w:rPr>
                <w:sz w:val="19"/>
              </w:rPr>
            </w:pPr>
            <w:r>
              <w:rPr>
                <w:w w:val="95"/>
                <w:sz w:val="19"/>
              </w:rPr>
              <w:t>30</w:t>
            </w:r>
          </w:p>
        </w:tc>
      </w:tr>
      <w:tr>
        <w:trPr>
          <w:trHeight w:val="255" w:hRule="atLeast"/>
        </w:trPr>
        <w:tc>
          <w:tcPr>
            <w:tcW w:w="1358" w:type="dxa"/>
          </w:tcPr>
          <w:p>
            <w:pPr>
              <w:pStyle w:val="TableParagraph"/>
              <w:spacing w:before="7"/>
              <w:ind w:left="50"/>
              <w:jc w:val="left"/>
              <w:rPr>
                <w:sz w:val="19"/>
              </w:rPr>
            </w:pPr>
            <w:r>
              <w:rPr>
                <w:sz w:val="19"/>
              </w:rPr>
              <w:t>Canada</w:t>
            </w:r>
          </w:p>
        </w:tc>
        <w:tc>
          <w:tcPr>
            <w:tcW w:w="2451" w:type="dxa"/>
          </w:tcPr>
          <w:p>
            <w:pPr>
              <w:pStyle w:val="TableParagraph"/>
              <w:spacing w:line="201" w:lineRule="exact" w:before="34"/>
              <w:ind w:right="1070"/>
              <w:rPr>
                <w:sz w:val="19"/>
              </w:rPr>
            </w:pPr>
            <w:r>
              <w:rPr>
                <w:w w:val="95"/>
                <w:sz w:val="19"/>
              </w:rPr>
              <w:t>44</w:t>
            </w:r>
          </w:p>
        </w:tc>
        <w:tc>
          <w:tcPr>
            <w:tcW w:w="2238" w:type="dxa"/>
          </w:tcPr>
          <w:p>
            <w:pPr>
              <w:pStyle w:val="TableParagraph"/>
              <w:spacing w:before="7"/>
              <w:ind w:right="959"/>
              <w:rPr>
                <w:sz w:val="19"/>
              </w:rPr>
            </w:pPr>
            <w:r>
              <w:rPr>
                <w:w w:val="95"/>
                <w:sz w:val="19"/>
              </w:rPr>
              <w:t>17</w:t>
            </w:r>
          </w:p>
        </w:tc>
      </w:tr>
      <w:tr>
        <w:trPr>
          <w:trHeight w:val="445" w:hRule="atLeast"/>
        </w:trPr>
        <w:tc>
          <w:tcPr>
            <w:tcW w:w="1358" w:type="dxa"/>
          </w:tcPr>
          <w:p>
            <w:pPr>
              <w:pStyle w:val="TableParagraph"/>
              <w:spacing w:line="216" w:lineRule="exact" w:before="0"/>
              <w:ind w:left="50" w:right="87"/>
              <w:jc w:val="left"/>
              <w:rPr>
                <w:sz w:val="19"/>
              </w:rPr>
            </w:pPr>
            <w:r>
              <w:rPr>
                <w:sz w:val="19"/>
              </w:rPr>
              <w:t>Czech </w:t>
            </w:r>
            <w:r>
              <w:rPr>
                <w:w w:val="95"/>
                <w:sz w:val="19"/>
              </w:rPr>
              <w:t>Republic</w:t>
            </w:r>
          </w:p>
        </w:tc>
        <w:tc>
          <w:tcPr>
            <w:tcW w:w="2451" w:type="dxa"/>
          </w:tcPr>
          <w:p>
            <w:pPr>
              <w:pStyle w:val="TableParagraph"/>
              <w:spacing w:before="4"/>
              <w:jc w:val="left"/>
              <w:rPr>
                <w:b/>
                <w:sz w:val="18"/>
              </w:rPr>
            </w:pPr>
          </w:p>
          <w:p>
            <w:pPr>
              <w:pStyle w:val="TableParagraph"/>
              <w:spacing w:line="214" w:lineRule="exact" w:before="0"/>
              <w:ind w:right="1068"/>
              <w:rPr>
                <w:sz w:val="19"/>
              </w:rPr>
            </w:pPr>
            <w:r>
              <w:rPr>
                <w:w w:val="95"/>
                <w:sz w:val="19"/>
              </w:rPr>
              <w:t>44</w:t>
            </w:r>
          </w:p>
        </w:tc>
        <w:tc>
          <w:tcPr>
            <w:tcW w:w="2238" w:type="dxa"/>
          </w:tcPr>
          <w:p>
            <w:pPr>
              <w:pStyle w:val="TableParagraph"/>
              <w:spacing w:before="104"/>
              <w:ind w:right="959"/>
              <w:rPr>
                <w:sz w:val="19"/>
              </w:rPr>
            </w:pPr>
            <w:r>
              <w:rPr>
                <w:w w:val="95"/>
                <w:sz w:val="19"/>
              </w:rPr>
              <w:t>30</w:t>
            </w:r>
          </w:p>
        </w:tc>
      </w:tr>
      <w:tr>
        <w:trPr>
          <w:trHeight w:val="268" w:hRule="atLeast"/>
        </w:trPr>
        <w:tc>
          <w:tcPr>
            <w:tcW w:w="1358" w:type="dxa"/>
          </w:tcPr>
          <w:p>
            <w:pPr>
              <w:pStyle w:val="TableParagraph"/>
              <w:ind w:left="50"/>
              <w:jc w:val="left"/>
              <w:rPr>
                <w:sz w:val="19"/>
              </w:rPr>
            </w:pPr>
            <w:r>
              <w:rPr>
                <w:sz w:val="19"/>
              </w:rPr>
              <w:t>Denmark</w:t>
            </w:r>
          </w:p>
        </w:tc>
        <w:tc>
          <w:tcPr>
            <w:tcW w:w="2451" w:type="dxa"/>
          </w:tcPr>
          <w:p>
            <w:pPr>
              <w:pStyle w:val="TableParagraph"/>
              <w:spacing w:line="214" w:lineRule="exact" w:before="34"/>
              <w:ind w:right="1070"/>
              <w:rPr>
                <w:sz w:val="19"/>
              </w:rPr>
            </w:pPr>
            <w:r>
              <w:rPr>
                <w:w w:val="95"/>
                <w:sz w:val="19"/>
              </w:rPr>
              <w:t>58</w:t>
            </w:r>
          </w:p>
        </w:tc>
        <w:tc>
          <w:tcPr>
            <w:tcW w:w="2238" w:type="dxa"/>
          </w:tcPr>
          <w:p>
            <w:pPr>
              <w:pStyle w:val="TableParagraph"/>
              <w:ind w:right="959"/>
              <w:rPr>
                <w:sz w:val="19"/>
              </w:rPr>
            </w:pPr>
            <w:r>
              <w:rPr>
                <w:w w:val="95"/>
                <w:sz w:val="19"/>
              </w:rPr>
              <w:t>42</w:t>
            </w:r>
          </w:p>
        </w:tc>
      </w:tr>
      <w:tr>
        <w:trPr>
          <w:trHeight w:val="267" w:hRule="atLeast"/>
        </w:trPr>
        <w:tc>
          <w:tcPr>
            <w:tcW w:w="1358" w:type="dxa"/>
          </w:tcPr>
          <w:p>
            <w:pPr>
              <w:pStyle w:val="TableParagraph"/>
              <w:ind w:left="50"/>
              <w:jc w:val="left"/>
              <w:rPr>
                <w:sz w:val="19"/>
              </w:rPr>
            </w:pPr>
            <w:r>
              <w:rPr>
                <w:sz w:val="19"/>
              </w:rPr>
              <w:t>Estonia</w:t>
            </w:r>
          </w:p>
        </w:tc>
        <w:tc>
          <w:tcPr>
            <w:tcW w:w="2451" w:type="dxa"/>
          </w:tcPr>
          <w:p>
            <w:pPr>
              <w:pStyle w:val="TableParagraph"/>
              <w:spacing w:line="214" w:lineRule="exact" w:before="33"/>
              <w:ind w:right="1070"/>
              <w:rPr>
                <w:sz w:val="19"/>
              </w:rPr>
            </w:pPr>
            <w:r>
              <w:rPr>
                <w:w w:val="95"/>
                <w:sz w:val="19"/>
              </w:rPr>
              <w:t>40</w:t>
            </w:r>
          </w:p>
        </w:tc>
        <w:tc>
          <w:tcPr>
            <w:tcW w:w="2238" w:type="dxa"/>
          </w:tcPr>
          <w:p>
            <w:pPr>
              <w:pStyle w:val="TableParagraph"/>
              <w:ind w:right="959"/>
              <w:rPr>
                <w:sz w:val="19"/>
              </w:rPr>
            </w:pPr>
            <w:r>
              <w:rPr>
                <w:w w:val="95"/>
                <w:sz w:val="19"/>
              </w:rPr>
              <w:t>30</w:t>
            </w:r>
          </w:p>
        </w:tc>
      </w:tr>
      <w:tr>
        <w:trPr>
          <w:trHeight w:val="268" w:hRule="atLeast"/>
        </w:trPr>
        <w:tc>
          <w:tcPr>
            <w:tcW w:w="1358" w:type="dxa"/>
          </w:tcPr>
          <w:p>
            <w:pPr>
              <w:pStyle w:val="TableParagraph"/>
              <w:ind w:left="50"/>
              <w:jc w:val="left"/>
              <w:rPr>
                <w:sz w:val="19"/>
              </w:rPr>
            </w:pPr>
            <w:r>
              <w:rPr>
                <w:sz w:val="19"/>
              </w:rPr>
              <w:t>Finland</w:t>
            </w:r>
          </w:p>
        </w:tc>
        <w:tc>
          <w:tcPr>
            <w:tcW w:w="2451" w:type="dxa"/>
          </w:tcPr>
          <w:p>
            <w:pPr>
              <w:pStyle w:val="TableParagraph"/>
              <w:spacing w:line="214" w:lineRule="exact" w:before="34"/>
              <w:ind w:right="1070"/>
              <w:rPr>
                <w:sz w:val="19"/>
              </w:rPr>
            </w:pPr>
            <w:r>
              <w:rPr>
                <w:w w:val="95"/>
                <w:sz w:val="19"/>
              </w:rPr>
              <w:t>56</w:t>
            </w:r>
          </w:p>
        </w:tc>
        <w:tc>
          <w:tcPr>
            <w:tcW w:w="2238" w:type="dxa"/>
          </w:tcPr>
          <w:p>
            <w:pPr>
              <w:pStyle w:val="TableParagraph"/>
              <w:ind w:right="959"/>
              <w:rPr>
                <w:sz w:val="19"/>
              </w:rPr>
            </w:pPr>
            <w:r>
              <w:rPr>
                <w:w w:val="95"/>
                <w:sz w:val="19"/>
              </w:rPr>
              <w:t>28</w:t>
            </w:r>
          </w:p>
        </w:tc>
      </w:tr>
      <w:tr>
        <w:trPr>
          <w:trHeight w:val="267" w:hRule="atLeast"/>
        </w:trPr>
        <w:tc>
          <w:tcPr>
            <w:tcW w:w="1358" w:type="dxa"/>
          </w:tcPr>
          <w:p>
            <w:pPr>
              <w:pStyle w:val="TableParagraph"/>
              <w:ind w:left="50"/>
              <w:jc w:val="left"/>
              <w:rPr>
                <w:sz w:val="19"/>
              </w:rPr>
            </w:pPr>
            <w:r>
              <w:rPr>
                <w:sz w:val="19"/>
              </w:rPr>
              <w:t>France</w:t>
            </w:r>
          </w:p>
        </w:tc>
        <w:tc>
          <w:tcPr>
            <w:tcW w:w="2451" w:type="dxa"/>
          </w:tcPr>
          <w:p>
            <w:pPr>
              <w:pStyle w:val="TableParagraph"/>
              <w:spacing w:line="214" w:lineRule="exact" w:before="33"/>
              <w:ind w:right="1070"/>
              <w:rPr>
                <w:sz w:val="19"/>
              </w:rPr>
            </w:pPr>
            <w:r>
              <w:rPr>
                <w:w w:val="95"/>
                <w:sz w:val="19"/>
              </w:rPr>
              <w:t>57</w:t>
            </w:r>
          </w:p>
        </w:tc>
        <w:tc>
          <w:tcPr>
            <w:tcW w:w="2238" w:type="dxa"/>
          </w:tcPr>
          <w:p>
            <w:pPr>
              <w:pStyle w:val="TableParagraph"/>
              <w:ind w:right="959"/>
              <w:rPr>
                <w:sz w:val="19"/>
              </w:rPr>
            </w:pPr>
            <w:r>
              <w:rPr>
                <w:w w:val="95"/>
                <w:sz w:val="19"/>
              </w:rPr>
              <w:t>24</w:t>
            </w:r>
          </w:p>
        </w:tc>
      </w:tr>
      <w:tr>
        <w:trPr>
          <w:trHeight w:val="268" w:hRule="atLeast"/>
        </w:trPr>
        <w:tc>
          <w:tcPr>
            <w:tcW w:w="1358" w:type="dxa"/>
          </w:tcPr>
          <w:p>
            <w:pPr>
              <w:pStyle w:val="TableParagraph"/>
              <w:ind w:left="50"/>
              <w:jc w:val="left"/>
              <w:rPr>
                <w:sz w:val="19"/>
              </w:rPr>
            </w:pPr>
            <w:r>
              <w:rPr>
                <w:sz w:val="19"/>
              </w:rPr>
              <w:t>Germany</w:t>
            </w:r>
          </w:p>
        </w:tc>
        <w:tc>
          <w:tcPr>
            <w:tcW w:w="2451" w:type="dxa"/>
          </w:tcPr>
          <w:p>
            <w:pPr>
              <w:pStyle w:val="TableParagraph"/>
              <w:spacing w:line="214" w:lineRule="exact" w:before="34"/>
              <w:ind w:right="1070"/>
              <w:rPr>
                <w:sz w:val="19"/>
              </w:rPr>
            </w:pPr>
            <w:r>
              <w:rPr>
                <w:w w:val="95"/>
                <w:sz w:val="19"/>
              </w:rPr>
              <w:t>48</w:t>
            </w:r>
          </w:p>
        </w:tc>
        <w:tc>
          <w:tcPr>
            <w:tcW w:w="2238" w:type="dxa"/>
          </w:tcPr>
          <w:p>
            <w:pPr>
              <w:pStyle w:val="TableParagraph"/>
              <w:ind w:right="959"/>
              <w:rPr>
                <w:sz w:val="19"/>
              </w:rPr>
            </w:pPr>
            <w:r>
              <w:rPr>
                <w:w w:val="95"/>
                <w:sz w:val="19"/>
              </w:rPr>
              <w:t>16</w:t>
            </w:r>
          </w:p>
        </w:tc>
      </w:tr>
      <w:tr>
        <w:trPr>
          <w:trHeight w:val="267" w:hRule="atLeast"/>
        </w:trPr>
        <w:tc>
          <w:tcPr>
            <w:tcW w:w="1358" w:type="dxa"/>
          </w:tcPr>
          <w:p>
            <w:pPr>
              <w:pStyle w:val="TableParagraph"/>
              <w:ind w:left="50"/>
              <w:jc w:val="left"/>
              <w:rPr>
                <w:sz w:val="19"/>
              </w:rPr>
            </w:pPr>
            <w:r>
              <w:rPr>
                <w:sz w:val="19"/>
              </w:rPr>
              <w:t>Greece</w:t>
            </w:r>
          </w:p>
        </w:tc>
        <w:tc>
          <w:tcPr>
            <w:tcW w:w="2451" w:type="dxa"/>
          </w:tcPr>
          <w:p>
            <w:pPr>
              <w:pStyle w:val="TableParagraph"/>
              <w:spacing w:line="214" w:lineRule="exact" w:before="33"/>
              <w:ind w:right="1070"/>
              <w:rPr>
                <w:sz w:val="19"/>
              </w:rPr>
            </w:pPr>
            <w:r>
              <w:rPr>
                <w:w w:val="95"/>
                <w:sz w:val="19"/>
              </w:rPr>
              <w:t>51</w:t>
            </w:r>
          </w:p>
        </w:tc>
        <w:tc>
          <w:tcPr>
            <w:tcW w:w="2238" w:type="dxa"/>
          </w:tcPr>
          <w:p>
            <w:pPr>
              <w:pStyle w:val="TableParagraph"/>
              <w:ind w:right="959"/>
              <w:rPr>
                <w:sz w:val="19"/>
              </w:rPr>
            </w:pPr>
            <w:r>
              <w:rPr>
                <w:w w:val="95"/>
                <w:sz w:val="19"/>
              </w:rPr>
              <w:t>40</w:t>
            </w:r>
          </w:p>
        </w:tc>
      </w:tr>
      <w:tr>
        <w:trPr>
          <w:trHeight w:val="268" w:hRule="atLeast"/>
        </w:trPr>
        <w:tc>
          <w:tcPr>
            <w:tcW w:w="1358" w:type="dxa"/>
          </w:tcPr>
          <w:p>
            <w:pPr>
              <w:pStyle w:val="TableParagraph"/>
              <w:ind w:left="50"/>
              <w:jc w:val="left"/>
              <w:rPr>
                <w:sz w:val="19"/>
              </w:rPr>
            </w:pPr>
            <w:r>
              <w:rPr>
                <w:sz w:val="19"/>
              </w:rPr>
              <w:t>Hungary</w:t>
            </w:r>
          </w:p>
        </w:tc>
        <w:tc>
          <w:tcPr>
            <w:tcW w:w="2451" w:type="dxa"/>
          </w:tcPr>
          <w:p>
            <w:pPr>
              <w:pStyle w:val="TableParagraph"/>
              <w:spacing w:line="215" w:lineRule="exact" w:before="33"/>
              <w:ind w:right="1070"/>
              <w:rPr>
                <w:sz w:val="19"/>
              </w:rPr>
            </w:pPr>
            <w:r>
              <w:rPr>
                <w:w w:val="95"/>
                <w:sz w:val="19"/>
              </w:rPr>
              <w:t>50</w:t>
            </w:r>
          </w:p>
        </w:tc>
        <w:tc>
          <w:tcPr>
            <w:tcW w:w="2238" w:type="dxa"/>
          </w:tcPr>
          <w:p>
            <w:pPr>
              <w:pStyle w:val="TableParagraph"/>
              <w:ind w:right="959"/>
              <w:rPr>
                <w:sz w:val="19"/>
              </w:rPr>
            </w:pPr>
            <w:r>
              <w:rPr>
                <w:w w:val="95"/>
                <w:sz w:val="19"/>
              </w:rPr>
              <w:t>33</w:t>
            </w:r>
          </w:p>
        </w:tc>
      </w:tr>
      <w:tr>
        <w:trPr>
          <w:trHeight w:val="267" w:hRule="atLeast"/>
        </w:trPr>
        <w:tc>
          <w:tcPr>
            <w:tcW w:w="1358" w:type="dxa"/>
          </w:tcPr>
          <w:p>
            <w:pPr>
              <w:pStyle w:val="TableParagraph"/>
              <w:spacing w:before="9"/>
              <w:ind w:left="50"/>
              <w:jc w:val="left"/>
              <w:rPr>
                <w:sz w:val="19"/>
              </w:rPr>
            </w:pPr>
            <w:r>
              <w:rPr>
                <w:sz w:val="19"/>
              </w:rPr>
              <w:t>Iceland</w:t>
            </w:r>
          </w:p>
        </w:tc>
        <w:tc>
          <w:tcPr>
            <w:tcW w:w="2451" w:type="dxa"/>
          </w:tcPr>
          <w:p>
            <w:pPr>
              <w:pStyle w:val="TableParagraph"/>
              <w:spacing w:line="215" w:lineRule="exact" w:before="33"/>
              <w:ind w:right="1070"/>
              <w:rPr>
                <w:sz w:val="19"/>
              </w:rPr>
            </w:pPr>
            <w:r>
              <w:rPr>
                <w:w w:val="95"/>
                <w:sz w:val="19"/>
              </w:rPr>
              <w:t>52</w:t>
            </w:r>
          </w:p>
        </w:tc>
        <w:tc>
          <w:tcPr>
            <w:tcW w:w="2238" w:type="dxa"/>
          </w:tcPr>
          <w:p>
            <w:pPr>
              <w:pStyle w:val="TableParagraph"/>
              <w:spacing w:before="9"/>
              <w:ind w:right="959"/>
              <w:rPr>
                <w:sz w:val="19"/>
              </w:rPr>
            </w:pPr>
            <w:r>
              <w:rPr>
                <w:w w:val="95"/>
                <w:sz w:val="19"/>
              </w:rPr>
              <w:t>40</w:t>
            </w:r>
          </w:p>
        </w:tc>
      </w:tr>
      <w:tr>
        <w:trPr>
          <w:trHeight w:val="268" w:hRule="atLeast"/>
        </w:trPr>
        <w:tc>
          <w:tcPr>
            <w:tcW w:w="1358" w:type="dxa"/>
          </w:tcPr>
          <w:p>
            <w:pPr>
              <w:pStyle w:val="TableParagraph"/>
              <w:spacing w:before="9"/>
              <w:ind w:left="50"/>
              <w:jc w:val="left"/>
              <w:rPr>
                <w:sz w:val="19"/>
              </w:rPr>
            </w:pPr>
            <w:r>
              <w:rPr>
                <w:sz w:val="19"/>
              </w:rPr>
              <w:t>Ireland</w:t>
            </w:r>
          </w:p>
        </w:tc>
        <w:tc>
          <w:tcPr>
            <w:tcW w:w="2451" w:type="dxa"/>
          </w:tcPr>
          <w:p>
            <w:pPr>
              <w:pStyle w:val="TableParagraph"/>
              <w:spacing w:line="215" w:lineRule="exact" w:before="34"/>
              <w:ind w:right="1070"/>
              <w:rPr>
                <w:sz w:val="19"/>
              </w:rPr>
            </w:pPr>
            <w:r>
              <w:rPr>
                <w:w w:val="95"/>
                <w:sz w:val="19"/>
              </w:rPr>
              <w:t>65</w:t>
            </w:r>
          </w:p>
        </w:tc>
        <w:tc>
          <w:tcPr>
            <w:tcW w:w="2238" w:type="dxa"/>
          </w:tcPr>
          <w:p>
            <w:pPr>
              <w:pStyle w:val="TableParagraph"/>
              <w:spacing w:before="9"/>
              <w:ind w:right="959"/>
              <w:rPr>
                <w:sz w:val="19"/>
              </w:rPr>
            </w:pPr>
            <w:r>
              <w:rPr>
                <w:w w:val="95"/>
                <w:sz w:val="19"/>
              </w:rPr>
              <w:t>58</w:t>
            </w:r>
          </w:p>
        </w:tc>
      </w:tr>
      <w:tr>
        <w:trPr>
          <w:trHeight w:val="267" w:hRule="atLeast"/>
        </w:trPr>
        <w:tc>
          <w:tcPr>
            <w:tcW w:w="1358" w:type="dxa"/>
          </w:tcPr>
          <w:p>
            <w:pPr>
              <w:pStyle w:val="TableParagraph"/>
              <w:spacing w:before="9"/>
              <w:ind w:left="50"/>
              <w:jc w:val="left"/>
              <w:rPr>
                <w:sz w:val="19"/>
              </w:rPr>
            </w:pPr>
            <w:r>
              <w:rPr>
                <w:sz w:val="19"/>
              </w:rPr>
              <w:t>Israel</w:t>
            </w:r>
          </w:p>
        </w:tc>
        <w:tc>
          <w:tcPr>
            <w:tcW w:w="2451" w:type="dxa"/>
          </w:tcPr>
          <w:p>
            <w:pPr>
              <w:pStyle w:val="TableParagraph"/>
              <w:spacing w:line="215" w:lineRule="exact" w:before="33"/>
              <w:ind w:right="1070"/>
              <w:rPr>
                <w:sz w:val="19"/>
              </w:rPr>
            </w:pPr>
            <w:r>
              <w:rPr>
                <w:w w:val="95"/>
                <w:sz w:val="19"/>
              </w:rPr>
              <w:t>45</w:t>
            </w:r>
          </w:p>
        </w:tc>
        <w:tc>
          <w:tcPr>
            <w:tcW w:w="2238" w:type="dxa"/>
          </w:tcPr>
          <w:p>
            <w:pPr>
              <w:pStyle w:val="TableParagraph"/>
              <w:spacing w:before="9"/>
              <w:ind w:right="959"/>
              <w:rPr>
                <w:sz w:val="19"/>
              </w:rPr>
            </w:pPr>
            <w:r>
              <w:rPr>
                <w:w w:val="95"/>
                <w:sz w:val="19"/>
              </w:rPr>
              <w:t>39</w:t>
            </w:r>
          </w:p>
        </w:tc>
      </w:tr>
      <w:tr>
        <w:trPr>
          <w:trHeight w:val="268" w:hRule="atLeast"/>
        </w:trPr>
        <w:tc>
          <w:tcPr>
            <w:tcW w:w="1358" w:type="dxa"/>
          </w:tcPr>
          <w:p>
            <w:pPr>
              <w:pStyle w:val="TableParagraph"/>
              <w:spacing w:before="9"/>
              <w:ind w:left="50"/>
              <w:jc w:val="left"/>
              <w:rPr>
                <w:sz w:val="19"/>
              </w:rPr>
            </w:pPr>
            <w:r>
              <w:rPr>
                <w:sz w:val="19"/>
              </w:rPr>
              <w:t>Italy</w:t>
            </w:r>
          </w:p>
        </w:tc>
        <w:tc>
          <w:tcPr>
            <w:tcW w:w="2451" w:type="dxa"/>
          </w:tcPr>
          <w:p>
            <w:pPr>
              <w:pStyle w:val="TableParagraph"/>
              <w:spacing w:line="215" w:lineRule="exact" w:before="34"/>
              <w:ind w:right="1070"/>
              <w:rPr>
                <w:sz w:val="19"/>
              </w:rPr>
            </w:pPr>
            <w:r>
              <w:rPr>
                <w:w w:val="95"/>
                <w:sz w:val="19"/>
              </w:rPr>
              <w:t>50</w:t>
            </w:r>
          </w:p>
        </w:tc>
        <w:tc>
          <w:tcPr>
            <w:tcW w:w="2238" w:type="dxa"/>
          </w:tcPr>
          <w:p>
            <w:pPr>
              <w:pStyle w:val="TableParagraph"/>
              <w:spacing w:before="9"/>
              <w:ind w:right="959"/>
              <w:rPr>
                <w:sz w:val="19"/>
              </w:rPr>
            </w:pPr>
            <w:r>
              <w:rPr>
                <w:w w:val="95"/>
                <w:sz w:val="19"/>
              </w:rPr>
              <w:t>29</w:t>
            </w:r>
          </w:p>
        </w:tc>
      </w:tr>
      <w:tr>
        <w:trPr>
          <w:trHeight w:val="267" w:hRule="atLeast"/>
        </w:trPr>
        <w:tc>
          <w:tcPr>
            <w:tcW w:w="1358" w:type="dxa"/>
          </w:tcPr>
          <w:p>
            <w:pPr>
              <w:pStyle w:val="TableParagraph"/>
              <w:spacing w:before="9"/>
              <w:ind w:left="50"/>
              <w:jc w:val="left"/>
              <w:rPr>
                <w:sz w:val="19"/>
              </w:rPr>
            </w:pPr>
            <w:r>
              <w:rPr>
                <w:sz w:val="19"/>
              </w:rPr>
              <w:t>Japan</w:t>
            </w:r>
          </w:p>
        </w:tc>
        <w:tc>
          <w:tcPr>
            <w:tcW w:w="2451" w:type="dxa"/>
          </w:tcPr>
          <w:p>
            <w:pPr>
              <w:pStyle w:val="TableParagraph"/>
              <w:spacing w:line="215" w:lineRule="exact" w:before="33"/>
              <w:ind w:right="1070"/>
              <w:rPr>
                <w:sz w:val="19"/>
              </w:rPr>
            </w:pPr>
            <w:r>
              <w:rPr>
                <w:w w:val="95"/>
                <w:sz w:val="19"/>
              </w:rPr>
              <w:t>41</w:t>
            </w:r>
          </w:p>
        </w:tc>
        <w:tc>
          <w:tcPr>
            <w:tcW w:w="2238" w:type="dxa"/>
          </w:tcPr>
          <w:p>
            <w:pPr>
              <w:pStyle w:val="TableParagraph"/>
              <w:spacing w:before="9"/>
              <w:ind w:right="959"/>
              <w:rPr>
                <w:sz w:val="19"/>
              </w:rPr>
            </w:pPr>
            <w:r>
              <w:rPr>
                <w:w w:val="95"/>
                <w:sz w:val="19"/>
              </w:rPr>
              <w:t>18</w:t>
            </w:r>
          </w:p>
        </w:tc>
      </w:tr>
      <w:tr>
        <w:trPr>
          <w:trHeight w:val="268" w:hRule="atLeast"/>
        </w:trPr>
        <w:tc>
          <w:tcPr>
            <w:tcW w:w="1358" w:type="dxa"/>
          </w:tcPr>
          <w:p>
            <w:pPr>
              <w:pStyle w:val="TableParagraph"/>
              <w:spacing w:before="9"/>
              <w:ind w:left="50"/>
              <w:jc w:val="left"/>
              <w:rPr>
                <w:sz w:val="19"/>
              </w:rPr>
            </w:pPr>
            <w:r>
              <w:rPr>
                <w:sz w:val="19"/>
              </w:rPr>
              <w:t>Korea</w:t>
            </w:r>
          </w:p>
        </w:tc>
        <w:tc>
          <w:tcPr>
            <w:tcW w:w="2451" w:type="dxa"/>
          </w:tcPr>
          <w:p>
            <w:pPr>
              <w:pStyle w:val="TableParagraph"/>
              <w:spacing w:line="214" w:lineRule="exact" w:before="34"/>
              <w:ind w:right="1070"/>
              <w:rPr>
                <w:sz w:val="19"/>
              </w:rPr>
            </w:pPr>
            <w:r>
              <w:rPr>
                <w:w w:val="95"/>
                <w:sz w:val="19"/>
              </w:rPr>
              <w:t>30</w:t>
            </w:r>
          </w:p>
        </w:tc>
        <w:tc>
          <w:tcPr>
            <w:tcW w:w="2238" w:type="dxa"/>
          </w:tcPr>
          <w:p>
            <w:pPr>
              <w:pStyle w:val="TableParagraph"/>
              <w:spacing w:before="9"/>
              <w:ind w:right="959"/>
              <w:rPr>
                <w:sz w:val="19"/>
              </w:rPr>
            </w:pPr>
            <w:r>
              <w:rPr>
                <w:w w:val="95"/>
                <w:sz w:val="19"/>
              </w:rPr>
              <w:t>20</w:t>
            </w:r>
          </w:p>
        </w:tc>
      </w:tr>
      <w:tr>
        <w:trPr>
          <w:trHeight w:val="267" w:hRule="atLeast"/>
        </w:trPr>
        <w:tc>
          <w:tcPr>
            <w:tcW w:w="1358" w:type="dxa"/>
          </w:tcPr>
          <w:p>
            <w:pPr>
              <w:pStyle w:val="TableParagraph"/>
              <w:ind w:left="50"/>
              <w:jc w:val="left"/>
              <w:rPr>
                <w:sz w:val="19"/>
              </w:rPr>
            </w:pPr>
            <w:r>
              <w:rPr>
                <w:sz w:val="19"/>
              </w:rPr>
              <w:t>Luxembourg</w:t>
            </w:r>
          </w:p>
        </w:tc>
        <w:tc>
          <w:tcPr>
            <w:tcW w:w="2451" w:type="dxa"/>
          </w:tcPr>
          <w:p>
            <w:pPr>
              <w:pStyle w:val="TableParagraph"/>
              <w:spacing w:line="214" w:lineRule="exact" w:before="33"/>
              <w:ind w:right="1070"/>
              <w:rPr>
                <w:sz w:val="19"/>
              </w:rPr>
            </w:pPr>
            <w:r>
              <w:rPr>
                <w:w w:val="95"/>
                <w:sz w:val="19"/>
              </w:rPr>
              <w:t>44</w:t>
            </w:r>
          </w:p>
        </w:tc>
        <w:tc>
          <w:tcPr>
            <w:tcW w:w="2238" w:type="dxa"/>
          </w:tcPr>
          <w:p>
            <w:pPr>
              <w:pStyle w:val="TableParagraph"/>
              <w:ind w:right="959"/>
              <w:rPr>
                <w:sz w:val="19"/>
              </w:rPr>
            </w:pPr>
            <w:r>
              <w:rPr>
                <w:w w:val="95"/>
                <w:sz w:val="19"/>
              </w:rPr>
              <w:t>31</w:t>
            </w:r>
          </w:p>
        </w:tc>
      </w:tr>
      <w:tr>
        <w:trPr>
          <w:trHeight w:val="268" w:hRule="atLeast"/>
        </w:trPr>
        <w:tc>
          <w:tcPr>
            <w:tcW w:w="1358" w:type="dxa"/>
          </w:tcPr>
          <w:p>
            <w:pPr>
              <w:pStyle w:val="TableParagraph"/>
              <w:ind w:left="50"/>
              <w:jc w:val="left"/>
              <w:rPr>
                <w:sz w:val="19"/>
              </w:rPr>
            </w:pPr>
            <w:r>
              <w:rPr>
                <w:sz w:val="19"/>
              </w:rPr>
              <w:t>Mexico</w:t>
            </w:r>
          </w:p>
        </w:tc>
        <w:tc>
          <w:tcPr>
            <w:tcW w:w="2451" w:type="dxa"/>
          </w:tcPr>
          <w:p>
            <w:pPr>
              <w:pStyle w:val="TableParagraph"/>
              <w:spacing w:line="214" w:lineRule="exact" w:before="34"/>
              <w:ind w:right="1070"/>
              <w:rPr>
                <w:sz w:val="19"/>
              </w:rPr>
            </w:pPr>
            <w:r>
              <w:rPr>
                <w:w w:val="95"/>
                <w:sz w:val="19"/>
              </w:rPr>
              <w:t>23</w:t>
            </w:r>
          </w:p>
        </w:tc>
        <w:tc>
          <w:tcPr>
            <w:tcW w:w="2238" w:type="dxa"/>
          </w:tcPr>
          <w:p>
            <w:pPr>
              <w:pStyle w:val="TableParagraph"/>
              <w:ind w:right="959"/>
              <w:rPr>
                <w:sz w:val="19"/>
              </w:rPr>
            </w:pPr>
            <w:r>
              <w:rPr>
                <w:w w:val="95"/>
                <w:sz w:val="19"/>
              </w:rPr>
              <w:t>19</w:t>
            </w:r>
          </w:p>
        </w:tc>
      </w:tr>
      <w:tr>
        <w:trPr>
          <w:trHeight w:val="267" w:hRule="atLeast"/>
        </w:trPr>
        <w:tc>
          <w:tcPr>
            <w:tcW w:w="1358" w:type="dxa"/>
          </w:tcPr>
          <w:p>
            <w:pPr>
              <w:pStyle w:val="TableParagraph"/>
              <w:ind w:left="50"/>
              <w:jc w:val="left"/>
              <w:rPr>
                <w:sz w:val="19"/>
              </w:rPr>
            </w:pPr>
            <w:r>
              <w:rPr>
                <w:sz w:val="19"/>
              </w:rPr>
              <w:t>Netherlands</w:t>
            </w:r>
          </w:p>
        </w:tc>
        <w:tc>
          <w:tcPr>
            <w:tcW w:w="2451" w:type="dxa"/>
          </w:tcPr>
          <w:p>
            <w:pPr>
              <w:pStyle w:val="TableParagraph"/>
              <w:spacing w:line="214" w:lineRule="exact" w:before="33"/>
              <w:ind w:right="1070"/>
              <w:rPr>
                <w:sz w:val="19"/>
              </w:rPr>
            </w:pPr>
            <w:r>
              <w:rPr>
                <w:w w:val="95"/>
                <w:sz w:val="19"/>
              </w:rPr>
              <w:t>51</w:t>
            </w:r>
          </w:p>
        </w:tc>
        <w:tc>
          <w:tcPr>
            <w:tcW w:w="2238" w:type="dxa"/>
          </w:tcPr>
          <w:p>
            <w:pPr>
              <w:pStyle w:val="TableParagraph"/>
              <w:ind w:right="959"/>
              <w:rPr>
                <w:sz w:val="19"/>
              </w:rPr>
            </w:pPr>
            <w:r>
              <w:rPr>
                <w:w w:val="95"/>
                <w:sz w:val="19"/>
              </w:rPr>
              <w:t>31</w:t>
            </w:r>
          </w:p>
        </w:tc>
      </w:tr>
      <w:tr>
        <w:trPr>
          <w:trHeight w:val="268" w:hRule="atLeast"/>
        </w:trPr>
        <w:tc>
          <w:tcPr>
            <w:tcW w:w="1358" w:type="dxa"/>
          </w:tcPr>
          <w:p>
            <w:pPr>
              <w:pStyle w:val="TableParagraph"/>
              <w:ind w:left="50"/>
              <w:jc w:val="left"/>
              <w:rPr>
                <w:sz w:val="19"/>
              </w:rPr>
            </w:pPr>
            <w:r>
              <w:rPr>
                <w:sz w:val="19"/>
              </w:rPr>
              <w:t>Norway</w:t>
            </w:r>
          </w:p>
        </w:tc>
        <w:tc>
          <w:tcPr>
            <w:tcW w:w="2451" w:type="dxa"/>
          </w:tcPr>
          <w:p>
            <w:pPr>
              <w:pStyle w:val="TableParagraph"/>
              <w:spacing w:line="214" w:lineRule="exact" w:before="34"/>
              <w:ind w:right="1070"/>
              <w:rPr>
                <w:sz w:val="19"/>
              </w:rPr>
            </w:pPr>
            <w:r>
              <w:rPr>
                <w:w w:val="95"/>
                <w:sz w:val="19"/>
              </w:rPr>
              <w:t>45</w:t>
            </w:r>
          </w:p>
        </w:tc>
        <w:tc>
          <w:tcPr>
            <w:tcW w:w="2238" w:type="dxa"/>
          </w:tcPr>
          <w:p>
            <w:pPr>
              <w:pStyle w:val="TableParagraph"/>
              <w:ind w:right="959"/>
              <w:rPr>
                <w:sz w:val="19"/>
              </w:rPr>
            </w:pPr>
            <w:r>
              <w:rPr>
                <w:w w:val="95"/>
                <w:sz w:val="19"/>
              </w:rPr>
              <w:t>36</w:t>
            </w:r>
          </w:p>
        </w:tc>
      </w:tr>
      <w:tr>
        <w:trPr>
          <w:trHeight w:val="267" w:hRule="atLeast"/>
        </w:trPr>
        <w:tc>
          <w:tcPr>
            <w:tcW w:w="1358" w:type="dxa"/>
          </w:tcPr>
          <w:p>
            <w:pPr>
              <w:pStyle w:val="TableParagraph"/>
              <w:ind w:left="50"/>
              <w:jc w:val="left"/>
              <w:rPr>
                <w:sz w:val="19"/>
              </w:rPr>
            </w:pPr>
            <w:r>
              <w:rPr>
                <w:sz w:val="19"/>
              </w:rPr>
              <w:t>Poland</w:t>
            </w:r>
          </w:p>
        </w:tc>
        <w:tc>
          <w:tcPr>
            <w:tcW w:w="2451" w:type="dxa"/>
          </w:tcPr>
          <w:p>
            <w:pPr>
              <w:pStyle w:val="TableParagraph"/>
              <w:spacing w:line="214" w:lineRule="exact" w:before="33"/>
              <w:ind w:right="1070"/>
              <w:rPr>
                <w:sz w:val="19"/>
              </w:rPr>
            </w:pPr>
            <w:r>
              <w:rPr>
                <w:w w:val="95"/>
                <w:sz w:val="19"/>
              </w:rPr>
              <w:t>45</w:t>
            </w:r>
          </w:p>
        </w:tc>
        <w:tc>
          <w:tcPr>
            <w:tcW w:w="2238" w:type="dxa"/>
          </w:tcPr>
          <w:p>
            <w:pPr>
              <w:pStyle w:val="TableParagraph"/>
              <w:ind w:right="959"/>
              <w:rPr>
                <w:sz w:val="19"/>
              </w:rPr>
            </w:pPr>
            <w:r>
              <w:rPr>
                <w:w w:val="95"/>
                <w:sz w:val="19"/>
              </w:rPr>
              <w:t>27</w:t>
            </w:r>
          </w:p>
        </w:tc>
      </w:tr>
      <w:tr>
        <w:trPr>
          <w:trHeight w:val="252" w:hRule="atLeast"/>
        </w:trPr>
        <w:tc>
          <w:tcPr>
            <w:tcW w:w="1358" w:type="dxa"/>
          </w:tcPr>
          <w:p>
            <w:pPr>
              <w:pStyle w:val="TableParagraph"/>
              <w:ind w:left="50"/>
              <w:jc w:val="left"/>
              <w:rPr>
                <w:sz w:val="19"/>
              </w:rPr>
            </w:pPr>
            <w:r>
              <w:rPr>
                <w:sz w:val="19"/>
              </w:rPr>
              <w:t>Portugal</w:t>
            </w:r>
          </w:p>
        </w:tc>
        <w:tc>
          <w:tcPr>
            <w:tcW w:w="2451" w:type="dxa"/>
          </w:tcPr>
          <w:p>
            <w:pPr>
              <w:pStyle w:val="TableParagraph"/>
              <w:spacing w:line="198" w:lineRule="exact" w:before="34"/>
              <w:ind w:right="1070"/>
              <w:rPr>
                <w:sz w:val="19"/>
              </w:rPr>
            </w:pPr>
            <w:r>
              <w:rPr>
                <w:w w:val="95"/>
                <w:sz w:val="19"/>
              </w:rPr>
              <w:t>51</w:t>
            </w:r>
          </w:p>
        </w:tc>
        <w:tc>
          <w:tcPr>
            <w:tcW w:w="2238" w:type="dxa"/>
          </w:tcPr>
          <w:p>
            <w:pPr>
              <w:pStyle w:val="TableParagraph"/>
              <w:ind w:right="959"/>
              <w:rPr>
                <w:sz w:val="19"/>
              </w:rPr>
            </w:pPr>
            <w:r>
              <w:rPr>
                <w:w w:val="95"/>
                <w:sz w:val="19"/>
              </w:rPr>
              <w:t>39</w:t>
            </w:r>
          </w:p>
        </w:tc>
      </w:tr>
      <w:tr>
        <w:trPr>
          <w:trHeight w:val="447" w:hRule="atLeast"/>
        </w:trPr>
        <w:tc>
          <w:tcPr>
            <w:tcW w:w="1358" w:type="dxa"/>
          </w:tcPr>
          <w:p>
            <w:pPr>
              <w:pStyle w:val="TableParagraph"/>
              <w:spacing w:line="214" w:lineRule="exact" w:before="6"/>
              <w:ind w:left="50" w:right="87"/>
              <w:jc w:val="left"/>
              <w:rPr>
                <w:sz w:val="19"/>
              </w:rPr>
            </w:pPr>
            <w:r>
              <w:rPr>
                <w:sz w:val="19"/>
              </w:rPr>
              <w:t>Slovak </w:t>
            </w:r>
            <w:r>
              <w:rPr>
                <w:w w:val="95"/>
                <w:sz w:val="19"/>
              </w:rPr>
              <w:t>Republic</w:t>
            </w:r>
          </w:p>
        </w:tc>
        <w:tc>
          <w:tcPr>
            <w:tcW w:w="2451" w:type="dxa"/>
          </w:tcPr>
          <w:p>
            <w:pPr>
              <w:pStyle w:val="TableParagraph"/>
              <w:spacing w:before="6"/>
              <w:jc w:val="left"/>
              <w:rPr>
                <w:b/>
                <w:sz w:val="18"/>
              </w:rPr>
            </w:pPr>
          </w:p>
          <w:p>
            <w:pPr>
              <w:pStyle w:val="TableParagraph"/>
              <w:spacing w:line="214" w:lineRule="exact" w:before="1"/>
              <w:ind w:right="1068"/>
              <w:rPr>
                <w:sz w:val="19"/>
              </w:rPr>
            </w:pPr>
            <w:r>
              <w:rPr>
                <w:w w:val="95"/>
                <w:sz w:val="19"/>
              </w:rPr>
              <w:t>40</w:t>
            </w:r>
          </w:p>
        </w:tc>
        <w:tc>
          <w:tcPr>
            <w:tcW w:w="2238" w:type="dxa"/>
          </w:tcPr>
          <w:p>
            <w:pPr>
              <w:pStyle w:val="TableParagraph"/>
              <w:spacing w:before="106"/>
              <w:ind w:right="959"/>
              <w:rPr>
                <w:sz w:val="19"/>
              </w:rPr>
            </w:pPr>
            <w:r>
              <w:rPr>
                <w:w w:val="95"/>
                <w:sz w:val="19"/>
              </w:rPr>
              <w:t>23</w:t>
            </w:r>
          </w:p>
        </w:tc>
      </w:tr>
      <w:tr>
        <w:trPr>
          <w:trHeight w:val="268" w:hRule="atLeast"/>
        </w:trPr>
        <w:tc>
          <w:tcPr>
            <w:tcW w:w="1358" w:type="dxa"/>
          </w:tcPr>
          <w:p>
            <w:pPr>
              <w:pStyle w:val="TableParagraph"/>
              <w:ind w:left="50"/>
              <w:jc w:val="left"/>
              <w:rPr>
                <w:sz w:val="19"/>
              </w:rPr>
            </w:pPr>
            <w:r>
              <w:rPr>
                <w:sz w:val="19"/>
              </w:rPr>
              <w:t>Slovenia</w:t>
            </w:r>
          </w:p>
        </w:tc>
        <w:tc>
          <w:tcPr>
            <w:tcW w:w="2451" w:type="dxa"/>
          </w:tcPr>
          <w:p>
            <w:pPr>
              <w:pStyle w:val="TableParagraph"/>
              <w:spacing w:line="213" w:lineRule="exact" w:before="34"/>
              <w:ind w:right="1070"/>
              <w:rPr>
                <w:sz w:val="19"/>
              </w:rPr>
            </w:pPr>
            <w:r>
              <w:rPr>
                <w:w w:val="95"/>
                <w:sz w:val="19"/>
              </w:rPr>
              <w:t>49</w:t>
            </w:r>
          </w:p>
        </w:tc>
        <w:tc>
          <w:tcPr>
            <w:tcW w:w="2238" w:type="dxa"/>
          </w:tcPr>
          <w:p>
            <w:pPr>
              <w:pStyle w:val="TableParagraph"/>
              <w:ind w:right="959"/>
              <w:rPr>
                <w:sz w:val="19"/>
              </w:rPr>
            </w:pPr>
            <w:r>
              <w:rPr>
                <w:w w:val="95"/>
                <w:sz w:val="19"/>
              </w:rPr>
              <w:t>31</w:t>
            </w:r>
          </w:p>
        </w:tc>
      </w:tr>
      <w:tr>
        <w:trPr>
          <w:trHeight w:val="268" w:hRule="atLeast"/>
        </w:trPr>
        <w:tc>
          <w:tcPr>
            <w:tcW w:w="1358" w:type="dxa"/>
          </w:tcPr>
          <w:p>
            <w:pPr>
              <w:pStyle w:val="TableParagraph"/>
              <w:spacing w:before="7"/>
              <w:ind w:left="50"/>
              <w:jc w:val="left"/>
              <w:rPr>
                <w:sz w:val="19"/>
              </w:rPr>
            </w:pPr>
            <w:r>
              <w:rPr>
                <w:sz w:val="19"/>
              </w:rPr>
              <w:t>Spain</w:t>
            </w:r>
          </w:p>
        </w:tc>
        <w:tc>
          <w:tcPr>
            <w:tcW w:w="2451" w:type="dxa"/>
          </w:tcPr>
          <w:p>
            <w:pPr>
              <w:pStyle w:val="TableParagraph"/>
              <w:spacing w:line="214" w:lineRule="exact" w:before="34"/>
              <w:ind w:right="1070"/>
              <w:rPr>
                <w:sz w:val="19"/>
              </w:rPr>
            </w:pPr>
            <w:r>
              <w:rPr>
                <w:w w:val="95"/>
                <w:sz w:val="19"/>
              </w:rPr>
              <w:t>46</w:t>
            </w:r>
          </w:p>
        </w:tc>
        <w:tc>
          <w:tcPr>
            <w:tcW w:w="2238" w:type="dxa"/>
          </w:tcPr>
          <w:p>
            <w:pPr>
              <w:pStyle w:val="TableParagraph"/>
              <w:spacing w:before="7"/>
              <w:ind w:right="959"/>
              <w:rPr>
                <w:sz w:val="19"/>
              </w:rPr>
            </w:pPr>
            <w:r>
              <w:rPr>
                <w:w w:val="95"/>
                <w:sz w:val="19"/>
              </w:rPr>
              <w:t>19</w:t>
            </w:r>
          </w:p>
        </w:tc>
      </w:tr>
      <w:tr>
        <w:trPr>
          <w:trHeight w:val="268" w:hRule="atLeast"/>
        </w:trPr>
        <w:tc>
          <w:tcPr>
            <w:tcW w:w="1358" w:type="dxa"/>
          </w:tcPr>
          <w:p>
            <w:pPr>
              <w:pStyle w:val="TableParagraph"/>
              <w:ind w:left="50"/>
              <w:jc w:val="left"/>
              <w:rPr>
                <w:sz w:val="19"/>
              </w:rPr>
            </w:pPr>
            <w:r>
              <w:rPr>
                <w:sz w:val="19"/>
              </w:rPr>
              <w:t>Sweden</w:t>
            </w:r>
          </w:p>
        </w:tc>
        <w:tc>
          <w:tcPr>
            <w:tcW w:w="2451" w:type="dxa"/>
          </w:tcPr>
          <w:p>
            <w:pPr>
              <w:pStyle w:val="TableParagraph"/>
              <w:spacing w:line="213" w:lineRule="exact" w:before="34"/>
              <w:ind w:right="1070"/>
              <w:rPr>
                <w:sz w:val="19"/>
              </w:rPr>
            </w:pPr>
            <w:r>
              <w:rPr>
                <w:w w:val="95"/>
                <w:sz w:val="19"/>
              </w:rPr>
              <w:t>52</w:t>
            </w:r>
          </w:p>
        </w:tc>
        <w:tc>
          <w:tcPr>
            <w:tcW w:w="2238" w:type="dxa"/>
          </w:tcPr>
          <w:p>
            <w:pPr>
              <w:pStyle w:val="TableParagraph"/>
              <w:ind w:right="959"/>
              <w:rPr>
                <w:sz w:val="19"/>
              </w:rPr>
            </w:pPr>
            <w:r>
              <w:rPr>
                <w:w w:val="95"/>
                <w:sz w:val="19"/>
              </w:rPr>
              <w:t>30</w:t>
            </w:r>
          </w:p>
        </w:tc>
      </w:tr>
      <w:tr>
        <w:trPr>
          <w:trHeight w:val="268" w:hRule="atLeast"/>
        </w:trPr>
        <w:tc>
          <w:tcPr>
            <w:tcW w:w="1358" w:type="dxa"/>
          </w:tcPr>
          <w:p>
            <w:pPr>
              <w:pStyle w:val="TableParagraph"/>
              <w:spacing w:before="7"/>
              <w:ind w:left="50"/>
              <w:jc w:val="left"/>
              <w:rPr>
                <w:sz w:val="19"/>
              </w:rPr>
            </w:pPr>
            <w:r>
              <w:rPr>
                <w:sz w:val="19"/>
              </w:rPr>
              <w:t>Switzerland</w:t>
            </w:r>
          </w:p>
        </w:tc>
        <w:tc>
          <w:tcPr>
            <w:tcW w:w="2451" w:type="dxa"/>
          </w:tcPr>
          <w:p>
            <w:pPr>
              <w:pStyle w:val="TableParagraph"/>
              <w:spacing w:line="214" w:lineRule="exact" w:before="34"/>
              <w:ind w:right="1070"/>
              <w:rPr>
                <w:sz w:val="19"/>
              </w:rPr>
            </w:pPr>
            <w:r>
              <w:rPr>
                <w:w w:val="95"/>
                <w:sz w:val="19"/>
              </w:rPr>
              <w:t>34</w:t>
            </w:r>
          </w:p>
        </w:tc>
        <w:tc>
          <w:tcPr>
            <w:tcW w:w="2238" w:type="dxa"/>
          </w:tcPr>
          <w:p>
            <w:pPr>
              <w:pStyle w:val="TableParagraph"/>
              <w:spacing w:before="7"/>
              <w:ind w:right="959"/>
              <w:rPr>
                <w:sz w:val="19"/>
              </w:rPr>
            </w:pPr>
            <w:r>
              <w:rPr>
                <w:w w:val="95"/>
                <w:sz w:val="19"/>
              </w:rPr>
              <w:t>11</w:t>
            </w:r>
          </w:p>
        </w:tc>
      </w:tr>
      <w:tr>
        <w:trPr>
          <w:trHeight w:val="252" w:hRule="atLeast"/>
        </w:trPr>
        <w:tc>
          <w:tcPr>
            <w:tcW w:w="1358" w:type="dxa"/>
          </w:tcPr>
          <w:p>
            <w:pPr>
              <w:pStyle w:val="TableParagraph"/>
              <w:ind w:left="50"/>
              <w:jc w:val="left"/>
              <w:rPr>
                <w:sz w:val="19"/>
              </w:rPr>
            </w:pPr>
            <w:r>
              <w:rPr>
                <w:sz w:val="19"/>
              </w:rPr>
              <w:t>Turkey</w:t>
            </w:r>
          </w:p>
        </w:tc>
        <w:tc>
          <w:tcPr>
            <w:tcW w:w="2451" w:type="dxa"/>
          </w:tcPr>
          <w:p>
            <w:pPr>
              <w:pStyle w:val="TableParagraph"/>
              <w:spacing w:line="198" w:lineRule="exact" w:before="34"/>
              <w:ind w:right="1070"/>
              <w:rPr>
                <w:sz w:val="19"/>
              </w:rPr>
            </w:pPr>
            <w:r>
              <w:rPr>
                <w:w w:val="95"/>
                <w:sz w:val="19"/>
              </w:rPr>
              <w:t>40</w:t>
            </w:r>
          </w:p>
        </w:tc>
        <w:tc>
          <w:tcPr>
            <w:tcW w:w="2238" w:type="dxa"/>
          </w:tcPr>
          <w:p>
            <w:pPr>
              <w:pStyle w:val="TableParagraph"/>
              <w:ind w:right="959"/>
              <w:rPr>
                <w:sz w:val="19"/>
              </w:rPr>
            </w:pPr>
            <w:r>
              <w:rPr>
                <w:w w:val="95"/>
                <w:sz w:val="19"/>
              </w:rPr>
              <w:t>29</w:t>
            </w:r>
          </w:p>
        </w:tc>
      </w:tr>
      <w:tr>
        <w:trPr>
          <w:trHeight w:val="432" w:hRule="atLeast"/>
        </w:trPr>
        <w:tc>
          <w:tcPr>
            <w:tcW w:w="1358" w:type="dxa"/>
          </w:tcPr>
          <w:p>
            <w:pPr>
              <w:pStyle w:val="TableParagraph"/>
              <w:spacing w:line="216" w:lineRule="exact" w:before="3"/>
              <w:ind w:left="50" w:right="87"/>
              <w:jc w:val="left"/>
              <w:rPr>
                <w:sz w:val="19"/>
              </w:rPr>
            </w:pPr>
            <w:r>
              <w:rPr>
                <w:sz w:val="19"/>
              </w:rPr>
              <w:t>United </w:t>
            </w:r>
            <w:r>
              <w:rPr>
                <w:w w:val="95"/>
                <w:sz w:val="19"/>
              </w:rPr>
              <w:t>Kingdom</w:t>
            </w:r>
          </w:p>
        </w:tc>
        <w:tc>
          <w:tcPr>
            <w:tcW w:w="2451" w:type="dxa"/>
          </w:tcPr>
          <w:p>
            <w:pPr>
              <w:pStyle w:val="TableParagraph"/>
              <w:spacing w:before="6"/>
              <w:jc w:val="left"/>
              <w:rPr>
                <w:b/>
                <w:sz w:val="18"/>
              </w:rPr>
            </w:pPr>
          </w:p>
          <w:p>
            <w:pPr>
              <w:pStyle w:val="TableParagraph"/>
              <w:spacing w:line="198" w:lineRule="exact" w:before="1"/>
              <w:ind w:right="1068"/>
              <w:rPr>
                <w:sz w:val="19"/>
              </w:rPr>
            </w:pPr>
            <w:r>
              <w:rPr>
                <w:w w:val="95"/>
                <w:sz w:val="19"/>
              </w:rPr>
              <w:t>50</w:t>
            </w:r>
          </w:p>
        </w:tc>
        <w:tc>
          <w:tcPr>
            <w:tcW w:w="2238" w:type="dxa"/>
          </w:tcPr>
          <w:p>
            <w:pPr>
              <w:pStyle w:val="TableParagraph"/>
              <w:spacing w:before="106"/>
              <w:ind w:right="959"/>
              <w:rPr>
                <w:sz w:val="19"/>
              </w:rPr>
            </w:pPr>
            <w:r>
              <w:rPr>
                <w:w w:val="95"/>
                <w:sz w:val="19"/>
              </w:rPr>
              <w:t>46</w:t>
            </w:r>
          </w:p>
        </w:tc>
      </w:tr>
    </w:tbl>
    <w:p>
      <w:pPr>
        <w:pStyle w:val="BodyText"/>
        <w:tabs>
          <w:tab w:pos="4237" w:val="left" w:leader="none"/>
          <w:tab w:pos="6792" w:val="right" w:leader="none"/>
        </w:tabs>
        <w:spacing w:before="25"/>
        <w:ind w:left="1757"/>
      </w:pPr>
      <w:r>
        <w:rPr/>
        <w:t>United</w:t>
      </w:r>
      <w:r>
        <w:rPr>
          <w:spacing w:val="-7"/>
        </w:rPr>
        <w:t> </w:t>
      </w:r>
      <w:r>
        <w:rPr/>
        <w:t>States</w:t>
        <w:tab/>
      </w:r>
      <w:r>
        <w:rPr>
          <w:position w:val="-2"/>
        </w:rPr>
        <w:t>43</w:t>
        <w:tab/>
      </w:r>
      <w:r>
        <w:rPr/>
        <w:t>26</w:t>
      </w:r>
    </w:p>
    <w:p>
      <w:pPr>
        <w:pStyle w:val="BodyText"/>
        <w:spacing w:before="19"/>
        <w:ind w:left="1757"/>
      </w:pPr>
      <w:r>
        <w:rPr/>
        <w:t>Source: OECD</w:t>
      </w:r>
    </w:p>
    <w:p>
      <w:pPr>
        <w:pStyle w:val="BodyText"/>
        <w:spacing w:before="96"/>
        <w:ind w:left="1757" w:right="2194"/>
      </w:pPr>
      <w:r>
        <w:rPr/>
        <w:t>Notes: Table shows ratios of nominal government expenditure to nominal GDP for 2010.</w:t>
      </w:r>
    </w:p>
    <w:sectPr>
      <w:pgSz w:w="12240" w:h="15840"/>
      <w:pgMar w:header="0" w:footer="1240" w:top="150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73024"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267200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951pt;width:439.6pt;height:12.55pt;mso-position-horizontal-relative:page;mso-position-vertical-relative:page;z-index:-252670976"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37184" from="62.639999pt,716.070007pt" to="549.419999pt,716.070007pt" stroked="true" strokeweight=".17999pt" strokecolor="#000000">
          <v:stroke dashstyle="solid"/>
          <w10:wrap type="none"/>
        </v:line>
      </w:pict>
    </w:r>
    <w:r>
      <w:rPr/>
      <w:pict>
        <v:shape style="position:absolute;margin-left:520.159912pt;margin-top:715.191406pt;width:3.1pt;height:3.1pt;mso-position-horizontal-relative:page;mso-position-vertical-relative:page;z-index:-252636160"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66.680481pt;margin-top:726.184448pt;width:439.6pt;height:12.55pt;mso-position-horizontal-relative:page;mso-position-vertical-relative:page;z-index:-25263513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634112"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3308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6320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6.680481pt;margin-top:726.184448pt;width:439.6pt;height:12.55pt;mso-position-horizontal-relative:page;mso-position-vertical-relative:page;z-index:-25263104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630016"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28992" from="62.639999pt,716.070007pt" to="549.419999pt,716.070007pt" stroked="true" strokeweight=".17999pt" strokecolor="#000000">
          <v:stroke dashstyle="solid"/>
          <w10:wrap type="none"/>
        </v:line>
      </w:pict>
    </w:r>
    <w:r>
      <w:rPr/>
      <w:pict>
        <v:shape style="position:absolute;margin-left:518.159912pt;margin-top:715.191406pt;width:7.15pt;height:3.15pt;mso-position-horizontal-relative:page;mso-position-vertical-relative:page;z-index:-252627968" type="#_x0000_t202" filled="false" stroked="false">
          <v:textbox inset="0,0,0,0">
            <w:txbxContent>
              <w:p>
                <w:pPr>
                  <w:pStyle w:val="BodyText"/>
                  <w:rPr>
                    <w:sz w:val="2"/>
                  </w:rPr>
                </w:pPr>
              </w:p>
              <w:p>
                <w:pPr>
                  <w:spacing w:before="0"/>
                  <w:ind w:left="39" w:right="40"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6.680481pt;margin-top:726.184448pt;width:439.6pt;height:12.55pt;mso-position-horizontal-relative:page;mso-position-vertical-relative:page;z-index:-25262694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625920" type="#_x0000_t202" filled="false" stroked="false">
          <v:textbox inset="0,0,0,0">
            <w:txbxContent>
              <w:p>
                <w:pPr>
                  <w:pStyle w:val="BodyText"/>
                  <w:spacing w:before="12"/>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69952"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66892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4448pt;width:439.6pt;height:12.55pt;mso-position-horizontal-relative:page;mso-position-vertical-relative:page;z-index:-25266790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66688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65856"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66483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680481pt;margin-top:726.184448pt;width:439.6pt;height:12.55pt;mso-position-horizontal-relative:page;mso-position-vertical-relative:page;z-index:-25266380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66278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6176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66073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6.680481pt;margin-top:726.184448pt;width:439.6pt;height:12.55pt;mso-position-horizontal-relative:page;mso-position-vertical-relative:page;z-index:-25265971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65868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5766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65664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66.680481pt;margin-top:726.184448pt;width:439.6pt;height:12.55pt;mso-position-horizontal-relative:page;mso-position-vertical-relative:page;z-index:-25265561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65459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5356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652544"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66.680481pt;margin-top:726.184448pt;width:439.6pt;height:12.55pt;mso-position-horizontal-relative:page;mso-position-vertical-relative:page;z-index:-25265152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65049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49472"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648448"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66.680481pt;margin-top:726.184448pt;width:439.6pt;height:12.55pt;mso-position-horizontal-relative:page;mso-position-vertical-relative:page;z-index:-25264742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646400"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45376"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644352"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66.680481pt;margin-top:726.184448pt;width:439.6pt;height:12.55pt;mso-position-horizontal-relative:page;mso-position-vertical-relative:page;z-index:-25264332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642304"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4128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640256"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66.680481pt;margin-top:726.184448pt;width:439.6pt;height:12.55pt;mso-position-horizontal-relative:page;mso-position-vertical-relative:page;z-index:-25263923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638208"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64" w:hanging="339"/>
        <w:jc w:val="left"/>
      </w:pPr>
      <w:rPr>
        <w:rFonts w:hint="default" w:ascii="Arial" w:hAnsi="Arial" w:eastAsia="Arial" w:cs="Arial"/>
        <w:b/>
        <w:bCs/>
        <w:spacing w:val="-1"/>
        <w:w w:val="99"/>
        <w:sz w:val="19"/>
        <w:szCs w:val="19"/>
      </w:rPr>
    </w:lvl>
    <w:lvl w:ilvl="1">
      <w:start w:val="0"/>
      <w:numFmt w:val="bullet"/>
      <w:lvlText w:val="•"/>
      <w:lvlJc w:val="left"/>
      <w:pPr>
        <w:ind w:left="1444" w:hanging="339"/>
      </w:pPr>
      <w:rPr>
        <w:rFonts w:hint="default"/>
      </w:rPr>
    </w:lvl>
    <w:lvl w:ilvl="2">
      <w:start w:val="0"/>
      <w:numFmt w:val="bullet"/>
      <w:lvlText w:val="•"/>
      <w:lvlJc w:val="left"/>
      <w:pPr>
        <w:ind w:left="2328" w:hanging="339"/>
      </w:pPr>
      <w:rPr>
        <w:rFonts w:hint="default"/>
      </w:rPr>
    </w:lvl>
    <w:lvl w:ilvl="3">
      <w:start w:val="0"/>
      <w:numFmt w:val="bullet"/>
      <w:lvlText w:val="•"/>
      <w:lvlJc w:val="left"/>
      <w:pPr>
        <w:ind w:left="3212" w:hanging="339"/>
      </w:pPr>
      <w:rPr>
        <w:rFonts w:hint="default"/>
      </w:rPr>
    </w:lvl>
    <w:lvl w:ilvl="4">
      <w:start w:val="0"/>
      <w:numFmt w:val="bullet"/>
      <w:lvlText w:val="•"/>
      <w:lvlJc w:val="left"/>
      <w:pPr>
        <w:ind w:left="4096" w:hanging="339"/>
      </w:pPr>
      <w:rPr>
        <w:rFonts w:hint="default"/>
      </w:rPr>
    </w:lvl>
    <w:lvl w:ilvl="5">
      <w:start w:val="0"/>
      <w:numFmt w:val="bullet"/>
      <w:lvlText w:val="•"/>
      <w:lvlJc w:val="left"/>
      <w:pPr>
        <w:ind w:left="4980" w:hanging="339"/>
      </w:pPr>
      <w:rPr>
        <w:rFonts w:hint="default"/>
      </w:rPr>
    </w:lvl>
    <w:lvl w:ilvl="6">
      <w:start w:val="0"/>
      <w:numFmt w:val="bullet"/>
      <w:lvlText w:val="•"/>
      <w:lvlJc w:val="left"/>
      <w:pPr>
        <w:ind w:left="5864" w:hanging="339"/>
      </w:pPr>
      <w:rPr>
        <w:rFonts w:hint="default"/>
      </w:rPr>
    </w:lvl>
    <w:lvl w:ilvl="7">
      <w:start w:val="0"/>
      <w:numFmt w:val="bullet"/>
      <w:lvlText w:val="•"/>
      <w:lvlJc w:val="left"/>
      <w:pPr>
        <w:ind w:left="6748" w:hanging="339"/>
      </w:pPr>
      <w:rPr>
        <w:rFonts w:hint="default"/>
      </w:rPr>
    </w:lvl>
    <w:lvl w:ilvl="8">
      <w:start w:val="0"/>
      <w:numFmt w:val="bullet"/>
      <w:lvlText w:val="•"/>
      <w:lvlJc w:val="left"/>
      <w:pPr>
        <w:ind w:left="7632" w:hanging="3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ind w:left="564" w:hanging="339"/>
    </w:pPr>
    <w:rPr>
      <w:rFonts w:ascii="Arial" w:hAnsi="Arial" w:eastAsia="Arial" w:cs="Arial"/>
    </w:rPr>
  </w:style>
  <w:style w:styleId="TableParagraph" w:type="paragraph">
    <w:name w:val="Table Paragraph"/>
    <w:basedOn w:val="Normal"/>
    <w:uiPriority w:val="1"/>
    <w:qFormat/>
    <w:pPr>
      <w:spacing w:before="8"/>
      <w:jc w:val="righ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image" Target="media/image2.jpeg"/><Relationship Id="rId19"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dc:subject>
  <dc:title>Fortune favours the bold</dc:title>
  <dcterms:created xsi:type="dcterms:W3CDTF">2020-06-02T17:34:04Z</dcterms:created>
  <dcterms:modified xsi:type="dcterms:W3CDTF">2020-06-02T17:34:04Z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2015-01-28T00:00:00Z</vt:filetime>
  </property>
  <property fmtid="{D5CDD505-2E9C-101B-9397-08002B2CF9AE}" pid="3" name="Creator">
    <vt:lpwstr>PScript5.dll Version 5.2.2</vt:lpwstr>
  </property>
  <property fmtid="{D5CDD505-2E9C-101B-9397-08002B2CF9AE}" pid="4" name="LastSaved">
    <vt:filetime>2020-06-02T00:00:00Z</vt:filetime>
  </property>
</Properties>
</file>