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65"/>
        <w:rPr>
          <w:rFonts w:ascii="Times New Roman"/>
          <w:sz w:val="20"/>
        </w:rPr>
      </w:pPr>
      <w:r>
        <w:rPr>
          <w:rFonts w:ascii="Times New Roman"/>
          <w:sz w:val="20"/>
        </w:rPr>
        <w:drawing>
          <wp:inline distT="0" distB="0" distL="0" distR="0">
            <wp:extent cx="2184700"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4700" cy="1162050"/>
                    </a:xfrm>
                    <a:prstGeom prst="rect">
                      <a:avLst/>
                    </a:prstGeom>
                  </pic:spPr>
                </pic:pic>
              </a:graphicData>
            </a:graphic>
          </wp:inline>
        </w:drawing>
      </w:r>
      <w:r>
        <w:rPr>
          <w:rFonts w:ascii="Times New Roman"/>
          <w:sz w:val="20"/>
        </w:rPr>
      </w:r>
    </w:p>
    <w:p>
      <w:pPr>
        <w:pStyle w:val="BodyText"/>
        <w:spacing w:before="5"/>
        <w:rPr>
          <w:rFonts w:ascii="Times New Roman"/>
          <w:sz w:val="12"/>
        </w:rPr>
      </w:pPr>
      <w:r>
        <w:rPr/>
        <w:pict>
          <v:group style="position:absolute;margin-left:66.959999pt;margin-top:9.16pt;width:459.45pt;height:1.45pt;mso-position-horizontal-relative:page;mso-position-vertical-relative:paragraph;z-index:-251658240;mso-wrap-distance-left:0;mso-wrap-distance-right:0" coordorigin="1339,183" coordsize="9189,29">
            <v:line style="position:absolute" from="1339,198" to="8129,198" stroked="true" strokeweight="1.44pt" strokecolor="#000000">
              <v:stroke dashstyle="solid"/>
            </v:line>
            <v:line style="position:absolute" from="8116,198" to="10528,198" stroked="true" strokeweight="1.44pt" strokecolor="#000000">
              <v:stroke dashstyle="solid"/>
            </v:line>
            <w10:wrap type="topAndBottom"/>
          </v:group>
        </w:pict>
      </w:r>
    </w:p>
    <w:p>
      <w:pPr>
        <w:pStyle w:val="BodyText"/>
        <w:rPr>
          <w:rFonts w:ascii="Times New Roman"/>
          <w:sz w:val="20"/>
        </w:rPr>
      </w:pPr>
    </w:p>
    <w:p>
      <w:pPr>
        <w:spacing w:before="216"/>
        <w:ind w:left="234" w:right="0" w:firstLine="0"/>
        <w:jc w:val="left"/>
        <w:rPr>
          <w:b/>
          <w:sz w:val="30"/>
        </w:rPr>
      </w:pPr>
      <w:r>
        <w:rPr>
          <w:b/>
          <w:color w:val="6A709F"/>
          <w:sz w:val="30"/>
        </w:rPr>
        <w:t>Global aspects of unconventional monetary policies</w:t>
      </w:r>
    </w:p>
    <w:p>
      <w:pPr>
        <w:pStyle w:val="Heading1"/>
        <w:spacing w:before="264"/>
      </w:pPr>
      <w:r>
        <w:rPr/>
        <w:t>Panel remarks given by</w:t>
      </w:r>
    </w:p>
    <w:p>
      <w:pPr>
        <w:spacing w:before="137"/>
        <w:ind w:left="234" w:right="0" w:firstLine="0"/>
        <w:jc w:val="left"/>
        <w:rPr>
          <w:sz w:val="22"/>
        </w:rPr>
      </w:pPr>
      <w:r>
        <w:rPr>
          <w:sz w:val="22"/>
        </w:rPr>
        <w:t>Charlie Bean, Deputy Governor for Monetary Policy, Bank of England</w:t>
      </w:r>
    </w:p>
    <w:p>
      <w:pPr>
        <w:pStyle w:val="BodyText"/>
        <w:rPr>
          <w:sz w:val="24"/>
        </w:rPr>
      </w:pPr>
    </w:p>
    <w:p>
      <w:pPr>
        <w:pStyle w:val="BodyText"/>
        <w:spacing w:before="8"/>
        <w:rPr>
          <w:sz w:val="21"/>
        </w:rPr>
      </w:pPr>
    </w:p>
    <w:p>
      <w:pPr>
        <w:spacing w:line="369" w:lineRule="auto" w:before="0"/>
        <w:ind w:left="234" w:right="0" w:firstLine="0"/>
        <w:jc w:val="left"/>
        <w:rPr>
          <w:sz w:val="22"/>
        </w:rPr>
      </w:pPr>
      <w:r>
        <w:rPr>
          <w:sz w:val="22"/>
        </w:rPr>
        <w:t>At the Federal Reserve Bank of Kansas City Economic Policy Symposium, Jackson Hole, Wyoming</w:t>
      </w:r>
    </w:p>
    <w:p>
      <w:pPr>
        <w:pStyle w:val="BodyText"/>
        <w:spacing w:before="10"/>
        <w:rPr>
          <w:sz w:val="33"/>
        </w:rPr>
      </w:pPr>
    </w:p>
    <w:p>
      <w:pPr>
        <w:spacing w:before="1"/>
        <w:ind w:left="234" w:right="0" w:firstLine="0"/>
        <w:jc w:val="left"/>
        <w:rPr>
          <w:sz w:val="22"/>
        </w:rPr>
      </w:pPr>
      <w:r>
        <w:rPr>
          <w:sz w:val="22"/>
        </w:rPr>
        <w:t>24 August 2013</w:t>
      </w:r>
    </w:p>
    <w:p>
      <w:pPr>
        <w:spacing w:after="0"/>
        <w:jc w:val="left"/>
        <w:rPr>
          <w:sz w:val="22"/>
        </w:rPr>
        <w:sectPr>
          <w:footerReference w:type="default" r:id="rId5"/>
          <w:type w:val="continuous"/>
          <w:pgSz w:w="12240" w:h="15840"/>
          <w:pgMar w:footer="1280" w:top="1060" w:bottom="1480" w:left="1220" w:right="1340"/>
        </w:sectPr>
      </w:pPr>
    </w:p>
    <w:p>
      <w:pPr>
        <w:pStyle w:val="BodyText"/>
        <w:spacing w:line="357" w:lineRule="auto" w:before="80"/>
        <w:ind w:left="233" w:right="153"/>
      </w:pPr>
      <w:r>
        <w:rPr/>
        <w:t>Since</w:t>
      </w:r>
      <w:r>
        <w:rPr>
          <w:spacing w:val="-10"/>
        </w:rPr>
        <w:t> </w:t>
      </w:r>
      <w:r>
        <w:rPr/>
        <w:t>the</w:t>
      </w:r>
      <w:r>
        <w:rPr>
          <w:spacing w:val="-9"/>
        </w:rPr>
        <w:t> </w:t>
      </w:r>
      <w:r>
        <w:rPr/>
        <w:t>demise</w:t>
      </w:r>
      <w:r>
        <w:rPr>
          <w:spacing w:val="-10"/>
        </w:rPr>
        <w:t> </w:t>
      </w:r>
      <w:r>
        <w:rPr/>
        <w:t>of</w:t>
      </w:r>
      <w:r>
        <w:rPr>
          <w:spacing w:val="-8"/>
        </w:rPr>
        <w:t> </w:t>
      </w:r>
      <w:r>
        <w:rPr/>
        <w:t>Lehman</w:t>
      </w:r>
      <w:r>
        <w:rPr>
          <w:spacing w:val="-10"/>
        </w:rPr>
        <w:t> </w:t>
      </w:r>
      <w:r>
        <w:rPr/>
        <w:t>Brothers</w:t>
      </w:r>
      <w:r>
        <w:rPr>
          <w:spacing w:val="-9"/>
        </w:rPr>
        <w:t> </w:t>
      </w:r>
      <w:r>
        <w:rPr/>
        <w:t>and</w:t>
      </w:r>
      <w:r>
        <w:rPr>
          <w:spacing w:val="-9"/>
        </w:rPr>
        <w:t> </w:t>
      </w:r>
      <w:r>
        <w:rPr/>
        <w:t>the</w:t>
      </w:r>
      <w:r>
        <w:rPr>
          <w:spacing w:val="-9"/>
        </w:rPr>
        <w:t> </w:t>
      </w:r>
      <w:r>
        <w:rPr/>
        <w:t>subsequent</w:t>
      </w:r>
      <w:r>
        <w:rPr>
          <w:spacing w:val="-10"/>
        </w:rPr>
        <w:t> </w:t>
      </w:r>
      <w:r>
        <w:rPr/>
        <w:t>exceptional</w:t>
      </w:r>
      <w:r>
        <w:rPr>
          <w:spacing w:val="-9"/>
        </w:rPr>
        <w:t> </w:t>
      </w:r>
      <w:r>
        <w:rPr/>
        <w:t>contraction</w:t>
      </w:r>
      <w:r>
        <w:rPr>
          <w:spacing w:val="-10"/>
        </w:rPr>
        <w:t> </w:t>
      </w:r>
      <w:r>
        <w:rPr/>
        <w:t>in</w:t>
      </w:r>
      <w:r>
        <w:rPr>
          <w:spacing w:val="-10"/>
        </w:rPr>
        <w:t> </w:t>
      </w:r>
      <w:r>
        <w:rPr/>
        <w:t>demand</w:t>
      </w:r>
      <w:r>
        <w:rPr>
          <w:spacing w:val="-8"/>
        </w:rPr>
        <w:t> </w:t>
      </w:r>
      <w:r>
        <w:rPr/>
        <w:t>in</w:t>
      </w:r>
      <w:r>
        <w:rPr>
          <w:spacing w:val="-9"/>
        </w:rPr>
        <w:t> </w:t>
      </w:r>
      <w:r>
        <w:rPr/>
        <w:t>2008-9,</w:t>
      </w:r>
      <w:r>
        <w:rPr>
          <w:spacing w:val="-10"/>
        </w:rPr>
        <w:t> </w:t>
      </w:r>
      <w:r>
        <w:rPr/>
        <w:t>central banks have not only expanded the range of their liquidity operations in order to restore financial stability, but also</w:t>
      </w:r>
      <w:r>
        <w:rPr>
          <w:spacing w:val="-5"/>
        </w:rPr>
        <w:t> </w:t>
      </w:r>
      <w:r>
        <w:rPr/>
        <w:t>adopted</w:t>
      </w:r>
      <w:r>
        <w:rPr>
          <w:spacing w:val="-4"/>
        </w:rPr>
        <w:t> </w:t>
      </w:r>
      <w:r>
        <w:rPr/>
        <w:t>a</w:t>
      </w:r>
      <w:r>
        <w:rPr>
          <w:spacing w:val="-5"/>
        </w:rPr>
        <w:t> </w:t>
      </w:r>
      <w:r>
        <w:rPr/>
        <w:t>range</w:t>
      </w:r>
      <w:r>
        <w:rPr>
          <w:spacing w:val="-5"/>
        </w:rPr>
        <w:t> </w:t>
      </w:r>
      <w:r>
        <w:rPr/>
        <w:t>of</w:t>
      </w:r>
      <w:r>
        <w:rPr>
          <w:spacing w:val="-3"/>
        </w:rPr>
        <w:t> </w:t>
      </w:r>
      <w:r>
        <w:rPr/>
        <w:t>unconventional</w:t>
      </w:r>
      <w:r>
        <w:rPr>
          <w:spacing w:val="-3"/>
        </w:rPr>
        <w:t> </w:t>
      </w:r>
      <w:r>
        <w:rPr/>
        <w:t>monetary</w:t>
      </w:r>
      <w:r>
        <w:rPr>
          <w:spacing w:val="-5"/>
        </w:rPr>
        <w:t> </w:t>
      </w:r>
      <w:r>
        <w:rPr/>
        <w:t>measures</w:t>
      </w:r>
      <w:r>
        <w:rPr>
          <w:spacing w:val="-4"/>
        </w:rPr>
        <w:t> </w:t>
      </w:r>
      <w:r>
        <w:rPr/>
        <w:t>in</w:t>
      </w:r>
      <w:r>
        <w:rPr>
          <w:spacing w:val="-6"/>
        </w:rPr>
        <w:t> </w:t>
      </w:r>
      <w:r>
        <w:rPr/>
        <w:t>order</w:t>
      </w:r>
      <w:r>
        <w:rPr>
          <w:spacing w:val="-5"/>
        </w:rPr>
        <w:t> </w:t>
      </w:r>
      <w:r>
        <w:rPr/>
        <w:t>to</w:t>
      </w:r>
      <w:r>
        <w:rPr>
          <w:spacing w:val="-5"/>
        </w:rPr>
        <w:t> </w:t>
      </w:r>
      <w:r>
        <w:rPr/>
        <w:t>raise</w:t>
      </w:r>
      <w:r>
        <w:rPr>
          <w:spacing w:val="-5"/>
        </w:rPr>
        <w:t> </w:t>
      </w:r>
      <w:r>
        <w:rPr/>
        <w:t>aggregate</w:t>
      </w:r>
      <w:r>
        <w:rPr>
          <w:spacing w:val="-6"/>
        </w:rPr>
        <w:t> </w:t>
      </w:r>
      <w:r>
        <w:rPr/>
        <w:t>demand</w:t>
      </w:r>
      <w:r>
        <w:rPr>
          <w:spacing w:val="-4"/>
        </w:rPr>
        <w:t> </w:t>
      </w:r>
      <w:r>
        <w:rPr/>
        <w:t>once</w:t>
      </w:r>
    </w:p>
    <w:p>
      <w:pPr>
        <w:pStyle w:val="BodyText"/>
        <w:spacing w:line="357" w:lineRule="auto"/>
        <w:ind w:left="233" w:right="153"/>
      </w:pPr>
      <w:r>
        <w:rPr/>
        <w:t>short-term policy rates had reached their effective lower bound. Those measures include: large-scale purchases of government bonds and private securities (quantitative easing); selective actions to support the flow of credit; and guidance over the future path of policy rates.</w:t>
      </w:r>
    </w:p>
    <w:p>
      <w:pPr>
        <w:pStyle w:val="BodyText"/>
        <w:spacing w:before="7"/>
        <w:rPr>
          <w:sz w:val="27"/>
        </w:rPr>
      </w:pPr>
    </w:p>
    <w:p>
      <w:pPr>
        <w:pStyle w:val="BodyText"/>
        <w:spacing w:line="357" w:lineRule="auto"/>
        <w:ind w:left="233" w:right="153"/>
      </w:pPr>
      <w:r>
        <w:rPr/>
        <w:t>While</w:t>
      </w:r>
      <w:r>
        <w:rPr>
          <w:spacing w:val="-9"/>
        </w:rPr>
        <w:t> </w:t>
      </w:r>
      <w:r>
        <w:rPr/>
        <w:t>I</w:t>
      </w:r>
      <w:r>
        <w:rPr>
          <w:spacing w:val="-9"/>
        </w:rPr>
        <w:t> </w:t>
      </w:r>
      <w:r>
        <w:rPr/>
        <w:t>believe</w:t>
      </w:r>
      <w:r>
        <w:rPr>
          <w:spacing w:val="-8"/>
        </w:rPr>
        <w:t> </w:t>
      </w:r>
      <w:r>
        <w:rPr/>
        <w:t>these</w:t>
      </w:r>
      <w:r>
        <w:rPr>
          <w:spacing w:val="-10"/>
        </w:rPr>
        <w:t> </w:t>
      </w:r>
      <w:r>
        <w:rPr/>
        <w:t>policies</w:t>
      </w:r>
      <w:r>
        <w:rPr>
          <w:spacing w:val="-6"/>
        </w:rPr>
        <w:t> </w:t>
      </w:r>
      <w:r>
        <w:rPr/>
        <w:t>helped</w:t>
      </w:r>
      <w:r>
        <w:rPr>
          <w:spacing w:val="-10"/>
        </w:rPr>
        <w:t> </w:t>
      </w:r>
      <w:r>
        <w:rPr/>
        <w:t>the</w:t>
      </w:r>
      <w:r>
        <w:rPr>
          <w:spacing w:val="-7"/>
        </w:rPr>
        <w:t> </w:t>
      </w:r>
      <w:r>
        <w:rPr/>
        <w:t>advanced</w:t>
      </w:r>
      <w:r>
        <w:rPr>
          <w:spacing w:val="-10"/>
        </w:rPr>
        <w:t> </w:t>
      </w:r>
      <w:r>
        <w:rPr/>
        <w:t>economies</w:t>
      </w:r>
      <w:r>
        <w:rPr>
          <w:spacing w:val="-8"/>
        </w:rPr>
        <w:t> </w:t>
      </w:r>
      <w:r>
        <w:rPr/>
        <w:t>to</w:t>
      </w:r>
      <w:r>
        <w:rPr>
          <w:spacing w:val="-8"/>
        </w:rPr>
        <w:t> </w:t>
      </w:r>
      <w:r>
        <w:rPr/>
        <w:t>avoid</w:t>
      </w:r>
      <w:r>
        <w:rPr>
          <w:spacing w:val="-9"/>
        </w:rPr>
        <w:t> </w:t>
      </w:r>
      <w:r>
        <w:rPr/>
        <w:t>some</w:t>
      </w:r>
      <w:r>
        <w:rPr>
          <w:spacing w:val="-8"/>
        </w:rPr>
        <w:t> </w:t>
      </w:r>
      <w:r>
        <w:rPr/>
        <w:t>of</w:t>
      </w:r>
      <w:r>
        <w:rPr>
          <w:spacing w:val="-8"/>
        </w:rPr>
        <w:t> </w:t>
      </w:r>
      <w:r>
        <w:rPr/>
        <w:t>the</w:t>
      </w:r>
      <w:r>
        <w:rPr>
          <w:spacing w:val="-8"/>
        </w:rPr>
        <w:t> </w:t>
      </w:r>
      <w:r>
        <w:rPr/>
        <w:t>worst</w:t>
      </w:r>
      <w:r>
        <w:rPr>
          <w:spacing w:val="-9"/>
        </w:rPr>
        <w:t> </w:t>
      </w:r>
      <w:r>
        <w:rPr/>
        <w:t>downside</w:t>
      </w:r>
      <w:r>
        <w:rPr>
          <w:spacing w:val="-9"/>
        </w:rPr>
        <w:t> </w:t>
      </w:r>
      <w:r>
        <w:rPr/>
        <w:t>scenarios, they have proved controversial – particularly quantitative easing – provoking plenty of criticism, both at home and abroad. Before I turn to the particular focus of this conference, namely the global consequences, let me say a few words on the domestic costs and</w:t>
      </w:r>
      <w:r>
        <w:rPr>
          <w:spacing w:val="-14"/>
        </w:rPr>
        <w:t> </w:t>
      </w:r>
      <w:r>
        <w:rPr/>
        <w:t>benefits.</w:t>
      </w:r>
    </w:p>
    <w:p>
      <w:pPr>
        <w:pStyle w:val="BodyText"/>
        <w:rPr>
          <w:sz w:val="28"/>
        </w:rPr>
      </w:pPr>
    </w:p>
    <w:p>
      <w:pPr>
        <w:pStyle w:val="BodyText"/>
        <w:spacing w:line="355" w:lineRule="auto"/>
        <w:ind w:left="233" w:right="490"/>
      </w:pPr>
      <w:r>
        <w:rPr/>
        <w:t>Some have questioned whether quantitative easing works at all. In both the United Kingdom and the United</w:t>
      </w:r>
      <w:r>
        <w:rPr>
          <w:spacing w:val="-10"/>
        </w:rPr>
        <w:t> </w:t>
      </w:r>
      <w:r>
        <w:rPr/>
        <w:t>States,</w:t>
      </w:r>
      <w:r>
        <w:rPr>
          <w:spacing w:val="-11"/>
        </w:rPr>
        <w:t> </w:t>
      </w:r>
      <w:r>
        <w:rPr/>
        <w:t>central</w:t>
      </w:r>
      <w:r>
        <w:rPr>
          <w:spacing w:val="-10"/>
        </w:rPr>
        <w:t> </w:t>
      </w:r>
      <w:r>
        <w:rPr/>
        <w:t>bank</w:t>
      </w:r>
      <w:r>
        <w:rPr>
          <w:spacing w:val="-8"/>
        </w:rPr>
        <w:t> </w:t>
      </w:r>
      <w:r>
        <w:rPr/>
        <w:t>reserves</w:t>
      </w:r>
      <w:r>
        <w:rPr>
          <w:spacing w:val="-9"/>
        </w:rPr>
        <w:t> </w:t>
      </w:r>
      <w:r>
        <w:rPr/>
        <w:t>pay</w:t>
      </w:r>
      <w:r>
        <w:rPr>
          <w:spacing w:val="-8"/>
        </w:rPr>
        <w:t> </w:t>
      </w:r>
      <w:r>
        <w:rPr/>
        <w:t>the</w:t>
      </w:r>
      <w:r>
        <w:rPr>
          <w:spacing w:val="-10"/>
        </w:rPr>
        <w:t> </w:t>
      </w:r>
      <w:r>
        <w:rPr/>
        <w:t>policy</w:t>
      </w:r>
      <w:r>
        <w:rPr>
          <w:spacing w:val="-10"/>
        </w:rPr>
        <w:t> </w:t>
      </w:r>
      <w:r>
        <w:rPr/>
        <w:t>rate</w:t>
      </w:r>
      <w:r>
        <w:rPr>
          <w:spacing w:val="-10"/>
        </w:rPr>
        <w:t> </w:t>
      </w:r>
      <w:r>
        <w:rPr/>
        <w:t>and</w:t>
      </w:r>
      <w:r>
        <w:rPr>
          <w:spacing w:val="-11"/>
        </w:rPr>
        <w:t> </w:t>
      </w:r>
      <w:r>
        <w:rPr/>
        <w:t>are</w:t>
      </w:r>
      <w:r>
        <w:rPr>
          <w:spacing w:val="-10"/>
        </w:rPr>
        <w:t> </w:t>
      </w:r>
      <w:r>
        <w:rPr/>
        <w:t>consequently</w:t>
      </w:r>
      <w:r>
        <w:rPr>
          <w:spacing w:val="-9"/>
        </w:rPr>
        <w:t> </w:t>
      </w:r>
      <w:r>
        <w:rPr/>
        <w:t>close</w:t>
      </w:r>
      <w:r>
        <w:rPr>
          <w:spacing w:val="-9"/>
        </w:rPr>
        <w:t> </w:t>
      </w:r>
      <w:r>
        <w:rPr/>
        <w:t>substitutes</w:t>
      </w:r>
      <w:r>
        <w:rPr>
          <w:spacing w:val="-10"/>
        </w:rPr>
        <w:t> </w:t>
      </w:r>
      <w:r>
        <w:rPr/>
        <w:t>for</w:t>
      </w:r>
      <w:r>
        <w:rPr>
          <w:spacing w:val="-13"/>
        </w:rPr>
        <w:t> </w:t>
      </w:r>
      <w:r>
        <w:rPr/>
        <w:t>Treasury</w:t>
      </w:r>
    </w:p>
    <w:p>
      <w:pPr>
        <w:pStyle w:val="BodyText"/>
        <w:spacing w:line="357" w:lineRule="auto" w:before="2"/>
        <w:ind w:left="233" w:right="59"/>
      </w:pPr>
      <w:r>
        <w:rPr/>
        <w:t>bills. The only differences are that just banks can hold reserves and reserves can be turned straight into cash at the central bank, whereas Treasury bills would have to be sold or repo’d out first. Under Ricardian equivalence, quantitative easing of the sort undertaken by the Bank of England and the Federal Reserve should then be irrelevant because private agents internalise the tax implications of the associated changes in the consolidated public sector balance sheet.</w:t>
      </w:r>
    </w:p>
    <w:p>
      <w:pPr>
        <w:pStyle w:val="BodyText"/>
        <w:spacing w:before="10"/>
        <w:rPr>
          <w:sz w:val="27"/>
        </w:rPr>
      </w:pPr>
    </w:p>
    <w:p>
      <w:pPr>
        <w:pStyle w:val="BodyText"/>
        <w:spacing w:line="357" w:lineRule="auto"/>
        <w:ind w:left="233" w:right="207"/>
      </w:pPr>
      <w:r>
        <w:rPr/>
        <w:t>I</w:t>
      </w:r>
      <w:r>
        <w:rPr>
          <w:spacing w:val="-8"/>
        </w:rPr>
        <w:t> </w:t>
      </w:r>
      <w:r>
        <w:rPr/>
        <w:t>think</w:t>
      </w:r>
      <w:r>
        <w:rPr>
          <w:spacing w:val="-8"/>
        </w:rPr>
        <w:t> </w:t>
      </w:r>
      <w:r>
        <w:rPr/>
        <w:t>the</w:t>
      </w:r>
      <w:r>
        <w:rPr>
          <w:spacing w:val="-8"/>
        </w:rPr>
        <w:t> </w:t>
      </w:r>
      <w:r>
        <w:rPr/>
        <w:t>empirical</w:t>
      </w:r>
      <w:r>
        <w:rPr>
          <w:spacing w:val="-8"/>
        </w:rPr>
        <w:t> </w:t>
      </w:r>
      <w:r>
        <w:rPr/>
        <w:t>evidence</w:t>
      </w:r>
      <w:r>
        <w:rPr>
          <w:spacing w:val="-8"/>
        </w:rPr>
        <w:t> </w:t>
      </w:r>
      <w:r>
        <w:rPr/>
        <w:t>from</w:t>
      </w:r>
      <w:r>
        <w:rPr>
          <w:spacing w:val="-8"/>
        </w:rPr>
        <w:t> </w:t>
      </w:r>
      <w:r>
        <w:rPr/>
        <w:t>the</w:t>
      </w:r>
      <w:r>
        <w:rPr>
          <w:spacing w:val="-9"/>
        </w:rPr>
        <w:t> </w:t>
      </w:r>
      <w:r>
        <w:rPr/>
        <w:t>growing</w:t>
      </w:r>
      <w:r>
        <w:rPr>
          <w:spacing w:val="-8"/>
        </w:rPr>
        <w:t> </w:t>
      </w:r>
      <w:r>
        <w:rPr/>
        <w:t>number</w:t>
      </w:r>
      <w:r>
        <w:rPr>
          <w:spacing w:val="-9"/>
        </w:rPr>
        <w:t> </w:t>
      </w:r>
      <w:r>
        <w:rPr/>
        <w:t>of</w:t>
      </w:r>
      <w:r>
        <w:rPr>
          <w:spacing w:val="-6"/>
        </w:rPr>
        <w:t> </w:t>
      </w:r>
      <w:r>
        <w:rPr/>
        <w:t>event</w:t>
      </w:r>
      <w:r>
        <w:rPr>
          <w:spacing w:val="-8"/>
        </w:rPr>
        <w:t> </w:t>
      </w:r>
      <w:r>
        <w:rPr/>
        <w:t>studies</w:t>
      </w:r>
      <w:r>
        <w:rPr>
          <w:spacing w:val="-8"/>
        </w:rPr>
        <w:t> </w:t>
      </w:r>
      <w:r>
        <w:rPr/>
        <w:t>and</w:t>
      </w:r>
      <w:r>
        <w:rPr>
          <w:spacing w:val="-8"/>
        </w:rPr>
        <w:t> </w:t>
      </w:r>
      <w:r>
        <w:rPr/>
        <w:t>the</w:t>
      </w:r>
      <w:r>
        <w:rPr>
          <w:spacing w:val="-8"/>
        </w:rPr>
        <w:t> </w:t>
      </w:r>
      <w:r>
        <w:rPr/>
        <w:t>like</w:t>
      </w:r>
      <w:r>
        <w:rPr>
          <w:spacing w:val="-8"/>
        </w:rPr>
        <w:t> </w:t>
      </w:r>
      <w:r>
        <w:rPr/>
        <w:t>strongly</w:t>
      </w:r>
      <w:r>
        <w:rPr>
          <w:spacing w:val="-6"/>
        </w:rPr>
        <w:t> </w:t>
      </w:r>
      <w:r>
        <w:rPr/>
        <w:t>suggests</w:t>
      </w:r>
      <w:r>
        <w:rPr>
          <w:spacing w:val="-8"/>
        </w:rPr>
        <w:t> </w:t>
      </w:r>
      <w:r>
        <w:rPr/>
        <w:t>that</w:t>
      </w:r>
      <w:r>
        <w:rPr>
          <w:spacing w:val="-8"/>
        </w:rPr>
        <w:t> </w:t>
      </w:r>
      <w:r>
        <w:rPr/>
        <w:t>this is not the case and that market imperfections give the policy traction by reducing term premia. This, I believe, was particularly true during the worst of the post-crisis recession, though it may have become less so as markets have returned towards </w:t>
      </w:r>
      <w:r>
        <w:rPr>
          <w:spacing w:val="-3"/>
        </w:rPr>
        <w:t>normality. </w:t>
      </w:r>
      <w:r>
        <w:rPr/>
        <w:t>That is reinforced by recent market movements in response to heightened anticipation that the Federal Reserve will shortly begin to taper its</w:t>
      </w:r>
      <w:r>
        <w:rPr>
          <w:spacing w:val="-35"/>
        </w:rPr>
        <w:t> </w:t>
      </w:r>
      <w:r>
        <w:rPr/>
        <w:t>purchases.</w:t>
      </w:r>
    </w:p>
    <w:p>
      <w:pPr>
        <w:pStyle w:val="BodyText"/>
        <w:spacing w:before="9"/>
        <w:rPr>
          <w:sz w:val="27"/>
        </w:rPr>
      </w:pPr>
    </w:p>
    <w:p>
      <w:pPr>
        <w:pStyle w:val="BodyText"/>
        <w:spacing w:line="355" w:lineRule="auto"/>
        <w:ind w:left="233" w:right="153"/>
      </w:pPr>
      <w:r>
        <w:rPr/>
        <w:t>A more serious objection is that they are simply the wrong policy to deal with the problem at hand. Low policy rates and quantitative and credit easing all seek to encourage the intertemporal switching of spending from the future to the present. But, according to the critics, that just leads to further debt accumulation and is inimical to the adjustment necessary to unwind the excesses of the pre-crisis period (see Rajan, 2013, for a lucid exposition of this view).</w:t>
      </w:r>
    </w:p>
    <w:p>
      <w:pPr>
        <w:pStyle w:val="BodyText"/>
        <w:spacing w:before="8"/>
        <w:rPr>
          <w:sz w:val="28"/>
        </w:rPr>
      </w:pPr>
    </w:p>
    <w:p>
      <w:pPr>
        <w:pStyle w:val="BodyText"/>
        <w:spacing w:line="357" w:lineRule="auto"/>
        <w:ind w:left="233" w:right="153"/>
      </w:pPr>
      <w:r>
        <w:rPr/>
        <w:t>The</w:t>
      </w:r>
      <w:r>
        <w:rPr>
          <w:spacing w:val="-10"/>
        </w:rPr>
        <w:t> </w:t>
      </w:r>
      <w:r>
        <w:rPr/>
        <w:t>distinction</w:t>
      </w:r>
      <w:r>
        <w:rPr>
          <w:spacing w:val="-9"/>
        </w:rPr>
        <w:t> </w:t>
      </w:r>
      <w:r>
        <w:rPr/>
        <w:t>here</w:t>
      </w:r>
      <w:r>
        <w:rPr>
          <w:spacing w:val="-9"/>
        </w:rPr>
        <w:t> </w:t>
      </w:r>
      <w:r>
        <w:rPr/>
        <w:t>is</w:t>
      </w:r>
      <w:r>
        <w:rPr>
          <w:spacing w:val="-8"/>
        </w:rPr>
        <w:t> </w:t>
      </w:r>
      <w:r>
        <w:rPr/>
        <w:t>between</w:t>
      </w:r>
      <w:r>
        <w:rPr>
          <w:spacing w:val="-10"/>
        </w:rPr>
        <w:t> </w:t>
      </w:r>
      <w:r>
        <w:rPr/>
        <w:t>policies</w:t>
      </w:r>
      <w:r>
        <w:rPr>
          <w:spacing w:val="-7"/>
        </w:rPr>
        <w:t> </w:t>
      </w:r>
      <w:r>
        <w:rPr/>
        <w:t>that</w:t>
      </w:r>
      <w:r>
        <w:rPr>
          <w:spacing w:val="-7"/>
        </w:rPr>
        <w:t> </w:t>
      </w:r>
      <w:r>
        <w:rPr/>
        <w:t>are</w:t>
      </w:r>
      <w:r>
        <w:rPr>
          <w:spacing w:val="-8"/>
        </w:rPr>
        <w:t> </w:t>
      </w:r>
      <w:r>
        <w:rPr/>
        <w:t>designed</w:t>
      </w:r>
      <w:r>
        <w:rPr>
          <w:spacing w:val="-9"/>
        </w:rPr>
        <w:t> </w:t>
      </w:r>
      <w:r>
        <w:rPr/>
        <w:t>to</w:t>
      </w:r>
      <w:r>
        <w:rPr>
          <w:spacing w:val="-9"/>
        </w:rPr>
        <w:t> </w:t>
      </w:r>
      <w:r>
        <w:rPr/>
        <w:t>bolster</w:t>
      </w:r>
      <w:r>
        <w:rPr>
          <w:spacing w:val="-8"/>
        </w:rPr>
        <w:t> </w:t>
      </w:r>
      <w:r>
        <w:rPr/>
        <w:t>deficient</w:t>
      </w:r>
      <w:r>
        <w:rPr>
          <w:spacing w:val="-9"/>
        </w:rPr>
        <w:t> </w:t>
      </w:r>
      <w:r>
        <w:rPr/>
        <w:t>aggregate</w:t>
      </w:r>
      <w:r>
        <w:rPr>
          <w:spacing w:val="-9"/>
        </w:rPr>
        <w:t> </w:t>
      </w:r>
      <w:r>
        <w:rPr/>
        <w:t>demand</w:t>
      </w:r>
      <w:r>
        <w:rPr>
          <w:spacing w:val="-8"/>
        </w:rPr>
        <w:t> </w:t>
      </w:r>
      <w:r>
        <w:rPr/>
        <w:t>and</w:t>
      </w:r>
      <w:r>
        <w:rPr>
          <w:spacing w:val="-10"/>
        </w:rPr>
        <w:t> </w:t>
      </w:r>
      <w:r>
        <w:rPr/>
        <w:t>those</w:t>
      </w:r>
      <w:r>
        <w:rPr>
          <w:spacing w:val="-10"/>
        </w:rPr>
        <w:t> </w:t>
      </w:r>
      <w:r>
        <w:rPr/>
        <w:t>that facilitate the necessary reduction in indebtedness and unwinding of the misdirected investments – most obviously in housing and construction – made before the crisis. The latter requires balance sheet repair of households and banks, including the writing down of debts that cannot be plausibly repaid and the closure of unviable businesses. That in turn allows resources to be reallocated to where they can be used more productively.</w:t>
      </w:r>
    </w:p>
    <w:p>
      <w:pPr>
        <w:spacing w:after="0" w:line="357" w:lineRule="auto"/>
        <w:sectPr>
          <w:footerReference w:type="default" r:id="rId7"/>
          <w:pgSz w:w="12240" w:h="15840"/>
          <w:pgMar w:footer="1239" w:header="0" w:top="1440" w:bottom="1420" w:left="1220" w:right="1340"/>
          <w:pgNumType w:start="2"/>
        </w:sectPr>
      </w:pPr>
    </w:p>
    <w:p>
      <w:pPr>
        <w:pStyle w:val="BodyText"/>
        <w:spacing w:line="357" w:lineRule="auto" w:before="80"/>
        <w:ind w:left="233" w:right="153"/>
      </w:pPr>
      <w:r>
        <w:rPr/>
        <w:t>Now there is some validity to this critique. Bolstering aggregate demand through sustained low interest rates and quantitative and credit easing will indeed tend to work against the desired rebalancing of demand away from</w:t>
      </w:r>
      <w:r>
        <w:rPr>
          <w:spacing w:val="-7"/>
        </w:rPr>
        <w:t> </w:t>
      </w:r>
      <w:r>
        <w:rPr/>
        <w:t>consumption</w:t>
      </w:r>
      <w:r>
        <w:rPr>
          <w:spacing w:val="-8"/>
        </w:rPr>
        <w:t> </w:t>
      </w:r>
      <w:r>
        <w:rPr/>
        <w:t>towards</w:t>
      </w:r>
      <w:r>
        <w:rPr>
          <w:spacing w:val="-6"/>
        </w:rPr>
        <w:t> </w:t>
      </w:r>
      <w:r>
        <w:rPr/>
        <w:t>saving</w:t>
      </w:r>
      <w:r>
        <w:rPr>
          <w:spacing w:val="-8"/>
        </w:rPr>
        <w:t> </w:t>
      </w:r>
      <w:r>
        <w:rPr/>
        <w:t>and</w:t>
      </w:r>
      <w:r>
        <w:rPr>
          <w:spacing w:val="-9"/>
        </w:rPr>
        <w:t> </w:t>
      </w:r>
      <w:r>
        <w:rPr/>
        <w:t>net</w:t>
      </w:r>
      <w:r>
        <w:rPr>
          <w:spacing w:val="-6"/>
        </w:rPr>
        <w:t> </w:t>
      </w:r>
      <w:r>
        <w:rPr/>
        <w:t>exports</w:t>
      </w:r>
      <w:r>
        <w:rPr>
          <w:spacing w:val="-7"/>
        </w:rPr>
        <w:t> </w:t>
      </w:r>
      <w:r>
        <w:rPr/>
        <w:t>–</w:t>
      </w:r>
      <w:r>
        <w:rPr>
          <w:spacing w:val="-9"/>
        </w:rPr>
        <w:t> </w:t>
      </w:r>
      <w:r>
        <w:rPr/>
        <w:t>this</w:t>
      </w:r>
      <w:r>
        <w:rPr>
          <w:spacing w:val="-7"/>
        </w:rPr>
        <w:t> </w:t>
      </w:r>
      <w:r>
        <w:rPr/>
        <w:t>is</w:t>
      </w:r>
      <w:r>
        <w:rPr>
          <w:spacing w:val="-6"/>
        </w:rPr>
        <w:t> </w:t>
      </w:r>
      <w:r>
        <w:rPr/>
        <w:t>what</w:t>
      </w:r>
      <w:r>
        <w:rPr>
          <w:spacing w:val="-8"/>
        </w:rPr>
        <w:t> </w:t>
      </w:r>
      <w:r>
        <w:rPr/>
        <w:t>the</w:t>
      </w:r>
      <w:r>
        <w:rPr>
          <w:spacing w:val="-8"/>
        </w:rPr>
        <w:t> </w:t>
      </w:r>
      <w:r>
        <w:rPr/>
        <w:t>previous</w:t>
      </w:r>
      <w:r>
        <w:rPr>
          <w:spacing w:val="-6"/>
        </w:rPr>
        <w:t> </w:t>
      </w:r>
      <w:r>
        <w:rPr/>
        <w:t>Governor</w:t>
      </w:r>
      <w:r>
        <w:rPr>
          <w:spacing w:val="-8"/>
        </w:rPr>
        <w:t> </w:t>
      </w:r>
      <w:r>
        <w:rPr/>
        <w:t>of</w:t>
      </w:r>
      <w:r>
        <w:rPr>
          <w:spacing w:val="-6"/>
        </w:rPr>
        <w:t> </w:t>
      </w:r>
      <w:r>
        <w:rPr/>
        <w:t>the</w:t>
      </w:r>
      <w:r>
        <w:rPr>
          <w:spacing w:val="-9"/>
        </w:rPr>
        <w:t> </w:t>
      </w:r>
      <w:r>
        <w:rPr/>
        <w:t>Bank</w:t>
      </w:r>
      <w:r>
        <w:rPr>
          <w:spacing w:val="-7"/>
        </w:rPr>
        <w:t> </w:t>
      </w:r>
      <w:r>
        <w:rPr/>
        <w:t>of</w:t>
      </w:r>
      <w:r>
        <w:rPr>
          <w:spacing w:val="-8"/>
        </w:rPr>
        <w:t> </w:t>
      </w:r>
      <w:r>
        <w:rPr/>
        <w:t>England christened the 'paradox of policy' (see King, 2009). And the present period of low interest rates may indeed allow some businesses to survive that do not have a viable long-term</w:t>
      </w:r>
      <w:r>
        <w:rPr>
          <w:spacing w:val="-25"/>
        </w:rPr>
        <w:t> </w:t>
      </w:r>
      <w:r>
        <w:rPr/>
        <w:t>future.</w:t>
      </w:r>
    </w:p>
    <w:p>
      <w:pPr>
        <w:pStyle w:val="BodyText"/>
        <w:spacing w:before="9"/>
        <w:rPr>
          <w:sz w:val="27"/>
        </w:rPr>
      </w:pPr>
    </w:p>
    <w:p>
      <w:pPr>
        <w:pStyle w:val="BodyText"/>
        <w:spacing w:line="357" w:lineRule="auto"/>
        <w:ind w:left="233" w:right="302"/>
      </w:pPr>
      <w:r>
        <w:rPr/>
        <w:t>But against that, it is easier for households, businesses and banks to repair balance sheets when demand is strong than when it is weak. A sustained period of weak demand may also push many businesses that are perfectly viable in the long run into insolvency, especially if the supply of credit is impaired. And a long period with underutilised resources may cause durable damage to the supply capacity of the economy through a variety of hysteretic mechanisms, such as skill atrophy on the part of the unemployed and foregone opportunities for learning by doing.</w:t>
      </w:r>
    </w:p>
    <w:p>
      <w:pPr>
        <w:pStyle w:val="BodyText"/>
        <w:spacing w:before="8"/>
        <w:rPr>
          <w:sz w:val="27"/>
        </w:rPr>
      </w:pPr>
    </w:p>
    <w:p>
      <w:pPr>
        <w:pStyle w:val="BodyText"/>
        <w:spacing w:line="357" w:lineRule="auto"/>
        <w:ind w:left="233" w:right="146"/>
      </w:pPr>
      <w:r>
        <w:rPr/>
        <w:t>In any case, to me this sets up a false dichotomy. There are both Keynesian and Hayekian dimensions to the post-crisis environment. A ‘two-handed’ approach is called for, in which supportive aggregate demand policies on the one hand are complemented by policies that facilitate the necessary restructuring, particularly of the banking sector, on the other. So rigorous evaluation of the assets on banks’ balance sheets, followed by recapitalisation, should be the order of the day (see Tucker, 2013, for a similar perspective). The United States has been a model in this regard. In Europe, we have lagged a little, but are now catching up. In the United Kingdom, the Prudential Regulation Authority, at the instigation of the Bank's Financial Policy Committee, has required several of our major banks to strengthen their capital buffers against potential losses. And, in the euro area, the European Central Bank is about to undertake an in-depth health check of banks' balance sheets.</w:t>
      </w:r>
    </w:p>
    <w:p>
      <w:pPr>
        <w:pStyle w:val="BodyText"/>
        <w:spacing w:before="5"/>
        <w:rPr>
          <w:sz w:val="27"/>
        </w:rPr>
      </w:pPr>
    </w:p>
    <w:p>
      <w:pPr>
        <w:pStyle w:val="BodyText"/>
        <w:spacing w:line="357" w:lineRule="auto" w:before="1"/>
        <w:ind w:left="233" w:right="164"/>
      </w:pPr>
      <w:r>
        <w:rPr/>
        <w:t>Of course, there are some risks attached to pursuing such accommodative monetary policies. Quantitative easing can threaten future financial stability if it leads investors into excessively leveraged positions in the search for higher yields. Moreover, a long period of low interest rates can lead people to overestimate the debt they can safely manage if interest rates were to normalise. Central banks must be alive to these risks and deploy appropriate prudential tools in mitigation.</w:t>
      </w:r>
    </w:p>
    <w:p>
      <w:pPr>
        <w:pStyle w:val="BodyText"/>
        <w:spacing w:before="9"/>
        <w:rPr>
          <w:sz w:val="27"/>
        </w:rPr>
      </w:pPr>
    </w:p>
    <w:p>
      <w:pPr>
        <w:pStyle w:val="BodyText"/>
        <w:spacing w:line="355" w:lineRule="auto"/>
        <w:ind w:left="233" w:right="144"/>
      </w:pPr>
      <w:r>
        <w:rPr/>
        <w:t>Furthermore, if central banks do seek to sustain demand, it can dull the incentives for private agents and governments to undertake the necessary adjustments and reforms. Such moral hazard has surfaced from time to time in the euro area during the past couple of years. Accommodative monetary policy can buy time, but it is a policy best suited to filling in a temporary hiatus in demand, not a long-lived shortfall: it is a bridge, not a pier.</w:t>
      </w:r>
    </w:p>
    <w:p>
      <w:pPr>
        <w:pStyle w:val="BodyText"/>
        <w:spacing w:before="7"/>
        <w:rPr>
          <w:sz w:val="28"/>
        </w:rPr>
      </w:pPr>
    </w:p>
    <w:p>
      <w:pPr>
        <w:pStyle w:val="BodyText"/>
        <w:spacing w:line="357" w:lineRule="auto"/>
        <w:ind w:left="233" w:right="90"/>
      </w:pPr>
      <w:r>
        <w:rPr/>
        <w:t>Let me turn now to the international consequences of these unconventional monetary policies. There are several interrelated channels of propagation. First and most contentiously, they may put downward pressure on the exchange rate, a purely ‘beggar-my-neighbour’ channel. It was that which prompted Guido Mantega, the Brazilian Finance Minister, to charge advanced economy central banks with engaging in a ‘currency war’.</w:t>
      </w:r>
    </w:p>
    <w:p>
      <w:pPr>
        <w:spacing w:after="0" w:line="357" w:lineRule="auto"/>
        <w:sectPr>
          <w:pgSz w:w="12240" w:h="15840"/>
          <w:pgMar w:header="0" w:footer="1239" w:top="1440" w:bottom="1420" w:left="1220" w:right="1340"/>
        </w:sectPr>
      </w:pPr>
    </w:p>
    <w:p>
      <w:pPr>
        <w:pStyle w:val="BodyText"/>
        <w:spacing w:line="357" w:lineRule="auto" w:before="80"/>
        <w:ind w:left="233" w:right="153"/>
      </w:pPr>
      <w:r>
        <w:rPr/>
        <w:t>Central banks in other countries may then respond by setting lower policy rates in order to lessen the appreciation of their currencies. One way to see whether this has happened is to look at the departures from what a standard Taylor rule would imply; the evidence surveyed by He and McCauley (2013) suggests that Asian central banks have indeed shaded down their policy rates in response to looser US policies.</w:t>
      </w:r>
    </w:p>
    <w:p>
      <w:pPr>
        <w:pStyle w:val="BodyText"/>
        <w:spacing w:before="10"/>
        <w:rPr>
          <w:sz w:val="27"/>
        </w:rPr>
      </w:pPr>
    </w:p>
    <w:p>
      <w:pPr>
        <w:pStyle w:val="BodyText"/>
        <w:spacing w:line="357" w:lineRule="auto"/>
        <w:ind w:left="233" w:right="207"/>
      </w:pPr>
      <w:r>
        <w:rPr/>
        <w:t>Further down the yield curve, large-scale asset purchases will reduce yields not only in the markets where the purchases are made, but also in the markets for substitute assets through portfolio balance effects. There are several papers that find the lower bond yields from the large-scale asset purchases of the major central banks have translated into lower yields in other local currency bond markets that are integrated into global bond markets. For instance, Neely (2010) finds evidence of significant spillovers from the Federal Reserve’s LSAPs to other advanced economy sovereign bond markets, with yields falling on average by around half the associated fall in US 10-year yields, while Moore, Nam, Suh and Tepper (2013) find that emerging economy government bond yields fell by around a sixth.</w:t>
      </w:r>
    </w:p>
    <w:p>
      <w:pPr>
        <w:pStyle w:val="BodyText"/>
        <w:spacing w:before="6"/>
        <w:rPr>
          <w:sz w:val="27"/>
        </w:rPr>
      </w:pPr>
    </w:p>
    <w:p>
      <w:pPr>
        <w:pStyle w:val="BodyText"/>
        <w:spacing w:line="357" w:lineRule="auto" w:before="1"/>
        <w:ind w:left="233" w:right="122"/>
      </w:pPr>
      <w:r>
        <w:rPr/>
        <w:t>In addition, capital flows out of the stimulating jurisdiction can encourage an expansion in the supply of credit and</w:t>
      </w:r>
      <w:r>
        <w:rPr>
          <w:spacing w:val="-8"/>
        </w:rPr>
        <w:t> </w:t>
      </w:r>
      <w:r>
        <w:rPr/>
        <w:t>also</w:t>
      </w:r>
      <w:r>
        <w:rPr>
          <w:spacing w:val="-8"/>
        </w:rPr>
        <w:t> </w:t>
      </w:r>
      <w:r>
        <w:rPr/>
        <w:t>a</w:t>
      </w:r>
      <w:r>
        <w:rPr>
          <w:spacing w:val="-8"/>
        </w:rPr>
        <w:t> </w:t>
      </w:r>
      <w:r>
        <w:rPr/>
        <w:t>switch</w:t>
      </w:r>
      <w:r>
        <w:rPr>
          <w:spacing w:val="-8"/>
        </w:rPr>
        <w:t> </w:t>
      </w:r>
      <w:r>
        <w:rPr/>
        <w:t>into</w:t>
      </w:r>
      <w:r>
        <w:rPr>
          <w:spacing w:val="-9"/>
        </w:rPr>
        <w:t> </w:t>
      </w:r>
      <w:r>
        <w:rPr/>
        <w:t>foreign</w:t>
      </w:r>
      <w:r>
        <w:rPr>
          <w:spacing w:val="-8"/>
        </w:rPr>
        <w:t> </w:t>
      </w:r>
      <w:r>
        <w:rPr/>
        <w:t>currency</w:t>
      </w:r>
      <w:r>
        <w:rPr>
          <w:spacing w:val="-7"/>
        </w:rPr>
        <w:t> </w:t>
      </w:r>
      <w:r>
        <w:rPr/>
        <w:t>denomination</w:t>
      </w:r>
      <w:r>
        <w:rPr>
          <w:spacing w:val="-8"/>
        </w:rPr>
        <w:t> </w:t>
      </w:r>
      <w:r>
        <w:rPr/>
        <w:t>if</w:t>
      </w:r>
      <w:r>
        <w:rPr>
          <w:spacing w:val="-7"/>
        </w:rPr>
        <w:t> </w:t>
      </w:r>
      <w:r>
        <w:rPr/>
        <w:t>the</w:t>
      </w:r>
      <w:r>
        <w:rPr>
          <w:spacing w:val="-8"/>
        </w:rPr>
        <w:t> </w:t>
      </w:r>
      <w:r>
        <w:rPr/>
        <w:t>local</w:t>
      </w:r>
      <w:r>
        <w:rPr>
          <w:spacing w:val="-7"/>
        </w:rPr>
        <w:t> </w:t>
      </w:r>
      <w:r>
        <w:rPr/>
        <w:t>currency</w:t>
      </w:r>
      <w:r>
        <w:rPr>
          <w:spacing w:val="-8"/>
        </w:rPr>
        <w:t> </w:t>
      </w:r>
      <w:r>
        <w:rPr/>
        <w:t>is</w:t>
      </w:r>
      <w:r>
        <w:rPr>
          <w:spacing w:val="-8"/>
        </w:rPr>
        <w:t> </w:t>
      </w:r>
      <w:r>
        <w:rPr/>
        <w:t>expected</w:t>
      </w:r>
      <w:r>
        <w:rPr>
          <w:spacing w:val="-9"/>
        </w:rPr>
        <w:t> </w:t>
      </w:r>
      <w:r>
        <w:rPr/>
        <w:t>to</w:t>
      </w:r>
      <w:r>
        <w:rPr>
          <w:spacing w:val="-8"/>
        </w:rPr>
        <w:t> </w:t>
      </w:r>
      <w:r>
        <w:rPr/>
        <w:t>appreciate.</w:t>
      </w:r>
      <w:r>
        <w:rPr>
          <w:spacing w:val="38"/>
        </w:rPr>
        <w:t> </w:t>
      </w:r>
      <w:r>
        <w:rPr/>
        <w:t>Unless</w:t>
      </w:r>
      <w:r>
        <w:rPr>
          <w:spacing w:val="-7"/>
        </w:rPr>
        <w:t> </w:t>
      </w:r>
      <w:r>
        <w:rPr/>
        <w:t>well managed, that can lead to increased financial vulnerabilities further down the road. </w:t>
      </w:r>
      <w:r>
        <w:rPr>
          <w:spacing w:val="-7"/>
        </w:rPr>
        <w:t>Yet </w:t>
      </w:r>
      <w:r>
        <w:rPr/>
        <w:t>the results of Fratzscher, Lo Duca and Straub (2013) on the respective impacts of different tranches of the Fed’s quantitative easing suggest that these flow effects have not always operated in the same direction. In particular, they find that the first phase, QE1, triggered portfolio rebalancing </w:t>
      </w:r>
      <w:r>
        <w:rPr>
          <w:i/>
        </w:rPr>
        <w:t>out </w:t>
      </w:r>
      <w:r>
        <w:rPr/>
        <w:t>of emerging economies into US equity and bond funds – perhaps reflecting the role of QE1 in reducing tail risks in the United States – while the opposite occurred under</w:t>
      </w:r>
      <w:r>
        <w:rPr>
          <w:spacing w:val="-3"/>
        </w:rPr>
        <w:t> </w:t>
      </w:r>
      <w:r>
        <w:rPr/>
        <w:t>QE2.</w:t>
      </w:r>
    </w:p>
    <w:p>
      <w:pPr>
        <w:pStyle w:val="BodyText"/>
        <w:spacing w:before="5"/>
        <w:rPr>
          <w:sz w:val="27"/>
        </w:rPr>
      </w:pPr>
    </w:p>
    <w:p>
      <w:pPr>
        <w:pStyle w:val="BodyText"/>
        <w:spacing w:line="357" w:lineRule="auto" w:before="1"/>
        <w:ind w:left="233" w:right="518"/>
      </w:pPr>
      <w:r>
        <w:rPr>
          <w:spacing w:val="-3"/>
        </w:rPr>
        <w:t>Finally, </w:t>
      </w:r>
      <w:r>
        <w:rPr/>
        <w:t>to the extent that the unconventional policies are successful in their aim of boosting activity in the originating </w:t>
      </w:r>
      <w:r>
        <w:rPr>
          <w:spacing w:val="-3"/>
        </w:rPr>
        <w:t>country, </w:t>
      </w:r>
      <w:r>
        <w:rPr/>
        <w:t>they will generate aggregate demand spillovers onto other countries through increased demand for imports.</w:t>
      </w:r>
    </w:p>
    <w:p>
      <w:pPr>
        <w:pStyle w:val="BodyText"/>
        <w:spacing w:before="11"/>
        <w:rPr>
          <w:sz w:val="27"/>
        </w:rPr>
      </w:pPr>
    </w:p>
    <w:p>
      <w:pPr>
        <w:pStyle w:val="BodyText"/>
        <w:spacing w:line="357" w:lineRule="auto"/>
        <w:ind w:left="233" w:right="302"/>
      </w:pPr>
      <w:r>
        <w:rPr/>
        <w:t>It</w:t>
      </w:r>
      <w:r>
        <w:rPr>
          <w:spacing w:val="-11"/>
        </w:rPr>
        <w:t> </w:t>
      </w:r>
      <w:r>
        <w:rPr/>
        <w:t>should</w:t>
      </w:r>
      <w:r>
        <w:rPr>
          <w:spacing w:val="-9"/>
        </w:rPr>
        <w:t> </w:t>
      </w:r>
      <w:r>
        <w:rPr/>
        <w:t>be</w:t>
      </w:r>
      <w:r>
        <w:rPr>
          <w:spacing w:val="-11"/>
        </w:rPr>
        <w:t> </w:t>
      </w:r>
      <w:r>
        <w:rPr/>
        <w:t>obvious</w:t>
      </w:r>
      <w:r>
        <w:rPr>
          <w:spacing w:val="-8"/>
        </w:rPr>
        <w:t> </w:t>
      </w:r>
      <w:r>
        <w:rPr/>
        <w:t>from</w:t>
      </w:r>
      <w:r>
        <w:rPr>
          <w:spacing w:val="-8"/>
        </w:rPr>
        <w:t> </w:t>
      </w:r>
      <w:r>
        <w:rPr/>
        <w:t>this</w:t>
      </w:r>
      <w:r>
        <w:rPr>
          <w:spacing w:val="-9"/>
        </w:rPr>
        <w:t> </w:t>
      </w:r>
      <w:r>
        <w:rPr/>
        <w:t>discussion</w:t>
      </w:r>
      <w:r>
        <w:rPr>
          <w:spacing w:val="-10"/>
        </w:rPr>
        <w:t> </w:t>
      </w:r>
      <w:r>
        <w:rPr/>
        <w:t>that</w:t>
      </w:r>
      <w:r>
        <w:rPr>
          <w:spacing w:val="-10"/>
        </w:rPr>
        <w:t> </w:t>
      </w:r>
      <w:r>
        <w:rPr/>
        <w:t>the</w:t>
      </w:r>
      <w:r>
        <w:rPr>
          <w:spacing w:val="-9"/>
        </w:rPr>
        <w:t> </w:t>
      </w:r>
      <w:r>
        <w:rPr/>
        <w:t>spillovers</w:t>
      </w:r>
      <w:r>
        <w:rPr>
          <w:spacing w:val="-9"/>
        </w:rPr>
        <w:t> </w:t>
      </w:r>
      <w:r>
        <w:rPr/>
        <w:t>from</w:t>
      </w:r>
      <w:r>
        <w:rPr>
          <w:spacing w:val="-9"/>
        </w:rPr>
        <w:t> </w:t>
      </w:r>
      <w:r>
        <w:rPr/>
        <w:t>unconventional</w:t>
      </w:r>
      <w:r>
        <w:rPr>
          <w:spacing w:val="-9"/>
        </w:rPr>
        <w:t> </w:t>
      </w:r>
      <w:r>
        <w:rPr/>
        <w:t>monetary</w:t>
      </w:r>
      <w:r>
        <w:rPr>
          <w:spacing w:val="-8"/>
        </w:rPr>
        <w:t> </w:t>
      </w:r>
      <w:r>
        <w:rPr/>
        <w:t>policies</w:t>
      </w:r>
      <w:r>
        <w:rPr>
          <w:spacing w:val="-9"/>
        </w:rPr>
        <w:t> </w:t>
      </w:r>
      <w:r>
        <w:rPr/>
        <w:t>are</w:t>
      </w:r>
      <w:r>
        <w:rPr>
          <w:spacing w:val="-9"/>
        </w:rPr>
        <w:t> </w:t>
      </w:r>
      <w:r>
        <w:rPr/>
        <w:t>diverse in nature and ambiguous in overall sign. But from the point of view of the world as a whole, there has to be a strong</w:t>
      </w:r>
      <w:r>
        <w:rPr>
          <w:spacing w:val="-11"/>
        </w:rPr>
        <w:t> </w:t>
      </w:r>
      <w:r>
        <w:rPr/>
        <w:t>presumption</w:t>
      </w:r>
      <w:r>
        <w:rPr>
          <w:spacing w:val="-10"/>
        </w:rPr>
        <w:t> </w:t>
      </w:r>
      <w:r>
        <w:rPr/>
        <w:t>that</w:t>
      </w:r>
      <w:r>
        <w:rPr>
          <w:spacing w:val="-9"/>
        </w:rPr>
        <w:t> </w:t>
      </w:r>
      <w:r>
        <w:rPr/>
        <w:t>these</w:t>
      </w:r>
      <w:r>
        <w:rPr>
          <w:spacing w:val="-11"/>
        </w:rPr>
        <w:t> </w:t>
      </w:r>
      <w:r>
        <w:rPr/>
        <w:t>unconventional</w:t>
      </w:r>
      <w:r>
        <w:rPr>
          <w:spacing w:val="-10"/>
        </w:rPr>
        <w:t> </w:t>
      </w:r>
      <w:r>
        <w:rPr/>
        <w:t>monetary</w:t>
      </w:r>
      <w:r>
        <w:rPr>
          <w:spacing w:val="-11"/>
        </w:rPr>
        <w:t> </w:t>
      </w:r>
      <w:r>
        <w:rPr/>
        <w:t>policies</w:t>
      </w:r>
      <w:r>
        <w:rPr>
          <w:spacing w:val="-9"/>
        </w:rPr>
        <w:t> </w:t>
      </w:r>
      <w:r>
        <w:rPr/>
        <w:t>have</w:t>
      </w:r>
      <w:r>
        <w:rPr>
          <w:spacing w:val="-11"/>
        </w:rPr>
        <w:t> </w:t>
      </w:r>
      <w:r>
        <w:rPr/>
        <w:t>been</w:t>
      </w:r>
      <w:r>
        <w:rPr>
          <w:spacing w:val="-10"/>
        </w:rPr>
        <w:t> </w:t>
      </w:r>
      <w:r>
        <w:rPr/>
        <w:t>expansionary.</w:t>
      </w:r>
      <w:r>
        <w:rPr>
          <w:spacing w:val="24"/>
        </w:rPr>
        <w:t> </w:t>
      </w:r>
      <w:r>
        <w:rPr/>
        <w:t>And</w:t>
      </w:r>
      <w:r>
        <w:rPr>
          <w:spacing w:val="-9"/>
        </w:rPr>
        <w:t> </w:t>
      </w:r>
      <w:r>
        <w:rPr/>
        <w:t>with</w:t>
      </w:r>
      <w:r>
        <w:rPr>
          <w:spacing w:val="-11"/>
        </w:rPr>
        <w:t> </w:t>
      </w:r>
      <w:r>
        <w:rPr/>
        <w:t>the</w:t>
      </w:r>
      <w:r>
        <w:rPr>
          <w:spacing w:val="-9"/>
        </w:rPr>
        <w:t> </w:t>
      </w:r>
      <w:r>
        <w:rPr/>
        <w:t>world economy</w:t>
      </w:r>
      <w:r>
        <w:rPr>
          <w:spacing w:val="-10"/>
        </w:rPr>
        <w:t> </w:t>
      </w:r>
      <w:r>
        <w:rPr/>
        <w:t>still</w:t>
      </w:r>
      <w:r>
        <w:rPr>
          <w:spacing w:val="-10"/>
        </w:rPr>
        <w:t> </w:t>
      </w:r>
      <w:r>
        <w:rPr/>
        <w:t>suffering</w:t>
      </w:r>
      <w:r>
        <w:rPr>
          <w:spacing w:val="-10"/>
        </w:rPr>
        <w:t> </w:t>
      </w:r>
      <w:r>
        <w:rPr/>
        <w:t>from</w:t>
      </w:r>
      <w:r>
        <w:rPr>
          <w:spacing w:val="-9"/>
        </w:rPr>
        <w:t> </w:t>
      </w:r>
      <w:r>
        <w:rPr/>
        <w:t>deficient</w:t>
      </w:r>
      <w:r>
        <w:rPr>
          <w:spacing w:val="-10"/>
        </w:rPr>
        <w:t> </w:t>
      </w:r>
      <w:r>
        <w:rPr/>
        <w:t>global</w:t>
      </w:r>
      <w:r>
        <w:rPr>
          <w:spacing w:val="-9"/>
        </w:rPr>
        <w:t> </w:t>
      </w:r>
      <w:r>
        <w:rPr/>
        <w:t>aggregate</w:t>
      </w:r>
      <w:r>
        <w:rPr>
          <w:spacing w:val="-10"/>
        </w:rPr>
        <w:t> </w:t>
      </w:r>
      <w:r>
        <w:rPr/>
        <w:t>demand</w:t>
      </w:r>
      <w:r>
        <w:rPr>
          <w:spacing w:val="-10"/>
        </w:rPr>
        <w:t> </w:t>
      </w:r>
      <w:r>
        <w:rPr/>
        <w:t>and</w:t>
      </w:r>
      <w:r>
        <w:rPr>
          <w:spacing w:val="-10"/>
        </w:rPr>
        <w:t> </w:t>
      </w:r>
      <w:r>
        <w:rPr/>
        <w:t>underutilised</w:t>
      </w:r>
      <w:r>
        <w:rPr>
          <w:spacing w:val="-9"/>
        </w:rPr>
        <w:t> </w:t>
      </w:r>
      <w:r>
        <w:rPr/>
        <w:t>resources</w:t>
      </w:r>
      <w:r>
        <w:rPr>
          <w:spacing w:val="-8"/>
        </w:rPr>
        <w:t> </w:t>
      </w:r>
      <w:r>
        <w:rPr/>
        <w:t>that</w:t>
      </w:r>
      <w:r>
        <w:rPr>
          <w:spacing w:val="-10"/>
        </w:rPr>
        <w:t> </w:t>
      </w:r>
      <w:r>
        <w:rPr/>
        <w:t>surely</w:t>
      </w:r>
      <w:r>
        <w:rPr>
          <w:spacing w:val="-9"/>
        </w:rPr>
        <w:t> </w:t>
      </w:r>
      <w:r>
        <w:rPr/>
        <w:t>has</w:t>
      </w:r>
      <w:r>
        <w:rPr>
          <w:spacing w:val="-8"/>
        </w:rPr>
        <w:t> </w:t>
      </w:r>
      <w:r>
        <w:rPr/>
        <w:t>to be a good thing. That said, I would not wish to underplay the difficulties that some recipient countries have faced in absorbing large inflows of relatively short-term capital in a safe</w:t>
      </w:r>
      <w:r>
        <w:rPr>
          <w:spacing w:val="-26"/>
        </w:rPr>
        <w:t> </w:t>
      </w:r>
      <w:r>
        <w:rPr/>
        <w:t>fashion.</w:t>
      </w:r>
    </w:p>
    <w:p>
      <w:pPr>
        <w:pStyle w:val="BodyText"/>
        <w:spacing w:before="8"/>
        <w:rPr>
          <w:sz w:val="27"/>
        </w:rPr>
      </w:pPr>
    </w:p>
    <w:p>
      <w:pPr>
        <w:pStyle w:val="BodyText"/>
        <w:spacing w:line="357" w:lineRule="auto"/>
        <w:ind w:left="233" w:right="153"/>
      </w:pPr>
      <w:r>
        <w:rPr/>
        <w:t>The presence of these complex spillovers has led to suggestions that monetary policies need to internalise these</w:t>
      </w:r>
      <w:r>
        <w:rPr>
          <w:spacing w:val="-11"/>
        </w:rPr>
        <w:t> </w:t>
      </w:r>
      <w:r>
        <w:rPr/>
        <w:t>spillovers</w:t>
      </w:r>
      <w:r>
        <w:rPr>
          <w:spacing w:val="-9"/>
        </w:rPr>
        <w:t> </w:t>
      </w:r>
      <w:r>
        <w:rPr/>
        <w:t>and</w:t>
      </w:r>
      <w:r>
        <w:rPr>
          <w:spacing w:val="-10"/>
        </w:rPr>
        <w:t> </w:t>
      </w:r>
      <w:r>
        <w:rPr/>
        <w:t>be</w:t>
      </w:r>
      <w:r>
        <w:rPr>
          <w:spacing w:val="-11"/>
        </w:rPr>
        <w:t> </w:t>
      </w:r>
      <w:r>
        <w:rPr/>
        <w:t>better</w:t>
      </w:r>
      <w:r>
        <w:rPr>
          <w:spacing w:val="-10"/>
        </w:rPr>
        <w:t> </w:t>
      </w:r>
      <w:r>
        <w:rPr/>
        <w:t>co-ordinated</w:t>
      </w:r>
      <w:r>
        <w:rPr>
          <w:spacing w:val="-10"/>
        </w:rPr>
        <w:t> </w:t>
      </w:r>
      <w:r>
        <w:rPr/>
        <w:t>(see</w:t>
      </w:r>
      <w:r>
        <w:rPr>
          <w:spacing w:val="-10"/>
        </w:rPr>
        <w:t> </w:t>
      </w:r>
      <w:r>
        <w:rPr/>
        <w:t>e.g.</w:t>
      </w:r>
      <w:r>
        <w:rPr>
          <w:spacing w:val="-9"/>
        </w:rPr>
        <w:t> </w:t>
      </w:r>
      <w:r>
        <w:rPr/>
        <w:t>Committee</w:t>
      </w:r>
      <w:r>
        <w:rPr>
          <w:spacing w:val="-11"/>
        </w:rPr>
        <w:t> </w:t>
      </w:r>
      <w:r>
        <w:rPr/>
        <w:t>on</w:t>
      </w:r>
      <w:r>
        <w:rPr>
          <w:spacing w:val="-11"/>
        </w:rPr>
        <w:t> </w:t>
      </w:r>
      <w:r>
        <w:rPr/>
        <w:t>International</w:t>
      </w:r>
      <w:r>
        <w:rPr>
          <w:spacing w:val="-10"/>
        </w:rPr>
        <w:t> </w:t>
      </w:r>
      <w:r>
        <w:rPr/>
        <w:t>Economic</w:t>
      </w:r>
      <w:r>
        <w:rPr>
          <w:spacing w:val="-8"/>
        </w:rPr>
        <w:t> </w:t>
      </w:r>
      <w:r>
        <w:rPr/>
        <w:t>Policy</w:t>
      </w:r>
      <w:r>
        <w:rPr>
          <w:spacing w:val="-9"/>
        </w:rPr>
        <w:t> </w:t>
      </w:r>
      <w:r>
        <w:rPr/>
        <w:t>and</w:t>
      </w:r>
      <w:r>
        <w:rPr>
          <w:spacing w:val="-11"/>
        </w:rPr>
        <w:t> </w:t>
      </w:r>
      <w:r>
        <w:rPr/>
        <w:t>Reform, </w:t>
      </w:r>
      <w:r>
        <w:rPr>
          <w:spacing w:val="-3"/>
        </w:rPr>
        <w:t>2011). </w:t>
      </w:r>
      <w:r>
        <w:rPr/>
        <w:t>While I can accept the logic of this, I am afraid I do not think we know nearly enough about the magnitude</w:t>
      </w:r>
      <w:r>
        <w:rPr>
          <w:spacing w:val="-6"/>
        </w:rPr>
        <w:t> </w:t>
      </w:r>
      <w:r>
        <w:rPr/>
        <w:t>–</w:t>
      </w:r>
      <w:r>
        <w:rPr>
          <w:spacing w:val="-4"/>
        </w:rPr>
        <w:t> </w:t>
      </w:r>
      <w:r>
        <w:rPr/>
        <w:t>or</w:t>
      </w:r>
      <w:r>
        <w:rPr>
          <w:spacing w:val="-5"/>
        </w:rPr>
        <w:t> </w:t>
      </w:r>
      <w:r>
        <w:rPr/>
        <w:t>even</w:t>
      </w:r>
      <w:r>
        <w:rPr>
          <w:spacing w:val="-6"/>
        </w:rPr>
        <w:t> </w:t>
      </w:r>
      <w:r>
        <w:rPr/>
        <w:t>the</w:t>
      </w:r>
      <w:r>
        <w:rPr>
          <w:spacing w:val="-5"/>
        </w:rPr>
        <w:t> </w:t>
      </w:r>
      <w:r>
        <w:rPr/>
        <w:t>sign</w:t>
      </w:r>
      <w:r>
        <w:rPr>
          <w:spacing w:val="-5"/>
        </w:rPr>
        <w:t> </w:t>
      </w:r>
      <w:r>
        <w:rPr/>
        <w:t>–</w:t>
      </w:r>
      <w:r>
        <w:rPr>
          <w:spacing w:val="-5"/>
        </w:rPr>
        <w:t> </w:t>
      </w:r>
      <w:r>
        <w:rPr/>
        <w:t>of</w:t>
      </w:r>
      <w:r>
        <w:rPr>
          <w:spacing w:val="-5"/>
        </w:rPr>
        <w:t> </w:t>
      </w:r>
      <w:r>
        <w:rPr/>
        <w:t>these</w:t>
      </w:r>
      <w:r>
        <w:rPr>
          <w:spacing w:val="-5"/>
        </w:rPr>
        <w:t> </w:t>
      </w:r>
      <w:r>
        <w:rPr/>
        <w:t>spillovers</w:t>
      </w:r>
      <w:r>
        <w:rPr>
          <w:spacing w:val="-4"/>
        </w:rPr>
        <w:t> </w:t>
      </w:r>
      <w:r>
        <w:rPr/>
        <w:t>to</w:t>
      </w:r>
      <w:r>
        <w:rPr>
          <w:spacing w:val="-6"/>
        </w:rPr>
        <w:t> </w:t>
      </w:r>
      <w:r>
        <w:rPr/>
        <w:t>make</w:t>
      </w:r>
      <w:r>
        <w:rPr>
          <w:spacing w:val="-6"/>
        </w:rPr>
        <w:t> </w:t>
      </w:r>
      <w:r>
        <w:rPr/>
        <w:t>this</w:t>
      </w:r>
      <w:r>
        <w:rPr>
          <w:spacing w:val="-5"/>
        </w:rPr>
        <w:t> </w:t>
      </w:r>
      <w:r>
        <w:rPr/>
        <w:t>a</w:t>
      </w:r>
      <w:r>
        <w:rPr>
          <w:spacing w:val="-5"/>
        </w:rPr>
        <w:t> </w:t>
      </w:r>
      <w:r>
        <w:rPr/>
        <w:t>viable</w:t>
      </w:r>
      <w:r>
        <w:rPr>
          <w:spacing w:val="-5"/>
        </w:rPr>
        <w:t> </w:t>
      </w:r>
      <w:r>
        <w:rPr/>
        <w:t>option.</w:t>
      </w:r>
      <w:r>
        <w:rPr>
          <w:spacing w:val="41"/>
        </w:rPr>
        <w:t> </w:t>
      </w:r>
      <w:r>
        <w:rPr/>
        <w:t>The</w:t>
      </w:r>
      <w:r>
        <w:rPr>
          <w:spacing w:val="-5"/>
        </w:rPr>
        <w:t> </w:t>
      </w:r>
      <w:r>
        <w:rPr/>
        <w:t>best</w:t>
      </w:r>
      <w:r>
        <w:rPr>
          <w:spacing w:val="-3"/>
        </w:rPr>
        <w:t> </w:t>
      </w:r>
      <w:r>
        <w:rPr/>
        <w:t>we</w:t>
      </w:r>
      <w:r>
        <w:rPr>
          <w:spacing w:val="-6"/>
        </w:rPr>
        <w:t> </w:t>
      </w:r>
      <w:r>
        <w:rPr/>
        <w:t>can</w:t>
      </w:r>
      <w:r>
        <w:rPr>
          <w:spacing w:val="-5"/>
        </w:rPr>
        <w:t> </w:t>
      </w:r>
      <w:r>
        <w:rPr/>
        <w:t>probably</w:t>
      </w:r>
    </w:p>
    <w:p>
      <w:pPr>
        <w:spacing w:after="0" w:line="357" w:lineRule="auto"/>
        <w:sectPr>
          <w:pgSz w:w="12240" w:h="15840"/>
          <w:pgMar w:header="0" w:footer="1239" w:top="1440" w:bottom="1420" w:left="1220" w:right="1340"/>
        </w:sectPr>
      </w:pPr>
    </w:p>
    <w:p>
      <w:pPr>
        <w:pStyle w:val="BodyText"/>
        <w:spacing w:line="357" w:lineRule="auto" w:before="80"/>
        <w:ind w:left="233"/>
      </w:pPr>
      <w:r>
        <w:rPr/>
        <w:t>aspire</w:t>
      </w:r>
      <w:r>
        <w:rPr>
          <w:spacing w:val="-9"/>
        </w:rPr>
        <w:t> </w:t>
      </w:r>
      <w:r>
        <w:rPr/>
        <w:t>to</w:t>
      </w:r>
      <w:r>
        <w:rPr>
          <w:spacing w:val="-8"/>
        </w:rPr>
        <w:t> </w:t>
      </w:r>
      <w:r>
        <w:rPr/>
        <w:t>is</w:t>
      </w:r>
      <w:r>
        <w:rPr>
          <w:spacing w:val="-6"/>
        </w:rPr>
        <w:t> </w:t>
      </w:r>
      <w:r>
        <w:rPr/>
        <w:t>directing</w:t>
      </w:r>
      <w:r>
        <w:rPr>
          <w:spacing w:val="-9"/>
        </w:rPr>
        <w:t> </w:t>
      </w:r>
      <w:r>
        <w:rPr/>
        <w:t>monetary</w:t>
      </w:r>
      <w:r>
        <w:rPr>
          <w:spacing w:val="-7"/>
        </w:rPr>
        <w:t> </w:t>
      </w:r>
      <w:r>
        <w:rPr/>
        <w:t>policies</w:t>
      </w:r>
      <w:r>
        <w:rPr>
          <w:spacing w:val="-7"/>
        </w:rPr>
        <w:t> </w:t>
      </w:r>
      <w:r>
        <w:rPr/>
        <w:t>to</w:t>
      </w:r>
      <w:r>
        <w:rPr>
          <w:spacing w:val="-8"/>
        </w:rPr>
        <w:t> </w:t>
      </w:r>
      <w:r>
        <w:rPr/>
        <w:t>achieving</w:t>
      </w:r>
      <w:r>
        <w:rPr>
          <w:spacing w:val="-9"/>
        </w:rPr>
        <w:t> </w:t>
      </w:r>
      <w:r>
        <w:rPr/>
        <w:t>domestic</w:t>
      </w:r>
      <w:r>
        <w:rPr>
          <w:spacing w:val="-6"/>
        </w:rPr>
        <w:t> </w:t>
      </w:r>
      <w:r>
        <w:rPr/>
        <w:t>price</w:t>
      </w:r>
      <w:r>
        <w:rPr>
          <w:spacing w:val="-9"/>
        </w:rPr>
        <w:t> </w:t>
      </w:r>
      <w:r>
        <w:rPr/>
        <w:t>stability</w:t>
      </w:r>
      <w:r>
        <w:rPr>
          <w:spacing w:val="-8"/>
        </w:rPr>
        <w:t> </w:t>
      </w:r>
      <w:r>
        <w:rPr/>
        <w:t>in</w:t>
      </w:r>
      <w:r>
        <w:rPr>
          <w:spacing w:val="-10"/>
        </w:rPr>
        <w:t> </w:t>
      </w:r>
      <w:r>
        <w:rPr/>
        <w:t>a</w:t>
      </w:r>
      <w:r>
        <w:rPr>
          <w:spacing w:val="-8"/>
        </w:rPr>
        <w:t> </w:t>
      </w:r>
      <w:r>
        <w:rPr/>
        <w:t>sensible</w:t>
      </w:r>
      <w:r>
        <w:rPr>
          <w:spacing w:val="-9"/>
        </w:rPr>
        <w:t> </w:t>
      </w:r>
      <w:r>
        <w:rPr/>
        <w:t>manner</w:t>
      </w:r>
      <w:r>
        <w:rPr>
          <w:spacing w:val="-8"/>
        </w:rPr>
        <w:t> </w:t>
      </w:r>
      <w:r>
        <w:rPr/>
        <w:t>and</w:t>
      </w:r>
      <w:r>
        <w:rPr>
          <w:spacing w:val="-8"/>
        </w:rPr>
        <w:t> </w:t>
      </w:r>
      <w:r>
        <w:rPr/>
        <w:t>seeking</w:t>
      </w:r>
      <w:r>
        <w:rPr>
          <w:spacing w:val="-8"/>
        </w:rPr>
        <w:t> </w:t>
      </w:r>
      <w:r>
        <w:rPr/>
        <w:t>to communicate our policy intentions as clearly as</w:t>
      </w:r>
      <w:r>
        <w:rPr>
          <w:spacing w:val="-8"/>
        </w:rPr>
        <w:t> </w:t>
      </w:r>
      <w:r>
        <w:rPr/>
        <w:t>possible.</w:t>
      </w:r>
    </w:p>
    <w:p>
      <w:pPr>
        <w:pStyle w:val="BodyText"/>
        <w:spacing w:before="1"/>
        <w:rPr>
          <w:sz w:val="28"/>
        </w:rPr>
      </w:pPr>
    </w:p>
    <w:p>
      <w:pPr>
        <w:pStyle w:val="BodyText"/>
        <w:spacing w:line="357" w:lineRule="auto"/>
        <w:ind w:left="233"/>
      </w:pPr>
      <w:r>
        <w:rPr/>
        <w:t>Let me finish with a few words on the exit from unconventional monetary policies. While it may still be a way off, we know it will come eventually. And the recent market volatility prompted by heightened expectations of imminent tapering in the rate of asset purchases by the Federal Reserve has provided a salient reminder that it may not be smooth. Moreover, although the adoption of accommodative policies was synchronised across the advanced economies, the heterogeneous nature of the recovery, with the United States leading the way and Europe bringing up the rear, means that exit is unlikely to be synchronised, which will complicate matters.</w:t>
      </w:r>
    </w:p>
    <w:p>
      <w:pPr>
        <w:pStyle w:val="BodyText"/>
        <w:spacing w:before="8"/>
        <w:rPr>
          <w:sz w:val="27"/>
        </w:rPr>
      </w:pPr>
    </w:p>
    <w:p>
      <w:pPr>
        <w:pStyle w:val="BodyText"/>
        <w:spacing w:line="357" w:lineRule="auto"/>
        <w:ind w:left="233"/>
      </w:pPr>
      <w:r>
        <w:rPr/>
        <w:t>The international spillovers mentioned earlier can obviously be expected to operate in reverse on exit. And indeed, we have just seen such synchronised increases in long-term sovereign bond yields internationally, together</w:t>
      </w:r>
      <w:r>
        <w:rPr>
          <w:spacing w:val="-10"/>
        </w:rPr>
        <w:t> </w:t>
      </w:r>
      <w:r>
        <w:rPr/>
        <w:t>with</w:t>
      </w:r>
      <w:r>
        <w:rPr>
          <w:spacing w:val="-9"/>
        </w:rPr>
        <w:t> </w:t>
      </w:r>
      <w:r>
        <w:rPr/>
        <w:t>capital</w:t>
      </w:r>
      <w:r>
        <w:rPr>
          <w:spacing w:val="-9"/>
        </w:rPr>
        <w:t> </w:t>
      </w:r>
      <w:r>
        <w:rPr/>
        <w:t>outflows</w:t>
      </w:r>
      <w:r>
        <w:rPr>
          <w:spacing w:val="-9"/>
        </w:rPr>
        <w:t> </w:t>
      </w:r>
      <w:r>
        <w:rPr/>
        <w:t>from</w:t>
      </w:r>
      <w:r>
        <w:rPr>
          <w:spacing w:val="-10"/>
        </w:rPr>
        <w:t> </w:t>
      </w:r>
      <w:r>
        <w:rPr/>
        <w:t>emerging</w:t>
      </w:r>
      <w:r>
        <w:rPr>
          <w:spacing w:val="-11"/>
        </w:rPr>
        <w:t> </w:t>
      </w:r>
      <w:r>
        <w:rPr/>
        <w:t>economies</w:t>
      </w:r>
      <w:r>
        <w:rPr>
          <w:spacing w:val="-10"/>
        </w:rPr>
        <w:t> </w:t>
      </w:r>
      <w:r>
        <w:rPr/>
        <w:t>and</w:t>
      </w:r>
      <w:r>
        <w:rPr>
          <w:spacing w:val="-11"/>
        </w:rPr>
        <w:t> </w:t>
      </w:r>
      <w:r>
        <w:rPr/>
        <w:t>associated</w:t>
      </w:r>
      <w:r>
        <w:rPr>
          <w:spacing w:val="-11"/>
        </w:rPr>
        <w:t> </w:t>
      </w:r>
      <w:r>
        <w:rPr/>
        <w:t>downward</w:t>
      </w:r>
      <w:r>
        <w:rPr>
          <w:spacing w:val="-11"/>
        </w:rPr>
        <w:t> </w:t>
      </w:r>
      <w:r>
        <w:rPr/>
        <w:t>pressure</w:t>
      </w:r>
      <w:r>
        <w:rPr>
          <w:spacing w:val="-11"/>
        </w:rPr>
        <w:t> </w:t>
      </w:r>
      <w:r>
        <w:rPr/>
        <w:t>on</w:t>
      </w:r>
      <w:r>
        <w:rPr>
          <w:spacing w:val="-12"/>
        </w:rPr>
        <w:t> </w:t>
      </w:r>
      <w:r>
        <w:rPr/>
        <w:t>their</w:t>
      </w:r>
      <w:r>
        <w:rPr>
          <w:spacing w:val="-10"/>
        </w:rPr>
        <w:t> </w:t>
      </w:r>
      <w:r>
        <w:rPr/>
        <w:t>currencies. But for these countries, the greatest danger during exit will probably lie in the risk of future financial sector disruption if outflows expose currency mismatches on bank and corporate balance</w:t>
      </w:r>
      <w:r>
        <w:rPr>
          <w:spacing w:val="-33"/>
        </w:rPr>
        <w:t> </w:t>
      </w:r>
      <w:r>
        <w:rPr/>
        <w:t>sheets.</w:t>
      </w:r>
    </w:p>
    <w:p>
      <w:pPr>
        <w:pStyle w:val="BodyText"/>
        <w:spacing w:before="9"/>
        <w:rPr>
          <w:sz w:val="27"/>
        </w:rPr>
      </w:pPr>
    </w:p>
    <w:p>
      <w:pPr>
        <w:pStyle w:val="BodyText"/>
        <w:spacing w:line="357" w:lineRule="auto"/>
        <w:ind w:left="233" w:right="126"/>
      </w:pPr>
      <w:r>
        <w:rPr/>
        <w:t>For advanced economies, particularly those lagging behind on the road to exit, there is a risk that market participants see tightening moves in, </w:t>
      </w:r>
      <w:r>
        <w:rPr>
          <w:spacing w:val="-5"/>
        </w:rPr>
        <w:t>say, </w:t>
      </w:r>
      <w:r>
        <w:rPr/>
        <w:t>the United States as indicating that tightening is imminent elsewhere. Although synchronised movements in bond rates is unsurprising given the high degree of substitutability between relatively safe sovereign bonds, synchronisation at the short end of the yield curve is not warranted if cyclical positions </w:t>
      </w:r>
      <w:r>
        <w:rPr>
          <w:spacing w:val="-3"/>
        </w:rPr>
        <w:t>differ.</w:t>
      </w:r>
    </w:p>
    <w:p>
      <w:pPr>
        <w:pStyle w:val="BodyText"/>
        <w:spacing w:before="9"/>
        <w:rPr>
          <w:sz w:val="27"/>
        </w:rPr>
      </w:pPr>
    </w:p>
    <w:p>
      <w:pPr>
        <w:pStyle w:val="BodyText"/>
        <w:spacing w:line="357" w:lineRule="auto" w:before="1"/>
        <w:ind w:left="233" w:right="113"/>
      </w:pPr>
      <w:r>
        <w:rPr/>
        <w:t>Such concerns prompted the Monetary Policy Committee of the Bank of England and the Governing Council of the European Central Bank to push back against the recent upward movements in the short end of the yield curve in our respective policy statements in </w:t>
      </w:r>
      <w:r>
        <w:rPr>
          <w:spacing w:val="-4"/>
        </w:rPr>
        <w:t>July. </w:t>
      </w:r>
      <w:r>
        <w:rPr/>
        <w:t>The MPC took this further at our latest meeting by offering explicit forward guidance on the future path of policy rates and asset purchases. The guidance is similar to that already</w:t>
      </w:r>
      <w:r>
        <w:rPr>
          <w:spacing w:val="-9"/>
        </w:rPr>
        <w:t> </w:t>
      </w:r>
      <w:r>
        <w:rPr/>
        <w:t>adopted</w:t>
      </w:r>
      <w:r>
        <w:rPr>
          <w:spacing w:val="-9"/>
        </w:rPr>
        <w:t> </w:t>
      </w:r>
      <w:r>
        <w:rPr/>
        <w:t>by</w:t>
      </w:r>
      <w:r>
        <w:rPr>
          <w:spacing w:val="-9"/>
        </w:rPr>
        <w:t> </w:t>
      </w:r>
      <w:r>
        <w:rPr/>
        <w:t>the</w:t>
      </w:r>
      <w:r>
        <w:rPr>
          <w:spacing w:val="-9"/>
        </w:rPr>
        <w:t> </w:t>
      </w:r>
      <w:r>
        <w:rPr/>
        <w:t>Federal</w:t>
      </w:r>
      <w:r>
        <w:rPr>
          <w:spacing w:val="-9"/>
        </w:rPr>
        <w:t> </w:t>
      </w:r>
      <w:r>
        <w:rPr/>
        <w:t>Open</w:t>
      </w:r>
      <w:r>
        <w:rPr>
          <w:spacing w:val="-9"/>
        </w:rPr>
        <w:t> </w:t>
      </w:r>
      <w:r>
        <w:rPr/>
        <w:t>Market</w:t>
      </w:r>
      <w:r>
        <w:rPr>
          <w:spacing w:val="-9"/>
        </w:rPr>
        <w:t> </w:t>
      </w:r>
      <w:r>
        <w:rPr/>
        <w:t>Committee,</w:t>
      </w:r>
      <w:r>
        <w:rPr>
          <w:spacing w:val="-9"/>
        </w:rPr>
        <w:t> </w:t>
      </w:r>
      <w:r>
        <w:rPr/>
        <w:t>but</w:t>
      </w:r>
      <w:r>
        <w:rPr>
          <w:spacing w:val="-9"/>
        </w:rPr>
        <w:t> </w:t>
      </w:r>
      <w:r>
        <w:rPr/>
        <w:t>differing</w:t>
      </w:r>
      <w:r>
        <w:rPr>
          <w:spacing w:val="-9"/>
        </w:rPr>
        <w:t> </w:t>
      </w:r>
      <w:r>
        <w:rPr/>
        <w:t>in</w:t>
      </w:r>
      <w:r>
        <w:rPr>
          <w:spacing w:val="-9"/>
        </w:rPr>
        <w:t> </w:t>
      </w:r>
      <w:r>
        <w:rPr/>
        <w:t>details</w:t>
      </w:r>
      <w:r>
        <w:rPr>
          <w:spacing w:val="-8"/>
        </w:rPr>
        <w:t> </w:t>
      </w:r>
      <w:r>
        <w:rPr/>
        <w:t>that</w:t>
      </w:r>
      <w:r>
        <w:rPr>
          <w:spacing w:val="-9"/>
        </w:rPr>
        <w:t> </w:t>
      </w:r>
      <w:r>
        <w:rPr/>
        <w:t>reflect</w:t>
      </w:r>
      <w:r>
        <w:rPr>
          <w:spacing w:val="-10"/>
        </w:rPr>
        <w:t> </w:t>
      </w:r>
      <w:r>
        <w:rPr/>
        <w:t>the</w:t>
      </w:r>
      <w:r>
        <w:rPr>
          <w:spacing w:val="-8"/>
        </w:rPr>
        <w:t> </w:t>
      </w:r>
      <w:r>
        <w:rPr/>
        <w:t>different</w:t>
      </w:r>
      <w:r>
        <w:rPr>
          <w:spacing w:val="-7"/>
        </w:rPr>
        <w:t> </w:t>
      </w:r>
      <w:r>
        <w:rPr/>
        <w:t>position of the UK </w:t>
      </w:r>
      <w:r>
        <w:rPr>
          <w:spacing w:val="-3"/>
        </w:rPr>
        <w:t>economy. </w:t>
      </w:r>
      <w:r>
        <w:rPr/>
        <w:t>In particular, we signalled our intention not to countenance tightening policy until unemployment has fallen to at least 7%. In addition, while our guidance is subject to two price stability overrides</w:t>
      </w:r>
      <w:r>
        <w:rPr>
          <w:spacing w:val="-7"/>
        </w:rPr>
        <w:t> </w:t>
      </w:r>
      <w:r>
        <w:rPr/>
        <w:t>similar</w:t>
      </w:r>
      <w:r>
        <w:rPr>
          <w:spacing w:val="-7"/>
        </w:rPr>
        <w:t> </w:t>
      </w:r>
      <w:r>
        <w:rPr/>
        <w:t>to</w:t>
      </w:r>
      <w:r>
        <w:rPr>
          <w:spacing w:val="-7"/>
        </w:rPr>
        <w:t> </w:t>
      </w:r>
      <w:r>
        <w:rPr/>
        <w:t>those</w:t>
      </w:r>
      <w:r>
        <w:rPr>
          <w:spacing w:val="-6"/>
        </w:rPr>
        <w:t> </w:t>
      </w:r>
      <w:r>
        <w:rPr/>
        <w:t>of</w:t>
      </w:r>
      <w:r>
        <w:rPr>
          <w:spacing w:val="-7"/>
        </w:rPr>
        <w:t> </w:t>
      </w:r>
      <w:r>
        <w:rPr/>
        <w:t>the</w:t>
      </w:r>
      <w:r>
        <w:rPr>
          <w:spacing w:val="-8"/>
        </w:rPr>
        <w:t> </w:t>
      </w:r>
      <w:r>
        <w:rPr/>
        <w:t>Fed</w:t>
      </w:r>
      <w:r>
        <w:rPr>
          <w:spacing w:val="-7"/>
        </w:rPr>
        <w:t> </w:t>
      </w:r>
      <w:r>
        <w:rPr/>
        <w:t>relating</w:t>
      </w:r>
      <w:r>
        <w:rPr>
          <w:spacing w:val="-8"/>
        </w:rPr>
        <w:t> </w:t>
      </w:r>
      <w:r>
        <w:rPr/>
        <w:t>to</w:t>
      </w:r>
      <w:r>
        <w:rPr>
          <w:spacing w:val="-8"/>
        </w:rPr>
        <w:t> </w:t>
      </w:r>
      <w:r>
        <w:rPr/>
        <w:t>internal</w:t>
      </w:r>
      <w:r>
        <w:rPr>
          <w:spacing w:val="-7"/>
        </w:rPr>
        <w:t> </w:t>
      </w:r>
      <w:r>
        <w:rPr/>
        <w:t>and</w:t>
      </w:r>
      <w:r>
        <w:rPr>
          <w:spacing w:val="-8"/>
        </w:rPr>
        <w:t> </w:t>
      </w:r>
      <w:r>
        <w:rPr/>
        <w:t>external</w:t>
      </w:r>
      <w:r>
        <w:rPr>
          <w:spacing w:val="-5"/>
        </w:rPr>
        <w:t> </w:t>
      </w:r>
      <w:r>
        <w:rPr/>
        <w:t>measures</w:t>
      </w:r>
      <w:r>
        <w:rPr>
          <w:spacing w:val="-6"/>
        </w:rPr>
        <w:t> </w:t>
      </w:r>
      <w:r>
        <w:rPr/>
        <w:t>of</w:t>
      </w:r>
      <w:r>
        <w:rPr>
          <w:spacing w:val="-8"/>
        </w:rPr>
        <w:t> </w:t>
      </w:r>
      <w:r>
        <w:rPr/>
        <w:t>inflation</w:t>
      </w:r>
      <w:r>
        <w:rPr>
          <w:spacing w:val="-7"/>
        </w:rPr>
        <w:t> </w:t>
      </w:r>
      <w:r>
        <w:rPr/>
        <w:t>expectations,</w:t>
      </w:r>
      <w:r>
        <w:rPr>
          <w:spacing w:val="-6"/>
        </w:rPr>
        <w:t> </w:t>
      </w:r>
      <w:r>
        <w:rPr/>
        <w:t>we</w:t>
      </w:r>
      <w:r>
        <w:rPr>
          <w:spacing w:val="-8"/>
        </w:rPr>
        <w:t> </w:t>
      </w:r>
      <w:r>
        <w:rPr/>
        <w:t>have also added a financial stability override determined by our Financial Policy</w:t>
      </w:r>
      <w:r>
        <w:rPr>
          <w:spacing w:val="-30"/>
        </w:rPr>
        <w:t> </w:t>
      </w:r>
      <w:r>
        <w:rPr/>
        <w:t>Committee.</w:t>
      </w:r>
    </w:p>
    <w:p>
      <w:pPr>
        <w:pStyle w:val="BodyText"/>
        <w:spacing w:before="4"/>
        <w:rPr>
          <w:sz w:val="27"/>
        </w:rPr>
      </w:pPr>
    </w:p>
    <w:p>
      <w:pPr>
        <w:pStyle w:val="BodyText"/>
        <w:spacing w:line="357" w:lineRule="auto"/>
        <w:ind w:left="233" w:right="153"/>
      </w:pPr>
      <w:r>
        <w:rPr/>
        <w:t>This</w:t>
      </w:r>
      <w:r>
        <w:rPr>
          <w:spacing w:val="-8"/>
        </w:rPr>
        <w:t> </w:t>
      </w:r>
      <w:r>
        <w:rPr/>
        <w:t>guidance</w:t>
      </w:r>
      <w:r>
        <w:rPr>
          <w:spacing w:val="-9"/>
        </w:rPr>
        <w:t> </w:t>
      </w:r>
      <w:r>
        <w:rPr/>
        <w:t>is</w:t>
      </w:r>
      <w:r>
        <w:rPr>
          <w:spacing w:val="-9"/>
        </w:rPr>
        <w:t> </w:t>
      </w:r>
      <w:r>
        <w:rPr/>
        <w:t>intended</w:t>
      </w:r>
      <w:r>
        <w:rPr>
          <w:spacing w:val="-9"/>
        </w:rPr>
        <w:t> </w:t>
      </w:r>
      <w:r>
        <w:rPr/>
        <w:t>primarily</w:t>
      </w:r>
      <w:r>
        <w:rPr>
          <w:spacing w:val="-8"/>
        </w:rPr>
        <w:t> </w:t>
      </w:r>
      <w:r>
        <w:rPr/>
        <w:t>to</w:t>
      </w:r>
      <w:r>
        <w:rPr>
          <w:spacing w:val="-10"/>
        </w:rPr>
        <w:t> </w:t>
      </w:r>
      <w:r>
        <w:rPr/>
        <w:t>clarify</w:t>
      </w:r>
      <w:r>
        <w:rPr>
          <w:spacing w:val="-9"/>
        </w:rPr>
        <w:t> </w:t>
      </w:r>
      <w:r>
        <w:rPr/>
        <w:t>our</w:t>
      </w:r>
      <w:r>
        <w:rPr>
          <w:spacing w:val="-9"/>
        </w:rPr>
        <w:t> </w:t>
      </w:r>
      <w:r>
        <w:rPr/>
        <w:t>reaction</w:t>
      </w:r>
      <w:r>
        <w:rPr>
          <w:spacing w:val="-10"/>
        </w:rPr>
        <w:t> </w:t>
      </w:r>
      <w:r>
        <w:rPr/>
        <w:t>function</w:t>
      </w:r>
      <w:r>
        <w:rPr>
          <w:spacing w:val="-9"/>
        </w:rPr>
        <w:t> </w:t>
      </w:r>
      <w:r>
        <w:rPr/>
        <w:t>and</w:t>
      </w:r>
      <w:r>
        <w:rPr>
          <w:spacing w:val="-10"/>
        </w:rPr>
        <w:t> </w:t>
      </w:r>
      <w:r>
        <w:rPr/>
        <w:t>thus</w:t>
      </w:r>
      <w:r>
        <w:rPr>
          <w:spacing w:val="-8"/>
        </w:rPr>
        <w:t> </w:t>
      </w:r>
      <w:r>
        <w:rPr/>
        <w:t>make</w:t>
      </w:r>
      <w:r>
        <w:rPr>
          <w:spacing w:val="-9"/>
        </w:rPr>
        <w:t> </w:t>
      </w:r>
      <w:r>
        <w:rPr/>
        <w:t>policy</w:t>
      </w:r>
      <w:r>
        <w:rPr>
          <w:spacing w:val="-8"/>
        </w:rPr>
        <w:t> </w:t>
      </w:r>
      <w:r>
        <w:rPr/>
        <w:t>more</w:t>
      </w:r>
      <w:r>
        <w:rPr>
          <w:spacing w:val="-9"/>
        </w:rPr>
        <w:t> </w:t>
      </w:r>
      <w:r>
        <w:rPr/>
        <w:t>effective,</w:t>
      </w:r>
      <w:r>
        <w:rPr>
          <w:spacing w:val="-9"/>
        </w:rPr>
        <w:t> </w:t>
      </w:r>
      <w:r>
        <w:rPr/>
        <w:t>rather than to inject additional stimulus by pre-committing to a time-inconsistent ‘lower for longer’ policy path in the manner of Woodford (2012). While such a time-inconsistent policy may be desirable in </w:t>
      </w:r>
      <w:r>
        <w:rPr>
          <w:spacing w:val="-3"/>
        </w:rPr>
        <w:t>theory, </w:t>
      </w:r>
      <w:r>
        <w:rPr/>
        <w:t>in an individualistic committee like ours, with a regular turnover of members, it is not possible to implement a mechanism that would credibly bind future members in the manner</w:t>
      </w:r>
      <w:r>
        <w:rPr>
          <w:spacing w:val="-19"/>
        </w:rPr>
        <w:t> </w:t>
      </w:r>
      <w:r>
        <w:rPr/>
        <w:t>required.</w:t>
      </w:r>
    </w:p>
    <w:p>
      <w:pPr>
        <w:spacing w:after="0" w:line="357" w:lineRule="auto"/>
        <w:sectPr>
          <w:pgSz w:w="12240" w:h="15840"/>
          <w:pgMar w:header="0" w:footer="1239" w:top="1440" w:bottom="1420" w:left="1220" w:right="1340"/>
        </w:sectPr>
      </w:pPr>
    </w:p>
    <w:p>
      <w:pPr>
        <w:pStyle w:val="BodyText"/>
        <w:spacing w:line="357" w:lineRule="auto" w:before="80"/>
        <w:ind w:left="233" w:right="133"/>
      </w:pPr>
      <w:r>
        <w:rPr/>
        <w:t>Nevertheless, by reducing uncertainty about our behaviour, we are aiming to encourage households and businesses to spend and invest. The knowledge that monetary policy will not be tightened until the UK’s fledgling recovery is secured should boost confidence. </w:t>
      </w:r>
      <w:r>
        <w:rPr>
          <w:spacing w:val="-3"/>
        </w:rPr>
        <w:t>Moreover, </w:t>
      </w:r>
      <w:r>
        <w:rPr/>
        <w:t>it should reduce the likelihood that the present expansionary monetary stance is withdrawn prematurely through an upward movement in market interest rates. Short-term yields have moved up since our announcement on a string of good news about the </w:t>
      </w:r>
      <w:r>
        <w:rPr>
          <w:spacing w:val="-3"/>
        </w:rPr>
        <w:t>economy, </w:t>
      </w:r>
      <w:r>
        <w:rPr/>
        <w:t>but the unemployment threshold, by serving as a reminder of just how much growth is needed to regain lost ground, should temper the extent of any tightening. Indeed, for that reason, guidance is potentially more valuable during exit than during </w:t>
      </w:r>
      <w:r>
        <w:rPr>
          <w:spacing w:val="-3"/>
        </w:rPr>
        <w:t>entry. Finally, </w:t>
      </w:r>
      <w:r>
        <w:rPr/>
        <w:t>given the uncertainty about the causes and durability of the recent exceptional weakness in UK productivity growth, it also provides a robust framework within which to test the scope for economic expansion without jeopardising price or financial stability.</w:t>
      </w:r>
    </w:p>
    <w:p>
      <w:pPr>
        <w:pStyle w:val="BodyText"/>
        <w:spacing w:before="3"/>
        <w:rPr>
          <w:sz w:val="27"/>
        </w:rPr>
      </w:pPr>
    </w:p>
    <w:p>
      <w:pPr>
        <w:pStyle w:val="BodyText"/>
        <w:spacing w:line="357" w:lineRule="auto" w:before="1"/>
        <w:ind w:left="233" w:right="153"/>
      </w:pPr>
      <w:r>
        <w:rPr/>
        <w:t>While guidance – and good central bank communication more generally – will be important during exit, I doubt very much that good central bank communications alone can ensure that it will be completely smooth. When a central bank’s reaction function is not well understood, market interest rates tend to respond to policymakers’ actions in response to economic data. But when the reaction function is well understood, market interest rates will instead respond earlier as the economic data unfolds. Although there are benefits to the market more accurately anticipating a given policy decision, because the data are likely to evolve in an imperfectly predictable fashion, so will market interest rates and asset prices.</w:t>
      </w:r>
    </w:p>
    <w:p>
      <w:pPr>
        <w:pStyle w:val="BodyText"/>
        <w:spacing w:before="7"/>
        <w:rPr>
          <w:sz w:val="27"/>
        </w:rPr>
      </w:pPr>
    </w:p>
    <w:p>
      <w:pPr>
        <w:pStyle w:val="BodyText"/>
        <w:spacing w:line="357" w:lineRule="auto"/>
        <w:ind w:left="233" w:right="207"/>
      </w:pPr>
      <w:r>
        <w:rPr/>
        <w:t>In</w:t>
      </w:r>
      <w:r>
        <w:rPr>
          <w:spacing w:val="-7"/>
        </w:rPr>
        <w:t> </w:t>
      </w:r>
      <w:r>
        <w:rPr/>
        <w:t>sum,</w:t>
      </w:r>
      <w:r>
        <w:rPr>
          <w:spacing w:val="-9"/>
        </w:rPr>
        <w:t> </w:t>
      </w:r>
      <w:r>
        <w:rPr/>
        <w:t>then,</w:t>
      </w:r>
      <w:r>
        <w:rPr>
          <w:spacing w:val="-6"/>
        </w:rPr>
        <w:t> </w:t>
      </w:r>
      <w:r>
        <w:rPr/>
        <w:t>exit</w:t>
      </w:r>
      <w:r>
        <w:rPr>
          <w:spacing w:val="-6"/>
        </w:rPr>
        <w:t> </w:t>
      </w:r>
      <w:r>
        <w:rPr/>
        <w:t>will</w:t>
      </w:r>
      <w:r>
        <w:rPr>
          <w:spacing w:val="-7"/>
        </w:rPr>
        <w:t> </w:t>
      </w:r>
      <w:r>
        <w:rPr/>
        <w:t>be</w:t>
      </w:r>
      <w:r>
        <w:rPr>
          <w:spacing w:val="-7"/>
        </w:rPr>
        <w:t> </w:t>
      </w:r>
      <w:r>
        <w:rPr/>
        <w:t>challenging,</w:t>
      </w:r>
      <w:r>
        <w:rPr>
          <w:spacing w:val="-6"/>
        </w:rPr>
        <w:t> </w:t>
      </w:r>
      <w:r>
        <w:rPr/>
        <w:t>both</w:t>
      </w:r>
      <w:r>
        <w:rPr>
          <w:spacing w:val="-6"/>
        </w:rPr>
        <w:t> </w:t>
      </w:r>
      <w:r>
        <w:rPr/>
        <w:t>for</w:t>
      </w:r>
      <w:r>
        <w:rPr>
          <w:spacing w:val="-8"/>
        </w:rPr>
        <w:t> </w:t>
      </w:r>
      <w:r>
        <w:rPr/>
        <w:t>the</w:t>
      </w:r>
      <w:r>
        <w:rPr>
          <w:spacing w:val="-7"/>
        </w:rPr>
        <w:t> </w:t>
      </w:r>
      <w:r>
        <w:rPr/>
        <w:t>central</w:t>
      </w:r>
      <w:r>
        <w:rPr>
          <w:spacing w:val="-6"/>
        </w:rPr>
        <w:t> </w:t>
      </w:r>
      <w:r>
        <w:rPr/>
        <w:t>banks</w:t>
      </w:r>
      <w:r>
        <w:rPr>
          <w:spacing w:val="-6"/>
        </w:rPr>
        <w:t> </w:t>
      </w:r>
      <w:r>
        <w:rPr/>
        <w:t>in</w:t>
      </w:r>
      <w:r>
        <w:rPr>
          <w:spacing w:val="-9"/>
        </w:rPr>
        <w:t> </w:t>
      </w:r>
      <w:r>
        <w:rPr/>
        <w:t>the</w:t>
      </w:r>
      <w:r>
        <w:rPr>
          <w:spacing w:val="-6"/>
        </w:rPr>
        <w:t> </w:t>
      </w:r>
      <w:r>
        <w:rPr/>
        <w:t>countries</w:t>
      </w:r>
      <w:r>
        <w:rPr>
          <w:spacing w:val="-9"/>
        </w:rPr>
        <w:t> </w:t>
      </w:r>
      <w:r>
        <w:rPr/>
        <w:t>withdrawing</w:t>
      </w:r>
      <w:r>
        <w:rPr>
          <w:spacing w:val="-8"/>
        </w:rPr>
        <w:t> </w:t>
      </w:r>
      <w:r>
        <w:rPr/>
        <w:t>stimulus</w:t>
      </w:r>
      <w:r>
        <w:rPr>
          <w:spacing w:val="-7"/>
        </w:rPr>
        <w:t> </w:t>
      </w:r>
      <w:r>
        <w:rPr/>
        <w:t>and</w:t>
      </w:r>
      <w:r>
        <w:rPr>
          <w:spacing w:val="-8"/>
        </w:rPr>
        <w:t> </w:t>
      </w:r>
      <w:r>
        <w:rPr/>
        <w:t>those in</w:t>
      </w:r>
      <w:r>
        <w:rPr>
          <w:spacing w:val="-7"/>
        </w:rPr>
        <w:t> </w:t>
      </w:r>
      <w:r>
        <w:rPr/>
        <w:t>other</w:t>
      </w:r>
      <w:r>
        <w:rPr>
          <w:spacing w:val="-8"/>
        </w:rPr>
        <w:t> </w:t>
      </w:r>
      <w:r>
        <w:rPr/>
        <w:t>countries</w:t>
      </w:r>
      <w:r>
        <w:rPr>
          <w:spacing w:val="-5"/>
        </w:rPr>
        <w:t> </w:t>
      </w:r>
      <w:r>
        <w:rPr/>
        <w:t>that</w:t>
      </w:r>
      <w:r>
        <w:rPr>
          <w:spacing w:val="-6"/>
        </w:rPr>
        <w:t> </w:t>
      </w:r>
      <w:r>
        <w:rPr/>
        <w:t>will</w:t>
      </w:r>
      <w:r>
        <w:rPr>
          <w:spacing w:val="-7"/>
        </w:rPr>
        <w:t> </w:t>
      </w:r>
      <w:r>
        <w:rPr/>
        <w:t>be</w:t>
      </w:r>
      <w:r>
        <w:rPr>
          <w:spacing w:val="-7"/>
        </w:rPr>
        <w:t> </w:t>
      </w:r>
      <w:r>
        <w:rPr/>
        <w:t>affected</w:t>
      </w:r>
      <w:r>
        <w:rPr>
          <w:spacing w:val="-7"/>
        </w:rPr>
        <w:t> </w:t>
      </w:r>
      <w:r>
        <w:rPr/>
        <w:t>by</w:t>
      </w:r>
      <w:r>
        <w:rPr>
          <w:spacing w:val="-6"/>
        </w:rPr>
        <w:t> </w:t>
      </w:r>
      <w:r>
        <w:rPr/>
        <w:t>the</w:t>
      </w:r>
      <w:r>
        <w:rPr>
          <w:spacing w:val="-6"/>
        </w:rPr>
        <w:t> </w:t>
      </w:r>
      <w:r>
        <w:rPr/>
        <w:t>international</w:t>
      </w:r>
      <w:r>
        <w:rPr>
          <w:spacing w:val="-6"/>
        </w:rPr>
        <w:t> </w:t>
      </w:r>
      <w:r>
        <w:rPr/>
        <w:t>spillovers.</w:t>
      </w:r>
      <w:r>
        <w:rPr>
          <w:spacing w:val="39"/>
        </w:rPr>
        <w:t> </w:t>
      </w:r>
      <w:r>
        <w:rPr/>
        <w:t>But</w:t>
      </w:r>
      <w:r>
        <w:rPr>
          <w:spacing w:val="-5"/>
        </w:rPr>
        <w:t> </w:t>
      </w:r>
      <w:r>
        <w:rPr/>
        <w:t>we</w:t>
      </w:r>
      <w:r>
        <w:rPr>
          <w:spacing w:val="-8"/>
        </w:rPr>
        <w:t> </w:t>
      </w:r>
      <w:r>
        <w:rPr/>
        <w:t>do</w:t>
      </w:r>
      <w:r>
        <w:rPr>
          <w:spacing w:val="-7"/>
        </w:rPr>
        <w:t> </w:t>
      </w:r>
      <w:r>
        <w:rPr/>
        <w:t>have</w:t>
      </w:r>
      <w:r>
        <w:rPr>
          <w:spacing w:val="-7"/>
        </w:rPr>
        <w:t> </w:t>
      </w:r>
      <w:r>
        <w:rPr/>
        <w:t>the</w:t>
      </w:r>
      <w:r>
        <w:rPr>
          <w:spacing w:val="-7"/>
        </w:rPr>
        <w:t> </w:t>
      </w:r>
      <w:r>
        <w:rPr/>
        <w:t>luxury</w:t>
      </w:r>
      <w:r>
        <w:rPr>
          <w:spacing w:val="-6"/>
        </w:rPr>
        <w:t> </w:t>
      </w:r>
      <w:r>
        <w:rPr/>
        <w:t>of</w:t>
      </w:r>
      <w:r>
        <w:rPr>
          <w:spacing w:val="-8"/>
        </w:rPr>
        <w:t> </w:t>
      </w:r>
      <w:r>
        <w:rPr/>
        <w:t>knowing</w:t>
      </w:r>
      <w:r>
        <w:rPr>
          <w:spacing w:val="-7"/>
        </w:rPr>
        <w:t> </w:t>
      </w:r>
      <w:r>
        <w:rPr/>
        <w:t>that it will come eventually and can plan for it appropriately. And when it does come, it should be against the background of a markedly better economic outlook in the advanced economies. That itself would be a most welcome</w:t>
      </w:r>
      <w:r>
        <w:rPr>
          <w:spacing w:val="-3"/>
        </w:rPr>
        <w:t> </w:t>
      </w:r>
      <w:r>
        <w:rPr/>
        <w:t>change.</w:t>
      </w:r>
    </w:p>
    <w:p>
      <w:pPr>
        <w:pStyle w:val="BodyText"/>
        <w:spacing w:before="9"/>
        <w:rPr>
          <w:sz w:val="27"/>
        </w:rPr>
      </w:pPr>
    </w:p>
    <w:p>
      <w:pPr>
        <w:pStyle w:val="BodyText"/>
        <w:spacing w:before="1"/>
        <w:ind w:left="233"/>
      </w:pPr>
      <w:r>
        <w:rPr/>
        <w:t>Thank you!</w:t>
      </w:r>
    </w:p>
    <w:p>
      <w:pPr>
        <w:spacing w:after="0"/>
        <w:sectPr>
          <w:pgSz w:w="12240" w:h="15840"/>
          <w:pgMar w:header="0" w:footer="1239" w:top="1440" w:bottom="1420" w:left="1220" w:right="1340"/>
        </w:sectPr>
      </w:pPr>
    </w:p>
    <w:p>
      <w:pPr>
        <w:spacing w:before="87"/>
        <w:ind w:left="233" w:right="0" w:firstLine="0"/>
        <w:jc w:val="left"/>
        <w:rPr>
          <w:b/>
          <w:sz w:val="22"/>
        </w:rPr>
      </w:pPr>
      <w:r>
        <w:rPr>
          <w:b/>
          <w:w w:val="105"/>
          <w:sz w:val="22"/>
        </w:rPr>
        <w:t>References</w:t>
      </w:r>
    </w:p>
    <w:p>
      <w:pPr>
        <w:pStyle w:val="BodyText"/>
        <w:rPr>
          <w:b/>
          <w:sz w:val="24"/>
        </w:rPr>
      </w:pPr>
    </w:p>
    <w:p>
      <w:pPr>
        <w:spacing w:line="237" w:lineRule="auto" w:before="179"/>
        <w:ind w:left="233" w:right="0" w:firstLine="0"/>
        <w:jc w:val="left"/>
        <w:rPr>
          <w:i/>
          <w:sz w:val="19"/>
        </w:rPr>
      </w:pPr>
      <w:r>
        <w:rPr>
          <w:b/>
          <w:sz w:val="19"/>
        </w:rPr>
        <w:t>Committee on International Economic Policy and Reform (2011). </w:t>
      </w:r>
      <w:r>
        <w:rPr>
          <w:sz w:val="19"/>
        </w:rPr>
        <w:t>Rethinking Central Banking, </w:t>
      </w:r>
      <w:r>
        <w:rPr>
          <w:i/>
          <w:sz w:val="19"/>
        </w:rPr>
        <w:t>Brookings </w:t>
      </w:r>
      <w:r>
        <w:rPr>
          <w:i/>
          <w:sz w:val="19"/>
        </w:rPr>
        <w:t>Institute, </w:t>
      </w:r>
      <w:r>
        <w:rPr>
          <w:sz w:val="19"/>
        </w:rPr>
        <w:t>Washington DC</w:t>
      </w:r>
      <w:r>
        <w:rPr>
          <w:i/>
          <w:sz w:val="19"/>
        </w:rPr>
        <w:t>.</w:t>
      </w:r>
    </w:p>
    <w:p>
      <w:pPr>
        <w:pStyle w:val="BodyText"/>
        <w:spacing w:before="10"/>
        <w:rPr>
          <w:i/>
          <w:sz w:val="18"/>
        </w:rPr>
      </w:pPr>
    </w:p>
    <w:p>
      <w:pPr>
        <w:spacing w:line="237" w:lineRule="auto" w:before="0"/>
        <w:ind w:left="233" w:right="0" w:firstLine="0"/>
        <w:jc w:val="left"/>
        <w:rPr>
          <w:i/>
          <w:sz w:val="19"/>
        </w:rPr>
      </w:pPr>
      <w:r>
        <w:rPr>
          <w:b/>
          <w:sz w:val="19"/>
        </w:rPr>
        <w:t>Fratzscher, Marcel, Marco Lo Duca and Roland Straub (2013). </w:t>
      </w:r>
      <w:r>
        <w:rPr>
          <w:sz w:val="19"/>
        </w:rPr>
        <w:t>‘On the International Spillovers of US Quantitative Easing’, </w:t>
      </w:r>
      <w:r>
        <w:rPr>
          <w:i/>
          <w:sz w:val="19"/>
        </w:rPr>
        <w:t>European Central Bank Working Paper #1557.</w:t>
      </w:r>
    </w:p>
    <w:p>
      <w:pPr>
        <w:pStyle w:val="BodyText"/>
        <w:spacing w:before="6"/>
        <w:rPr>
          <w:i/>
          <w:sz w:val="18"/>
        </w:rPr>
      </w:pPr>
    </w:p>
    <w:p>
      <w:pPr>
        <w:spacing w:before="1"/>
        <w:ind w:left="233" w:right="0" w:firstLine="0"/>
        <w:jc w:val="left"/>
        <w:rPr>
          <w:sz w:val="19"/>
        </w:rPr>
      </w:pPr>
      <w:r>
        <w:rPr>
          <w:b/>
          <w:sz w:val="19"/>
        </w:rPr>
        <w:t>King, Mervyn (2009). </w:t>
      </w:r>
      <w:r>
        <w:rPr>
          <w:sz w:val="19"/>
        </w:rPr>
        <w:t>Speech to Confederation of British Industry, Nottingham, 20 January.</w:t>
      </w:r>
    </w:p>
    <w:p>
      <w:pPr>
        <w:pStyle w:val="BodyText"/>
        <w:spacing w:before="7"/>
        <w:rPr>
          <w:sz w:val="18"/>
        </w:rPr>
      </w:pPr>
    </w:p>
    <w:p>
      <w:pPr>
        <w:spacing w:before="0"/>
        <w:ind w:left="233" w:right="153" w:firstLine="0"/>
        <w:jc w:val="left"/>
        <w:rPr>
          <w:i/>
          <w:sz w:val="19"/>
        </w:rPr>
      </w:pPr>
      <w:r>
        <w:rPr>
          <w:b/>
          <w:sz w:val="19"/>
        </w:rPr>
        <w:t>He, Dong and Robert McCauley (2013). </w:t>
      </w:r>
      <w:r>
        <w:rPr>
          <w:sz w:val="19"/>
        </w:rPr>
        <w:t>‘Transmitting Global Liquidity to East Asia: Policy Rates, Bond Yields, Currencies and Dollar Credit’, </w:t>
      </w:r>
      <w:r>
        <w:rPr>
          <w:i/>
          <w:sz w:val="19"/>
        </w:rPr>
        <w:t>mimeo, Bank for International Settlements.</w:t>
      </w:r>
    </w:p>
    <w:p>
      <w:pPr>
        <w:pStyle w:val="BodyText"/>
        <w:spacing w:before="5"/>
        <w:rPr>
          <w:i/>
          <w:sz w:val="18"/>
        </w:rPr>
      </w:pPr>
    </w:p>
    <w:p>
      <w:pPr>
        <w:spacing w:before="1"/>
        <w:ind w:left="233" w:right="0" w:firstLine="0"/>
        <w:jc w:val="left"/>
        <w:rPr>
          <w:i/>
          <w:sz w:val="19"/>
        </w:rPr>
      </w:pPr>
      <w:r>
        <w:rPr>
          <w:b/>
          <w:sz w:val="19"/>
        </w:rPr>
        <w:t>Moore, Jeffrey, Sunwoo Nam, Myeongguk Suh, and Alexander Tepper, (2013). </w:t>
      </w:r>
      <w:r>
        <w:rPr>
          <w:sz w:val="19"/>
        </w:rPr>
        <w:t>‘Estimating the Impacts of the</w:t>
      </w:r>
      <w:r>
        <w:rPr>
          <w:spacing w:val="-9"/>
          <w:sz w:val="19"/>
        </w:rPr>
        <w:t> </w:t>
      </w:r>
      <w:r>
        <w:rPr>
          <w:sz w:val="19"/>
        </w:rPr>
        <w:t>U.S.</w:t>
      </w:r>
      <w:r>
        <w:rPr>
          <w:spacing w:val="-8"/>
          <w:sz w:val="19"/>
        </w:rPr>
        <w:t> </w:t>
      </w:r>
      <w:r>
        <w:rPr>
          <w:sz w:val="19"/>
        </w:rPr>
        <w:t>LSAPs</w:t>
      </w:r>
      <w:r>
        <w:rPr>
          <w:spacing w:val="-9"/>
          <w:sz w:val="19"/>
        </w:rPr>
        <w:t> </w:t>
      </w:r>
      <w:r>
        <w:rPr>
          <w:sz w:val="19"/>
        </w:rPr>
        <w:t>on</w:t>
      </w:r>
      <w:r>
        <w:rPr>
          <w:spacing w:val="-9"/>
          <w:sz w:val="19"/>
        </w:rPr>
        <w:t> </w:t>
      </w:r>
      <w:r>
        <w:rPr>
          <w:sz w:val="19"/>
        </w:rPr>
        <w:t>Emerging</w:t>
      </w:r>
      <w:r>
        <w:rPr>
          <w:spacing w:val="-9"/>
          <w:sz w:val="19"/>
        </w:rPr>
        <w:t> </w:t>
      </w:r>
      <w:r>
        <w:rPr>
          <w:sz w:val="19"/>
        </w:rPr>
        <w:t>Market</w:t>
      </w:r>
      <w:r>
        <w:rPr>
          <w:spacing w:val="-10"/>
          <w:sz w:val="19"/>
        </w:rPr>
        <w:t> </w:t>
      </w:r>
      <w:r>
        <w:rPr>
          <w:sz w:val="19"/>
        </w:rPr>
        <w:t>Economies’</w:t>
      </w:r>
      <w:r>
        <w:rPr>
          <w:spacing w:val="-8"/>
          <w:sz w:val="19"/>
        </w:rPr>
        <w:t> </w:t>
      </w:r>
      <w:r>
        <w:rPr>
          <w:sz w:val="19"/>
        </w:rPr>
        <w:t>Local</w:t>
      </w:r>
      <w:r>
        <w:rPr>
          <w:spacing w:val="-9"/>
          <w:sz w:val="19"/>
        </w:rPr>
        <w:t> </w:t>
      </w:r>
      <w:r>
        <w:rPr>
          <w:sz w:val="19"/>
        </w:rPr>
        <w:t>Currency</w:t>
      </w:r>
      <w:r>
        <w:rPr>
          <w:spacing w:val="-8"/>
          <w:sz w:val="19"/>
        </w:rPr>
        <w:t> </w:t>
      </w:r>
      <w:r>
        <w:rPr>
          <w:sz w:val="19"/>
        </w:rPr>
        <w:t>Bond</w:t>
      </w:r>
      <w:r>
        <w:rPr>
          <w:spacing w:val="-9"/>
          <w:sz w:val="19"/>
        </w:rPr>
        <w:t> </w:t>
      </w:r>
      <w:r>
        <w:rPr>
          <w:sz w:val="19"/>
        </w:rPr>
        <w:t>Markets’,</w:t>
      </w:r>
      <w:r>
        <w:rPr>
          <w:spacing w:val="-9"/>
          <w:sz w:val="19"/>
        </w:rPr>
        <w:t> </w:t>
      </w:r>
      <w:r>
        <w:rPr>
          <w:i/>
          <w:sz w:val="19"/>
        </w:rPr>
        <w:t>Federal</w:t>
      </w:r>
      <w:r>
        <w:rPr>
          <w:i/>
          <w:spacing w:val="-8"/>
          <w:sz w:val="19"/>
        </w:rPr>
        <w:t> </w:t>
      </w:r>
      <w:r>
        <w:rPr>
          <w:i/>
          <w:sz w:val="19"/>
        </w:rPr>
        <w:t>Reserve</w:t>
      </w:r>
      <w:r>
        <w:rPr>
          <w:i/>
          <w:spacing w:val="-10"/>
          <w:sz w:val="19"/>
        </w:rPr>
        <w:t> </w:t>
      </w:r>
      <w:r>
        <w:rPr>
          <w:i/>
          <w:sz w:val="19"/>
        </w:rPr>
        <w:t>Bank</w:t>
      </w:r>
      <w:r>
        <w:rPr>
          <w:i/>
          <w:spacing w:val="-8"/>
          <w:sz w:val="19"/>
        </w:rPr>
        <w:t> </w:t>
      </w:r>
      <w:r>
        <w:rPr>
          <w:i/>
          <w:sz w:val="19"/>
        </w:rPr>
        <w:t>of</w:t>
      </w:r>
      <w:r>
        <w:rPr>
          <w:i/>
          <w:spacing w:val="-9"/>
          <w:sz w:val="19"/>
        </w:rPr>
        <w:t> </w:t>
      </w:r>
      <w:r>
        <w:rPr>
          <w:i/>
          <w:sz w:val="19"/>
        </w:rPr>
        <w:t>New </w:t>
      </w:r>
      <w:r>
        <w:rPr>
          <w:i/>
          <w:sz w:val="19"/>
        </w:rPr>
        <w:t>York Staff Report</w:t>
      </w:r>
      <w:r>
        <w:rPr>
          <w:i/>
          <w:spacing w:val="-3"/>
          <w:sz w:val="19"/>
        </w:rPr>
        <w:t> </w:t>
      </w:r>
      <w:r>
        <w:rPr>
          <w:i/>
          <w:sz w:val="19"/>
        </w:rPr>
        <w:t>#595.</w:t>
      </w:r>
    </w:p>
    <w:p>
      <w:pPr>
        <w:pStyle w:val="BodyText"/>
        <w:spacing w:before="2"/>
        <w:rPr>
          <w:i/>
          <w:sz w:val="18"/>
        </w:rPr>
      </w:pPr>
    </w:p>
    <w:p>
      <w:pPr>
        <w:spacing w:before="0"/>
        <w:ind w:left="233" w:right="153" w:firstLine="0"/>
        <w:jc w:val="left"/>
        <w:rPr>
          <w:i/>
          <w:sz w:val="19"/>
        </w:rPr>
      </w:pPr>
      <w:r>
        <w:rPr>
          <w:b/>
          <w:sz w:val="19"/>
        </w:rPr>
        <w:t>Neely, Christopher (2010). </w:t>
      </w:r>
      <w:r>
        <w:rPr>
          <w:sz w:val="19"/>
        </w:rPr>
        <w:t>‘The Large Scale Asset Purchases had Large International Effects’, </w:t>
      </w:r>
      <w:r>
        <w:rPr>
          <w:i/>
          <w:sz w:val="19"/>
        </w:rPr>
        <w:t>Federal </w:t>
      </w:r>
      <w:r>
        <w:rPr>
          <w:i/>
          <w:sz w:val="19"/>
        </w:rPr>
        <w:t>Reserve Bank of St. Louis Working Paper #2010-018D.</w:t>
      </w:r>
    </w:p>
    <w:p>
      <w:pPr>
        <w:pStyle w:val="BodyText"/>
        <w:spacing w:before="5"/>
        <w:rPr>
          <w:i/>
          <w:sz w:val="18"/>
        </w:rPr>
      </w:pPr>
    </w:p>
    <w:p>
      <w:pPr>
        <w:spacing w:line="218" w:lineRule="exact" w:before="1"/>
        <w:ind w:left="233" w:right="0" w:firstLine="0"/>
        <w:jc w:val="left"/>
        <w:rPr>
          <w:sz w:val="19"/>
        </w:rPr>
      </w:pPr>
      <w:r>
        <w:rPr>
          <w:b/>
          <w:sz w:val="19"/>
        </w:rPr>
        <w:t>Rajan, Raghuram (2013). </w:t>
      </w:r>
      <w:r>
        <w:rPr>
          <w:sz w:val="19"/>
        </w:rPr>
        <w:t>‘A Step in the Dark: Unconventional Monetary Policy after the Crisis’,</w:t>
      </w:r>
    </w:p>
    <w:p>
      <w:pPr>
        <w:spacing w:line="218" w:lineRule="exact" w:before="0"/>
        <w:ind w:left="233" w:right="0" w:firstLine="0"/>
        <w:jc w:val="left"/>
        <w:rPr>
          <w:sz w:val="19"/>
        </w:rPr>
      </w:pPr>
      <w:r>
        <w:rPr>
          <w:i/>
          <w:sz w:val="19"/>
        </w:rPr>
        <w:t>Andrew Crockett Memorial Lecture, Bank for International Settlements, </w:t>
      </w:r>
      <w:r>
        <w:rPr>
          <w:sz w:val="19"/>
        </w:rPr>
        <w:t>23 June.</w:t>
      </w:r>
    </w:p>
    <w:p>
      <w:pPr>
        <w:pStyle w:val="BodyText"/>
        <w:spacing w:before="6"/>
        <w:rPr>
          <w:sz w:val="18"/>
        </w:rPr>
      </w:pPr>
    </w:p>
    <w:p>
      <w:pPr>
        <w:spacing w:before="0"/>
        <w:ind w:left="233" w:right="894" w:firstLine="0"/>
        <w:jc w:val="left"/>
        <w:rPr>
          <w:i/>
          <w:sz w:val="19"/>
        </w:rPr>
      </w:pPr>
      <w:r>
        <w:rPr>
          <w:b/>
          <w:sz w:val="19"/>
        </w:rPr>
        <w:t>Tucker, Paul (2013). </w:t>
      </w:r>
      <w:r>
        <w:rPr>
          <w:sz w:val="19"/>
        </w:rPr>
        <w:t>‘A New Regulatory Relationship: The Bank, the Financial System and the Wider Economy’, </w:t>
      </w:r>
      <w:r>
        <w:rPr>
          <w:i/>
          <w:sz w:val="19"/>
        </w:rPr>
        <w:t>Speech at the Institute for Government, </w:t>
      </w:r>
      <w:r>
        <w:rPr>
          <w:sz w:val="19"/>
        </w:rPr>
        <w:t>London</w:t>
      </w:r>
      <w:r>
        <w:rPr>
          <w:i/>
          <w:sz w:val="19"/>
        </w:rPr>
        <w:t>.</w:t>
      </w:r>
    </w:p>
    <w:p>
      <w:pPr>
        <w:pStyle w:val="BodyText"/>
        <w:spacing w:before="5"/>
        <w:rPr>
          <w:i/>
          <w:sz w:val="18"/>
        </w:rPr>
      </w:pPr>
    </w:p>
    <w:p>
      <w:pPr>
        <w:spacing w:before="0"/>
        <w:ind w:left="233" w:right="0" w:firstLine="0"/>
        <w:jc w:val="left"/>
        <w:rPr>
          <w:sz w:val="19"/>
        </w:rPr>
      </w:pPr>
      <w:r>
        <w:rPr>
          <w:b/>
          <w:sz w:val="19"/>
        </w:rPr>
        <w:t>Woodford, Michael (2012). </w:t>
      </w:r>
      <w:r>
        <w:rPr>
          <w:sz w:val="19"/>
        </w:rPr>
        <w:t>‘Methods of Policy Accommodation at the Interest Rate Lower Bound’, </w:t>
      </w:r>
      <w:r>
        <w:rPr>
          <w:i/>
          <w:sz w:val="19"/>
        </w:rPr>
        <w:t>Federal </w:t>
      </w:r>
      <w:r>
        <w:rPr>
          <w:i/>
          <w:sz w:val="19"/>
        </w:rPr>
        <w:t>Reserve Bank of Kansas City Symposium, </w:t>
      </w:r>
      <w:r>
        <w:rPr>
          <w:sz w:val="19"/>
        </w:rPr>
        <w:t>Jackson Hole.</w:t>
      </w:r>
    </w:p>
    <w:sectPr>
      <w:pgSz w:w="12240" w:h="15840"/>
      <w:pgMar w:header="0" w:footer="1239" w:top="1440" w:bottom="1420" w:left="12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14912" from="72.720001pt,714.119995pt" to="526.140001pt,714.119995pt" stroked="true" strokeweight=".2400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71.720001pt;margin-top:727.386475pt;width:356.95pt;height:12.55pt;mso-position-horizontal-relative:page;mso-position-vertical-relative:page;z-index:-251813888" type="#_x0000_t202" filled="false" stroked="false">
          <v:textbox inset="0,0,0,0">
            <w:txbxContent>
              <w:p>
                <w:pPr>
                  <w:pStyle w:val="BodyText"/>
                  <w:spacing w:before="12"/>
                  <w:ind w:left="20"/>
                </w:pPr>
                <w:r>
                  <w:rPr/>
                  <w:t>All</w:t>
                </w:r>
                <w:r>
                  <w:rPr>
                    <w:spacing w:val="-19"/>
                  </w:rPr>
                  <w:t> </w:t>
                </w:r>
                <w:r>
                  <w:rPr/>
                  <w:t>speeches</w:t>
                </w:r>
                <w:r>
                  <w:rPr>
                    <w:spacing w:val="-17"/>
                  </w:rPr>
                  <w:t> </w:t>
                </w:r>
                <w:r>
                  <w:rPr/>
                  <w:t>are</w:t>
                </w:r>
                <w:r>
                  <w:rPr>
                    <w:spacing w:val="-18"/>
                  </w:rPr>
                  <w:t> </w:t>
                </w:r>
                <w:r>
                  <w:rPr/>
                  <w:t>available</w:t>
                </w:r>
                <w:r>
                  <w:rPr>
                    <w:spacing w:val="-17"/>
                  </w:rPr>
                  <w:t> </w:t>
                </w:r>
                <w:r>
                  <w:rPr/>
                  <w:t>online</w:t>
                </w:r>
                <w:r>
                  <w:rPr>
                    <w:spacing w:val="-18"/>
                  </w:rPr>
                  <w:t> </w:t>
                </w:r>
                <w:r>
                  <w:rPr/>
                  <w:t>at</w:t>
                </w:r>
                <w:r>
                  <w:rPr>
                    <w:spacing w:val="-16"/>
                  </w:rPr>
                  <w: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12864" from="72.660004pt,716.130005pt" to="526.140004pt,716.130005pt" stroked="true" strokeweight=".17999pt" strokecolor="#000000">
          <v:stroke dashstyle="solid"/>
          <w10:wrap type="none"/>
        </v:line>
      </w:pict>
    </w:r>
    <w:r>
      <w:rPr/>
      <w:pict>
        <v:shape style="position:absolute;margin-left:481.5pt;margin-top:715.251404pt;width:6.55pt;height:3.1pt;mso-position-horizontal-relative:page;mso-position-vertical-relative:page;z-index:-2518118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76.760010pt;margin-top:726.304199pt;width:356.95pt;height:12.55pt;mso-position-horizontal-relative:page;mso-position-vertical-relative:page;z-index:-251810816" type="#_x0000_t202" filled="false" stroked="false">
          <v:textbox inset="0,0,0,0">
            <w:txbxContent>
              <w:p>
                <w:pPr>
                  <w:pStyle w:val="BodyText"/>
                  <w:spacing w:before="12"/>
                  <w:ind w:left="20"/>
                </w:pPr>
                <w:r>
                  <w:rPr/>
                  <w:t>All</w:t>
                </w:r>
                <w:r>
                  <w:rPr>
                    <w:spacing w:val="-17"/>
                  </w:rPr>
                  <w:t> </w:t>
                </w:r>
                <w:r>
                  <w:rPr/>
                  <w:t>speeches</w:t>
                </w:r>
                <w:r>
                  <w:rPr>
                    <w:spacing w:val="-17"/>
                  </w:rPr>
                  <w:t> </w:t>
                </w:r>
                <w:r>
                  <w:rPr/>
                  <w:t>are</w:t>
                </w:r>
                <w:r>
                  <w:rPr>
                    <w:spacing w:val="-16"/>
                  </w:rPr>
                  <w:t> </w:t>
                </w:r>
                <w:r>
                  <w:rPr/>
                  <w:t>available</w:t>
                </w:r>
                <w:r>
                  <w:rPr>
                    <w:spacing w:val="-16"/>
                  </w:rPr>
                  <w:t> </w:t>
                </w:r>
                <w:r>
                  <w:rPr/>
                  <w:t>online</w:t>
                </w:r>
                <w:r>
                  <w:rPr>
                    <w:spacing w:val="-17"/>
                  </w:rPr>
                  <w:t> </w:t>
                </w:r>
                <w:r>
                  <w:rPr/>
                  <w:t>at</w:t>
                </w:r>
                <w:r>
                  <w:rPr>
                    <w:spacing w:val="-15"/>
                  </w:rPr>
                  <w:t> </w:t>
                </w:r>
                <w:hyperlink r:id="rId1">
                  <w:r>
                    <w:rPr/>
                    <w:t>www.bankofengland.co.uk/publications/speeches</w:t>
                  </w:r>
                </w:hyperlink>
              </w:p>
            </w:txbxContent>
          </v:textbox>
          <w10:wrap type="none"/>
        </v:shape>
      </w:pict>
    </w:r>
    <w:r>
      <w:rPr/>
      <w:pict>
        <v:shape style="position:absolute;margin-left:514.82019pt;margin-top:727.385559pt;width:7.25pt;height:12.55pt;mso-position-horizontal-relative:page;mso-position-vertical-relative:page;z-index:-251809792" type="#_x0000_t202" filled="false" stroked="false">
          <v:textbox inset="0,0,0,0">
            <w:txbxContent>
              <w:p>
                <w:pPr>
                  <w:pStyle w:val="BodyText"/>
                  <w:spacing w:before="12"/>
                  <w:ind w:left="20"/>
                </w:pPr>
                <w:r>
                  <w:rPr>
                    <w:w w:val="99"/>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34"/>
      <w:outlineLvl w:val="1"/>
    </w:pPr>
    <w:rPr>
      <w:rFonts w:ascii="Arial" w:hAnsi="Arial" w:eastAsia="Arial" w:cs="Arial"/>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Charlie Bean</dc:subject>
  <dc:title>Global aspects of unconventional monetary policies</dc:title>
  <dcterms:created xsi:type="dcterms:W3CDTF">2020-06-02T17:36:08Z</dcterms:created>
  <dcterms:modified xsi:type="dcterms:W3CDTF">2020-06-02T17:36:08Z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2013-08-23T00:00:00Z</vt:filetime>
  </property>
  <property fmtid="{D5CDD505-2E9C-101B-9397-08002B2CF9AE}" pid="3" name="Creator">
    <vt:lpwstr>PScript5.dll Version 5.2.2</vt:lpwstr>
  </property>
  <property fmtid="{D5CDD505-2E9C-101B-9397-08002B2CF9AE}" pid="4" name="LastSaved">
    <vt:filetime>2020-06-02T00:00:00Z</vt:filetime>
  </property>
</Properties>
</file>