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76"/>
        <w:rPr>
          <w:rFonts w:ascii="Times New Roman"/>
        </w:rPr>
      </w:pPr>
      <w:r>
        <w:rPr/>
        <w:pict>
          <v:group style="position:absolute;margin-left:50.52pt;margin-top:103.459999pt;width:488.4pt;height:1.45pt;mso-position-horizontal-relative:page;mso-position-vertical-relative:paragraph;z-index:-251658240;mso-wrap-distance-left:0;mso-wrap-distance-right:0" coordorigin="1010,2069" coordsize="9768,29">
            <v:line style="position:absolute" from="1010,2084" to="8229,2084" stroked="true" strokeweight="1.44pt" strokecolor="#000000">
              <v:stroke dashstyle="solid"/>
            </v:line>
            <v:rect style="position:absolute;left:8214;top:2069;width:29;height:29" filled="true" fillcolor="#000000" stroked="false">
              <v:fill type="solid"/>
            </v:rect>
            <v:line style="position:absolute" from="8244,2084" to="10778,2084" stroked="true" strokeweight="1.44pt" strokecolor="#000000">
              <v:stroke dashstyle="solid"/>
            </v:line>
            <w10:wrap type="topAndBottom"/>
          </v:group>
        </w:pict>
      </w: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257"/>
        <w:ind w:left="253" w:right="1474" w:firstLine="0"/>
        <w:jc w:val="left"/>
        <w:rPr>
          <w:b/>
          <w:sz w:val="32"/>
        </w:rPr>
      </w:pPr>
      <w:r>
        <w:rPr>
          <w:b/>
          <w:color w:val="6A709F"/>
          <w:sz w:val="32"/>
        </w:rPr>
        <w:t>Global economic tsunamis: Coincidence, common shocks or contagion?</w:t>
      </w:r>
    </w:p>
    <w:p>
      <w:pPr>
        <w:spacing w:before="281"/>
        <w:ind w:left="253" w:right="0" w:firstLine="0"/>
        <w:jc w:val="left"/>
        <w:rPr>
          <w:sz w:val="24"/>
        </w:rPr>
      </w:pPr>
      <w:r>
        <w:rPr>
          <w:sz w:val="24"/>
        </w:rPr>
        <w:t>Speech given by</w:t>
      </w:r>
    </w:p>
    <w:p>
      <w:pPr>
        <w:spacing w:before="137"/>
        <w:ind w:left="253" w:right="0" w:firstLine="0"/>
        <w:jc w:val="left"/>
        <w:rPr>
          <w:sz w:val="24"/>
        </w:rPr>
      </w:pPr>
      <w:r>
        <w:rPr>
          <w:sz w:val="24"/>
        </w:rPr>
        <w:t>Kristin Forbes, External MPC Member, Bank of England</w:t>
      </w:r>
    </w:p>
    <w:p>
      <w:pPr>
        <w:pStyle w:val="BodyText"/>
        <w:rPr>
          <w:sz w:val="26"/>
        </w:rPr>
      </w:pPr>
    </w:p>
    <w:p>
      <w:pPr>
        <w:pStyle w:val="BodyText"/>
        <w:rPr>
          <w:sz w:val="26"/>
        </w:rPr>
      </w:pPr>
    </w:p>
    <w:p>
      <w:pPr>
        <w:pStyle w:val="BodyText"/>
        <w:rPr>
          <w:sz w:val="26"/>
        </w:rPr>
      </w:pPr>
    </w:p>
    <w:p>
      <w:pPr>
        <w:pStyle w:val="BodyText"/>
        <w:rPr>
          <w:sz w:val="26"/>
        </w:rPr>
      </w:pPr>
    </w:p>
    <w:p>
      <w:pPr>
        <w:spacing w:line="360" w:lineRule="auto" w:before="184"/>
        <w:ind w:left="253" w:right="8088" w:firstLine="0"/>
        <w:jc w:val="left"/>
        <w:rPr>
          <w:sz w:val="24"/>
        </w:rPr>
      </w:pPr>
      <w:r>
        <w:rPr>
          <w:sz w:val="24"/>
        </w:rPr>
        <w:t>Imperial College, London 22 September 2016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p>
    <w:p>
      <w:pPr>
        <w:pStyle w:val="BodyText"/>
        <w:ind w:left="253" w:right="2419"/>
      </w:pPr>
      <w:r>
        <w:rPr>
          <w:color w:val="808080"/>
        </w:rPr>
        <w:t>Thanks to Ida Hjortsoe and Tsveti Nenova for playing key roles in putting together the analysis discussed in these comments. Special thanks to Jack Marston as well. Further thanks to Ambrogio Cesa-Bianchi, Will Dison, Glenn Hoggarth, Gareth Ramsay, Marek Razcko,</w:t>
      </w:r>
    </w:p>
    <w:p>
      <w:pPr>
        <w:pStyle w:val="BodyText"/>
        <w:spacing w:line="229" w:lineRule="exact"/>
        <w:ind w:left="253"/>
      </w:pPr>
      <w:r>
        <w:rPr>
          <w:color w:val="808080"/>
        </w:rPr>
        <w:t>Matt Roberts-Sklar, James Smith, Alex Tuckett, and Sebastian Walsh for helpful comments.</w:t>
      </w:r>
    </w:p>
    <w:p>
      <w:pPr>
        <w:pStyle w:val="BodyText"/>
        <w:ind w:left="253" w:right="1474"/>
      </w:pPr>
      <w:r>
        <w:rPr>
          <w:color w:val="808080"/>
        </w:rPr>
        <w:t>The views expressed here are my own and do not necessarily reflect those of the Bank of England or other members of the Monetary Policy Committee.</w:t>
      </w:r>
    </w:p>
    <w:p>
      <w:pPr>
        <w:spacing w:after="0"/>
        <w:sectPr>
          <w:footerReference w:type="default" r:id="rId5"/>
          <w:type w:val="continuous"/>
          <w:pgSz w:w="11910" w:h="16840"/>
          <w:pgMar w:footer="1676" w:top="1180" w:bottom="1860" w:left="880" w:right="0"/>
        </w:sectPr>
      </w:pPr>
    </w:p>
    <w:p>
      <w:pPr>
        <w:pStyle w:val="BodyText"/>
        <w:rPr>
          <w:sz w:val="23"/>
        </w:rPr>
      </w:pPr>
    </w:p>
    <w:p>
      <w:pPr>
        <w:pStyle w:val="BodyText"/>
        <w:spacing w:line="360" w:lineRule="auto" w:before="93"/>
        <w:ind w:left="253" w:right="1140"/>
      </w:pPr>
      <w:r>
        <w:rPr/>
        <w:t>Many countries regularly feel like the hapless fisherman in this iconic print by Katsushika Hokusai (Figure 1). Just as ‘The Great Wave’ in the print suddenly comes out of nowhere to present imposing challenges, countries often feel that they are inundated by surprises coming from other realms. Just as the fishermen</w:t>
      </w:r>
      <w:r>
        <w:rPr>
          <w:spacing w:val="-33"/>
        </w:rPr>
        <w:t> </w:t>
      </w:r>
      <w:r>
        <w:rPr/>
        <w:t>feel impotent in the face of the surge of water, policymakers can feel impotent in the face of surges in capital flows and sharp movements in global financial markets. And just as any fisherman will ponder whether there is more they can do to strengthen their boats to better withstand rogue waves, countries must continually consider how they can increase their resilience to surprises that originate</w:t>
      </w:r>
      <w:r>
        <w:rPr>
          <w:spacing w:val="-12"/>
        </w:rPr>
        <w:t> </w:t>
      </w:r>
      <w:r>
        <w:rPr/>
        <w:t>elsewhere.</w:t>
      </w:r>
    </w:p>
    <w:p>
      <w:pPr>
        <w:pStyle w:val="BodyText"/>
        <w:rPr>
          <w:sz w:val="30"/>
        </w:rPr>
      </w:pPr>
    </w:p>
    <w:p>
      <w:pPr>
        <w:pStyle w:val="BodyText"/>
        <w:spacing w:line="360" w:lineRule="auto"/>
        <w:ind w:left="253" w:right="1165"/>
      </w:pPr>
      <w:r>
        <w:rPr/>
        <w:t>These concerns should be first hand for anyone living in the UK – with the UK having played the role of both the hapless fishermen and the rogue wave over the past decade. In 2008 the UK was overwhelmed by the Global Financial Crisis; challenges in the US housing market and mortgage market quickly spread to the core of the UK financial system and contributed to the sharpest recession since the Great Depression. From 2010 to 2012, the UK was again constantly buffeted by different phases of the euro-area crisis. Periods of stress in the euro area corresponded to declines and volatility in UK equity markets, falls in UK exports to</w:t>
      </w:r>
      <w:r>
        <w:rPr>
          <w:spacing w:val="-34"/>
        </w:rPr>
        <w:t> </w:t>
      </w:r>
      <w:r>
        <w:rPr/>
        <w:t>the euro area, tighter credit conditions and heightened uncertainty – all contributing to weakness in consumer spending, investment, and the labour</w:t>
      </w:r>
      <w:r>
        <w:rPr>
          <w:spacing w:val="-4"/>
        </w:rPr>
        <w:t> </w:t>
      </w:r>
      <w:r>
        <w:rPr/>
        <w:t>market.</w:t>
      </w:r>
      <w:r>
        <w:rPr>
          <w:vertAlign w:val="superscript"/>
        </w:rPr>
        <w:t>1</w:t>
      </w:r>
    </w:p>
    <w:p>
      <w:pPr>
        <w:pStyle w:val="BodyText"/>
        <w:spacing w:before="1"/>
        <w:rPr>
          <w:sz w:val="30"/>
        </w:rPr>
      </w:pPr>
    </w:p>
    <w:p>
      <w:pPr>
        <w:pStyle w:val="BodyText"/>
        <w:spacing w:line="360" w:lineRule="auto" w:before="1"/>
        <w:ind w:left="253" w:right="1241"/>
      </w:pPr>
      <w:r>
        <w:rPr/>
        <w:t>More recently, positions reversed. The UK fishermen created the wave. Figure 2 shows that as the UK prepared for a referendum on EU membership, the Eurozone stock market began to more closely mirror the UK market. The sharp increase in UK equities just before the vote (when most commentators increased the odds of a ‘remain’ result), and then the sharp fall in UK equities (when the surprise outcome to ‘leave’ was announced), were both quickly reflected across the channel. But then the wave seemed to lose energy.</w:t>
      </w:r>
    </w:p>
    <w:p>
      <w:pPr>
        <w:pStyle w:val="BodyText"/>
        <w:spacing w:line="360" w:lineRule="auto"/>
        <w:ind w:left="253" w:right="1373"/>
      </w:pPr>
      <w:r>
        <w:rPr/>
        <w:t>Equity markets in the UK and euro area began to diverge in a pattern more typical before the run-up to the referendum. Why did the ‘Great Wave’ emanating from the UK referendum turn into more of a small boat wake that quickly dissipates?</w:t>
      </w:r>
    </w:p>
    <w:p>
      <w:pPr>
        <w:pStyle w:val="BodyText"/>
        <w:spacing w:before="10"/>
        <w:rPr>
          <w:sz w:val="29"/>
        </w:rPr>
      </w:pPr>
    </w:p>
    <w:p>
      <w:pPr>
        <w:pStyle w:val="BodyText"/>
        <w:spacing w:line="360" w:lineRule="auto"/>
        <w:ind w:left="253" w:right="1285"/>
        <w:jc w:val="both"/>
      </w:pPr>
      <w:r>
        <w:rPr/>
        <w:t>This talk will explore why countries are sometimes highly vulnerable to major events that occur outside</w:t>
      </w:r>
      <w:r>
        <w:rPr>
          <w:spacing w:val="-32"/>
        </w:rPr>
        <w:t> </w:t>
      </w:r>
      <w:r>
        <w:rPr/>
        <w:t>their borders, while at other times seem fairly immune. </w:t>
      </w:r>
      <w:r>
        <w:rPr>
          <w:spacing w:val="3"/>
        </w:rPr>
        <w:t>Why</w:t>
      </w:r>
      <w:r>
        <w:rPr>
          <w:spacing w:val="-38"/>
        </w:rPr>
        <w:t> </w:t>
      </w:r>
      <w:r>
        <w:rPr/>
        <w:t>do some negative events turn into global tsunamis – while others are just local</w:t>
      </w:r>
      <w:r>
        <w:rPr>
          <w:spacing w:val="-4"/>
        </w:rPr>
        <w:t> </w:t>
      </w:r>
      <w:r>
        <w:rPr/>
        <w:t>ripples?</w:t>
      </w:r>
    </w:p>
    <w:p>
      <w:pPr>
        <w:pStyle w:val="BodyText"/>
        <w:rPr>
          <w:sz w:val="30"/>
        </w:rPr>
      </w:pPr>
    </w:p>
    <w:p>
      <w:pPr>
        <w:pStyle w:val="BodyText"/>
        <w:spacing w:line="360" w:lineRule="auto"/>
        <w:ind w:left="253" w:right="1036"/>
      </w:pPr>
      <w:r>
        <w:rPr/>
        <w:pict>
          <v:shape style="position:absolute;margin-left:56.664001pt;margin-top:75.889893pt;width:144.050pt;height:.1pt;mso-position-horizontal-relative:page;mso-position-vertical-relative:paragraph;z-index:-251657216;mso-wrap-distance-left:0;mso-wrap-distance-right:0" coordorigin="1133,1518" coordsize="2881,0" path="m1133,1518l4014,1518e" filled="false" stroked="true" strokeweight=".47998pt" strokecolor="#000000">
            <v:path arrowok="t"/>
            <v:stroke dashstyle="solid"/>
            <w10:wrap type="topAndBottom"/>
          </v:shape>
        </w:pict>
      </w:r>
      <w:r>
        <w:rPr/>
        <w:t>For example – consider 2 major periods of stress in the global economy: the Asian Crisis (1997-98) and the Global Financial Crisis (2008-2009). Figure 3 shows equity indices during these events for the region/country where the stress originated (in red), plus other major country groups. The Asian Crisis corresponded to sharp falls in equity indices for the Asian economies under stress (not surprisingly). These falls were mirrored</w:t>
      </w:r>
    </w:p>
    <w:p>
      <w:pPr>
        <w:spacing w:before="30"/>
        <w:ind w:left="253" w:right="3580" w:firstLine="0"/>
        <w:jc w:val="left"/>
        <w:rPr>
          <w:sz w:val="16"/>
        </w:rPr>
      </w:pPr>
      <w:r>
        <w:rPr>
          <w:position w:val="8"/>
          <w:sz w:val="10"/>
        </w:rPr>
        <w:t>1 </w:t>
      </w:r>
      <w:r>
        <w:rPr>
          <w:sz w:val="16"/>
        </w:rPr>
        <w:t>For a detailed description of the channels through which the euro-area crisis affected the UK, see </w:t>
      </w:r>
      <w:hyperlink r:id="rId8">
        <w:r>
          <w:rPr>
            <w:sz w:val="16"/>
          </w:rPr>
          <w:t>‘</w:t>
        </w:r>
        <w:r>
          <w:rPr>
            <w:color w:val="0000FF"/>
            <w:sz w:val="16"/>
            <w:u w:val="single" w:color="0000FF"/>
          </w:rPr>
          <w:t>EU membership and the Bank of England</w:t>
        </w:r>
        <w:r>
          <w:rPr>
            <w:sz w:val="16"/>
          </w:rPr>
          <w:t>‘ </w:t>
        </w:r>
      </w:hyperlink>
      <w:r>
        <w:rPr>
          <w:sz w:val="16"/>
        </w:rPr>
        <w:t>(October 2015), pp. 64-67. See also the speech</w:t>
      </w:r>
    </w:p>
    <w:p>
      <w:pPr>
        <w:spacing w:before="0"/>
        <w:ind w:left="253" w:right="1249" w:firstLine="45"/>
        <w:jc w:val="left"/>
        <w:rPr>
          <w:sz w:val="16"/>
        </w:rPr>
      </w:pPr>
      <w:hyperlink r:id="rId9">
        <w:r>
          <w:rPr>
            <w:sz w:val="16"/>
          </w:rPr>
          <w:t>‘</w:t>
        </w:r>
        <w:r>
          <w:rPr>
            <w:color w:val="0000FF"/>
            <w:sz w:val="16"/>
            <w:u w:val="single" w:color="0000FF"/>
          </w:rPr>
          <w:t>A Tale of Two Labour Markets: the UK and the US</w:t>
        </w:r>
        <w:r>
          <w:rPr>
            <w:sz w:val="16"/>
          </w:rPr>
          <w:t>‘ </w:t>
        </w:r>
      </w:hyperlink>
      <w:r>
        <w:rPr>
          <w:sz w:val="16"/>
        </w:rPr>
        <w:t>(January 2016) which discusses how the euro-area crisis may have contributed to the stop-start recovery in the UK labour market from 2010 through 2012.</w:t>
      </w:r>
    </w:p>
    <w:p>
      <w:pPr>
        <w:spacing w:after="0"/>
        <w:jc w:val="left"/>
        <w:rPr>
          <w:sz w:val="16"/>
        </w:rPr>
        <w:sectPr>
          <w:footerReference w:type="default" r:id="rId7"/>
          <w:pgSz w:w="11910" w:h="16840"/>
          <w:pgMar w:footer="1676" w:header="0" w:top="1580" w:bottom="1860" w:left="880" w:right="0"/>
        </w:sectPr>
      </w:pPr>
    </w:p>
    <w:p>
      <w:pPr>
        <w:pStyle w:val="BodyText"/>
        <w:rPr>
          <w:sz w:val="23"/>
        </w:rPr>
      </w:pPr>
    </w:p>
    <w:p>
      <w:pPr>
        <w:pStyle w:val="BodyText"/>
        <w:spacing w:line="360" w:lineRule="auto" w:before="93"/>
        <w:ind w:left="253" w:right="1330"/>
      </w:pPr>
      <w:r>
        <w:rPr/>
        <w:t>(albeit to a lesser extent) in the advanced economies outside the euro area, but seemed to have minimal effect on other emerging markets. The euro area seemed immune to the Asian wave, with sharply higher – instead of lower – returns. In contrast, the Global Financial Crisis sharply affected equity indices not only in the US, but in all country groups. The equity indices for all groups are basically on top of each other for almost a year from June 2008; the Global Financial Crisis is aptly named and was clearly a global tsunami.</w:t>
      </w:r>
    </w:p>
    <w:p>
      <w:pPr>
        <w:pStyle w:val="BodyText"/>
        <w:spacing w:before="1"/>
        <w:rPr>
          <w:sz w:val="30"/>
        </w:rPr>
      </w:pPr>
    </w:p>
    <w:p>
      <w:pPr>
        <w:pStyle w:val="BodyText"/>
        <w:spacing w:line="360" w:lineRule="auto"/>
        <w:ind w:left="253" w:right="1174"/>
      </w:pPr>
      <w:r>
        <w:rPr/>
        <w:t>Did these disparate spillovers in equity markets correspond to similar patterns for what people in these countries care about most – real incomes and growth? Figure 4 shows GDP growth to answer this question. The Global Financial Crisis continues to merit its name – corresponding to precipitous and simultaneous declines in growth in each region, followed by simultaneous rebounds. Patterns during the Asian Crisis, however, are quite different than for equity markets. GDP growth in the advanced economies is stronger and more stable than implied by the falls in this group’s equities. GDP growth in the other emerging markets is more negatively affected than implied by the relative stability in their equity markets. And growth in the euro area is middle of the pack – showing none of the outperformance suggested by the region’s strong equity returns.</w:t>
      </w:r>
    </w:p>
    <w:p>
      <w:pPr>
        <w:pStyle w:val="BodyText"/>
        <w:rPr>
          <w:sz w:val="30"/>
        </w:rPr>
      </w:pPr>
    </w:p>
    <w:p>
      <w:pPr>
        <w:pStyle w:val="BodyText"/>
        <w:spacing w:line="360" w:lineRule="auto"/>
        <w:ind w:left="253" w:right="1036"/>
      </w:pPr>
      <w:r>
        <w:rPr/>
        <w:t>This lecture attempts to better understand these different patterns of global spillovers – especially during periods of economic stress. It addresses a number of questions. Why do economic tremors in one country sometimes evolve into devastating tsunamis in others – and sometimes fade into small ripples? When do international spillovers in financial markets also harm incomes and economic growth? How have these relationships evolved over time? And perhaps most important, how can countries create ‘tidal breaks’ against these powerful waves originating outside their borders?</w:t>
      </w:r>
    </w:p>
    <w:p>
      <w:pPr>
        <w:pStyle w:val="BodyText"/>
        <w:rPr>
          <w:sz w:val="30"/>
        </w:rPr>
      </w:pPr>
    </w:p>
    <w:p>
      <w:pPr>
        <w:pStyle w:val="BodyText"/>
        <w:spacing w:line="360" w:lineRule="auto"/>
        <w:ind w:left="253" w:right="1229"/>
      </w:pPr>
      <w:r>
        <w:rPr/>
        <w:t>The results have important implications for investors and policymakers. I’ll start with investors as many of you in this room are considering careers in finance and should be aware of what you may be up against. I’ll show you that equity markets around the world move together much more closely now than in the past. This makes it more difficult for investors to diversify their portfolios and to generate returns through ‘alpha’ (differentiating oneself from average market movements). I will also provide some insights on why this has been happening and what to watch to predict when these patterns change. A common, global factor has been playing a more important role in causing markets to move together. This is affected by changes in global risk sentiment, commodity prices, and changes in US monetary policy, with events in China recently playing a more important role. Particularly striking, equity markets around the world seem to all respond in more similar ways than in the past to these global factors. It is as if they are all now sailing in the same type of boat.</w:t>
      </w:r>
    </w:p>
    <w:p>
      <w:pPr>
        <w:pStyle w:val="BodyText"/>
        <w:spacing w:before="1"/>
        <w:rPr>
          <w:sz w:val="30"/>
        </w:rPr>
      </w:pPr>
    </w:p>
    <w:p>
      <w:pPr>
        <w:pStyle w:val="BodyText"/>
        <w:spacing w:line="360" w:lineRule="auto"/>
        <w:ind w:left="253" w:right="1140"/>
      </w:pPr>
      <w:r>
        <w:rPr/>
        <w:t>This analysis also has important implications for policymakers. Policymakers are continually concerned that negative shocks originating abroad will spread to their own shores. This analysis helps understand when this</w:t>
      </w:r>
    </w:p>
    <w:p>
      <w:pPr>
        <w:spacing w:after="0" w:line="360" w:lineRule="auto"/>
        <w:sectPr>
          <w:footerReference w:type="default" r:id="rId10"/>
          <w:pgSz w:w="11910" w:h="16840"/>
          <w:pgMar w:footer="1676" w:header="0" w:top="1580" w:bottom="1860" w:left="880" w:right="0"/>
        </w:sectPr>
      </w:pPr>
    </w:p>
    <w:p>
      <w:pPr>
        <w:pStyle w:val="BodyText"/>
        <w:rPr>
          <w:sz w:val="23"/>
        </w:rPr>
      </w:pPr>
    </w:p>
    <w:p>
      <w:pPr>
        <w:pStyle w:val="BodyText"/>
        <w:spacing w:line="360" w:lineRule="auto" w:before="93"/>
        <w:ind w:left="253" w:right="1229"/>
      </w:pPr>
      <w:r>
        <w:rPr/>
        <w:t>concern is more likely to become a reality – and exactly what to be concerned about. It shows that sharp reactions in financial markets should be put into context. These movements certainly matter – but the international spillovers to growth and incomes tend to be much smaller than in financial markets. For policymakers concerned about supporting and stabilizing domestic incomes in the face of these external waves, this is good news. The waves emanating from abroad in financial markets can be imposing – and do have important domestic effects – but these effects on the real economy are usually more muted.</w:t>
      </w:r>
    </w:p>
    <w:p>
      <w:pPr>
        <w:pStyle w:val="BodyText"/>
        <w:spacing w:before="11"/>
        <w:rPr>
          <w:sz w:val="29"/>
        </w:rPr>
      </w:pPr>
    </w:p>
    <w:p>
      <w:pPr>
        <w:pStyle w:val="BodyText"/>
        <w:spacing w:line="360" w:lineRule="auto"/>
        <w:ind w:left="253" w:right="1036"/>
      </w:pPr>
      <w:r>
        <w:rPr/>
        <w:t>Finally, and perhaps most important, although policymakers can usually do little to stop the events that generate waves abroad, they should not despair. Certain policies can make a country more resilient. Steps such as reducing leverage and strengthening banking systems can mitigate the effects of dangerous international waves. Even though fishermen are unable to affect the weather, and unable to completely avoid large waves, they can strengthen their ships and thereby better withstand choppy waters.</w:t>
      </w:r>
    </w:p>
    <w:p>
      <w:pPr>
        <w:pStyle w:val="BodyText"/>
        <w:spacing w:before="2"/>
        <w:rPr>
          <w:sz w:val="30"/>
        </w:rPr>
      </w:pPr>
    </w:p>
    <w:p>
      <w:pPr>
        <w:pStyle w:val="BodyText"/>
        <w:spacing w:line="360" w:lineRule="auto"/>
        <w:ind w:left="253" w:right="1036"/>
      </w:pPr>
      <w:r>
        <w:rPr/>
        <w:t>The remainder of my comments are divided into four parts. First, I’ll look at how country comovement and spillovers have changed over time. Second, I’ll try to explain these changes by looking at three possible explanations: coincidence (a statistical issue related to how comovement is calculated), common shocks (when the tsunami has a widespread global impact), and contagion (when the wave originates in one country or region and then spreads to others). Third, I’ll explore how countries can mitigate the negative impact of</w:t>
      </w:r>
    </w:p>
    <w:p>
      <w:pPr>
        <w:pStyle w:val="BodyText"/>
        <w:spacing w:line="360" w:lineRule="auto" w:before="1"/>
        <w:ind w:left="253" w:right="1144"/>
      </w:pPr>
      <w:r>
        <w:rPr/>
        <w:t>these waves that originate abroad. Finally, I’ll summarize key results and discuss implications for UK monetary policy – especially in light of the vote to leave the European Union. Is there a chance that the ripple effects associated with leaving the EU turn into a larger wave that causes other countries to wobble – or even capsize – resulting in spillbacks to the</w:t>
      </w:r>
      <w:r>
        <w:rPr>
          <w:spacing w:val="-2"/>
        </w:rPr>
        <w:t> </w:t>
      </w:r>
      <w:r>
        <w:rPr/>
        <w:t>UK?</w:t>
      </w:r>
    </w:p>
    <w:p>
      <w:pPr>
        <w:pStyle w:val="BodyText"/>
        <w:spacing w:before="7"/>
        <w:rPr>
          <w:sz w:val="29"/>
        </w:rPr>
      </w:pPr>
    </w:p>
    <w:p>
      <w:pPr>
        <w:pStyle w:val="Heading3"/>
        <w:numPr>
          <w:ilvl w:val="0"/>
          <w:numId w:val="1"/>
        </w:numPr>
        <w:tabs>
          <w:tab w:pos="614" w:val="left" w:leader="none"/>
        </w:tabs>
        <w:spacing w:line="240" w:lineRule="auto" w:before="0" w:after="0"/>
        <w:ind w:left="613" w:right="0" w:hanging="361"/>
        <w:jc w:val="left"/>
      </w:pPr>
      <w:r>
        <w:rPr/>
        <w:t>The Basics: Understanding the Waves over</w:t>
      </w:r>
      <w:r>
        <w:rPr>
          <w:spacing w:val="-7"/>
        </w:rPr>
        <w:t> </w:t>
      </w:r>
      <w:r>
        <w:rPr/>
        <w:t>Time</w:t>
      </w:r>
    </w:p>
    <w:p>
      <w:pPr>
        <w:pStyle w:val="BodyText"/>
        <w:rPr>
          <w:b/>
          <w:sz w:val="22"/>
        </w:rPr>
      </w:pPr>
    </w:p>
    <w:p>
      <w:pPr>
        <w:pStyle w:val="BodyText"/>
        <w:spacing w:before="4"/>
        <w:rPr>
          <w:b/>
          <w:sz w:val="18"/>
        </w:rPr>
      </w:pPr>
    </w:p>
    <w:p>
      <w:pPr>
        <w:pStyle w:val="BodyText"/>
        <w:spacing w:line="360" w:lineRule="auto"/>
        <w:ind w:left="253" w:right="1140"/>
      </w:pPr>
      <w:r>
        <w:rPr/>
        <w:t>We just looked at how equity markets and GDP growth moved together during two crisis periods. How do these relationships compare to those we observe over longer periods of time? Are the ‘waves’ leading to more or less comovement over time?</w:t>
      </w:r>
    </w:p>
    <w:p>
      <w:pPr>
        <w:pStyle w:val="BodyText"/>
        <w:rPr>
          <w:sz w:val="30"/>
        </w:rPr>
      </w:pPr>
    </w:p>
    <w:p>
      <w:pPr>
        <w:pStyle w:val="BodyText"/>
        <w:spacing w:line="360" w:lineRule="auto"/>
        <w:ind w:left="253" w:right="1118"/>
      </w:pPr>
      <w:r>
        <w:rPr/>
        <w:pict>
          <v:shape style="position:absolute;margin-left:56.664001pt;margin-top:93.049896pt;width:144.050pt;height:.1pt;mso-position-horizontal-relative:page;mso-position-vertical-relative:paragraph;z-index:-251656192;mso-wrap-distance-left:0;mso-wrap-distance-right:0" coordorigin="1133,1861" coordsize="2881,0" path="m1133,1861l4014,1861e" filled="false" stroked="true" strokeweight=".47998pt" strokecolor="#000000">
            <v:path arrowok="t"/>
            <v:stroke dashstyle="solid"/>
            <w10:wrap type="topAndBottom"/>
          </v:shape>
        </w:pict>
      </w:r>
      <w:r>
        <w:rPr/>
        <w:t>To begin, it’s useful to start by looking at the correlations in equity returns and GDP growth for pairs of countries at different points in time. This is a colourful way to capture a substantial amount of information – but takes a bit of explaining. Let’s start with Figure 5a, which shows the correlations in equity returns for pairs of countries around the world from 1985 through 1994.</w:t>
      </w:r>
      <w:r>
        <w:rPr>
          <w:vertAlign w:val="superscript"/>
        </w:rPr>
        <w:t>2</w:t>
      </w:r>
      <w:r>
        <w:rPr>
          <w:vertAlign w:val="baseline"/>
        </w:rPr>
        <w:t> Equity returns are a useful place to start as they should incorporate all available information on the expected future profitability of companies in a country –</w:t>
      </w:r>
    </w:p>
    <w:p>
      <w:pPr>
        <w:spacing w:before="30"/>
        <w:ind w:left="253" w:right="1160" w:firstLine="0"/>
        <w:jc w:val="left"/>
        <w:rPr>
          <w:sz w:val="16"/>
        </w:rPr>
      </w:pPr>
      <w:r>
        <w:rPr>
          <w:position w:val="8"/>
          <w:sz w:val="10"/>
        </w:rPr>
        <w:t>2 </w:t>
      </w:r>
      <w:r>
        <w:rPr>
          <w:sz w:val="16"/>
        </w:rPr>
        <w:t>Equity returns are calculated based on local currency returns on a weekly basis for 48 countries. Data is from Global Financial Data for the period 1980-July 2016. The indices used are the broadest equity benchmarks available for each country, with the exception of the UK, where the mid-cap FTSE 250 is used to avoid issues related to the inclusion of large multinational companies in the broader FTSE All-Share index.</w:t>
      </w:r>
    </w:p>
    <w:p>
      <w:pPr>
        <w:spacing w:after="0"/>
        <w:jc w:val="left"/>
        <w:rPr>
          <w:sz w:val="16"/>
        </w:rPr>
        <w:sectPr>
          <w:footerReference w:type="default" r:id="rId11"/>
          <w:pgSz w:w="11910" w:h="16840"/>
          <w:pgMar w:footer="1676" w:header="0" w:top="1580" w:bottom="1860" w:left="880" w:right="0"/>
          <w:pgNumType w:start="4"/>
        </w:sectPr>
      </w:pPr>
    </w:p>
    <w:p>
      <w:pPr>
        <w:pStyle w:val="BodyText"/>
        <w:rPr>
          <w:sz w:val="23"/>
        </w:rPr>
      </w:pPr>
    </w:p>
    <w:p>
      <w:pPr>
        <w:pStyle w:val="BodyText"/>
        <w:spacing w:line="360" w:lineRule="auto" w:before="93"/>
        <w:ind w:left="253" w:right="1380"/>
      </w:pPr>
      <w:r>
        <w:rPr/>
        <w:t>and therefore capture expected changes in real indicators. Each cell in the chart shows the correlation in equity returns between the country on the x-axis and the country on the y-axis. A redder colour denotes a higher correlation (i.e. tighter comovement); yellow is lower; green is close to zero; and blues are negative correlations (with the exact numerical definitions to the right). Countries are also grouped by region, with 12 euro area markets closer to the origin, 20 emerging markets at the top and far right, and the 16 other advanced economies in the middle. To take a concrete example, the top right corner is dark red – as it</w:t>
      </w:r>
    </w:p>
    <w:p>
      <w:pPr>
        <w:pStyle w:val="BodyText"/>
        <w:spacing w:line="360" w:lineRule="auto" w:before="1"/>
        <w:ind w:left="253" w:right="1207"/>
      </w:pPr>
      <w:r>
        <w:rPr/>
        <w:t>shows 100% correlation between the Venezuelan market with itself. This is expected for all values on the 45 degree axis. Just to the left of this is the correlation of Venezuela’s equity returns with Turkey’s over this period; this is light green, indicating very little comovement between these two markets over this period. The white is areas without enough data to calculate the correlations.</w:t>
      </w:r>
    </w:p>
    <w:p>
      <w:pPr>
        <w:pStyle w:val="BodyText"/>
        <w:spacing w:before="10"/>
        <w:rPr>
          <w:sz w:val="29"/>
        </w:rPr>
      </w:pPr>
    </w:p>
    <w:p>
      <w:pPr>
        <w:pStyle w:val="BodyText"/>
        <w:spacing w:line="360" w:lineRule="auto" w:before="1"/>
        <w:ind w:left="253" w:right="1118"/>
      </w:pPr>
      <w:r>
        <w:rPr/>
        <w:t>Don’t worry – I don’t expect you to read the details on the graphs or focus on any individual, microscopic cell. Instead, the main purpose of these graphs is to capture broad trends over time. What do they tell us? Figure 5a has a lot of light green and yellow, suggesting little comovement between most countries’ equity returns – especially for emerging markets around the edges. There is some orange and a few red cells in the section for the euro area and other advanced economies, suggesting somewhat higher comovement between some countries in these groups. Most of the red cells are intuitive as they show countries that are closely linked – such as the cell showing the comovement between the US and Canadian markets.</w:t>
      </w:r>
    </w:p>
    <w:p>
      <w:pPr>
        <w:pStyle w:val="BodyText"/>
        <w:rPr>
          <w:sz w:val="30"/>
        </w:rPr>
      </w:pPr>
    </w:p>
    <w:p>
      <w:pPr>
        <w:pStyle w:val="BodyText"/>
        <w:spacing w:line="360" w:lineRule="auto"/>
        <w:ind w:left="253" w:right="1196"/>
      </w:pPr>
      <w:r>
        <w:rPr/>
        <w:t>Now, let’s look at how the diagram changes over time. Figure 5b shows the same correlations over the following decade – from 1995 through 2004. There is now more red and orange scattered throughout the graph, especially in the bottom block with countries from the euro area. This suggests comovement in equity markets has increased, especially in the euro area. This increased comovement in the euro area during this period is not surprising; it is when the common currency was introduced and trade and financial flows within the region increased rapidly.</w:t>
      </w:r>
    </w:p>
    <w:p>
      <w:pPr>
        <w:pStyle w:val="BodyText"/>
        <w:rPr>
          <w:sz w:val="30"/>
        </w:rPr>
      </w:pPr>
    </w:p>
    <w:p>
      <w:pPr>
        <w:pStyle w:val="BodyText"/>
        <w:spacing w:line="360" w:lineRule="auto"/>
        <w:ind w:left="253" w:right="1036"/>
      </w:pPr>
      <w:r>
        <w:rPr/>
        <w:t>Continuing our travel through time, Figure 5c shows the same correlations during the Global Financial Crisis, from 2008 through 2010. It is as if we just jumped through hyperspace to another, much hotter, universe. The graph is almost entirely red—even across most emerging markets. Equity markets around the world moved together extremely tightly over this period.</w:t>
      </w:r>
    </w:p>
    <w:p>
      <w:pPr>
        <w:pStyle w:val="BodyText"/>
        <w:rPr>
          <w:sz w:val="30"/>
        </w:rPr>
      </w:pPr>
    </w:p>
    <w:p>
      <w:pPr>
        <w:pStyle w:val="BodyText"/>
        <w:spacing w:line="360" w:lineRule="auto" w:before="1"/>
        <w:ind w:left="253" w:right="1140"/>
      </w:pPr>
      <w:r>
        <w:rPr/>
        <w:t>Finally, Figure 5d shows what the world looks like today – or at least from 2010 through to July 2016. Equity returns still move together tightly around the world – and much more so than before 2005. Even though this comovement is not quite as strong as during the Global Financial Crisis, countries’ equity markets appear to be more tightly linked than they have been historically. The euro area (in the bottom left) continues to show the highest degree of comovement, and the emerging markets (on the top and right) the least – albeit still substantially more than before the crisis.</w:t>
      </w:r>
    </w:p>
    <w:p>
      <w:pPr>
        <w:spacing w:after="0" w:line="360" w:lineRule="auto"/>
        <w:sectPr>
          <w:footerReference w:type="default" r:id="rId12"/>
          <w:pgSz w:w="11910" w:h="16840"/>
          <w:pgMar w:footer="1676" w:header="0" w:top="1580" w:bottom="1860" w:left="880" w:right="0"/>
          <w:pgNumType w:start="5"/>
        </w:sectPr>
      </w:pPr>
    </w:p>
    <w:p>
      <w:pPr>
        <w:pStyle w:val="BodyText"/>
        <w:rPr>
          <w:sz w:val="23"/>
        </w:rPr>
      </w:pPr>
    </w:p>
    <w:p>
      <w:pPr>
        <w:pStyle w:val="BodyText"/>
        <w:spacing w:line="360" w:lineRule="auto" w:before="93"/>
        <w:ind w:left="253" w:right="1133"/>
      </w:pPr>
      <w:r>
        <w:rPr/>
        <w:t>Do the same patterns hold for GDP growth? Figure 6 shows the same bilateral correlations over the same periods, except now for GDP growth. The comovement in GDP growth from 1985-1994 is very low, and the heat map gets only slightly ‘warmer’ from 1995-2004. Then Figure 6c shows a jump to a very hot universe during the Global Financial Crisis – with the map largely turning red as seen for equities. But then, in contrast, the graph for growth correlations over the most recent period shows a sharp cooling since 2010 – to an overall colouring that looks quite similar to that observed from 1995-2004. GDP growth rates around the world have not been moving together tightly. In fact, all of the GDP graphs tend to be less ‘hot’ than the corresponding graphs for equities. The tight comovement in equity markets does not correspond to tight comovement in growth rates – except during the Global Financial Crisis. Although the comovement in equity markets has been increasing over time, this has not occurred for GDP growth, where the comovement is instead at low</w:t>
      </w:r>
      <w:r>
        <w:rPr>
          <w:spacing w:val="-2"/>
        </w:rPr>
        <w:t> </w:t>
      </w:r>
      <w:r>
        <w:rPr/>
        <w:t>levels.</w:t>
      </w:r>
    </w:p>
    <w:p>
      <w:pPr>
        <w:pStyle w:val="BodyText"/>
        <w:spacing w:before="1"/>
        <w:rPr>
          <w:sz w:val="30"/>
        </w:rPr>
      </w:pPr>
    </w:p>
    <w:p>
      <w:pPr>
        <w:pStyle w:val="BodyText"/>
        <w:spacing w:line="360" w:lineRule="auto"/>
        <w:ind w:left="253" w:right="1206"/>
      </w:pPr>
      <w:r>
        <w:rPr/>
        <w:t>These graphs are always fun to look at – and good at capturing general trends – but can be hard to interpret concisely. The sharp changes seen during the short window around the Global Financial Crisis also suggest that looking at these average correlations over a decade could mask important changes within these long windows. Therefore, it’s also useful to distill these multiple correlations between all the country pairs into rolling averages of these bilateral correlations. The resulting trends are shown in Figure 7, for both equity returns and GDP growth, using the same countries and data and calculated over five-year rolling windows. These average correlations are reported for the full sample (black) and various groups of countries.</w:t>
      </w:r>
    </w:p>
    <w:p>
      <w:pPr>
        <w:pStyle w:val="BodyText"/>
        <w:rPr>
          <w:sz w:val="30"/>
        </w:rPr>
      </w:pPr>
    </w:p>
    <w:p>
      <w:pPr>
        <w:pStyle w:val="BodyText"/>
        <w:spacing w:line="360" w:lineRule="auto"/>
        <w:ind w:left="253" w:right="1241"/>
      </w:pPr>
      <w:r>
        <w:rPr/>
        <w:t>These graphs largely confirm the patterns in the colourful charts. Panel a shows a fairly steady increase in equity correlations over time – especially during the Global Financial Crisis when the average correlation increased to more than 60% for the full sample. Correlations have fallen back some since, but are still elevated relative to pre-crisis levels. In fact, if you drew a trend line reflecting the upward movement in the correlations since 1980 and ignored the temporary spike during the crisis, the trend line would have predicted the high levels of comovement that we see today for the full sample. Investors complaining about the increased comovement in equity markets are justified; equity markets are moving together more tightly than in the 1980s, 1990s, and early 2000s.</w:t>
      </w:r>
    </w:p>
    <w:p>
      <w:pPr>
        <w:pStyle w:val="BodyText"/>
        <w:spacing w:before="1"/>
        <w:rPr>
          <w:sz w:val="30"/>
        </w:rPr>
      </w:pPr>
    </w:p>
    <w:p>
      <w:pPr>
        <w:pStyle w:val="BodyText"/>
        <w:spacing w:line="360" w:lineRule="auto"/>
        <w:ind w:left="253" w:right="1196"/>
      </w:pPr>
      <w:r>
        <w:rPr/>
        <w:t>In contrast, Panel b shows that this complaint does not apply to countries’ growth rates. The comovement in GDP growth rates increased sharply during the crisis – albeit to lower levels than for equity markets. There is, however, no apparent trend over time. The small increase in average correlations in the early 2000s has reversed, and instead growth correlations in all countries except the euro area have recently fallen back to levels not seen for at least 15 years. In fact, for the full sample of countries, these correlations are now close</w:t>
      </w:r>
    </w:p>
    <w:p>
      <w:pPr>
        <w:spacing w:after="0" w:line="360" w:lineRule="auto"/>
        <w:sectPr>
          <w:pgSz w:w="11910" w:h="16840"/>
          <w:pgMar w:header="0" w:footer="1676" w:top="1580" w:bottom="1860" w:left="880" w:right="0"/>
        </w:sectPr>
      </w:pPr>
    </w:p>
    <w:p>
      <w:pPr>
        <w:pStyle w:val="BodyText"/>
        <w:rPr>
          <w:sz w:val="23"/>
        </w:rPr>
      </w:pPr>
    </w:p>
    <w:p>
      <w:pPr>
        <w:pStyle w:val="BodyText"/>
        <w:spacing w:line="360" w:lineRule="auto" w:before="93"/>
        <w:ind w:left="253" w:right="1140"/>
      </w:pPr>
      <w:r>
        <w:rPr/>
        <w:t>to zero – suggesting little comovement in growth rates around the world recently. This low degree of growth comovement provides a sharp contrast to the nearly 50% correlation currently observed in equity markets.</w:t>
      </w:r>
      <w:r>
        <w:rPr>
          <w:vertAlign w:val="superscript"/>
        </w:rPr>
        <w:t>3</w:t>
      </w:r>
    </w:p>
    <w:p>
      <w:pPr>
        <w:pStyle w:val="BodyText"/>
        <w:spacing w:before="11"/>
        <w:rPr>
          <w:sz w:val="29"/>
        </w:rPr>
      </w:pPr>
    </w:p>
    <w:p>
      <w:pPr>
        <w:pStyle w:val="BodyText"/>
        <w:spacing w:line="360" w:lineRule="auto"/>
        <w:ind w:left="253" w:right="1474"/>
      </w:pPr>
      <w:r>
        <w:rPr/>
        <w:t>To summarize, the two approaches to measuring country comovement yield the same conclusions. Countries’ equity markets are increasingly in the same boat. Movements in equity returns in one nation correspond to similar movements in others – and these links have been growing over time.</w:t>
      </w:r>
    </w:p>
    <w:p>
      <w:pPr>
        <w:pStyle w:val="BodyText"/>
        <w:rPr>
          <w:sz w:val="30"/>
        </w:rPr>
      </w:pPr>
    </w:p>
    <w:p>
      <w:pPr>
        <w:pStyle w:val="BodyText"/>
        <w:spacing w:line="360" w:lineRule="auto"/>
        <w:ind w:left="253" w:right="1172"/>
      </w:pPr>
      <w:r>
        <w:rPr/>
        <w:t>In contrast, changes in GDP growth in one nation are much less likely to correspond to similar movements in others. Other than during the Global Financial Crisis, and in the euro area today, countries’ GDP growth rates are sailing in different directions and seem to be buffeted by different winds.</w:t>
      </w:r>
    </w:p>
    <w:p>
      <w:pPr>
        <w:pStyle w:val="BodyText"/>
        <w:spacing w:before="10"/>
        <w:rPr>
          <w:sz w:val="29"/>
        </w:rPr>
      </w:pPr>
    </w:p>
    <w:p>
      <w:pPr>
        <w:pStyle w:val="Heading3"/>
        <w:numPr>
          <w:ilvl w:val="0"/>
          <w:numId w:val="1"/>
        </w:numPr>
        <w:tabs>
          <w:tab w:pos="614" w:val="left" w:leader="none"/>
        </w:tabs>
        <w:spacing w:line="240" w:lineRule="auto" w:before="0" w:after="0"/>
        <w:ind w:left="613" w:right="0" w:hanging="361"/>
        <w:jc w:val="left"/>
      </w:pPr>
      <w:r>
        <w:rPr/>
        <w:t>Why are we all in the same</w:t>
      </w:r>
      <w:r>
        <w:rPr>
          <w:spacing w:val="-8"/>
        </w:rPr>
        <w:t> </w:t>
      </w:r>
      <w:r>
        <w:rPr/>
        <w:t>boat?</w:t>
      </w:r>
    </w:p>
    <w:p>
      <w:pPr>
        <w:pStyle w:val="BodyText"/>
        <w:rPr>
          <w:b/>
          <w:sz w:val="22"/>
        </w:rPr>
      </w:pPr>
    </w:p>
    <w:p>
      <w:pPr>
        <w:pStyle w:val="BodyText"/>
        <w:spacing w:before="3"/>
        <w:rPr>
          <w:b/>
          <w:sz w:val="18"/>
        </w:rPr>
      </w:pPr>
    </w:p>
    <w:p>
      <w:pPr>
        <w:pStyle w:val="BodyText"/>
        <w:spacing w:line="360" w:lineRule="auto"/>
        <w:ind w:left="253" w:right="2652"/>
      </w:pPr>
      <w:r>
        <w:rPr/>
        <w:t>Why do equity markets seem to be affected by the same wind today – but not growth rates? Why did growth rates suddenly start to capsize together during the Global Financial Crisis? Why do equity markets seem to be sailing in tighter and tighter formation over time?</w:t>
      </w:r>
    </w:p>
    <w:p>
      <w:pPr>
        <w:pStyle w:val="BodyText"/>
        <w:rPr>
          <w:sz w:val="30"/>
        </w:rPr>
      </w:pPr>
    </w:p>
    <w:p>
      <w:pPr>
        <w:pStyle w:val="BodyText"/>
        <w:spacing w:line="360" w:lineRule="auto" w:before="1"/>
        <w:ind w:left="253" w:right="1140"/>
      </w:pPr>
      <w:r>
        <w:rPr/>
        <w:t>There are a number of possible explanations. I’ll focus on three today: coincidence, common shocks, and contagion. By coincidence, I mean a statistical issue in how comovement is measured, which can cause correlation coefficients to increase and heat maps to look ‘hotter’– without actually corresponding to tighter comovement. By common shocks, I mean changes in the global environment that affect all countries simultaneously – such as changes in oil prices. Returning to the nautical analogy, have the global waves gotten bigger and/or do they wash over more countries than in the past? By contagion, I mean bad news in one country (or region) that spreads to others. If one ship goes down, is it more likely to drag others with it? There are also other, related explanations for the higher cross-country equity comovement, such as the inclusion of more multinational companies in local indices, the growing international exposure of multinationals, or the listing of some companies in international financial centres rather than on their national exchanges. Although these factors have undoubtedly played some role, especially in markets that are attractive for international listings, I will not focus on these explanations today as they are unlikely by themselves to explain the increased comovement between the range of markets in the wider sample of countries considered.</w:t>
      </w:r>
    </w:p>
    <w:p>
      <w:pPr>
        <w:pStyle w:val="BodyText"/>
        <w:rPr>
          <w:sz w:val="30"/>
        </w:rPr>
      </w:pPr>
    </w:p>
    <w:p>
      <w:pPr>
        <w:pStyle w:val="BodyText"/>
        <w:spacing w:line="362" w:lineRule="auto"/>
        <w:ind w:left="253" w:right="1140"/>
      </w:pPr>
      <w:r>
        <w:rPr/>
        <w:t>Separating out these potential explanations is extremely difficult. There have been many heated debates in the academic world over how to define and measure ‘common shock’ versus ‘contagion’ versus</w:t>
      </w:r>
    </w:p>
    <w:p>
      <w:pPr>
        <w:pStyle w:val="BodyText"/>
        <w:spacing w:before="8"/>
        <w:rPr>
          <w:sz w:val="23"/>
        </w:rPr>
      </w:pPr>
      <w:r>
        <w:rPr/>
        <w:pict>
          <v:shape style="position:absolute;margin-left:56.664001pt;margin-top:15.84586pt;width:144.050pt;height:.1pt;mso-position-horizontal-relative:page;mso-position-vertical-relative:paragraph;z-index:-251655168;mso-wrap-distance-left:0;mso-wrap-distance-right:0" coordorigin="1133,317" coordsize="2881,0" path="m1133,317l4014,317e" filled="false" stroked="true" strokeweight=".47998pt" strokecolor="#000000">
            <v:path arrowok="t"/>
            <v:stroke dashstyle="solid"/>
            <w10:wrap type="topAndBottom"/>
          </v:shape>
        </w:pict>
      </w:r>
    </w:p>
    <w:p>
      <w:pPr>
        <w:spacing w:before="30"/>
        <w:ind w:left="253" w:right="1140" w:firstLine="0"/>
        <w:jc w:val="left"/>
        <w:rPr>
          <w:sz w:val="16"/>
        </w:rPr>
      </w:pPr>
      <w:r>
        <w:rPr>
          <w:position w:val="8"/>
          <w:sz w:val="10"/>
        </w:rPr>
        <w:t>3 </w:t>
      </w:r>
      <w:r>
        <w:rPr>
          <w:sz w:val="16"/>
        </w:rPr>
        <w:t>The different magnitudes of the correlations between equity returns and GDP growth rates do not result from the fact that the equity correlations are calculated based on weekly data, while the growth correlations are based on quarterly data. Estimating the equity correlations with quarterly data yields similar numbers.</w:t>
      </w:r>
    </w:p>
    <w:p>
      <w:pPr>
        <w:spacing w:after="0"/>
        <w:jc w:val="left"/>
        <w:rPr>
          <w:sz w:val="16"/>
        </w:rPr>
        <w:sectPr>
          <w:pgSz w:w="11910" w:h="16840"/>
          <w:pgMar w:header="0" w:footer="1676" w:top="1580" w:bottom="1860" w:left="880" w:right="0"/>
        </w:sectPr>
      </w:pPr>
    </w:p>
    <w:p>
      <w:pPr>
        <w:pStyle w:val="BodyText"/>
        <w:spacing w:before="8"/>
        <w:rPr>
          <w:sz w:val="19"/>
        </w:rPr>
      </w:pPr>
    </w:p>
    <w:p>
      <w:pPr>
        <w:pStyle w:val="BodyText"/>
        <w:spacing w:line="360" w:lineRule="auto" w:before="131"/>
        <w:ind w:left="253" w:right="1246"/>
      </w:pPr>
      <w:r>
        <w:rPr/>
        <w:t>‘comovement’.</w:t>
      </w:r>
      <w:r>
        <w:rPr>
          <w:vertAlign w:val="superscript"/>
        </w:rPr>
        <w:t>4</w:t>
      </w:r>
      <w:r>
        <w:rPr>
          <w:vertAlign w:val="baseline"/>
        </w:rPr>
        <w:t> And the ‘coincidence’ that I’ve added is my rather unimpressive attempt to continue with the ‘c’ alliteration. Policymakers frequently remind academics that if their country is doing everything</w:t>
      </w:r>
    </w:p>
    <w:p>
      <w:pPr>
        <w:pStyle w:val="BodyText"/>
        <w:spacing w:line="360" w:lineRule="auto" w:before="1"/>
        <w:ind w:left="253" w:right="1036"/>
      </w:pPr>
      <w:r>
        <w:rPr/>
        <w:t>more-or-less right, and then they are swept off course by events that originate elsewhere, they don’t care whether it is ‘normal comovement’ with a close partner, or ‘contagion’ from a country half-way around the world, or a ‘common shock’ that affects everyone. I will not pretend to resolve these debates tonight. Instead, I’ll show you some different approaches and evidence to get a sense of what is going on in the heat maps.</w:t>
      </w:r>
    </w:p>
    <w:p>
      <w:pPr>
        <w:pStyle w:val="BodyText"/>
        <w:spacing w:line="357" w:lineRule="auto"/>
        <w:ind w:left="253" w:right="1140"/>
      </w:pPr>
      <w:r>
        <w:rPr/>
        <w:t>This will go some way to understanding these trends over time and the differences in comovement between financial markets and GDP growth.</w:t>
      </w:r>
    </w:p>
    <w:p>
      <w:pPr>
        <w:pStyle w:val="BodyText"/>
        <w:spacing w:before="2"/>
        <w:rPr>
          <w:sz w:val="30"/>
        </w:rPr>
      </w:pPr>
    </w:p>
    <w:p>
      <w:pPr>
        <w:pStyle w:val="Heading3"/>
        <w:numPr>
          <w:ilvl w:val="1"/>
          <w:numId w:val="1"/>
        </w:numPr>
        <w:tabs>
          <w:tab w:pos="974" w:val="left" w:leader="none"/>
        </w:tabs>
        <w:spacing w:line="240" w:lineRule="auto" w:before="0" w:after="0"/>
        <w:ind w:left="973" w:right="0" w:hanging="361"/>
        <w:jc w:val="left"/>
      </w:pPr>
      <w:r>
        <w:rPr/>
        <w:t>Coincidence (of</w:t>
      </w:r>
      <w:r>
        <w:rPr>
          <w:spacing w:val="-2"/>
        </w:rPr>
        <w:t> </w:t>
      </w:r>
      <w:r>
        <w:rPr/>
        <w:t>statistics)</w:t>
      </w:r>
    </w:p>
    <w:p>
      <w:pPr>
        <w:pStyle w:val="BodyText"/>
        <w:rPr>
          <w:b/>
          <w:sz w:val="22"/>
        </w:rPr>
      </w:pPr>
    </w:p>
    <w:p>
      <w:pPr>
        <w:pStyle w:val="BodyText"/>
        <w:spacing w:before="2"/>
        <w:rPr>
          <w:b/>
          <w:sz w:val="18"/>
        </w:rPr>
      </w:pPr>
    </w:p>
    <w:p>
      <w:pPr>
        <w:pStyle w:val="BodyText"/>
        <w:spacing w:line="360" w:lineRule="auto"/>
        <w:ind w:left="253" w:right="1140"/>
      </w:pPr>
      <w:r>
        <w:rPr/>
        <w:t>One reason why markets may appear to move together more tightly now than in the past is a ‘coincidence’ that results from a statistical property. Straightforward algebra shows that when volatility increases, correlation coefficients and comovement automatically seem to increase.</w:t>
      </w:r>
      <w:r>
        <w:rPr>
          <w:vertAlign w:val="superscript"/>
        </w:rPr>
        <w:t>5</w:t>
      </w:r>
      <w:r>
        <w:rPr>
          <w:vertAlign w:val="baseline"/>
        </w:rPr>
        <w:t> Hopefully all of you in this room who are studying finance are already aware of this statistical relationship caused by heteroscedasticity. It is too late in the evening to put you through the algebra, so instead I’ll use a simple coin example to illustrate this point.</w:t>
      </w:r>
    </w:p>
    <w:p>
      <w:pPr>
        <w:pStyle w:val="BodyText"/>
        <w:spacing w:before="2"/>
        <w:rPr>
          <w:sz w:val="30"/>
        </w:rPr>
      </w:pPr>
    </w:p>
    <w:p>
      <w:pPr>
        <w:pStyle w:val="BodyText"/>
        <w:spacing w:line="360" w:lineRule="auto"/>
        <w:ind w:left="253" w:right="1151"/>
      </w:pPr>
      <w:r>
        <w:rPr/>
        <w:t>To begin, suppose that there are two rounds to a game. In the first round you flip one coin. If it is heads, you win, and if it is tails, you lose. This round can be played with either a penny or a special £100 coin. In the second round, you also flip a coin and win with heads and lose with tails, but now the coin doesn’t change and is always a 20-pence coin. What you win or lose depends on what you toss in both rounds; you get (or owe) ten percent of the outcome of the first round plus the entire outcome of the second round. The outcome of the game when you play with a penny is shown below.</w:t>
      </w:r>
    </w:p>
    <w:p>
      <w:pPr>
        <w:pStyle w:val="BodyText"/>
        <w:rPr>
          <w:sz w:val="30"/>
        </w:rPr>
      </w:pPr>
    </w:p>
    <w:p>
      <w:pPr>
        <w:pStyle w:val="Heading4"/>
        <w:rPr>
          <w:i/>
        </w:rPr>
      </w:pPr>
      <w:r>
        <w:rPr>
          <w:i/>
        </w:rPr>
        <w:t>Coin Scenario 1</w:t>
      </w:r>
    </w:p>
    <w:p>
      <w:pPr>
        <w:pStyle w:val="BodyText"/>
        <w:spacing w:before="1"/>
        <w:rPr>
          <w:b/>
          <w:i/>
          <w:sz w:val="10"/>
        </w:rPr>
      </w:pPr>
    </w:p>
    <w:tbl>
      <w:tblPr>
        <w:tblW w:w="0" w:type="auto"/>
        <w:jc w:val="left"/>
        <w:tblInd w:w="1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6"/>
        <w:gridCol w:w="577"/>
        <w:gridCol w:w="1770"/>
        <w:gridCol w:w="545"/>
        <w:gridCol w:w="2057"/>
      </w:tblGrid>
      <w:tr>
        <w:trPr>
          <w:trHeight w:val="690" w:hRule="atLeast"/>
        </w:trPr>
        <w:tc>
          <w:tcPr>
            <w:tcW w:w="2096" w:type="dxa"/>
            <w:tcBorders>
              <w:top w:val="single" w:sz="4" w:space="0" w:color="000000"/>
              <w:bottom w:val="single" w:sz="4" w:space="0" w:color="000000"/>
            </w:tcBorders>
          </w:tcPr>
          <w:p>
            <w:pPr>
              <w:pStyle w:val="TableParagraph"/>
              <w:spacing w:line="227" w:lineRule="exact"/>
              <w:ind w:left="600"/>
              <w:rPr>
                <w:rFonts w:ascii="Arial"/>
                <w:b/>
                <w:sz w:val="20"/>
              </w:rPr>
            </w:pPr>
            <w:r>
              <w:rPr>
                <w:rFonts w:ascii="Arial"/>
                <w:b/>
                <w:sz w:val="20"/>
              </w:rPr>
              <w:t>ROUND 1</w:t>
            </w:r>
          </w:p>
          <w:p>
            <w:pPr>
              <w:pStyle w:val="TableParagraph"/>
              <w:spacing w:before="113"/>
              <w:ind w:left="696"/>
              <w:rPr>
                <w:rFonts w:ascii="Arial"/>
                <w:b/>
                <w:sz w:val="20"/>
              </w:rPr>
            </w:pPr>
            <w:r>
              <w:rPr>
                <w:rFonts w:ascii="Arial"/>
                <w:b/>
                <w:sz w:val="20"/>
              </w:rPr>
              <w:t>(pence)</w:t>
            </w:r>
          </w:p>
        </w:tc>
        <w:tc>
          <w:tcPr>
            <w:tcW w:w="577" w:type="dxa"/>
            <w:tcBorders>
              <w:top w:val="single" w:sz="4" w:space="0" w:color="000000"/>
            </w:tcBorders>
          </w:tcPr>
          <w:p>
            <w:pPr>
              <w:pStyle w:val="TableParagraph"/>
              <w:rPr>
                <w:rFonts w:ascii="Times New Roman"/>
                <w:sz w:val="18"/>
              </w:rPr>
            </w:pPr>
          </w:p>
        </w:tc>
        <w:tc>
          <w:tcPr>
            <w:tcW w:w="1770" w:type="dxa"/>
            <w:tcBorders>
              <w:top w:val="single" w:sz="4" w:space="0" w:color="000000"/>
              <w:bottom w:val="single" w:sz="4" w:space="0" w:color="000000"/>
            </w:tcBorders>
          </w:tcPr>
          <w:p>
            <w:pPr>
              <w:pStyle w:val="TableParagraph"/>
              <w:spacing w:line="227" w:lineRule="exact"/>
              <w:ind w:left="162" w:right="166"/>
              <w:jc w:val="center"/>
              <w:rPr>
                <w:rFonts w:ascii="Arial"/>
                <w:b/>
                <w:sz w:val="20"/>
              </w:rPr>
            </w:pPr>
            <w:r>
              <w:rPr>
                <w:rFonts w:ascii="Arial"/>
                <w:b/>
                <w:sz w:val="20"/>
              </w:rPr>
              <w:t>ROUND 2</w:t>
            </w:r>
          </w:p>
          <w:p>
            <w:pPr>
              <w:pStyle w:val="TableParagraph"/>
              <w:spacing w:before="113"/>
              <w:ind w:left="163" w:right="166"/>
              <w:jc w:val="center"/>
              <w:rPr>
                <w:rFonts w:ascii="Arial"/>
                <w:b/>
                <w:sz w:val="20"/>
              </w:rPr>
            </w:pPr>
            <w:r>
              <w:rPr>
                <w:rFonts w:ascii="Arial"/>
                <w:b/>
                <w:sz w:val="20"/>
              </w:rPr>
              <w:t>(twenty pence)</w:t>
            </w:r>
          </w:p>
        </w:tc>
        <w:tc>
          <w:tcPr>
            <w:tcW w:w="545" w:type="dxa"/>
            <w:tcBorders>
              <w:top w:val="single" w:sz="4" w:space="0" w:color="000000"/>
            </w:tcBorders>
          </w:tcPr>
          <w:p>
            <w:pPr>
              <w:pStyle w:val="TableParagraph"/>
              <w:rPr>
                <w:rFonts w:ascii="Times New Roman"/>
                <w:sz w:val="18"/>
              </w:rPr>
            </w:pPr>
          </w:p>
        </w:tc>
        <w:tc>
          <w:tcPr>
            <w:tcW w:w="2057" w:type="dxa"/>
            <w:tcBorders>
              <w:top w:val="single" w:sz="4" w:space="0" w:color="000000"/>
              <w:bottom w:val="single" w:sz="4" w:space="0" w:color="000000"/>
            </w:tcBorders>
          </w:tcPr>
          <w:p>
            <w:pPr>
              <w:pStyle w:val="TableParagraph"/>
              <w:spacing w:line="227" w:lineRule="exact"/>
              <w:ind w:left="622"/>
              <w:rPr>
                <w:rFonts w:ascii="Arial"/>
                <w:b/>
                <w:sz w:val="20"/>
              </w:rPr>
            </w:pPr>
            <w:r>
              <w:rPr>
                <w:rFonts w:ascii="Arial"/>
                <w:b/>
                <w:sz w:val="20"/>
              </w:rPr>
              <w:t>PAYOFF</w:t>
            </w:r>
          </w:p>
          <w:p>
            <w:pPr>
              <w:pStyle w:val="TableParagraph"/>
              <w:spacing w:before="113"/>
              <w:ind w:left="555"/>
              <w:rPr>
                <w:rFonts w:ascii="Arial"/>
                <w:b/>
                <w:sz w:val="20"/>
              </w:rPr>
            </w:pPr>
            <w:r>
              <w:rPr>
                <w:rFonts w:ascii="Arial"/>
                <w:b/>
                <w:sz w:val="20"/>
              </w:rPr>
              <w:t>(in pence)</w:t>
            </w:r>
          </w:p>
        </w:tc>
      </w:tr>
      <w:tr>
        <w:trPr>
          <w:trHeight w:val="288" w:hRule="atLeast"/>
        </w:trPr>
        <w:tc>
          <w:tcPr>
            <w:tcW w:w="2096" w:type="dxa"/>
            <w:tcBorders>
              <w:top w:val="single" w:sz="4" w:space="0" w:color="000000"/>
            </w:tcBorders>
          </w:tcPr>
          <w:p>
            <w:pPr>
              <w:pStyle w:val="TableParagraph"/>
              <w:spacing w:line="227" w:lineRule="exact"/>
              <w:ind w:left="279" w:right="279"/>
              <w:jc w:val="center"/>
              <w:rPr>
                <w:rFonts w:ascii="Arial"/>
                <w:sz w:val="20"/>
              </w:rPr>
            </w:pPr>
            <w:r>
              <w:rPr>
                <w:rFonts w:ascii="Arial"/>
                <w:sz w:val="20"/>
              </w:rPr>
              <w:t>Heads (+1)</w:t>
            </w:r>
          </w:p>
        </w:tc>
        <w:tc>
          <w:tcPr>
            <w:tcW w:w="577" w:type="dxa"/>
          </w:tcPr>
          <w:p>
            <w:pPr>
              <w:pStyle w:val="TableParagraph"/>
              <w:rPr>
                <w:rFonts w:ascii="Times New Roman"/>
                <w:sz w:val="18"/>
              </w:rPr>
            </w:pPr>
          </w:p>
        </w:tc>
        <w:tc>
          <w:tcPr>
            <w:tcW w:w="1770" w:type="dxa"/>
            <w:tcBorders>
              <w:top w:val="single" w:sz="4" w:space="0" w:color="000000"/>
            </w:tcBorders>
          </w:tcPr>
          <w:p>
            <w:pPr>
              <w:pStyle w:val="TableParagraph"/>
              <w:spacing w:line="227" w:lineRule="exact"/>
              <w:ind w:left="161" w:right="166"/>
              <w:jc w:val="center"/>
              <w:rPr>
                <w:rFonts w:ascii="Arial"/>
                <w:sz w:val="20"/>
              </w:rPr>
            </w:pPr>
            <w:r>
              <w:rPr>
                <w:rFonts w:ascii="Arial"/>
                <w:sz w:val="20"/>
              </w:rPr>
              <w:t>Heads (+20)</w:t>
            </w:r>
          </w:p>
        </w:tc>
        <w:tc>
          <w:tcPr>
            <w:tcW w:w="545" w:type="dxa"/>
          </w:tcPr>
          <w:p>
            <w:pPr>
              <w:pStyle w:val="TableParagraph"/>
              <w:rPr>
                <w:rFonts w:ascii="Times New Roman"/>
                <w:sz w:val="18"/>
              </w:rPr>
            </w:pPr>
          </w:p>
        </w:tc>
        <w:tc>
          <w:tcPr>
            <w:tcW w:w="2057" w:type="dxa"/>
            <w:tcBorders>
              <w:top w:val="single" w:sz="4" w:space="0" w:color="000000"/>
            </w:tcBorders>
          </w:tcPr>
          <w:p>
            <w:pPr>
              <w:pStyle w:val="TableParagraph"/>
              <w:spacing w:line="227" w:lineRule="exact"/>
              <w:ind w:left="776"/>
              <w:rPr>
                <w:rFonts w:ascii="Arial"/>
                <w:sz w:val="20"/>
              </w:rPr>
            </w:pPr>
            <w:r>
              <w:rPr>
                <w:rFonts w:ascii="Arial"/>
                <w:sz w:val="20"/>
              </w:rPr>
              <w:t>+20.1</w:t>
            </w:r>
          </w:p>
        </w:tc>
      </w:tr>
      <w:tr>
        <w:trPr>
          <w:trHeight w:val="345" w:hRule="atLeast"/>
        </w:trPr>
        <w:tc>
          <w:tcPr>
            <w:tcW w:w="2096" w:type="dxa"/>
          </w:tcPr>
          <w:p>
            <w:pPr>
              <w:pStyle w:val="TableParagraph"/>
              <w:spacing w:before="54"/>
              <w:ind w:left="279" w:right="279"/>
              <w:jc w:val="center"/>
              <w:rPr>
                <w:rFonts w:ascii="Arial"/>
                <w:sz w:val="20"/>
              </w:rPr>
            </w:pPr>
            <w:r>
              <w:rPr>
                <w:rFonts w:ascii="Arial"/>
                <w:sz w:val="20"/>
              </w:rPr>
              <w:t>Heads (+1)</w:t>
            </w:r>
          </w:p>
        </w:tc>
        <w:tc>
          <w:tcPr>
            <w:tcW w:w="577" w:type="dxa"/>
          </w:tcPr>
          <w:p>
            <w:pPr>
              <w:pStyle w:val="TableParagraph"/>
              <w:rPr>
                <w:rFonts w:ascii="Times New Roman"/>
                <w:sz w:val="18"/>
              </w:rPr>
            </w:pPr>
          </w:p>
        </w:tc>
        <w:tc>
          <w:tcPr>
            <w:tcW w:w="1770" w:type="dxa"/>
          </w:tcPr>
          <w:p>
            <w:pPr>
              <w:pStyle w:val="TableParagraph"/>
              <w:spacing w:before="54"/>
              <w:ind w:left="163" w:right="165"/>
              <w:jc w:val="center"/>
              <w:rPr>
                <w:rFonts w:ascii="Arial"/>
                <w:sz w:val="20"/>
              </w:rPr>
            </w:pPr>
            <w:r>
              <w:rPr>
                <w:rFonts w:ascii="Arial"/>
                <w:sz w:val="20"/>
              </w:rPr>
              <w:t>Tails (-20)</w:t>
            </w:r>
          </w:p>
        </w:tc>
        <w:tc>
          <w:tcPr>
            <w:tcW w:w="545" w:type="dxa"/>
          </w:tcPr>
          <w:p>
            <w:pPr>
              <w:pStyle w:val="TableParagraph"/>
              <w:rPr>
                <w:rFonts w:ascii="Times New Roman"/>
                <w:sz w:val="18"/>
              </w:rPr>
            </w:pPr>
          </w:p>
        </w:tc>
        <w:tc>
          <w:tcPr>
            <w:tcW w:w="2057" w:type="dxa"/>
          </w:tcPr>
          <w:p>
            <w:pPr>
              <w:pStyle w:val="TableParagraph"/>
              <w:spacing w:before="54"/>
              <w:ind w:left="800"/>
              <w:rPr>
                <w:rFonts w:ascii="Arial"/>
                <w:sz w:val="20"/>
              </w:rPr>
            </w:pPr>
            <w:r>
              <w:rPr>
                <w:rFonts w:ascii="Arial"/>
                <w:sz w:val="20"/>
              </w:rPr>
              <w:t>-19.9</w:t>
            </w:r>
          </w:p>
        </w:tc>
      </w:tr>
      <w:tr>
        <w:trPr>
          <w:trHeight w:val="344" w:hRule="atLeast"/>
        </w:trPr>
        <w:tc>
          <w:tcPr>
            <w:tcW w:w="2096" w:type="dxa"/>
          </w:tcPr>
          <w:p>
            <w:pPr>
              <w:pStyle w:val="TableParagraph"/>
              <w:spacing w:before="54"/>
              <w:ind w:left="280" w:right="277"/>
              <w:jc w:val="center"/>
              <w:rPr>
                <w:rFonts w:ascii="Arial"/>
                <w:sz w:val="20"/>
              </w:rPr>
            </w:pPr>
            <w:r>
              <w:rPr>
                <w:rFonts w:ascii="Arial"/>
                <w:sz w:val="20"/>
              </w:rPr>
              <w:t>Tails (-1)</w:t>
            </w:r>
          </w:p>
        </w:tc>
        <w:tc>
          <w:tcPr>
            <w:tcW w:w="577" w:type="dxa"/>
          </w:tcPr>
          <w:p>
            <w:pPr>
              <w:pStyle w:val="TableParagraph"/>
              <w:rPr>
                <w:rFonts w:ascii="Times New Roman"/>
                <w:sz w:val="18"/>
              </w:rPr>
            </w:pPr>
          </w:p>
        </w:tc>
        <w:tc>
          <w:tcPr>
            <w:tcW w:w="1770" w:type="dxa"/>
          </w:tcPr>
          <w:p>
            <w:pPr>
              <w:pStyle w:val="TableParagraph"/>
              <w:spacing w:before="54"/>
              <w:ind w:left="161" w:right="166"/>
              <w:jc w:val="center"/>
              <w:rPr>
                <w:rFonts w:ascii="Arial"/>
                <w:sz w:val="20"/>
              </w:rPr>
            </w:pPr>
            <w:r>
              <w:rPr>
                <w:rFonts w:ascii="Arial"/>
                <w:sz w:val="20"/>
              </w:rPr>
              <w:t>Heads (+20)</w:t>
            </w:r>
          </w:p>
        </w:tc>
        <w:tc>
          <w:tcPr>
            <w:tcW w:w="545" w:type="dxa"/>
          </w:tcPr>
          <w:p>
            <w:pPr>
              <w:pStyle w:val="TableParagraph"/>
              <w:rPr>
                <w:rFonts w:ascii="Times New Roman"/>
                <w:sz w:val="18"/>
              </w:rPr>
            </w:pPr>
          </w:p>
        </w:tc>
        <w:tc>
          <w:tcPr>
            <w:tcW w:w="2057" w:type="dxa"/>
          </w:tcPr>
          <w:p>
            <w:pPr>
              <w:pStyle w:val="TableParagraph"/>
              <w:spacing w:before="54"/>
              <w:ind w:left="776"/>
              <w:rPr>
                <w:rFonts w:ascii="Arial"/>
                <w:sz w:val="20"/>
              </w:rPr>
            </w:pPr>
            <w:r>
              <w:rPr>
                <w:rFonts w:ascii="Arial"/>
                <w:sz w:val="20"/>
              </w:rPr>
              <w:t>+19.9</w:t>
            </w:r>
          </w:p>
        </w:tc>
      </w:tr>
      <w:tr>
        <w:trPr>
          <w:trHeight w:val="401" w:hRule="atLeast"/>
        </w:trPr>
        <w:tc>
          <w:tcPr>
            <w:tcW w:w="2096" w:type="dxa"/>
            <w:tcBorders>
              <w:bottom w:val="single" w:sz="4" w:space="0" w:color="000000"/>
            </w:tcBorders>
          </w:tcPr>
          <w:p>
            <w:pPr>
              <w:pStyle w:val="TableParagraph"/>
              <w:spacing w:before="53"/>
              <w:ind w:left="280" w:right="277"/>
              <w:jc w:val="center"/>
              <w:rPr>
                <w:rFonts w:ascii="Arial"/>
                <w:sz w:val="20"/>
              </w:rPr>
            </w:pPr>
            <w:r>
              <w:rPr>
                <w:rFonts w:ascii="Arial"/>
                <w:sz w:val="20"/>
              </w:rPr>
              <w:t>Tails (-1)</w:t>
            </w:r>
          </w:p>
        </w:tc>
        <w:tc>
          <w:tcPr>
            <w:tcW w:w="577" w:type="dxa"/>
            <w:tcBorders>
              <w:bottom w:val="single" w:sz="4" w:space="0" w:color="000000"/>
            </w:tcBorders>
          </w:tcPr>
          <w:p>
            <w:pPr>
              <w:pStyle w:val="TableParagraph"/>
              <w:rPr>
                <w:rFonts w:ascii="Times New Roman"/>
                <w:sz w:val="18"/>
              </w:rPr>
            </w:pPr>
          </w:p>
        </w:tc>
        <w:tc>
          <w:tcPr>
            <w:tcW w:w="1770" w:type="dxa"/>
            <w:tcBorders>
              <w:bottom w:val="single" w:sz="4" w:space="0" w:color="000000"/>
            </w:tcBorders>
          </w:tcPr>
          <w:p>
            <w:pPr>
              <w:pStyle w:val="TableParagraph"/>
              <w:spacing w:before="53"/>
              <w:ind w:left="163" w:right="165"/>
              <w:jc w:val="center"/>
              <w:rPr>
                <w:rFonts w:ascii="Arial"/>
                <w:sz w:val="20"/>
              </w:rPr>
            </w:pPr>
            <w:r>
              <w:rPr>
                <w:rFonts w:ascii="Arial"/>
                <w:sz w:val="20"/>
              </w:rPr>
              <w:t>Tails (-20)</w:t>
            </w:r>
          </w:p>
        </w:tc>
        <w:tc>
          <w:tcPr>
            <w:tcW w:w="545" w:type="dxa"/>
            <w:tcBorders>
              <w:bottom w:val="single" w:sz="4" w:space="0" w:color="000000"/>
            </w:tcBorders>
          </w:tcPr>
          <w:p>
            <w:pPr>
              <w:pStyle w:val="TableParagraph"/>
              <w:rPr>
                <w:rFonts w:ascii="Times New Roman"/>
                <w:sz w:val="18"/>
              </w:rPr>
            </w:pPr>
          </w:p>
        </w:tc>
        <w:tc>
          <w:tcPr>
            <w:tcW w:w="2057" w:type="dxa"/>
            <w:tcBorders>
              <w:bottom w:val="single" w:sz="4" w:space="0" w:color="000000"/>
            </w:tcBorders>
          </w:tcPr>
          <w:p>
            <w:pPr>
              <w:pStyle w:val="TableParagraph"/>
              <w:spacing w:before="53"/>
              <w:ind w:left="800"/>
              <w:rPr>
                <w:rFonts w:ascii="Arial"/>
                <w:sz w:val="20"/>
              </w:rPr>
            </w:pPr>
            <w:r>
              <w:rPr>
                <w:rFonts w:ascii="Arial"/>
                <w:sz w:val="20"/>
              </w:rPr>
              <w:t>-20.1</w:t>
            </w:r>
          </w:p>
        </w:tc>
      </w:tr>
    </w:tbl>
    <w:p>
      <w:pPr>
        <w:spacing w:before="0"/>
        <w:ind w:left="1693" w:right="0" w:firstLine="0"/>
        <w:jc w:val="left"/>
        <w:rPr>
          <w:i/>
          <w:sz w:val="20"/>
        </w:rPr>
      </w:pPr>
      <w:r>
        <w:rPr>
          <w:i/>
          <w:sz w:val="20"/>
        </w:rPr>
        <w:t>Payoff is (10% x outcome of round 1) + outcome of round 2</w:t>
      </w:r>
    </w:p>
    <w:p>
      <w:pPr>
        <w:pStyle w:val="BodyText"/>
        <w:rPr>
          <w:i/>
        </w:rPr>
      </w:pPr>
    </w:p>
    <w:p>
      <w:pPr>
        <w:pStyle w:val="BodyText"/>
        <w:spacing w:before="8"/>
        <w:rPr>
          <w:i/>
          <w:sz w:val="25"/>
        </w:rPr>
      </w:pPr>
      <w:r>
        <w:rPr/>
        <w:pict>
          <v:shape style="position:absolute;margin-left:56.664001pt;margin-top:17.011841pt;width:144.050pt;height:.1pt;mso-position-horizontal-relative:page;mso-position-vertical-relative:paragraph;z-index:-251654144;mso-wrap-distance-left:0;mso-wrap-distance-right:0" coordorigin="1133,340" coordsize="2881,0" path="m1133,340l4014,340e" filled="false" stroked="true" strokeweight=".47998pt" strokecolor="#000000">
            <v:path arrowok="t"/>
            <v:stroke dashstyle="solid"/>
            <w10:wrap type="topAndBottom"/>
          </v:shape>
        </w:pict>
      </w:r>
    </w:p>
    <w:p>
      <w:pPr>
        <w:spacing w:line="196" w:lineRule="exact" w:before="30"/>
        <w:ind w:left="253" w:right="0" w:firstLine="0"/>
        <w:jc w:val="left"/>
        <w:rPr>
          <w:sz w:val="16"/>
        </w:rPr>
      </w:pPr>
      <w:r>
        <w:rPr>
          <w:position w:val="8"/>
          <w:sz w:val="10"/>
        </w:rPr>
        <w:t>4 </w:t>
      </w:r>
      <w:r>
        <w:rPr>
          <w:sz w:val="16"/>
        </w:rPr>
        <w:t>See Forbes (2013).</w:t>
      </w:r>
    </w:p>
    <w:p>
      <w:pPr>
        <w:spacing w:line="182" w:lineRule="exact" w:before="16"/>
        <w:ind w:left="253" w:right="1178" w:firstLine="0"/>
        <w:jc w:val="left"/>
        <w:rPr>
          <w:sz w:val="16"/>
        </w:rPr>
      </w:pPr>
      <w:r>
        <w:rPr>
          <w:position w:val="8"/>
          <w:sz w:val="10"/>
        </w:rPr>
        <w:t>5 </w:t>
      </w:r>
      <w:r>
        <w:rPr>
          <w:sz w:val="16"/>
        </w:rPr>
        <w:t>This general result is known as the Normal Correlation Theorem. To the best of my knowledge, the first person to highlight this result was Rob Stambaugh in a discussion of Karolyi and Stulz (1996). This coin example and a more extensive discussion of the implications</w:t>
      </w:r>
    </w:p>
    <w:p>
      <w:pPr>
        <w:spacing w:line="183" w:lineRule="exact" w:before="0"/>
        <w:ind w:left="253" w:right="0" w:firstLine="0"/>
        <w:jc w:val="left"/>
        <w:rPr>
          <w:sz w:val="16"/>
        </w:rPr>
      </w:pPr>
      <w:r>
        <w:rPr>
          <w:sz w:val="16"/>
        </w:rPr>
        <w:t>for measuring contagion are in Forbes and Rigobon (2001, 2002).</w:t>
      </w:r>
    </w:p>
    <w:p>
      <w:pPr>
        <w:spacing w:after="0" w:line="183" w:lineRule="exact"/>
        <w:jc w:val="left"/>
        <w:rPr>
          <w:sz w:val="16"/>
        </w:rPr>
        <w:sectPr>
          <w:footerReference w:type="default" r:id="rId13"/>
          <w:pgSz w:w="11910" w:h="16840"/>
          <w:pgMar w:footer="1676" w:header="0" w:top="1580" w:bottom="1860" w:left="880" w:right="0"/>
          <w:pgNumType w:start="8"/>
        </w:sectPr>
      </w:pPr>
    </w:p>
    <w:p>
      <w:pPr>
        <w:pStyle w:val="BodyText"/>
        <w:rPr>
          <w:sz w:val="23"/>
        </w:rPr>
      </w:pPr>
    </w:p>
    <w:p>
      <w:pPr>
        <w:pStyle w:val="BodyText"/>
        <w:spacing w:line="360" w:lineRule="auto" w:before="93"/>
        <w:ind w:left="253" w:right="1228"/>
        <w:jc w:val="both"/>
      </w:pPr>
      <w:r>
        <w:rPr/>
        <w:t>Since the payoff is equal to the outcome of the second round (plus or minus 20 pence) plus or minus a</w:t>
      </w:r>
      <w:r>
        <w:rPr>
          <w:spacing w:val="-34"/>
        </w:rPr>
        <w:t> </w:t>
      </w:r>
      <w:r>
        <w:rPr/>
        <w:t>tenth of a penny, the outcome of the first coin toss has a negligible impact on the payoff. Therefore, when the first round is played with a penny, the correlation between the first round and the payoff is close to zero (0.5% to be exact) and the outcomes of the first round and payoff are almost</w:t>
      </w:r>
      <w:r>
        <w:rPr>
          <w:spacing w:val="-8"/>
        </w:rPr>
        <w:t> </w:t>
      </w:r>
      <w:r>
        <w:rPr/>
        <w:t>independent.</w:t>
      </w:r>
    </w:p>
    <w:p>
      <w:pPr>
        <w:pStyle w:val="BodyText"/>
        <w:spacing w:before="3"/>
        <w:rPr>
          <w:sz w:val="30"/>
        </w:rPr>
      </w:pPr>
    </w:p>
    <w:p>
      <w:pPr>
        <w:pStyle w:val="BodyText"/>
        <w:spacing w:line="276" w:lineRule="auto"/>
        <w:ind w:left="253" w:right="1168"/>
        <w:jc w:val="both"/>
      </w:pPr>
      <w:r>
        <w:rPr/>
        <w:t>On the other hand, when the first round is played with a £100 coin instead of a penny, the possible scenarios are (again in pence):</w:t>
      </w:r>
    </w:p>
    <w:p>
      <w:pPr>
        <w:pStyle w:val="BodyText"/>
        <w:rPr>
          <w:sz w:val="22"/>
        </w:rPr>
      </w:pPr>
    </w:p>
    <w:p>
      <w:pPr>
        <w:pStyle w:val="BodyText"/>
        <w:spacing w:before="1"/>
        <w:rPr>
          <w:sz w:val="25"/>
        </w:rPr>
      </w:pPr>
    </w:p>
    <w:p>
      <w:pPr>
        <w:pStyle w:val="Heading4"/>
        <w:rPr>
          <w:i/>
        </w:rPr>
      </w:pPr>
      <w:r>
        <w:rPr>
          <w:i/>
        </w:rPr>
        <w:t>Coin Scenario 2</w:t>
      </w:r>
    </w:p>
    <w:p>
      <w:pPr>
        <w:pStyle w:val="BodyText"/>
        <w:spacing w:before="3"/>
        <w:rPr>
          <w:b/>
          <w:i/>
          <w:sz w:val="10"/>
        </w:rPr>
      </w:pPr>
    </w:p>
    <w:tbl>
      <w:tblPr>
        <w:tblW w:w="0" w:type="auto"/>
        <w:jc w:val="left"/>
        <w:tblInd w:w="1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6"/>
        <w:gridCol w:w="577"/>
        <w:gridCol w:w="1770"/>
        <w:gridCol w:w="545"/>
        <w:gridCol w:w="2057"/>
      </w:tblGrid>
      <w:tr>
        <w:trPr>
          <w:trHeight w:val="691" w:hRule="atLeast"/>
        </w:trPr>
        <w:tc>
          <w:tcPr>
            <w:tcW w:w="2096" w:type="dxa"/>
            <w:tcBorders>
              <w:top w:val="single" w:sz="4" w:space="0" w:color="000000"/>
              <w:bottom w:val="single" w:sz="4" w:space="0" w:color="000000"/>
            </w:tcBorders>
          </w:tcPr>
          <w:p>
            <w:pPr>
              <w:pStyle w:val="TableParagraph"/>
              <w:spacing w:line="225" w:lineRule="exact"/>
              <w:ind w:left="600"/>
              <w:rPr>
                <w:rFonts w:ascii="Arial"/>
                <w:b/>
                <w:sz w:val="20"/>
              </w:rPr>
            </w:pPr>
            <w:r>
              <w:rPr>
                <w:rFonts w:ascii="Arial"/>
                <w:b/>
                <w:sz w:val="20"/>
              </w:rPr>
              <w:t>ROUND 1</w:t>
            </w:r>
          </w:p>
          <w:p>
            <w:pPr>
              <w:pStyle w:val="TableParagraph"/>
              <w:spacing w:before="115"/>
              <w:ind w:left="528"/>
              <w:rPr>
                <w:rFonts w:ascii="Arial" w:hAnsi="Arial"/>
                <w:b/>
                <w:sz w:val="20"/>
              </w:rPr>
            </w:pPr>
            <w:r>
              <w:rPr>
                <w:rFonts w:ascii="Arial" w:hAnsi="Arial"/>
                <w:b/>
                <w:sz w:val="20"/>
              </w:rPr>
              <w:t>(£100 coin)</w:t>
            </w:r>
          </w:p>
        </w:tc>
        <w:tc>
          <w:tcPr>
            <w:tcW w:w="577" w:type="dxa"/>
            <w:tcBorders>
              <w:top w:val="single" w:sz="4" w:space="0" w:color="000000"/>
            </w:tcBorders>
          </w:tcPr>
          <w:p>
            <w:pPr>
              <w:pStyle w:val="TableParagraph"/>
              <w:rPr>
                <w:rFonts w:ascii="Times New Roman"/>
                <w:sz w:val="18"/>
              </w:rPr>
            </w:pPr>
          </w:p>
        </w:tc>
        <w:tc>
          <w:tcPr>
            <w:tcW w:w="1770" w:type="dxa"/>
            <w:tcBorders>
              <w:top w:val="single" w:sz="4" w:space="0" w:color="000000"/>
              <w:bottom w:val="single" w:sz="4" w:space="0" w:color="000000"/>
            </w:tcBorders>
          </w:tcPr>
          <w:p>
            <w:pPr>
              <w:pStyle w:val="TableParagraph"/>
              <w:spacing w:line="225" w:lineRule="exact"/>
              <w:ind w:left="433"/>
              <w:rPr>
                <w:rFonts w:ascii="Arial"/>
                <w:b/>
                <w:sz w:val="20"/>
              </w:rPr>
            </w:pPr>
            <w:r>
              <w:rPr>
                <w:rFonts w:ascii="Arial"/>
                <w:b/>
                <w:sz w:val="20"/>
              </w:rPr>
              <w:t>ROUND 2</w:t>
            </w:r>
          </w:p>
          <w:p>
            <w:pPr>
              <w:pStyle w:val="TableParagraph"/>
              <w:spacing w:before="115"/>
              <w:ind w:left="390"/>
              <w:rPr>
                <w:rFonts w:ascii="Arial"/>
                <w:b/>
                <w:sz w:val="20"/>
              </w:rPr>
            </w:pPr>
            <w:r>
              <w:rPr>
                <w:rFonts w:ascii="Arial"/>
                <w:b/>
                <w:sz w:val="20"/>
              </w:rPr>
              <w:t>(20 pence)</w:t>
            </w:r>
          </w:p>
        </w:tc>
        <w:tc>
          <w:tcPr>
            <w:tcW w:w="545" w:type="dxa"/>
            <w:tcBorders>
              <w:top w:val="single" w:sz="4" w:space="0" w:color="000000"/>
            </w:tcBorders>
          </w:tcPr>
          <w:p>
            <w:pPr>
              <w:pStyle w:val="TableParagraph"/>
              <w:rPr>
                <w:rFonts w:ascii="Times New Roman"/>
                <w:sz w:val="18"/>
              </w:rPr>
            </w:pPr>
          </w:p>
        </w:tc>
        <w:tc>
          <w:tcPr>
            <w:tcW w:w="2057" w:type="dxa"/>
            <w:tcBorders>
              <w:top w:val="single" w:sz="4" w:space="0" w:color="000000"/>
              <w:bottom w:val="single" w:sz="4" w:space="0" w:color="000000"/>
            </w:tcBorders>
          </w:tcPr>
          <w:p>
            <w:pPr>
              <w:pStyle w:val="TableParagraph"/>
              <w:spacing w:line="225" w:lineRule="exact"/>
              <w:ind w:left="622"/>
              <w:rPr>
                <w:rFonts w:ascii="Arial"/>
                <w:b/>
                <w:sz w:val="20"/>
              </w:rPr>
            </w:pPr>
            <w:r>
              <w:rPr>
                <w:rFonts w:ascii="Arial"/>
                <w:b/>
                <w:sz w:val="20"/>
              </w:rPr>
              <w:t>PAYOFF</w:t>
            </w:r>
          </w:p>
          <w:p>
            <w:pPr>
              <w:pStyle w:val="TableParagraph"/>
              <w:spacing w:before="115"/>
              <w:ind w:left="555"/>
              <w:rPr>
                <w:rFonts w:ascii="Arial"/>
                <w:b/>
                <w:sz w:val="20"/>
              </w:rPr>
            </w:pPr>
            <w:r>
              <w:rPr>
                <w:rFonts w:ascii="Arial"/>
                <w:b/>
                <w:sz w:val="20"/>
              </w:rPr>
              <w:t>(in pence)</w:t>
            </w:r>
          </w:p>
        </w:tc>
      </w:tr>
      <w:tr>
        <w:trPr>
          <w:trHeight w:val="288" w:hRule="atLeast"/>
        </w:trPr>
        <w:tc>
          <w:tcPr>
            <w:tcW w:w="2096" w:type="dxa"/>
            <w:tcBorders>
              <w:top w:val="single" w:sz="4" w:space="0" w:color="000000"/>
            </w:tcBorders>
          </w:tcPr>
          <w:p>
            <w:pPr>
              <w:pStyle w:val="TableParagraph"/>
              <w:spacing w:line="227" w:lineRule="exact"/>
              <w:ind w:left="279" w:right="279"/>
              <w:jc w:val="center"/>
              <w:rPr>
                <w:rFonts w:ascii="Arial"/>
                <w:sz w:val="20"/>
              </w:rPr>
            </w:pPr>
            <w:r>
              <w:rPr>
                <w:rFonts w:ascii="Arial"/>
                <w:sz w:val="20"/>
              </w:rPr>
              <w:t>Heads (+10,000)</w:t>
            </w:r>
          </w:p>
        </w:tc>
        <w:tc>
          <w:tcPr>
            <w:tcW w:w="577" w:type="dxa"/>
          </w:tcPr>
          <w:p>
            <w:pPr>
              <w:pStyle w:val="TableParagraph"/>
              <w:rPr>
                <w:rFonts w:ascii="Times New Roman"/>
                <w:sz w:val="18"/>
              </w:rPr>
            </w:pPr>
          </w:p>
        </w:tc>
        <w:tc>
          <w:tcPr>
            <w:tcW w:w="1770" w:type="dxa"/>
            <w:tcBorders>
              <w:top w:val="single" w:sz="4" w:space="0" w:color="000000"/>
            </w:tcBorders>
          </w:tcPr>
          <w:p>
            <w:pPr>
              <w:pStyle w:val="TableParagraph"/>
              <w:spacing w:line="227" w:lineRule="exact"/>
              <w:ind w:left="161" w:right="166"/>
              <w:jc w:val="center"/>
              <w:rPr>
                <w:rFonts w:ascii="Arial"/>
                <w:sz w:val="20"/>
              </w:rPr>
            </w:pPr>
            <w:r>
              <w:rPr>
                <w:rFonts w:ascii="Arial"/>
                <w:sz w:val="20"/>
              </w:rPr>
              <w:t>Heads (+20)</w:t>
            </w:r>
          </w:p>
        </w:tc>
        <w:tc>
          <w:tcPr>
            <w:tcW w:w="545" w:type="dxa"/>
          </w:tcPr>
          <w:p>
            <w:pPr>
              <w:pStyle w:val="TableParagraph"/>
              <w:rPr>
                <w:rFonts w:ascii="Times New Roman"/>
                <w:sz w:val="18"/>
              </w:rPr>
            </w:pPr>
          </w:p>
        </w:tc>
        <w:tc>
          <w:tcPr>
            <w:tcW w:w="2057" w:type="dxa"/>
            <w:tcBorders>
              <w:top w:val="single" w:sz="4" w:space="0" w:color="000000"/>
            </w:tcBorders>
          </w:tcPr>
          <w:p>
            <w:pPr>
              <w:pStyle w:val="TableParagraph"/>
              <w:spacing w:line="227" w:lineRule="exact"/>
              <w:ind w:left="727" w:right="728"/>
              <w:jc w:val="center"/>
              <w:rPr>
                <w:rFonts w:ascii="Arial"/>
                <w:sz w:val="20"/>
              </w:rPr>
            </w:pPr>
            <w:r>
              <w:rPr>
                <w:rFonts w:ascii="Arial"/>
                <w:sz w:val="20"/>
              </w:rPr>
              <w:t>+1020</w:t>
            </w:r>
          </w:p>
        </w:tc>
      </w:tr>
      <w:tr>
        <w:trPr>
          <w:trHeight w:val="344" w:hRule="atLeast"/>
        </w:trPr>
        <w:tc>
          <w:tcPr>
            <w:tcW w:w="2096" w:type="dxa"/>
          </w:tcPr>
          <w:p>
            <w:pPr>
              <w:pStyle w:val="TableParagraph"/>
              <w:spacing w:before="54"/>
              <w:ind w:left="280" w:right="279"/>
              <w:jc w:val="center"/>
              <w:rPr>
                <w:rFonts w:ascii="Arial"/>
                <w:sz w:val="20"/>
              </w:rPr>
            </w:pPr>
            <w:r>
              <w:rPr>
                <w:rFonts w:ascii="Arial"/>
                <w:sz w:val="20"/>
              </w:rPr>
              <w:t>Heads (+10,000)</w:t>
            </w:r>
          </w:p>
        </w:tc>
        <w:tc>
          <w:tcPr>
            <w:tcW w:w="577" w:type="dxa"/>
          </w:tcPr>
          <w:p>
            <w:pPr>
              <w:pStyle w:val="TableParagraph"/>
              <w:rPr>
                <w:rFonts w:ascii="Times New Roman"/>
                <w:sz w:val="18"/>
              </w:rPr>
            </w:pPr>
          </w:p>
        </w:tc>
        <w:tc>
          <w:tcPr>
            <w:tcW w:w="1770" w:type="dxa"/>
          </w:tcPr>
          <w:p>
            <w:pPr>
              <w:pStyle w:val="TableParagraph"/>
              <w:spacing w:before="54"/>
              <w:ind w:left="163" w:right="165"/>
              <w:jc w:val="center"/>
              <w:rPr>
                <w:rFonts w:ascii="Arial"/>
                <w:sz w:val="20"/>
              </w:rPr>
            </w:pPr>
            <w:r>
              <w:rPr>
                <w:rFonts w:ascii="Arial"/>
                <w:sz w:val="20"/>
              </w:rPr>
              <w:t>Tails (-20)</w:t>
            </w:r>
          </w:p>
        </w:tc>
        <w:tc>
          <w:tcPr>
            <w:tcW w:w="545" w:type="dxa"/>
          </w:tcPr>
          <w:p>
            <w:pPr>
              <w:pStyle w:val="TableParagraph"/>
              <w:rPr>
                <w:rFonts w:ascii="Times New Roman"/>
                <w:sz w:val="18"/>
              </w:rPr>
            </w:pPr>
          </w:p>
        </w:tc>
        <w:tc>
          <w:tcPr>
            <w:tcW w:w="2057" w:type="dxa"/>
          </w:tcPr>
          <w:p>
            <w:pPr>
              <w:pStyle w:val="TableParagraph"/>
              <w:spacing w:before="54"/>
              <w:ind w:left="727" w:right="728"/>
              <w:jc w:val="center"/>
              <w:rPr>
                <w:rFonts w:ascii="Arial"/>
                <w:sz w:val="20"/>
              </w:rPr>
            </w:pPr>
            <w:r>
              <w:rPr>
                <w:rFonts w:ascii="Arial"/>
                <w:sz w:val="20"/>
              </w:rPr>
              <w:t>+980</w:t>
            </w:r>
          </w:p>
        </w:tc>
      </w:tr>
      <w:tr>
        <w:trPr>
          <w:trHeight w:val="344" w:hRule="atLeast"/>
        </w:trPr>
        <w:tc>
          <w:tcPr>
            <w:tcW w:w="2096" w:type="dxa"/>
          </w:tcPr>
          <w:p>
            <w:pPr>
              <w:pStyle w:val="TableParagraph"/>
              <w:spacing w:before="53"/>
              <w:ind w:left="280" w:right="277"/>
              <w:jc w:val="center"/>
              <w:rPr>
                <w:rFonts w:ascii="Arial"/>
                <w:sz w:val="20"/>
              </w:rPr>
            </w:pPr>
            <w:r>
              <w:rPr>
                <w:rFonts w:ascii="Arial"/>
                <w:sz w:val="20"/>
              </w:rPr>
              <w:t>Tails (-10,000)</w:t>
            </w:r>
          </w:p>
        </w:tc>
        <w:tc>
          <w:tcPr>
            <w:tcW w:w="577" w:type="dxa"/>
          </w:tcPr>
          <w:p>
            <w:pPr>
              <w:pStyle w:val="TableParagraph"/>
              <w:rPr>
                <w:rFonts w:ascii="Times New Roman"/>
                <w:sz w:val="18"/>
              </w:rPr>
            </w:pPr>
          </w:p>
        </w:tc>
        <w:tc>
          <w:tcPr>
            <w:tcW w:w="1770" w:type="dxa"/>
          </w:tcPr>
          <w:p>
            <w:pPr>
              <w:pStyle w:val="TableParagraph"/>
              <w:spacing w:before="53"/>
              <w:ind w:left="161" w:right="166"/>
              <w:jc w:val="center"/>
              <w:rPr>
                <w:rFonts w:ascii="Arial"/>
                <w:sz w:val="20"/>
              </w:rPr>
            </w:pPr>
            <w:r>
              <w:rPr>
                <w:rFonts w:ascii="Arial"/>
                <w:sz w:val="20"/>
              </w:rPr>
              <w:t>Heads (+20)</w:t>
            </w:r>
          </w:p>
        </w:tc>
        <w:tc>
          <w:tcPr>
            <w:tcW w:w="545" w:type="dxa"/>
          </w:tcPr>
          <w:p>
            <w:pPr>
              <w:pStyle w:val="TableParagraph"/>
              <w:rPr>
                <w:rFonts w:ascii="Times New Roman"/>
                <w:sz w:val="18"/>
              </w:rPr>
            </w:pPr>
          </w:p>
        </w:tc>
        <w:tc>
          <w:tcPr>
            <w:tcW w:w="2057" w:type="dxa"/>
          </w:tcPr>
          <w:p>
            <w:pPr>
              <w:pStyle w:val="TableParagraph"/>
              <w:spacing w:before="53"/>
              <w:ind w:left="727" w:right="728"/>
              <w:jc w:val="center"/>
              <w:rPr>
                <w:rFonts w:ascii="Arial"/>
                <w:sz w:val="20"/>
              </w:rPr>
            </w:pPr>
            <w:r>
              <w:rPr>
                <w:rFonts w:ascii="Arial"/>
                <w:sz w:val="20"/>
              </w:rPr>
              <w:t>-980</w:t>
            </w:r>
          </w:p>
        </w:tc>
      </w:tr>
      <w:tr>
        <w:trPr>
          <w:trHeight w:val="402" w:hRule="atLeast"/>
        </w:trPr>
        <w:tc>
          <w:tcPr>
            <w:tcW w:w="2096" w:type="dxa"/>
            <w:tcBorders>
              <w:bottom w:val="single" w:sz="4" w:space="0" w:color="000000"/>
            </w:tcBorders>
          </w:tcPr>
          <w:p>
            <w:pPr>
              <w:pStyle w:val="TableParagraph"/>
              <w:spacing w:before="54"/>
              <w:ind w:left="280" w:right="277"/>
              <w:jc w:val="center"/>
              <w:rPr>
                <w:rFonts w:ascii="Arial"/>
                <w:sz w:val="20"/>
              </w:rPr>
            </w:pPr>
            <w:r>
              <w:rPr>
                <w:rFonts w:ascii="Arial"/>
                <w:sz w:val="20"/>
              </w:rPr>
              <w:t>Tails (-10,000)</w:t>
            </w:r>
          </w:p>
        </w:tc>
        <w:tc>
          <w:tcPr>
            <w:tcW w:w="577" w:type="dxa"/>
            <w:tcBorders>
              <w:bottom w:val="single" w:sz="4" w:space="0" w:color="000000"/>
            </w:tcBorders>
          </w:tcPr>
          <w:p>
            <w:pPr>
              <w:pStyle w:val="TableParagraph"/>
              <w:rPr>
                <w:rFonts w:ascii="Times New Roman"/>
                <w:sz w:val="18"/>
              </w:rPr>
            </w:pPr>
          </w:p>
        </w:tc>
        <w:tc>
          <w:tcPr>
            <w:tcW w:w="1770" w:type="dxa"/>
            <w:tcBorders>
              <w:bottom w:val="single" w:sz="4" w:space="0" w:color="000000"/>
            </w:tcBorders>
          </w:tcPr>
          <w:p>
            <w:pPr>
              <w:pStyle w:val="TableParagraph"/>
              <w:spacing w:before="54"/>
              <w:ind w:left="163" w:right="165"/>
              <w:jc w:val="center"/>
              <w:rPr>
                <w:rFonts w:ascii="Arial"/>
                <w:sz w:val="20"/>
              </w:rPr>
            </w:pPr>
            <w:r>
              <w:rPr>
                <w:rFonts w:ascii="Arial"/>
                <w:sz w:val="20"/>
              </w:rPr>
              <w:t>Tails (-20)</w:t>
            </w:r>
          </w:p>
        </w:tc>
        <w:tc>
          <w:tcPr>
            <w:tcW w:w="545" w:type="dxa"/>
            <w:tcBorders>
              <w:bottom w:val="single" w:sz="4" w:space="0" w:color="000000"/>
            </w:tcBorders>
          </w:tcPr>
          <w:p>
            <w:pPr>
              <w:pStyle w:val="TableParagraph"/>
              <w:rPr>
                <w:rFonts w:ascii="Times New Roman"/>
                <w:sz w:val="18"/>
              </w:rPr>
            </w:pPr>
          </w:p>
        </w:tc>
        <w:tc>
          <w:tcPr>
            <w:tcW w:w="2057" w:type="dxa"/>
            <w:tcBorders>
              <w:bottom w:val="single" w:sz="4" w:space="0" w:color="000000"/>
            </w:tcBorders>
          </w:tcPr>
          <w:p>
            <w:pPr>
              <w:pStyle w:val="TableParagraph"/>
              <w:spacing w:before="54"/>
              <w:ind w:left="727" w:right="728"/>
              <w:jc w:val="center"/>
              <w:rPr>
                <w:rFonts w:ascii="Arial"/>
                <w:sz w:val="20"/>
              </w:rPr>
            </w:pPr>
            <w:r>
              <w:rPr>
                <w:rFonts w:ascii="Arial"/>
                <w:sz w:val="20"/>
              </w:rPr>
              <w:t>-1020</w:t>
            </w:r>
          </w:p>
        </w:tc>
      </w:tr>
    </w:tbl>
    <w:p>
      <w:pPr>
        <w:spacing w:before="0"/>
        <w:ind w:left="1693" w:right="0" w:firstLine="0"/>
        <w:jc w:val="left"/>
        <w:rPr>
          <w:i/>
          <w:sz w:val="20"/>
        </w:rPr>
      </w:pPr>
      <w:r>
        <w:rPr>
          <w:i/>
          <w:sz w:val="20"/>
        </w:rPr>
        <w:t>Payoff is (10% x outcome of round 1) + outcome of round 2</w:t>
      </w:r>
    </w:p>
    <w:p>
      <w:pPr>
        <w:pStyle w:val="BodyText"/>
        <w:rPr>
          <w:i/>
          <w:sz w:val="22"/>
        </w:rPr>
      </w:pPr>
    </w:p>
    <w:p>
      <w:pPr>
        <w:pStyle w:val="BodyText"/>
        <w:spacing w:before="3"/>
        <w:rPr>
          <w:i/>
          <w:sz w:val="18"/>
        </w:rPr>
      </w:pPr>
    </w:p>
    <w:p>
      <w:pPr>
        <w:pStyle w:val="BodyText"/>
        <w:spacing w:line="360" w:lineRule="auto"/>
        <w:ind w:left="253" w:right="1617"/>
      </w:pPr>
      <w:r>
        <w:rPr/>
        <w:t>The payoff is now equal to the 20-pence outcome of the second round plus or minus ten pounds. In this case, the outcome of the second toss, instead of the first, has a negligible impact on the payoff. The correlation between the first round and the payoff is now almost one (99.98% to be exact).</w:t>
      </w:r>
    </w:p>
    <w:p>
      <w:pPr>
        <w:pStyle w:val="BodyText"/>
        <w:spacing w:before="10"/>
        <w:rPr>
          <w:sz w:val="29"/>
        </w:rPr>
      </w:pPr>
    </w:p>
    <w:p>
      <w:pPr>
        <w:pStyle w:val="BodyText"/>
        <w:spacing w:line="360" w:lineRule="auto"/>
        <w:ind w:left="253" w:right="1036"/>
      </w:pPr>
      <w:r>
        <w:rPr/>
        <w:t>The critical point of this exercise is that in both the penny and the £100 scenario, the effect of the result or ‘shocks’ from the first toss to the payoff is always ten percent. The correlation coefficient, however, increases from almost zero in the penny scenario to almost one in the £100 scenario.</w:t>
      </w:r>
    </w:p>
    <w:p>
      <w:pPr>
        <w:pStyle w:val="BodyText"/>
        <w:rPr>
          <w:sz w:val="30"/>
        </w:rPr>
      </w:pPr>
    </w:p>
    <w:p>
      <w:pPr>
        <w:pStyle w:val="BodyText"/>
        <w:spacing w:line="360" w:lineRule="auto"/>
        <w:ind w:left="253" w:right="1241"/>
      </w:pPr>
      <w:r>
        <w:rPr/>
        <w:t>This coin example is directly applicable to measuring the transmission of shocks across countries. The first coin toss represents a country which goes through periods of low volatility in its returns or growth (when the first toss is with the penny) or high volatility (when the first toss is with the £100 coin). You can think of the low volatility game with the penny as a stable period, while getting a tails in the high-volatility game with a</w:t>
      </w:r>
    </w:p>
    <w:p>
      <w:pPr>
        <w:pStyle w:val="BodyText"/>
        <w:spacing w:line="360" w:lineRule="auto"/>
        <w:ind w:left="253" w:right="1140"/>
      </w:pPr>
      <w:r>
        <w:rPr/>
        <w:t>£100 coin is when a crisis occurs. The second toss represents the second country; this round is always played with a 20-pence coin, but the payoff (i.e. the final equity return in the second country) depends on the outcome in the first country. As the coin example clearly shows, even though the underlying transmission mechanism from the first country to the second country remains constant (at 10 percent) in both scenarios, the correlation in returns increases significantly after the crisis outcome. Correlation coefficients increase – but there is no fundamental change in how the countries commove or how the shocks from the first country are propagated to the second.</w:t>
      </w:r>
    </w:p>
    <w:p>
      <w:pPr>
        <w:spacing w:after="0" w:line="360" w:lineRule="auto"/>
        <w:sectPr>
          <w:pgSz w:w="11910" w:h="16840"/>
          <w:pgMar w:header="0" w:footer="1676" w:top="1580" w:bottom="1860" w:left="880" w:right="0"/>
        </w:sectPr>
      </w:pPr>
    </w:p>
    <w:p>
      <w:pPr>
        <w:pStyle w:val="BodyText"/>
        <w:rPr>
          <w:sz w:val="23"/>
        </w:rPr>
      </w:pPr>
    </w:p>
    <w:p>
      <w:pPr>
        <w:pStyle w:val="BodyText"/>
        <w:spacing w:line="360" w:lineRule="auto" w:before="93"/>
        <w:ind w:left="253" w:right="1141"/>
      </w:pPr>
      <w:r>
        <w:rPr/>
        <w:t>This statistical fact that greater volatility automatically causes correlations to increase – and heat maps to get hotter – is undoubtedly a factor driving the sharp increase in both equity and growth correlations during the Global Financial Crisis. Markets were extremely volatile during this period.</w:t>
      </w:r>
    </w:p>
    <w:p>
      <w:pPr>
        <w:pStyle w:val="BodyText"/>
        <w:rPr>
          <w:sz w:val="30"/>
        </w:rPr>
      </w:pPr>
    </w:p>
    <w:p>
      <w:pPr>
        <w:pStyle w:val="BodyText"/>
        <w:spacing w:line="360" w:lineRule="auto"/>
        <w:ind w:left="253" w:right="1140"/>
      </w:pPr>
      <w:r>
        <w:rPr/>
        <w:t>But could greater volatility and this statistical property also be driving the broader increase in equity market comovement since the 1980s? Could it be driving the increase in growth comovement in the euro area?</w:t>
      </w:r>
    </w:p>
    <w:p>
      <w:pPr>
        <w:pStyle w:val="BodyText"/>
        <w:spacing w:line="360" w:lineRule="auto" w:before="1"/>
        <w:ind w:left="253" w:right="1241"/>
      </w:pPr>
      <w:r>
        <w:rPr/>
        <w:t>A quick way to test if this could be a factor is to simply look at the volatility in equity markets, GDP growth and the euro area over time. If volatilities did not increase when correlations increased, then this statistical ‘coincidence’ is not the main story.</w:t>
      </w:r>
    </w:p>
    <w:p>
      <w:pPr>
        <w:pStyle w:val="BodyText"/>
        <w:rPr>
          <w:sz w:val="30"/>
        </w:rPr>
      </w:pPr>
    </w:p>
    <w:p>
      <w:pPr>
        <w:pStyle w:val="BodyText"/>
        <w:spacing w:line="360" w:lineRule="auto"/>
        <w:ind w:left="253" w:right="1241"/>
      </w:pPr>
      <w:r>
        <w:rPr/>
        <w:t>Figure 8 therefore graphs the volatility in equity returns and GDP growth (measured by 5-year rolling standard deviations) for the full sample and different country groups. It confirms that the volatility in each</w:t>
      </w:r>
      <w:r>
        <w:rPr>
          <w:spacing w:val="-32"/>
        </w:rPr>
        <w:t> </w:t>
      </w:r>
      <w:r>
        <w:rPr/>
        <w:t>of these measures increased during the Global Financial Crisis, and that this drove at least some of the ‘warming’ in the heat maps and increase in the correlations over this period. Volatility in the euro area is slightly higher than in the other country groups – suggesting this may play a small role in explaining the higher correlations in equity and GDP growth in this region</w:t>
      </w:r>
      <w:r>
        <w:rPr>
          <w:spacing w:val="-8"/>
        </w:rPr>
        <w:t> </w:t>
      </w:r>
      <w:r>
        <w:rPr/>
        <w:t>recently.</w:t>
      </w:r>
    </w:p>
    <w:p>
      <w:pPr>
        <w:pStyle w:val="BodyText"/>
        <w:rPr>
          <w:sz w:val="30"/>
        </w:rPr>
      </w:pPr>
    </w:p>
    <w:p>
      <w:pPr>
        <w:pStyle w:val="BodyText"/>
        <w:spacing w:line="360" w:lineRule="auto" w:before="1"/>
        <w:ind w:left="253" w:right="1219"/>
      </w:pPr>
      <w:r>
        <w:rPr/>
        <w:t>Most striking about these graphs, however, is the low levels of volatility since the Crisis for both equities and GDP growth. In fact, volatility has recently been no greater than typically observed from 1985 through 2005. This suggests that increased volatility is not driving the longer term trend of equity markets moving together more tightly over time. It does not even seem to closely mirror the changes in correlations in GDP growth within the euro area. Deeper economic currents seem to be at</w:t>
      </w:r>
      <w:r>
        <w:rPr>
          <w:spacing w:val="-5"/>
        </w:rPr>
        <w:t> </w:t>
      </w:r>
      <w:r>
        <w:rPr/>
        <w:t>play.</w:t>
      </w:r>
    </w:p>
    <w:p>
      <w:pPr>
        <w:pStyle w:val="BodyText"/>
        <w:spacing w:before="8"/>
        <w:rPr>
          <w:sz w:val="29"/>
        </w:rPr>
      </w:pPr>
    </w:p>
    <w:p>
      <w:pPr>
        <w:pStyle w:val="Heading3"/>
        <w:numPr>
          <w:ilvl w:val="1"/>
          <w:numId w:val="1"/>
        </w:numPr>
        <w:tabs>
          <w:tab w:pos="974" w:val="left" w:leader="none"/>
        </w:tabs>
        <w:spacing w:line="240" w:lineRule="auto" w:before="0" w:after="0"/>
        <w:ind w:left="973" w:right="0" w:hanging="361"/>
        <w:jc w:val="left"/>
      </w:pPr>
      <w:r>
        <w:rPr/>
        <w:t>Common</w:t>
      </w:r>
      <w:r>
        <w:rPr>
          <w:spacing w:val="-1"/>
        </w:rPr>
        <w:t> </w:t>
      </w:r>
      <w:r>
        <w:rPr/>
        <w:t>Shocks</w:t>
      </w:r>
    </w:p>
    <w:p>
      <w:pPr>
        <w:pStyle w:val="BodyText"/>
        <w:rPr>
          <w:b/>
          <w:sz w:val="22"/>
        </w:rPr>
      </w:pPr>
    </w:p>
    <w:p>
      <w:pPr>
        <w:pStyle w:val="BodyText"/>
        <w:spacing w:before="3"/>
        <w:rPr>
          <w:b/>
          <w:sz w:val="18"/>
        </w:rPr>
      </w:pPr>
    </w:p>
    <w:p>
      <w:pPr>
        <w:pStyle w:val="BodyText"/>
        <w:spacing w:line="360" w:lineRule="auto" w:before="1"/>
        <w:ind w:left="253" w:right="1158"/>
      </w:pPr>
      <w:r>
        <w:rPr/>
        <w:t>Another potential explanation for the changes in comovement in equity markets and GDP growth over time is changes in the role of common shocks. Are there global events (such as swings in oil prices, changes in global risk aversion, adjustments in US monetary policy, or changes in China’s economic outlook), that simultaneously affect many countries around the world and cause their equity markets to move in sync? Are these waves affecting countries around the world getting bigger? Or do these types of events simply have more of a global impact on equity markets than in the past? For example, has China’s rapid development and progress to become the second largest economy in the world caused it to have greater global</w:t>
      </w:r>
      <w:r>
        <w:rPr>
          <w:spacing w:val="-22"/>
        </w:rPr>
        <w:t> </w:t>
      </w:r>
      <w:r>
        <w:rPr/>
        <w:t>effects</w:t>
      </w:r>
    </w:p>
    <w:p>
      <w:pPr>
        <w:pStyle w:val="BodyText"/>
        <w:spacing w:line="362" w:lineRule="auto"/>
        <w:ind w:left="253" w:right="1295"/>
      </w:pPr>
      <w:r>
        <w:rPr/>
        <w:t>than in the past? Or are more countries’ equities being affected by these global events in the same way? In other words, does the global tsunami now travel further and catch more countries in its wake?</w:t>
      </w:r>
    </w:p>
    <w:p>
      <w:pPr>
        <w:spacing w:after="0" w:line="362" w:lineRule="auto"/>
        <w:sectPr>
          <w:pgSz w:w="11910" w:h="16840"/>
          <w:pgMar w:header="0" w:footer="1676" w:top="1580" w:bottom="1860" w:left="880" w:right="0"/>
        </w:sectPr>
      </w:pPr>
    </w:p>
    <w:p>
      <w:pPr>
        <w:pStyle w:val="BodyText"/>
        <w:rPr>
          <w:sz w:val="23"/>
        </w:rPr>
      </w:pPr>
    </w:p>
    <w:p>
      <w:pPr>
        <w:pStyle w:val="BodyText"/>
        <w:spacing w:line="360" w:lineRule="auto" w:before="93"/>
        <w:ind w:left="253" w:right="1160"/>
      </w:pPr>
      <w:r>
        <w:rPr/>
        <w:t>To better understand these potential roles of common shocks in explaining some of the patterns we saw earlier, I will use a methodology called rolling principal component analysis. Don’t worry, the name is more intimidating than the concept. What this basically involves is estimating how much of the movement in countries’ equity returns (or growth rates) can be explained by some ‘common’ or shared factors at each point in time. You can estimate the role of the single most influential common factor, or of all common factors that are judged to be important (setting a threshold for what qualifies as important). Then, after estimating this common factor (or factors) – it is straightforward to estimate not only the average country sensitivity to this factor(s), but also the dispersion of sensitivities across countries. This is a rough way of measuring whether greater comovement is driven by bigger common shocks, by greater sensitivity of countries to these shocks that originate elsewhere, or by more similar responses to the global shocks.</w:t>
      </w:r>
    </w:p>
    <w:p>
      <w:pPr>
        <w:pStyle w:val="BodyText"/>
        <w:rPr>
          <w:sz w:val="30"/>
        </w:rPr>
      </w:pPr>
    </w:p>
    <w:p>
      <w:pPr>
        <w:pStyle w:val="BodyText"/>
        <w:spacing w:line="360" w:lineRule="auto"/>
        <w:ind w:left="253" w:right="1207"/>
      </w:pPr>
      <w:r>
        <w:rPr/>
        <w:t>Figure 9 shows the result. It shows the share of the variance in countries’ equity returns (panel a) and GDP growth (panel b) that can be explained by shared common factors (principal components). These include all common factors that play an important role – based on a standard statistical threshold used in this type of analysis.</w:t>
      </w:r>
      <w:r>
        <w:rPr>
          <w:vertAlign w:val="superscript"/>
        </w:rPr>
        <w:t>6</w:t>
      </w:r>
      <w:r>
        <w:rPr>
          <w:vertAlign w:val="baseline"/>
        </w:rPr>
        <w:t> More and more of the movement in countries’ equity markets correspond to these shared, global components over time. In fact, the upward trend in the graph of the common components roughly mirrors that for the correlation in equity markets over time. For GDP growth, there is less upward trend in the common components (except in the euro area). But the role of these common components spikes for all the country groups during the Global Financial Crisis. Therefore, the patterns in the common components for both equities and GDP growth roughly mirror the patterns seen for the changes in cross-country correlations over time and between the different country groups.</w:t>
      </w:r>
    </w:p>
    <w:p>
      <w:pPr>
        <w:pStyle w:val="BodyText"/>
        <w:rPr>
          <w:sz w:val="30"/>
        </w:rPr>
      </w:pPr>
    </w:p>
    <w:p>
      <w:pPr>
        <w:pStyle w:val="BodyText"/>
        <w:spacing w:line="360" w:lineRule="auto"/>
        <w:ind w:left="253" w:right="1129"/>
      </w:pPr>
      <w:r>
        <w:rPr/>
        <w:t>This suggests that shared global or common factors play an important role in explaining the increased comovement in global equity markets over time, as well as the increased comovement in GDP growth rates during the Crisis and in the euro area. This agrees with results obtained in a series of academic papers using a range of different methodologies.</w:t>
      </w:r>
      <w:r>
        <w:rPr>
          <w:vertAlign w:val="superscript"/>
        </w:rPr>
        <w:t>7</w:t>
      </w:r>
      <w:r>
        <w:rPr>
          <w:vertAlign w:val="baseline"/>
        </w:rPr>
        <w:t> But it still leaves important questions. When the role of the common factors increases, is it due to larger common shocks (i.e. larger waves), a greater sensitivity of countries to these common waves, or a more similar response to the common waves? And what is driving these common waves?</w:t>
      </w:r>
    </w:p>
    <w:p>
      <w:pPr>
        <w:pStyle w:val="BodyText"/>
        <w:rPr>
          <w:sz w:val="30"/>
        </w:rPr>
      </w:pPr>
    </w:p>
    <w:p>
      <w:pPr>
        <w:pStyle w:val="BodyText"/>
        <w:spacing w:line="360" w:lineRule="auto" w:before="1"/>
        <w:ind w:left="253" w:right="1140"/>
      </w:pPr>
      <w:r>
        <w:rPr/>
        <w:t>Starting with the first of these questions, the magnitude of the common shocks appears to be a significant contributor to the higher degree of cross-country comovement. Figure 10a shows that the volatility of</w:t>
      </w:r>
    </w:p>
    <w:p>
      <w:pPr>
        <w:pStyle w:val="BodyText"/>
        <w:spacing w:before="1"/>
      </w:pPr>
      <w:r>
        <w:rPr/>
        <w:pict>
          <v:shape style="position:absolute;margin-left:56.664001pt;margin-top:13.783008pt;width:144.050pt;height:.1pt;mso-position-horizontal-relative:page;mso-position-vertical-relative:paragraph;z-index:-251653120;mso-wrap-distance-left:0;mso-wrap-distance-right:0" coordorigin="1133,276" coordsize="2881,0" path="m1133,276l4014,276e" filled="false" stroked="true" strokeweight=".47998pt" strokecolor="#000000">
            <v:path arrowok="t"/>
            <v:stroke dashstyle="solid"/>
            <w10:wrap type="topAndBottom"/>
          </v:shape>
        </w:pict>
      </w:r>
    </w:p>
    <w:p>
      <w:pPr>
        <w:spacing w:before="30"/>
        <w:ind w:left="253" w:right="1178" w:firstLine="0"/>
        <w:jc w:val="left"/>
        <w:rPr>
          <w:sz w:val="16"/>
        </w:rPr>
      </w:pPr>
      <w:r>
        <w:rPr>
          <w:position w:val="8"/>
          <w:sz w:val="10"/>
        </w:rPr>
        <w:t>6 </w:t>
      </w:r>
      <w:r>
        <w:rPr>
          <w:sz w:val="16"/>
        </w:rPr>
        <w:t>Common factors are defined as principal components that affect more than one country for the full period from 1980-2016, with an eigenvalue greater than 1. This definition is standard, see Cesa-Bianchi </w:t>
      </w:r>
      <w:r>
        <w:rPr>
          <w:i/>
          <w:sz w:val="16"/>
        </w:rPr>
        <w:t>et al</w:t>
      </w:r>
      <w:r>
        <w:rPr>
          <w:sz w:val="16"/>
        </w:rPr>
        <w:t>. (2016) for a recent application. For further details, see the notes to Figure 9.</w:t>
      </w:r>
    </w:p>
    <w:p>
      <w:pPr>
        <w:spacing w:line="184" w:lineRule="exact" w:before="2"/>
        <w:ind w:left="253" w:right="1241" w:firstLine="0"/>
        <w:jc w:val="left"/>
        <w:rPr>
          <w:sz w:val="16"/>
        </w:rPr>
      </w:pPr>
      <w:r>
        <w:rPr>
          <w:position w:val="8"/>
          <w:sz w:val="10"/>
        </w:rPr>
        <w:t>7 </w:t>
      </w:r>
      <w:r>
        <w:rPr>
          <w:sz w:val="16"/>
        </w:rPr>
        <w:t>For example, papers which find that global factors explain an important part of the variance in asset market returns include: Forbes and Warnock (2012), Bruno and Shin (2015), and Miranda-Agrippino and Rey (2015). Fratzscher (2012) and</w:t>
      </w:r>
    </w:p>
    <w:p>
      <w:pPr>
        <w:spacing w:line="240" w:lineRule="auto" w:before="0"/>
        <w:ind w:left="253" w:right="1339" w:firstLine="0"/>
        <w:jc w:val="left"/>
        <w:rPr>
          <w:sz w:val="16"/>
        </w:rPr>
      </w:pPr>
      <w:r>
        <w:rPr>
          <w:sz w:val="16"/>
        </w:rPr>
        <w:t>Milesi-Ferretti and Tille (2011) also find that global ‘push’ factors (basically common factors) were the dominant factor driving portfolio flows during the Global Financial Crisis, but other country-specific factors have been more important since.</w:t>
      </w:r>
    </w:p>
    <w:p>
      <w:pPr>
        <w:spacing w:after="0" w:line="240" w:lineRule="auto"/>
        <w:jc w:val="left"/>
        <w:rPr>
          <w:sz w:val="16"/>
        </w:rPr>
        <w:sectPr>
          <w:pgSz w:w="11910" w:h="16840"/>
          <w:pgMar w:header="0" w:footer="1676" w:top="1580" w:bottom="1860" w:left="880" w:right="0"/>
        </w:sectPr>
      </w:pPr>
    </w:p>
    <w:p>
      <w:pPr>
        <w:pStyle w:val="BodyText"/>
        <w:rPr>
          <w:sz w:val="23"/>
        </w:rPr>
      </w:pPr>
    </w:p>
    <w:p>
      <w:pPr>
        <w:pStyle w:val="BodyText"/>
        <w:spacing w:line="360" w:lineRule="auto" w:before="93"/>
        <w:ind w:left="253" w:right="1140"/>
      </w:pPr>
      <w:r>
        <w:rPr/>
        <w:t>common factors behind equity returns has increased since the 1980s and can explain some of the larger share of variance explained in Figure 9.a. Figure 10b shows that the volatility of the common factors driving GDP growth is much more stable, except for a large increase during the Global Financial Crisis.</w:t>
      </w:r>
    </w:p>
    <w:p>
      <w:pPr>
        <w:pStyle w:val="BodyText"/>
        <w:rPr>
          <w:sz w:val="30"/>
        </w:rPr>
      </w:pPr>
    </w:p>
    <w:p>
      <w:pPr>
        <w:pStyle w:val="BodyText"/>
        <w:spacing w:line="360" w:lineRule="auto"/>
        <w:ind w:left="253" w:right="1163"/>
      </w:pPr>
      <w:r>
        <w:rPr/>
        <w:t>Figure 11 tackles the other possible explanations for the increased role of the common factors, focusing on results for the full sample (with results for the different country groups in the Appendix). The black lines show the average sensitivity of countries’ equity returns (panel a) and GDP growth rates (panel b) to the most important common factors. In technical terms, this is the average absolute loading on the principal components. The magnitude of this sensitivity to common factors has increased somewhat over time for equities, and more sharply for GDP growth during the crisis, but the movements overall have been fairly small – especially when compared to the changes seen in the other graphs. This implies that the impact of the common shocks has been fairly constant or only changed moderately.</w:t>
      </w:r>
    </w:p>
    <w:p>
      <w:pPr>
        <w:pStyle w:val="BodyText"/>
        <w:spacing w:before="1"/>
        <w:rPr>
          <w:sz w:val="30"/>
        </w:rPr>
      </w:pPr>
    </w:p>
    <w:p>
      <w:pPr>
        <w:pStyle w:val="BodyText"/>
        <w:spacing w:line="360" w:lineRule="auto"/>
        <w:ind w:left="253" w:right="1118"/>
      </w:pPr>
      <w:r>
        <w:rPr/>
        <w:t>More striking is the movements in the red lines. These capture the extent to which these common factors affect the different countries in different ways. In technical terms, this is the standard deviation of the loading of the principal components. The steady decline in this line for equities indicates that the common factors are affecting more and more countries in a similar way. In other words, an event such as changes in oil prices is now having more similar effects on equity markets around the world. In the past, the effect of a given change in oil prices used to be more differentiated across countries. The corresponding graph for GDP growth (in panel b), shows that these common factors also had more similar impacts on countries’ GDP growth rates during the crisis than before – but this seems to have just been a temporary increase. (The graphs in the Appendix also show that countries in the euro area are affected in a more similar way by common shocks than in the past.)</w:t>
      </w:r>
    </w:p>
    <w:p>
      <w:pPr>
        <w:pStyle w:val="BodyText"/>
        <w:rPr>
          <w:sz w:val="30"/>
        </w:rPr>
      </w:pPr>
    </w:p>
    <w:p>
      <w:pPr>
        <w:pStyle w:val="BodyText"/>
        <w:spacing w:line="360" w:lineRule="auto" w:before="1"/>
        <w:ind w:left="253" w:right="1140"/>
      </w:pPr>
      <w:r>
        <w:rPr/>
        <w:t>To summarize, common shocks appear to be an important part of the story explaining the patterns I started with today. The common waves affecting equity markets around the world have gotten larger, and these waves seem to be reaching out further than in the past to wash over more countries in similar ways. The common waves affecting GDP growth have been more stable in size, and continue to reach different countries in different ways (except during the Crisis and in the euro area, when the waves seemed to catch more countries in their wake.)</w:t>
      </w:r>
    </w:p>
    <w:p>
      <w:pPr>
        <w:pStyle w:val="BodyText"/>
        <w:spacing w:before="10"/>
        <w:rPr>
          <w:sz w:val="29"/>
        </w:rPr>
      </w:pPr>
    </w:p>
    <w:p>
      <w:pPr>
        <w:pStyle w:val="BodyText"/>
        <w:spacing w:line="360" w:lineRule="auto" w:before="1"/>
        <w:ind w:left="253" w:right="1036"/>
      </w:pPr>
      <w:r>
        <w:rPr/>
        <w:t>But what is behind these common waves? Although economists have a clear idea of what they view as a common shock, it is much harder to actually identify, isolate, and estimate in practice. For example – does a sharp fall in oil prices (which tends to affect many countries simultaneously) reflect some sort of change in oil supply (such as from increased US shale production)? Or increased energy efficiency? Or slower growth in China? The latter is more of a country-specific shock in one country (China) – which then spreads to others and is often called ‘contagion’ (and is discussed in the next section).</w:t>
      </w:r>
    </w:p>
    <w:p>
      <w:pPr>
        <w:spacing w:after="0" w:line="360" w:lineRule="auto"/>
        <w:sectPr>
          <w:footerReference w:type="default" r:id="rId14"/>
          <w:pgSz w:w="11910" w:h="16840"/>
          <w:pgMar w:footer="1676" w:header="0" w:top="1580" w:bottom="1860" w:left="880" w:right="0"/>
          <w:pgNumType w:start="12"/>
        </w:sectPr>
      </w:pPr>
    </w:p>
    <w:p>
      <w:pPr>
        <w:pStyle w:val="BodyText"/>
      </w:pPr>
    </w:p>
    <w:p>
      <w:pPr>
        <w:pStyle w:val="BodyText"/>
      </w:pPr>
    </w:p>
    <w:p>
      <w:pPr>
        <w:pStyle w:val="BodyText"/>
        <w:spacing w:before="1"/>
        <w:rPr>
          <w:sz w:val="21"/>
        </w:rPr>
      </w:pPr>
    </w:p>
    <w:p>
      <w:pPr>
        <w:pStyle w:val="BodyText"/>
        <w:spacing w:line="360" w:lineRule="auto"/>
        <w:ind w:left="253" w:right="1518"/>
      </w:pPr>
      <w:r>
        <w:rPr/>
        <w:t>Despite these challenges, I’ll extend the analysis we just did to try to get a better sense of what is behind these common shocks (or principal components). I’ll estimate a simple regression of the most important common factor (the first principal component) for the full sample period and the full set of countries as a</w:t>
      </w:r>
    </w:p>
    <w:p>
      <w:pPr>
        <w:pStyle w:val="BodyText"/>
        <w:spacing w:line="360" w:lineRule="auto"/>
        <w:ind w:left="253" w:right="1352"/>
      </w:pPr>
      <w:r>
        <w:rPr/>
        <w:t>function of several possible factors that could be driving it: commodity prices, global risk, US interest rates, surprises to expected global growth, and surprises to China’s growth.</w:t>
      </w:r>
      <w:r>
        <w:rPr>
          <w:vertAlign w:val="superscript"/>
        </w:rPr>
        <w:t>8</w:t>
      </w:r>
    </w:p>
    <w:p>
      <w:pPr>
        <w:pStyle w:val="BodyText"/>
        <w:spacing w:before="11"/>
        <w:rPr>
          <w:sz w:val="29"/>
        </w:rPr>
      </w:pPr>
    </w:p>
    <w:p>
      <w:pPr>
        <w:pStyle w:val="BodyText"/>
        <w:spacing w:line="360" w:lineRule="auto"/>
        <w:ind w:left="253" w:right="1140"/>
      </w:pPr>
      <w:r>
        <w:rPr/>
        <w:t>Figure 12 shows the results. Column 1 uses data from 1985 through July-2016, but only includes the first three global variables. Column 2 includes all five variables, but only starts in 2004 (which is the earliest date for the two economic surprise indices). Both columns yield the same results: changes in commodity prices, global risk, and US interest rates all seem to be significant and important factors driving common shocks to equity markets over this long period of time.</w:t>
      </w:r>
    </w:p>
    <w:p>
      <w:pPr>
        <w:pStyle w:val="BodyText"/>
        <w:spacing w:before="2"/>
        <w:rPr>
          <w:sz w:val="30"/>
        </w:rPr>
      </w:pPr>
    </w:p>
    <w:p>
      <w:pPr>
        <w:pStyle w:val="BodyText"/>
        <w:spacing w:line="360" w:lineRule="auto"/>
        <w:ind w:left="253" w:right="1119"/>
      </w:pPr>
      <w:r>
        <w:rPr/>
        <w:t>What is perhaps more interesting, however, is how these estimates of the common factors affecting equity markets change over time. This is shown in the last three columns of Figure 12. Changes in US interest rates seems to have played a less important role recently – although this may reflect the long period during which US interest rates have been fairly stable and may not persist. In contrast, the role of economic surprises in China has become more important in the most recent window (from 2012 to 2016). This suggests that the main forces driving the common factors affecting global equity markets have been changing over time.</w:t>
      </w:r>
    </w:p>
    <w:p>
      <w:pPr>
        <w:pStyle w:val="BodyText"/>
        <w:spacing w:before="11"/>
        <w:rPr>
          <w:sz w:val="29"/>
        </w:rPr>
      </w:pPr>
    </w:p>
    <w:p>
      <w:pPr>
        <w:pStyle w:val="BodyText"/>
        <w:spacing w:line="360" w:lineRule="auto"/>
        <w:ind w:left="253" w:right="1164"/>
      </w:pPr>
      <w:r>
        <w:rPr/>
        <w:t>What about for GDP growth? A similar analysis attempting to explain the single most important common factor driving GDP growth in the sample finds no consistently significant factors – over the full period or for shorter windows. This is not surprising. There is much less comovement in GDP growth than in equities. The variance of countries growth rates that can be explained by the most important common factor (the first principal component) is also much lower for GDP growth than equities (as shown in Figure 13). Regression results suggest that the role of the common factor increased during the Global Financial Crisis, and this is correlated with sharply higher global risk aversion and a greater impact of this common factor on countries around the world. During other periods, however, since there is much less comovement in global GDP growth rates, it is not surprising that common global factors play little consistently significant role.</w:t>
      </w:r>
    </w:p>
    <w:p>
      <w:pPr>
        <w:pStyle w:val="BodyText"/>
        <w:spacing w:before="11"/>
        <w:rPr>
          <w:sz w:val="29"/>
        </w:rPr>
      </w:pPr>
    </w:p>
    <w:p>
      <w:pPr>
        <w:pStyle w:val="BodyText"/>
        <w:spacing w:line="360" w:lineRule="auto"/>
        <w:ind w:left="253" w:right="1664"/>
      </w:pPr>
      <w:r>
        <w:rPr/>
        <w:t>To summarize, common global factors – which are highly correlated with changes in commodity prices, global risk measures, US interest rates, and China’s economic growth – have all played some role in explaining the high levels of comovement in equity prices. The role of China has increased recently.</w:t>
      </w:r>
    </w:p>
    <w:p>
      <w:pPr>
        <w:pStyle w:val="BodyText"/>
      </w:pPr>
    </w:p>
    <w:p>
      <w:pPr>
        <w:pStyle w:val="BodyText"/>
        <w:spacing w:before="2"/>
        <w:rPr>
          <w:sz w:val="18"/>
        </w:rPr>
      </w:pPr>
      <w:r>
        <w:rPr/>
        <w:pict>
          <v:shape style="position:absolute;margin-left:56.664001pt;margin-top:12.660693pt;width:144.050pt;height:.1pt;mso-position-horizontal-relative:page;mso-position-vertical-relative:paragraph;z-index:-251652096;mso-wrap-distance-left:0;mso-wrap-distance-right:0" coordorigin="1133,253" coordsize="2881,0" path="m1133,253l4014,253e" filled="false" stroked="true" strokeweight=".47998pt" strokecolor="#000000">
            <v:path arrowok="t"/>
            <v:stroke dashstyle="solid"/>
            <w10:wrap type="topAndBottom"/>
          </v:shape>
        </w:pict>
      </w:r>
    </w:p>
    <w:p>
      <w:pPr>
        <w:spacing w:before="30"/>
        <w:ind w:left="253" w:right="1150" w:firstLine="0"/>
        <w:jc w:val="left"/>
        <w:rPr>
          <w:sz w:val="16"/>
        </w:rPr>
      </w:pPr>
      <w:r>
        <w:rPr>
          <w:position w:val="8"/>
          <w:sz w:val="10"/>
        </w:rPr>
        <w:t>8  </w:t>
      </w:r>
      <w:r>
        <w:rPr>
          <w:sz w:val="16"/>
        </w:rPr>
        <w:t>These variables were selected based on the academic evidence, such as: Forbes and Warnock (2012), Forbes (2013), Koepke (2015), and Miranda-Agrippino and Rey (2015). They capture the idea that common factors driving equity returns across countries might include expectations of monetary policy and economic growth in large economies, as well as changes in investor risk aversion (or, more formally, time-varying equity risk</w:t>
      </w:r>
      <w:r>
        <w:rPr>
          <w:spacing w:val="-1"/>
          <w:sz w:val="16"/>
        </w:rPr>
        <w:t> </w:t>
      </w:r>
      <w:r>
        <w:rPr>
          <w:sz w:val="16"/>
        </w:rPr>
        <w:t>premia).</w:t>
      </w:r>
    </w:p>
    <w:p>
      <w:pPr>
        <w:spacing w:after="0"/>
        <w:jc w:val="left"/>
        <w:rPr>
          <w:sz w:val="16"/>
        </w:rPr>
        <w:sectPr>
          <w:footerReference w:type="default" r:id="rId15"/>
          <w:pgSz w:w="11910" w:h="16840"/>
          <w:pgMar w:footer="1676" w:header="0" w:top="1580" w:bottom="1860" w:left="880" w:right="0"/>
          <w:pgNumType w:start="13"/>
        </w:sectPr>
      </w:pPr>
    </w:p>
    <w:p>
      <w:pPr>
        <w:pStyle w:val="BodyText"/>
        <w:rPr>
          <w:sz w:val="23"/>
        </w:rPr>
      </w:pPr>
    </w:p>
    <w:p>
      <w:pPr>
        <w:pStyle w:val="BodyText"/>
        <w:spacing w:line="360" w:lineRule="auto" w:before="93"/>
        <w:ind w:left="253" w:right="1140"/>
      </w:pPr>
      <w:r>
        <w:rPr/>
        <w:t>Changes in these global variables are affecting more countries around the world in similar ways than in the past. The global wave is catching more and more fishermen.</w:t>
      </w:r>
    </w:p>
    <w:p>
      <w:pPr>
        <w:pStyle w:val="BodyText"/>
        <w:spacing w:before="8"/>
        <w:rPr>
          <w:sz w:val="29"/>
        </w:rPr>
      </w:pPr>
    </w:p>
    <w:p>
      <w:pPr>
        <w:pStyle w:val="Heading3"/>
        <w:numPr>
          <w:ilvl w:val="1"/>
          <w:numId w:val="1"/>
        </w:numPr>
        <w:tabs>
          <w:tab w:pos="974" w:val="left" w:leader="none"/>
        </w:tabs>
        <w:spacing w:line="240" w:lineRule="auto" w:before="0" w:after="0"/>
        <w:ind w:left="973" w:right="0" w:hanging="361"/>
        <w:jc w:val="left"/>
      </w:pPr>
      <w:r>
        <w:rPr/>
        <w:t>Contagion</w:t>
      </w:r>
    </w:p>
    <w:p>
      <w:pPr>
        <w:pStyle w:val="BodyText"/>
        <w:rPr>
          <w:b/>
          <w:sz w:val="22"/>
        </w:rPr>
      </w:pPr>
    </w:p>
    <w:p>
      <w:pPr>
        <w:pStyle w:val="BodyText"/>
        <w:spacing w:before="4"/>
        <w:rPr>
          <w:b/>
          <w:sz w:val="18"/>
        </w:rPr>
      </w:pPr>
    </w:p>
    <w:p>
      <w:pPr>
        <w:pStyle w:val="BodyText"/>
        <w:spacing w:line="360" w:lineRule="auto"/>
        <w:ind w:left="253" w:right="1141"/>
      </w:pPr>
      <w:r>
        <w:rPr/>
        <w:t>In addition to common shocks, contagion may also play a role in explaining increased comovement in equity markets around the world, as well as increased comovement in GDP growth during the Crisis and in the euro area more recently. Economists have argued extensively about how to define contagion, but the latest working definition is when bad news in one country spreads to others.</w:t>
      </w:r>
      <w:r>
        <w:rPr>
          <w:vertAlign w:val="superscript"/>
        </w:rPr>
        <w:t>9</w:t>
      </w:r>
      <w:r>
        <w:rPr>
          <w:vertAlign w:val="baseline"/>
        </w:rPr>
        <w:t> This is the same idea as the use of the term contagion in the medical literature; when a disease spreads from one person to others. In the context of the tsunami example, this is basically when a big wave starts in one country (instead of in a common ocean) and then hits others. Since good news lifts all boats – but the bad news of a disease or tsunami can be deadly – policymakers usually only use the term contagion to explain the spread of bad economic news.</w:t>
      </w:r>
    </w:p>
    <w:p>
      <w:pPr>
        <w:pStyle w:val="BodyText"/>
        <w:rPr>
          <w:sz w:val="30"/>
        </w:rPr>
      </w:pPr>
    </w:p>
    <w:p>
      <w:pPr>
        <w:pStyle w:val="BodyText"/>
        <w:spacing w:line="360" w:lineRule="auto"/>
        <w:ind w:left="253" w:right="1140"/>
      </w:pPr>
      <w:r>
        <w:rPr/>
        <w:t>Contagion has always been a concern globally.</w:t>
      </w:r>
      <w:r>
        <w:rPr>
          <w:vertAlign w:val="superscript"/>
        </w:rPr>
        <w:t>10</w:t>
      </w:r>
      <w:r>
        <w:rPr>
          <w:vertAlign w:val="baseline"/>
        </w:rPr>
        <w:t> For example, in 1825 a banking crisis started in Britain and quickly spread to continental Europe and then to Latin America. In 1857 the direction of transmission reversed, when a banking panic in the United States spread to the United Kingdom, continental Europe, and then regions as far away as South America, South Africa and the Far East. But has this tendency for bad news to spread globally increased over time? Could this explain some of the comovement patterns documented earlier?</w:t>
      </w:r>
    </w:p>
    <w:p>
      <w:pPr>
        <w:pStyle w:val="BodyText"/>
        <w:rPr>
          <w:sz w:val="30"/>
        </w:rPr>
      </w:pPr>
    </w:p>
    <w:p>
      <w:pPr>
        <w:pStyle w:val="BodyText"/>
        <w:spacing w:line="360" w:lineRule="auto"/>
        <w:ind w:left="253" w:right="1140"/>
      </w:pPr>
      <w:r>
        <w:rPr/>
        <w:t>To better understand if bad news tends to spread more widely than in the past, a useful measure is the ‘joint coincidence of extreme negative returns’.</w:t>
      </w:r>
      <w:r>
        <w:rPr>
          <w:vertAlign w:val="superscript"/>
        </w:rPr>
        <w:t>11</w:t>
      </w:r>
      <w:r>
        <w:rPr>
          <w:vertAlign w:val="baseline"/>
        </w:rPr>
        <w:t> Yes – that is a mouthful. Yes – it sounds as bad as what it is trying to capture. But the actual statistic it represents is less complicated than the name. To calculate this</w:t>
      </w:r>
    </w:p>
    <w:p>
      <w:pPr>
        <w:pStyle w:val="BodyText"/>
        <w:spacing w:line="360" w:lineRule="auto"/>
        <w:ind w:left="253" w:right="1127"/>
      </w:pPr>
      <w:r>
        <w:rPr/>
        <w:t>statistic, you need to first decide what you think qualifies as a ‘very bad’ event, </w:t>
      </w:r>
      <w:r>
        <w:rPr>
          <w:i/>
        </w:rPr>
        <w:t>i.e. </w:t>
      </w:r>
      <w:r>
        <w:rPr/>
        <w:t>an extreme negative return. I typically use the definition of events in the bottom 5% of the distribution, </w:t>
      </w:r>
      <w:r>
        <w:rPr>
          <w:i/>
        </w:rPr>
        <w:t>i.e. </w:t>
      </w:r>
      <w:r>
        <w:rPr/>
        <w:t>the 5 worst episodes of whatever you are looking at out of every 100. Then you calculate what percent of the countries in your sample have this ‘very bad event’ at the same time. That’s all. It’s a succinct way of capturing what fraction of countries are all being hit by the tsunami at the same time.</w:t>
      </w:r>
    </w:p>
    <w:p>
      <w:pPr>
        <w:pStyle w:val="BodyText"/>
        <w:rPr>
          <w:sz w:val="30"/>
        </w:rPr>
      </w:pPr>
    </w:p>
    <w:p>
      <w:pPr>
        <w:pStyle w:val="BodyText"/>
        <w:spacing w:line="360" w:lineRule="auto" w:before="1"/>
        <w:ind w:left="253" w:right="1296"/>
      </w:pPr>
      <w:r>
        <w:rPr/>
        <w:pict>
          <v:shape style="position:absolute;margin-left:56.664001pt;margin-top:40.299866pt;width:144.050pt;height:.1pt;mso-position-horizontal-relative:page;mso-position-vertical-relative:paragraph;z-index:-251651072;mso-wrap-distance-left:0;mso-wrap-distance-right:0" coordorigin="1133,806" coordsize="2881,0" path="m1133,806l4014,806e" filled="false" stroked="true" strokeweight=".48004pt" strokecolor="#000000">
            <v:path arrowok="t"/>
            <v:stroke dashstyle="solid"/>
            <w10:wrap type="topAndBottom"/>
          </v:shape>
        </w:pict>
      </w:r>
      <w:r>
        <w:rPr/>
        <w:t>Figure 14 shows this measure – the share of the sample that has an extreme negative equity return or growth rate –in each week since 1980 for equity markets (panel a) and each quarter for GDP growth (panel</w:t>
      </w:r>
    </w:p>
    <w:p>
      <w:pPr>
        <w:spacing w:line="207" w:lineRule="exact" w:before="30"/>
        <w:ind w:left="253" w:right="0" w:firstLine="0"/>
        <w:jc w:val="left"/>
        <w:rPr>
          <w:sz w:val="16"/>
        </w:rPr>
      </w:pPr>
      <w:r>
        <w:rPr>
          <w:position w:val="8"/>
          <w:sz w:val="10"/>
        </w:rPr>
        <w:t>9 </w:t>
      </w:r>
      <w:r>
        <w:rPr>
          <w:sz w:val="16"/>
        </w:rPr>
        <w:t>See Forbes (2013) for a discussion of different definitions of contagion and a shift towards this working definition.</w:t>
      </w:r>
    </w:p>
    <w:p>
      <w:pPr>
        <w:spacing w:before="0"/>
        <w:ind w:left="253" w:right="1987" w:firstLine="0"/>
        <w:jc w:val="left"/>
        <w:rPr>
          <w:sz w:val="16"/>
        </w:rPr>
      </w:pPr>
      <w:r>
        <w:rPr>
          <w:sz w:val="16"/>
        </w:rPr>
        <w:t>Other papers providing analysis of financial market contagion include: Allen and Gale (2000), Claessens and Forbes (2001), Karolyi (2003), Forbes (2004), and Dungey et al. (2010).</w:t>
      </w:r>
    </w:p>
    <w:p>
      <w:pPr>
        <w:spacing w:line="173" w:lineRule="exact" w:before="0"/>
        <w:ind w:left="253" w:right="0" w:firstLine="0"/>
        <w:jc w:val="left"/>
        <w:rPr>
          <w:sz w:val="16"/>
        </w:rPr>
      </w:pPr>
      <w:r>
        <w:rPr>
          <w:position w:val="8"/>
          <w:sz w:val="10"/>
        </w:rPr>
        <w:t>10 </w:t>
      </w:r>
      <w:r>
        <w:rPr>
          <w:sz w:val="16"/>
        </w:rPr>
        <w:t>See Kindleberger (1989) and Bordo and Murshid (2001) for historic examples of financial panics spreading globally.</w:t>
      </w:r>
    </w:p>
    <w:p>
      <w:pPr>
        <w:spacing w:line="184" w:lineRule="exact" w:before="13"/>
        <w:ind w:left="253" w:right="1140" w:firstLine="0"/>
        <w:jc w:val="left"/>
        <w:rPr>
          <w:sz w:val="16"/>
        </w:rPr>
      </w:pPr>
      <w:r>
        <w:rPr>
          <w:position w:val="8"/>
          <w:sz w:val="10"/>
        </w:rPr>
        <w:t>11 </w:t>
      </w:r>
      <w:r>
        <w:rPr>
          <w:sz w:val="16"/>
        </w:rPr>
        <w:t>For additional work developing this framework of using the joint coincidence of extreme negative returns to measure contagion, see: Bae </w:t>
      </w:r>
      <w:r>
        <w:rPr>
          <w:i/>
          <w:sz w:val="16"/>
        </w:rPr>
        <w:t>et al</w:t>
      </w:r>
      <w:r>
        <w:rPr>
          <w:sz w:val="16"/>
        </w:rPr>
        <w:t>. (2003), Forbes (2013), and Londono (2016).</w:t>
      </w:r>
    </w:p>
    <w:p>
      <w:pPr>
        <w:spacing w:after="0" w:line="184" w:lineRule="exact"/>
        <w:jc w:val="left"/>
        <w:rPr>
          <w:sz w:val="16"/>
        </w:rPr>
        <w:sectPr>
          <w:footerReference w:type="default" r:id="rId16"/>
          <w:pgSz w:w="11910" w:h="16840"/>
          <w:pgMar w:footer="1676" w:header="0" w:top="1580" w:bottom="1860" w:left="880" w:right="0"/>
          <w:pgNumType w:start="14"/>
        </w:sectPr>
      </w:pPr>
    </w:p>
    <w:p>
      <w:pPr>
        <w:pStyle w:val="BodyText"/>
        <w:rPr>
          <w:sz w:val="23"/>
        </w:rPr>
      </w:pPr>
    </w:p>
    <w:p>
      <w:pPr>
        <w:pStyle w:val="BodyText"/>
        <w:spacing w:line="360" w:lineRule="auto" w:before="93"/>
        <w:ind w:left="253" w:right="1140"/>
      </w:pPr>
      <w:r>
        <w:rPr/>
        <w:t>b). I’ll just focus on results for the full sample, as results are similar for the different subgroups (albeit with slightly more extreme negative returns recently in the euro area). If countries’ extreme negative returns are purely independent (i.e. they result purely from idiosyncratic shocks and are not related to events in other countries or global shocks), then about 5 percent of the sample should experience extreme negative returns in each period.</w:t>
      </w:r>
    </w:p>
    <w:p>
      <w:pPr>
        <w:pStyle w:val="BodyText"/>
        <w:spacing w:before="1"/>
        <w:rPr>
          <w:sz w:val="30"/>
        </w:rPr>
      </w:pPr>
    </w:p>
    <w:p>
      <w:pPr>
        <w:pStyle w:val="BodyText"/>
        <w:spacing w:line="360" w:lineRule="auto"/>
        <w:ind w:left="253" w:right="1174"/>
      </w:pPr>
      <w:r>
        <w:rPr/>
        <w:t>That is clearly not the case. There is nothing close to a steady line of bars equal to 5 percent. Instead, there is substantial volatility in the bars and several spikes when a large percentage of the sample has extreme negative returns. For example, during the Global Financial Crisis, about 90% of the countries in the full sample had an extreme negative equity return and about 70% had an extreme negative quarter of growth. When countries experience bad economic news, they are often not alone.</w:t>
      </w:r>
    </w:p>
    <w:p>
      <w:pPr>
        <w:pStyle w:val="BodyText"/>
        <w:rPr>
          <w:sz w:val="30"/>
        </w:rPr>
      </w:pPr>
    </w:p>
    <w:p>
      <w:pPr>
        <w:pStyle w:val="BodyText"/>
        <w:spacing w:line="360" w:lineRule="auto"/>
        <w:ind w:left="253" w:right="1241"/>
      </w:pPr>
      <w:r>
        <w:rPr/>
        <w:t>A closer look also suggests some subtleties. The bars are larger for equities than GDP growth, suggesting that bad news is more likely to occur simultaneously in equity markets than in growth rates. The large bars also seem to be more common later in the sample than earlier for equity returns – suggesting bad news is more likely to occur simultaneously now than in the past. In contrast, for GDP growth there does not appear to be an increase in extreme negative returns later in the sample, except for the period around the Global Financial Crisis. During bad times, equity markets seem to move together more tightly than GDP growth rates – just as occurs during longer periods that include both good and bad times.</w:t>
      </w:r>
    </w:p>
    <w:p>
      <w:pPr>
        <w:pStyle w:val="BodyText"/>
        <w:rPr>
          <w:sz w:val="30"/>
        </w:rPr>
      </w:pPr>
    </w:p>
    <w:p>
      <w:pPr>
        <w:pStyle w:val="BodyText"/>
        <w:spacing w:line="360" w:lineRule="auto"/>
        <w:ind w:left="253" w:right="1152"/>
      </w:pPr>
      <w:r>
        <w:rPr/>
        <w:t>But the bars also bounce around so much that it is difficult to draw strong conclusions; it is </w:t>
      </w:r>
      <w:r>
        <w:rPr>
          <w:spacing w:val="2"/>
        </w:rPr>
        <w:t>also </w:t>
      </w:r>
      <w:r>
        <w:rPr/>
        <w:t>difficult to compare results for equity markets and growth rates as the first is based on weekly data, while the latter is based on quarterly data. Therefore, Figure 15 tries to make these comparisons more precise by reporting</w:t>
      </w:r>
      <w:r>
        <w:rPr>
          <w:spacing w:val="-32"/>
        </w:rPr>
        <w:t> </w:t>
      </w:r>
      <w:r>
        <w:rPr/>
        <w:t>the five-year rolling average of extreme negative returns for as long as the data is available. The percent of the full sample experiencing extreme negative equity returns increased steadily over the 1980s, then again at the end of the 1990s, and then even higher at the end of the 2000s. It has since fallen back to below the level of the 1990s – and even lower for emerging markets. The same graph for GDP growth (panel b) shows the expected increase in the number of extreme negative returns in the late 2000s around the Global Financial Crisis, but then an even sharper decline to below the levels of the 1980’s – for the full sample and each subgroup (except the euro area). There have recently been an unusually low number of countries simultaneously experiencing extremely low equity returns or growth rates. The waters have recently been fairly</w:t>
      </w:r>
      <w:r>
        <w:rPr>
          <w:spacing w:val="-4"/>
        </w:rPr>
        <w:t> </w:t>
      </w:r>
      <w:r>
        <w:rPr/>
        <w:t>calm.</w:t>
      </w:r>
    </w:p>
    <w:p>
      <w:pPr>
        <w:pStyle w:val="BodyText"/>
        <w:spacing w:before="2"/>
        <w:rPr>
          <w:sz w:val="30"/>
        </w:rPr>
      </w:pPr>
    </w:p>
    <w:p>
      <w:pPr>
        <w:pStyle w:val="BodyText"/>
        <w:spacing w:line="360" w:lineRule="auto"/>
        <w:ind w:left="253" w:right="1140"/>
      </w:pPr>
      <w:r>
        <w:rPr/>
        <w:t>This evidence that contagion has recently been more moderate than in the past could reflect a number of different factors. It could simply be the ‘calm before the storm’ – with a round of contagion coming soon. It also could reflect the fact that there has been less ‘very bad news’ that originates in individual countries and spreads or is driven by the common, global variables. Or countries could be more resilient to bad news that</w:t>
      </w:r>
    </w:p>
    <w:p>
      <w:pPr>
        <w:spacing w:after="0" w:line="360" w:lineRule="auto"/>
        <w:sectPr>
          <w:footerReference w:type="default" r:id="rId17"/>
          <w:pgSz w:w="11910" w:h="16840"/>
          <w:pgMar w:footer="1676" w:header="0" w:top="1580" w:bottom="1860" w:left="880" w:right="0"/>
          <w:pgNumType w:start="15"/>
        </w:sectPr>
      </w:pPr>
    </w:p>
    <w:p>
      <w:pPr>
        <w:pStyle w:val="BodyText"/>
        <w:rPr>
          <w:sz w:val="23"/>
        </w:rPr>
      </w:pPr>
    </w:p>
    <w:p>
      <w:pPr>
        <w:pStyle w:val="BodyText"/>
        <w:spacing w:line="360" w:lineRule="auto" w:before="93"/>
        <w:ind w:left="253" w:right="1174"/>
      </w:pPr>
      <w:r>
        <w:rPr/>
        <w:t>originates elsewhere (something we will explore in more detail below). Overall, the evidence that contagion has not recently increased in equity markets suggests that it has played a less important role than common factors in explaining the trend of increased equity market comovement over time. The higher levels of contagion in both equities and GDP growth in the euro area and during the Global Financial Crisis, however, suggest that contagion has played some role in explaining the higher levels of comovement in these countries and during this crisis period.</w:t>
      </w:r>
    </w:p>
    <w:p>
      <w:pPr>
        <w:pStyle w:val="BodyText"/>
        <w:spacing w:before="11"/>
        <w:rPr>
          <w:sz w:val="29"/>
        </w:rPr>
      </w:pPr>
    </w:p>
    <w:p>
      <w:pPr>
        <w:pStyle w:val="BodyText"/>
        <w:spacing w:line="360" w:lineRule="auto"/>
        <w:ind w:left="253" w:right="1150"/>
      </w:pPr>
      <w:r>
        <w:rPr/>
        <w:t>To better understand what drives these extreme negative events – and therefore better understand when and how contagion occurs – I will build on the regression analysis I just showed you attempting to explain</w:t>
      </w:r>
      <w:r>
        <w:rPr>
          <w:spacing w:val="-37"/>
        </w:rPr>
        <w:t> </w:t>
      </w:r>
      <w:r>
        <w:rPr/>
        <w:t>the factors behind the common shocks. Now, however, I will attempt to explain the probability that a country has an extreme negative return. Table 16, column 1, shows the results for equity markets.</w:t>
      </w:r>
      <w:r>
        <w:rPr>
          <w:vertAlign w:val="superscript"/>
        </w:rPr>
        <w:t>12</w:t>
      </w:r>
      <w:r>
        <w:rPr>
          <w:vertAlign w:val="baseline"/>
        </w:rPr>
        <w:t> It finds that the three variables driving the common shocks (changes in commodity prices, global risk, and US interest rates) also play a role in explaining whether a country has a sharp fall in its equity market. The results also include a new variable – the percent of the rest of the sample with an extreme negative equity return at the same time. This variable is a measure of contagion and is consistently important – suggesting that a country is more likely to have a sharp fall in its equity markets if a higher share of other countries are also experiencing sharp falls. Contagion is estimated to be important even after controlling for the variables driving global, common shocks. The importance of contagion holds when the estimates are repeated for different time periods – although the importance of the different global variables tends to change over</w:t>
      </w:r>
      <w:r>
        <w:rPr>
          <w:spacing w:val="-6"/>
          <w:vertAlign w:val="baseline"/>
        </w:rPr>
        <w:t> </w:t>
      </w:r>
      <w:r>
        <w:rPr>
          <w:vertAlign w:val="baseline"/>
        </w:rPr>
        <w:t>time.</w:t>
      </w:r>
    </w:p>
    <w:p>
      <w:pPr>
        <w:pStyle w:val="BodyText"/>
        <w:spacing w:before="1"/>
        <w:rPr>
          <w:sz w:val="30"/>
        </w:rPr>
      </w:pPr>
    </w:p>
    <w:p>
      <w:pPr>
        <w:pStyle w:val="BodyText"/>
        <w:spacing w:line="360" w:lineRule="auto" w:before="1"/>
        <w:ind w:left="253" w:right="1263"/>
      </w:pPr>
      <w:r>
        <w:rPr/>
        <w:t>If I repeat the analysis for growth rates, results are more mixed – as occurred when analysing the common shocks driving GDP growth around the world. The contagion variable is significant in explaining periods of sharply lower GDP growth during the Global Financial Crisis, but often not in other periods. This is not surprising given the earlier graphs of the extreme negative returns. There are few periods when a large number of countries have sharp falls in growth simultaneously, and a low comovement in GDP growth rates during all periods except during the Global Financial Crisis. One would not have expected to see strong contagion effects outside of this window.</w:t>
      </w:r>
    </w:p>
    <w:p>
      <w:pPr>
        <w:pStyle w:val="BodyText"/>
        <w:rPr>
          <w:sz w:val="30"/>
        </w:rPr>
      </w:pPr>
    </w:p>
    <w:p>
      <w:pPr>
        <w:pStyle w:val="BodyText"/>
        <w:spacing w:line="360" w:lineRule="auto"/>
        <w:ind w:left="253" w:right="1140"/>
      </w:pPr>
      <w:r>
        <w:rPr/>
        <w:t>To summarize, the evidence in this section suggests that contagion – when bad news in one country (or region) affects others – has played some role in explaining the increased comovement in GDP growth rates during the crisis, and higher levels of comovement in equity markets during all periods. Although contagion does not appear to explain the increased comovement in equity markets over time, it is still important after controlling for the effects of common shocks. Large waves – whether they start in the global ocean or in a specific country – can play powerful roles in causing sharp falls in equity markets and GDP growth. It is no</w:t>
      </w:r>
    </w:p>
    <w:p>
      <w:pPr>
        <w:pStyle w:val="BodyText"/>
        <w:spacing w:before="2"/>
        <w:rPr>
          <w:sz w:val="24"/>
        </w:rPr>
      </w:pPr>
      <w:r>
        <w:rPr/>
        <w:pict>
          <v:shape style="position:absolute;margin-left:56.664001pt;margin-top:16.100889pt;width:144.050pt;height:.1pt;mso-position-horizontal-relative:page;mso-position-vertical-relative:paragraph;z-index:-251650048;mso-wrap-distance-left:0;mso-wrap-distance-right:0" coordorigin="1133,322" coordsize="2881,0" path="m1133,322l4014,322e" filled="false" stroked="true" strokeweight=".47998pt" strokecolor="#000000">
            <v:path arrowok="t"/>
            <v:stroke dashstyle="solid"/>
            <w10:wrap type="topAndBottom"/>
          </v:shape>
        </w:pict>
      </w:r>
    </w:p>
    <w:p>
      <w:pPr>
        <w:spacing w:before="30"/>
        <w:ind w:left="253" w:right="1474" w:firstLine="0"/>
        <w:jc w:val="left"/>
        <w:rPr>
          <w:sz w:val="16"/>
        </w:rPr>
      </w:pPr>
      <w:r>
        <w:rPr>
          <w:position w:val="8"/>
          <w:sz w:val="10"/>
        </w:rPr>
        <w:t>12 </w:t>
      </w:r>
      <w:r>
        <w:rPr>
          <w:sz w:val="16"/>
        </w:rPr>
        <w:t>Because extreme negative returns occur irregularly (95 percent of the sample is zeros), these equations are estimated using the complementary logarithmic (or cloglog) framework, which uses the cumulative distribution function (cdf) of the extreme value distribution. Standard errors are also clustered by country.</w:t>
      </w:r>
    </w:p>
    <w:p>
      <w:pPr>
        <w:spacing w:after="0"/>
        <w:jc w:val="left"/>
        <w:rPr>
          <w:sz w:val="16"/>
        </w:rPr>
        <w:sectPr>
          <w:footerReference w:type="default" r:id="rId18"/>
          <w:pgSz w:w="11910" w:h="16840"/>
          <w:pgMar w:footer="1676" w:header="0" w:top="1580" w:bottom="1860" w:left="880" w:right="0"/>
          <w:pgNumType w:start="16"/>
        </w:sectPr>
      </w:pPr>
    </w:p>
    <w:p>
      <w:pPr>
        <w:pStyle w:val="BodyText"/>
        <w:rPr>
          <w:sz w:val="23"/>
        </w:rPr>
      </w:pPr>
    </w:p>
    <w:p>
      <w:pPr>
        <w:pStyle w:val="BodyText"/>
        <w:spacing w:line="360" w:lineRule="auto" w:before="93"/>
        <w:ind w:left="253" w:right="1140"/>
      </w:pPr>
      <w:r>
        <w:rPr/>
        <w:t>surprise that countries often feel as powerless against these forces as the fishermen in Hokusai’s famous print.</w:t>
      </w:r>
    </w:p>
    <w:p>
      <w:pPr>
        <w:pStyle w:val="BodyText"/>
        <w:spacing w:before="8"/>
        <w:rPr>
          <w:sz w:val="29"/>
        </w:rPr>
      </w:pPr>
    </w:p>
    <w:p>
      <w:pPr>
        <w:pStyle w:val="Heading3"/>
        <w:numPr>
          <w:ilvl w:val="0"/>
          <w:numId w:val="1"/>
        </w:numPr>
        <w:tabs>
          <w:tab w:pos="614" w:val="left" w:leader="none"/>
        </w:tabs>
        <w:spacing w:line="240" w:lineRule="auto" w:before="0" w:after="0"/>
        <w:ind w:left="613" w:right="0" w:hanging="361"/>
        <w:jc w:val="left"/>
      </w:pPr>
      <w:r>
        <w:rPr/>
        <w:t>How do Countries Strengthen their Boats against Contagion and Common</w:t>
      </w:r>
      <w:r>
        <w:rPr>
          <w:spacing w:val="-3"/>
        </w:rPr>
        <w:t> </w:t>
      </w:r>
      <w:r>
        <w:rPr/>
        <w:t>Shocks?</w:t>
      </w:r>
    </w:p>
    <w:p>
      <w:pPr>
        <w:pStyle w:val="BodyText"/>
        <w:rPr>
          <w:b/>
          <w:sz w:val="22"/>
        </w:rPr>
      </w:pPr>
    </w:p>
    <w:p>
      <w:pPr>
        <w:pStyle w:val="BodyText"/>
        <w:spacing w:before="4"/>
        <w:rPr>
          <w:b/>
          <w:sz w:val="18"/>
        </w:rPr>
      </w:pPr>
    </w:p>
    <w:p>
      <w:pPr>
        <w:pStyle w:val="BodyText"/>
        <w:spacing w:line="360" w:lineRule="auto"/>
        <w:ind w:left="253" w:right="1474"/>
      </w:pPr>
      <w:r>
        <w:rPr/>
        <w:t>What can countries do to protect themselves against these large waves that originate elsewhere? What characteristics make a country’s boat more resilient to these forces?</w:t>
      </w:r>
    </w:p>
    <w:p>
      <w:pPr>
        <w:pStyle w:val="BodyText"/>
        <w:spacing w:before="11"/>
        <w:rPr>
          <w:sz w:val="29"/>
        </w:rPr>
      </w:pPr>
    </w:p>
    <w:p>
      <w:pPr>
        <w:pStyle w:val="BodyText"/>
        <w:spacing w:line="360" w:lineRule="auto"/>
        <w:ind w:left="253" w:right="1207"/>
      </w:pPr>
      <w:r>
        <w:rPr/>
        <w:t>There are many country characteristics and policies that might make a country more or less vulnerable. I’ll just focus on three that have received substantial attention in the academic literature and the policy world: openness to trade, openness to capital flows, and bank regulation. More specifically, are countries more vulnerable to shocks that originate outside their borders if they are more open to trade or capital flows? Or if they have more leveraged and less well capitalized banking systems? Since countries tend to worry more about how common shocks and contagion negatively affect them (and less so when they benefit), I’ll focus on how these three characteristics make countries more likely to have sharp falls in their equity markets or sharp slowdowns in growth.</w:t>
      </w:r>
    </w:p>
    <w:p>
      <w:pPr>
        <w:pStyle w:val="BodyText"/>
        <w:spacing w:before="1"/>
        <w:rPr>
          <w:sz w:val="30"/>
        </w:rPr>
      </w:pPr>
    </w:p>
    <w:p>
      <w:pPr>
        <w:pStyle w:val="BodyText"/>
        <w:spacing w:line="360" w:lineRule="auto" w:before="1"/>
        <w:ind w:left="253" w:right="1118"/>
      </w:pPr>
      <w:r>
        <w:rPr/>
        <w:t>Columns 2 through 5 of Figure 16 show the results for equity markets.</w:t>
      </w:r>
      <w:r>
        <w:rPr>
          <w:vertAlign w:val="superscript"/>
        </w:rPr>
        <w:t>13</w:t>
      </w:r>
      <w:r>
        <w:rPr>
          <w:vertAlign w:val="baseline"/>
        </w:rPr>
        <w:t> This uses the same framework used to predict when a country has a sharp negative equity return, but now includes interaction variables to see if trade, financial openness, or banking leverage make a country more vulnerable to sharp negative equity returns that occur elsewhere. I continue to control for the common shocks. The results are intuitive and agree with the findings in the academic literature. Each of the three country characteristics matter and can affect how vulnerable countries are to events that originate elsewhere.</w:t>
      </w:r>
      <w:r>
        <w:rPr>
          <w:vertAlign w:val="superscript"/>
        </w:rPr>
        <w:t>14</w:t>
      </w:r>
      <w:r>
        <w:rPr>
          <w:vertAlign w:val="baseline"/>
        </w:rPr>
        <w:t> Countries that trade more and that are more financially open are more affected by bad news in other countries. Other work has shown that these effects tend to be larger if the bad news originates in countries which are more closely linked through trade flows, export competition in third markets, or banking flows.</w:t>
      </w:r>
      <w:r>
        <w:rPr>
          <w:vertAlign w:val="superscript"/>
        </w:rPr>
        <w:t>15</w:t>
      </w:r>
      <w:r>
        <w:rPr>
          <w:vertAlign w:val="baseline"/>
        </w:rPr>
        <w:t> Countries with more leveraged financial systems are also significantly more vulnerable to bad news from abroad.</w:t>
      </w:r>
    </w:p>
    <w:p>
      <w:pPr>
        <w:pStyle w:val="BodyText"/>
        <w:spacing w:before="11"/>
        <w:rPr>
          <w:sz w:val="29"/>
        </w:rPr>
      </w:pPr>
    </w:p>
    <w:p>
      <w:pPr>
        <w:pStyle w:val="BodyText"/>
        <w:spacing w:line="360" w:lineRule="auto"/>
        <w:ind w:left="253" w:right="1174"/>
      </w:pPr>
      <w:r>
        <w:rPr/>
        <w:t>This last result is worth highlighting. Over the last few years, evidence has been accumulating that countries with rapid domestic credit growth and higher leverage are more vulnerable to sharp economic slowdowns and financial crises. Although rapid credit growth and leverage can initially contribute to economic booms</w:t>
      </w:r>
    </w:p>
    <w:p>
      <w:pPr>
        <w:pStyle w:val="BodyText"/>
        <w:spacing w:before="7"/>
        <w:rPr>
          <w:sz w:val="16"/>
        </w:rPr>
      </w:pPr>
      <w:r>
        <w:rPr/>
        <w:pict>
          <v:shape style="position:absolute;margin-left:56.664001pt;margin-top:11.776397pt;width:144.050pt;height:.1pt;mso-position-horizontal-relative:page;mso-position-vertical-relative:paragraph;z-index:-251649024;mso-wrap-distance-left:0;mso-wrap-distance-right:0" coordorigin="1133,236" coordsize="2881,0" path="m1133,236l4014,236e" filled="false" stroked="true" strokeweight=".47998pt" strokecolor="#000000">
            <v:path arrowok="t"/>
            <v:stroke dashstyle="solid"/>
            <w10:wrap type="topAndBottom"/>
          </v:shape>
        </w:pict>
      </w:r>
    </w:p>
    <w:p>
      <w:pPr>
        <w:spacing w:line="206" w:lineRule="exact" w:before="30"/>
        <w:ind w:left="253" w:right="0" w:firstLine="0"/>
        <w:jc w:val="left"/>
        <w:rPr>
          <w:sz w:val="16"/>
        </w:rPr>
      </w:pPr>
      <w:r>
        <w:rPr>
          <w:position w:val="8"/>
          <w:sz w:val="10"/>
        </w:rPr>
        <w:t>13 </w:t>
      </w:r>
      <w:r>
        <w:rPr>
          <w:sz w:val="16"/>
        </w:rPr>
        <w:t>The equation estimated is:</w:t>
      </w:r>
    </w:p>
    <w:p>
      <w:pPr>
        <w:spacing w:line="198" w:lineRule="exact" w:before="0"/>
        <w:ind w:left="253" w:right="0" w:firstLine="0"/>
        <w:jc w:val="left"/>
        <w:rPr>
          <w:sz w:val="16"/>
        </w:rPr>
      </w:pPr>
      <w:r>
        <w:rPr/>
        <w:pict>
          <v:shape style="position:absolute;margin-left:213.529999pt;margin-top:4.575305pt;width:2.450pt;height:6.5pt;mso-position-horizontal-relative:page;mso-position-vertical-relative:paragraph;z-index:-255464448" type="#_x0000_t202" filled="false" stroked="false">
            <v:textbox inset="0,0,0,0">
              <w:txbxContent>
                <w:p>
                  <w:pPr>
                    <w:spacing w:before="0"/>
                    <w:ind w:left="0" w:right="0" w:firstLine="0"/>
                    <w:jc w:val="left"/>
                    <w:rPr>
                      <w:rFonts w:ascii="Cambria Math" w:eastAsia="Cambria Math"/>
                      <w:sz w:val="11"/>
                    </w:rPr>
                  </w:pPr>
                  <w:r>
                    <w:rPr>
                      <w:rFonts w:ascii="Cambria Math" w:eastAsia="Cambria Math"/>
                      <w:w w:val="110"/>
                      <w:sz w:val="11"/>
                    </w:rPr>
                    <w:t>𝑡</w:t>
                  </w:r>
                </w:p>
              </w:txbxContent>
            </v:textbox>
            <w10:wrap type="none"/>
          </v:shape>
        </w:pict>
      </w:r>
      <w:r>
        <w:rPr/>
        <w:pict>
          <v:shape style="position:absolute;margin-left:288.549988pt;margin-top:4.575305pt;width:2.450pt;height:6.5pt;mso-position-horizontal-relative:page;mso-position-vertical-relative:paragraph;z-index:-255463424" type="#_x0000_t202" filled="false" stroked="false">
            <v:textbox inset="0,0,0,0">
              <w:txbxContent>
                <w:p>
                  <w:pPr>
                    <w:spacing w:before="0"/>
                    <w:ind w:left="0" w:right="0" w:firstLine="0"/>
                    <w:jc w:val="left"/>
                    <w:rPr>
                      <w:rFonts w:ascii="Cambria Math" w:eastAsia="Cambria Math"/>
                      <w:sz w:val="11"/>
                    </w:rPr>
                  </w:pPr>
                  <w:r>
                    <w:rPr>
                      <w:rFonts w:ascii="Cambria Math" w:eastAsia="Cambria Math"/>
                      <w:w w:val="110"/>
                      <w:sz w:val="11"/>
                    </w:rPr>
                    <w:t>𝑡</w:t>
                  </w:r>
                </w:p>
              </w:txbxContent>
            </v:textbox>
            <w10:wrap type="none"/>
          </v:shape>
        </w:pict>
      </w:r>
      <w:r>
        <w:rPr/>
        <w:pict>
          <v:shape style="position:absolute;margin-left:394.420013pt;margin-top:4.575305pt;width:2.450pt;height:6.5pt;mso-position-horizontal-relative:page;mso-position-vertical-relative:paragraph;z-index:-255462400" type="#_x0000_t202" filled="false" stroked="false">
            <v:textbox inset="0,0,0,0">
              <w:txbxContent>
                <w:p>
                  <w:pPr>
                    <w:spacing w:before="0"/>
                    <w:ind w:left="0" w:right="0" w:firstLine="0"/>
                    <w:jc w:val="left"/>
                    <w:rPr>
                      <w:rFonts w:ascii="Cambria Math" w:eastAsia="Cambria Math"/>
                      <w:sz w:val="11"/>
                    </w:rPr>
                  </w:pPr>
                  <w:r>
                    <w:rPr>
                      <w:rFonts w:ascii="Cambria Math" w:eastAsia="Cambria Math"/>
                      <w:w w:val="110"/>
                      <w:sz w:val="11"/>
                    </w:rPr>
                    <w:t>𝑡</w:t>
                  </w:r>
                </w:p>
              </w:txbxContent>
            </v:textbox>
            <w10:wrap type="none"/>
          </v:shape>
        </w:pict>
      </w:r>
      <w:r>
        <w:rPr>
          <w:i/>
          <w:sz w:val="16"/>
        </w:rPr>
        <w:t>p</w:t>
      </w:r>
      <w:r>
        <w:rPr>
          <w:rFonts w:ascii="Cambria Math" w:hAnsi="Cambria Math" w:eastAsia="Cambria Math"/>
          <w:sz w:val="16"/>
        </w:rPr>
        <w:t>𝑟𝑜𝑏</w:t>
      </w:r>
      <w:r>
        <w:rPr>
          <w:rFonts w:ascii="Cambria Math" w:hAnsi="Cambria Math" w:eastAsia="Cambria Math"/>
          <w:position w:val="1"/>
          <w:sz w:val="16"/>
        </w:rPr>
        <w:t>(</w:t>
      </w:r>
      <w:r>
        <w:rPr>
          <w:rFonts w:ascii="Cambria Math" w:hAnsi="Cambria Math" w:eastAsia="Cambria Math"/>
          <w:sz w:val="16"/>
        </w:rPr>
        <w:t>𝐸𝑁𝑅</w:t>
      </w:r>
      <w:r>
        <w:rPr>
          <w:rFonts w:ascii="Cambria Math" w:hAnsi="Cambria Math" w:eastAsia="Cambria Math"/>
          <w:sz w:val="16"/>
          <w:vertAlign w:val="subscript"/>
        </w:rPr>
        <w:t>𝑖𝑡</w:t>
      </w:r>
      <w:r>
        <w:rPr>
          <w:rFonts w:ascii="Cambria Math" w:hAnsi="Cambria Math" w:eastAsia="Cambria Math"/>
          <w:sz w:val="16"/>
          <w:vertAlign w:val="baseline"/>
        </w:rPr>
        <w:t> = 1</w:t>
      </w:r>
      <w:r>
        <w:rPr>
          <w:rFonts w:ascii="Cambria Math" w:hAnsi="Cambria Math" w:eastAsia="Cambria Math"/>
          <w:position w:val="1"/>
          <w:sz w:val="16"/>
          <w:vertAlign w:val="baseline"/>
        </w:rPr>
        <w:t>) </w:t>
      </w:r>
      <w:r>
        <w:rPr>
          <w:rFonts w:ascii="Cambria Math" w:hAnsi="Cambria Math" w:eastAsia="Cambria Math"/>
          <w:sz w:val="16"/>
          <w:vertAlign w:val="baseline"/>
        </w:rPr>
        <w:t>= 𝐹(𝛽 ∗ 𝐺𝑙𝑜𝑏𝑎𝑙</w:t>
      </w:r>
      <w:r>
        <w:rPr>
          <w:rFonts w:ascii="Cambria Math" w:hAnsi="Cambria Math" w:eastAsia="Cambria Math"/>
          <w:sz w:val="16"/>
          <w:vertAlign w:val="subscript"/>
        </w:rPr>
        <w:t>𝑡</w:t>
      </w:r>
      <w:r>
        <w:rPr>
          <w:rFonts w:ascii="Cambria Math" w:hAnsi="Cambria Math" w:eastAsia="Cambria Math"/>
          <w:sz w:val="16"/>
          <w:vertAlign w:val="baseline"/>
        </w:rPr>
        <w:t> + 𝛾</w:t>
      </w:r>
      <w:r>
        <w:rPr>
          <w:rFonts w:ascii="Cambria Math" w:hAnsi="Cambria Math" w:eastAsia="Cambria Math"/>
          <w:sz w:val="16"/>
          <w:vertAlign w:val="subscript"/>
        </w:rPr>
        <w:t>1</w:t>
      </w:r>
      <w:r>
        <w:rPr>
          <w:rFonts w:ascii="Cambria Math" w:hAnsi="Cambria Math" w:eastAsia="Cambria Math"/>
          <w:sz w:val="16"/>
          <w:vertAlign w:val="baseline"/>
        </w:rPr>
        <w:t> ∗ 𝐸𝑁𝑅</w:t>
      </w:r>
      <w:r>
        <w:rPr>
          <w:rFonts w:ascii="Cambria Math" w:hAnsi="Cambria Math" w:eastAsia="Cambria Math"/>
          <w:position w:val="6"/>
          <w:sz w:val="11"/>
          <w:vertAlign w:val="baseline"/>
        </w:rPr>
        <w:t>𝐴𝑙𝑙 </w:t>
      </w:r>
      <w:r>
        <w:rPr>
          <w:rFonts w:ascii="Cambria Math" w:hAnsi="Cambria Math" w:eastAsia="Cambria Math"/>
          <w:sz w:val="16"/>
          <w:vertAlign w:val="baseline"/>
        </w:rPr>
        <w:t>𝑇𝑟𝑎𝑑𝑒</w:t>
      </w:r>
      <w:r>
        <w:rPr>
          <w:rFonts w:ascii="Cambria Math" w:hAnsi="Cambria Math" w:eastAsia="Cambria Math"/>
          <w:sz w:val="16"/>
          <w:vertAlign w:val="subscript"/>
        </w:rPr>
        <w:t>𝑖𝑡</w:t>
      </w:r>
      <w:r>
        <w:rPr>
          <w:rFonts w:ascii="Cambria Math" w:hAnsi="Cambria Math" w:eastAsia="Cambria Math"/>
          <w:sz w:val="16"/>
          <w:vertAlign w:val="baseline"/>
        </w:rPr>
        <w:t> + 𝛾</w:t>
      </w:r>
      <w:r>
        <w:rPr>
          <w:rFonts w:ascii="Cambria Math" w:hAnsi="Cambria Math" w:eastAsia="Cambria Math"/>
          <w:sz w:val="16"/>
          <w:vertAlign w:val="subscript"/>
        </w:rPr>
        <w:t>2</w:t>
      </w:r>
      <w:r>
        <w:rPr>
          <w:rFonts w:ascii="Cambria Math" w:hAnsi="Cambria Math" w:eastAsia="Cambria Math"/>
          <w:sz w:val="16"/>
          <w:vertAlign w:val="baseline"/>
        </w:rPr>
        <w:t> ∗ 𝐸𝑁𝑅</w:t>
      </w:r>
      <w:r>
        <w:rPr>
          <w:rFonts w:ascii="Cambria Math" w:hAnsi="Cambria Math" w:eastAsia="Cambria Math"/>
          <w:position w:val="6"/>
          <w:sz w:val="11"/>
          <w:vertAlign w:val="baseline"/>
        </w:rPr>
        <w:t>𝐴𝑙𝑙 </w:t>
      </w:r>
      <w:r>
        <w:rPr>
          <w:rFonts w:ascii="Cambria Math" w:hAnsi="Cambria Math" w:eastAsia="Cambria Math"/>
          <w:sz w:val="16"/>
          <w:vertAlign w:val="baseline"/>
        </w:rPr>
        <w:t>𝐵𝑎𝑛𝑘𝐿𝑒𝑣𝑒𝑟𝑎𝑔𝑒</w:t>
      </w:r>
      <w:r>
        <w:rPr>
          <w:rFonts w:ascii="Cambria Math" w:hAnsi="Cambria Math" w:eastAsia="Cambria Math"/>
          <w:sz w:val="16"/>
          <w:vertAlign w:val="subscript"/>
        </w:rPr>
        <w:t>𝑖𝑡</w:t>
      </w:r>
      <w:r>
        <w:rPr>
          <w:rFonts w:ascii="Cambria Math" w:hAnsi="Cambria Math" w:eastAsia="Cambria Math"/>
          <w:sz w:val="16"/>
          <w:vertAlign w:val="baseline"/>
        </w:rPr>
        <w:t> + 𝛾</w:t>
      </w:r>
      <w:r>
        <w:rPr>
          <w:rFonts w:ascii="Cambria Math" w:hAnsi="Cambria Math" w:eastAsia="Cambria Math"/>
          <w:sz w:val="16"/>
          <w:vertAlign w:val="subscript"/>
        </w:rPr>
        <w:t>3</w:t>
      </w:r>
      <w:r>
        <w:rPr>
          <w:rFonts w:ascii="Cambria Math" w:hAnsi="Cambria Math" w:eastAsia="Cambria Math"/>
          <w:sz w:val="16"/>
          <w:vertAlign w:val="baseline"/>
        </w:rPr>
        <w:t> ∗ 𝐸𝑁𝑅</w:t>
      </w:r>
      <w:r>
        <w:rPr>
          <w:rFonts w:ascii="Cambria Math" w:hAnsi="Cambria Math" w:eastAsia="Cambria Math"/>
          <w:position w:val="6"/>
          <w:sz w:val="11"/>
          <w:vertAlign w:val="baseline"/>
        </w:rPr>
        <w:t>𝐴𝑙𝑙</w:t>
      </w:r>
      <w:r>
        <w:rPr>
          <w:rFonts w:ascii="Cambria Math" w:hAnsi="Cambria Math" w:eastAsia="Cambria Math"/>
          <w:sz w:val="16"/>
          <w:vertAlign w:val="baseline"/>
        </w:rPr>
        <w:t>𝐹𝑖𝑛𝑂𝑝𝑒𝑛𝑛𝑒𝑠𝑠</w:t>
      </w:r>
      <w:r>
        <w:rPr>
          <w:rFonts w:ascii="Cambria Math" w:hAnsi="Cambria Math" w:eastAsia="Cambria Math"/>
          <w:sz w:val="16"/>
          <w:vertAlign w:val="subscript"/>
        </w:rPr>
        <w:t>𝑖𝑡</w:t>
      </w:r>
      <w:r>
        <w:rPr>
          <w:rFonts w:ascii="Cambria Math" w:hAnsi="Cambria Math" w:eastAsia="Cambria Math"/>
          <w:sz w:val="16"/>
          <w:vertAlign w:val="baseline"/>
        </w:rPr>
        <w:t>) </w:t>
      </w:r>
      <w:r>
        <w:rPr>
          <w:sz w:val="16"/>
          <w:vertAlign w:val="baseline"/>
        </w:rPr>
        <w:t>, where </w:t>
      </w:r>
      <w:r>
        <w:rPr>
          <w:rFonts w:ascii="Cambria Math" w:hAnsi="Cambria Math" w:eastAsia="Cambria Math"/>
          <w:sz w:val="16"/>
          <w:vertAlign w:val="baseline"/>
        </w:rPr>
        <w:t>𝐸𝑁𝑅 </w:t>
      </w:r>
      <w:r>
        <w:rPr>
          <w:sz w:val="16"/>
          <w:vertAlign w:val="baseline"/>
        </w:rPr>
        <w:t>is a</w:t>
      </w:r>
    </w:p>
    <w:p>
      <w:pPr>
        <w:spacing w:line="240" w:lineRule="auto" w:before="0"/>
        <w:ind w:left="253" w:right="1140" w:firstLine="0"/>
        <w:jc w:val="left"/>
        <w:rPr>
          <w:sz w:val="16"/>
        </w:rPr>
      </w:pPr>
      <w:r>
        <w:rPr>
          <w:sz w:val="16"/>
        </w:rPr>
        <w:t>dummy equal to one if country </w:t>
      </w:r>
      <w:r>
        <w:rPr>
          <w:i/>
          <w:sz w:val="16"/>
        </w:rPr>
        <w:t>i </w:t>
      </w:r>
      <w:r>
        <w:rPr>
          <w:sz w:val="16"/>
        </w:rPr>
        <w:t>has an extreme negative return in equities or GDP growth in period </w:t>
      </w:r>
      <w:r>
        <w:rPr>
          <w:i/>
          <w:sz w:val="16"/>
        </w:rPr>
        <w:t>t</w:t>
      </w:r>
      <w:r>
        <w:rPr>
          <w:sz w:val="16"/>
        </w:rPr>
        <w:t>. This is estimated using the complementary logarithmic (cloglog) framework, with standard errors clustered by country. </w:t>
      </w:r>
      <w:r>
        <w:rPr>
          <w:rFonts w:ascii="Cambria Math" w:hAnsi="Cambria Math" w:eastAsia="Cambria Math"/>
          <w:sz w:val="16"/>
        </w:rPr>
        <w:t>𝑇𝑟𝑎𝑑𝑒 </w:t>
      </w:r>
      <w:r>
        <w:rPr>
          <w:sz w:val="16"/>
        </w:rPr>
        <w:t>is measured as (exports+imports)/GDP. </w:t>
      </w:r>
      <w:r>
        <w:rPr>
          <w:rFonts w:ascii="Cambria Math" w:hAnsi="Cambria Math" w:eastAsia="Cambria Math"/>
          <w:sz w:val="16"/>
        </w:rPr>
        <w:t>𝐹𝑖𝑛𝑂𝑝𝑒𝑛𝑛𝑒𝑠𝑠 </w:t>
      </w:r>
      <w:r>
        <w:rPr>
          <w:sz w:val="16"/>
        </w:rPr>
        <w:t>is measured using the normalized Chinn-Ito measure of capital account openness. </w:t>
      </w:r>
      <w:r>
        <w:rPr>
          <w:rFonts w:ascii="Cambria Math" w:hAnsi="Cambria Math" w:eastAsia="Cambria Math"/>
          <w:sz w:val="16"/>
        </w:rPr>
        <w:t>𝐵𝑎𝑛𝑘𝐿𝑒𝑣𝑒𝑟𝑎𝑔𝑒 </w:t>
      </w:r>
      <w:r>
        <w:rPr>
          <w:sz w:val="16"/>
        </w:rPr>
        <w:t>is the ratio of domestic banks’ claims on the private sector to the value of demand, time, savings and foreign currency deposits, using data from the IMF International Financial Statistics database.</w:t>
      </w:r>
    </w:p>
    <w:p>
      <w:pPr>
        <w:spacing w:line="172" w:lineRule="exact" w:before="0"/>
        <w:ind w:left="253" w:right="0" w:firstLine="0"/>
        <w:jc w:val="left"/>
        <w:rPr>
          <w:sz w:val="16"/>
        </w:rPr>
      </w:pPr>
      <w:r>
        <w:rPr>
          <w:position w:val="8"/>
          <w:sz w:val="10"/>
        </w:rPr>
        <w:t>14 </w:t>
      </w:r>
      <w:r>
        <w:rPr>
          <w:sz w:val="16"/>
        </w:rPr>
        <w:t>See Forbes (2013).</w:t>
      </w:r>
    </w:p>
    <w:p>
      <w:pPr>
        <w:spacing w:line="196" w:lineRule="exact" w:before="0"/>
        <w:ind w:left="253" w:right="0" w:firstLine="0"/>
        <w:jc w:val="left"/>
        <w:rPr>
          <w:sz w:val="16"/>
        </w:rPr>
      </w:pPr>
      <w:r>
        <w:rPr>
          <w:position w:val="8"/>
          <w:sz w:val="10"/>
        </w:rPr>
        <w:t>15 </w:t>
      </w:r>
      <w:r>
        <w:rPr>
          <w:sz w:val="16"/>
        </w:rPr>
        <w:t>See Van Rijckeghem and Weder (2001), Forbes (2004), Forbes and Warnock (2012) and Cesa-Bianchi </w:t>
      </w:r>
      <w:r>
        <w:rPr>
          <w:i/>
          <w:sz w:val="16"/>
        </w:rPr>
        <w:t>et al</w:t>
      </w:r>
      <w:r>
        <w:rPr>
          <w:sz w:val="16"/>
        </w:rPr>
        <w:t>. (2016).</w:t>
      </w:r>
    </w:p>
    <w:p>
      <w:pPr>
        <w:spacing w:after="0" w:line="196" w:lineRule="exact"/>
        <w:jc w:val="left"/>
        <w:rPr>
          <w:sz w:val="16"/>
        </w:rPr>
        <w:sectPr>
          <w:footerReference w:type="default" r:id="rId19"/>
          <w:pgSz w:w="11910" w:h="16840"/>
          <w:pgMar w:footer="1676" w:header="0" w:top="1580" w:bottom="1860" w:left="880" w:right="0"/>
          <w:pgNumType w:start="17"/>
        </w:sectPr>
      </w:pPr>
    </w:p>
    <w:p>
      <w:pPr>
        <w:pStyle w:val="BodyText"/>
        <w:spacing w:before="8"/>
        <w:rPr>
          <w:sz w:val="19"/>
        </w:rPr>
      </w:pPr>
    </w:p>
    <w:p>
      <w:pPr>
        <w:pStyle w:val="BodyText"/>
        <w:spacing w:line="360" w:lineRule="auto" w:before="131"/>
        <w:ind w:left="253" w:right="1318"/>
      </w:pPr>
      <w:r>
        <w:rPr/>
        <w:t>and faster growth, they also make a country more vulnerable to bad news.</w:t>
      </w:r>
      <w:r>
        <w:rPr>
          <w:vertAlign w:val="superscript"/>
        </w:rPr>
        <w:t>16</w:t>
      </w:r>
      <w:r>
        <w:rPr>
          <w:vertAlign w:val="baseline"/>
        </w:rPr>
        <w:t> Even if the bad news does not seem important enough to have macroeconomic effects, it can be amplified by highly-leveraged banks that need to cut back lending and unwind positions elsewhere.</w:t>
      </w:r>
      <w:r>
        <w:rPr>
          <w:vertAlign w:val="superscript"/>
        </w:rPr>
        <w:t>17</w:t>
      </w:r>
      <w:r>
        <w:rPr>
          <w:vertAlign w:val="baseline"/>
        </w:rPr>
        <w:t> The more leveraged a financial institution, the greater reductions it needs to make in its other loans and positions, leading to what has been called</w:t>
      </w:r>
    </w:p>
    <w:p>
      <w:pPr>
        <w:pStyle w:val="BodyText"/>
        <w:spacing w:line="360" w:lineRule="auto"/>
        <w:ind w:left="253" w:right="1129"/>
      </w:pPr>
      <w:r>
        <w:rPr/>
        <w:t>‘liquidation spirals’ or a ‘diabolic loop’. Allen </w:t>
      </w:r>
      <w:r>
        <w:rPr>
          <w:i/>
        </w:rPr>
        <w:t>et al. </w:t>
      </w:r>
      <w:r>
        <w:rPr/>
        <w:t>(2012) show how this can, in turn, aggravate contagion and increase systemic risk. The bottom line is that when a period of unsustainable credit growth ends and this deleveraging begins, it is magnified in countries with less well capitalized financial systems and can correspond to painful adjustments in consumption, investment, and overall demand and growth.</w:t>
      </w:r>
    </w:p>
    <w:p>
      <w:pPr>
        <w:pStyle w:val="BodyText"/>
        <w:rPr>
          <w:sz w:val="30"/>
        </w:rPr>
      </w:pPr>
    </w:p>
    <w:p>
      <w:pPr>
        <w:pStyle w:val="BodyText"/>
        <w:spacing w:line="360" w:lineRule="auto" w:before="1"/>
        <w:ind w:left="253" w:right="1207"/>
      </w:pPr>
      <w:r>
        <w:rPr/>
        <w:t>What does all of this imply for countries hoping to reduce their vulnerability to contagion and common shocks? This is far from the detailed analysis that would be required to support major policy changes – but it does raise three areas that countries could consider: trade, financial openness and banking leverage.</w:t>
      </w:r>
    </w:p>
    <w:p>
      <w:pPr>
        <w:pStyle w:val="BodyText"/>
        <w:rPr>
          <w:sz w:val="30"/>
        </w:rPr>
      </w:pPr>
    </w:p>
    <w:p>
      <w:pPr>
        <w:pStyle w:val="BodyText"/>
        <w:spacing w:line="360" w:lineRule="auto"/>
        <w:ind w:left="253" w:right="1241"/>
      </w:pPr>
      <w:r>
        <w:rPr/>
        <w:t>It might be tempting to interpret these results as suggesting that countries should limit their openness to trade or financial flows in an effort to reduce their vulnerability to contagion. Such a leap of logic, however, would ignore the many benefits that trade and capital flows bring to a country.</w:t>
      </w:r>
    </w:p>
    <w:p>
      <w:pPr>
        <w:pStyle w:val="BodyText"/>
        <w:rPr>
          <w:sz w:val="30"/>
        </w:rPr>
      </w:pPr>
    </w:p>
    <w:p>
      <w:pPr>
        <w:pStyle w:val="BodyText"/>
        <w:spacing w:line="360" w:lineRule="auto" w:before="1"/>
        <w:ind w:left="253" w:right="1174"/>
      </w:pPr>
      <w:r>
        <w:rPr/>
        <w:t>A long literature has documented the substantial benefits of trade, and it is unlikely that the potential reduction in future contagion through trade would outweigh these substantial benefits. Moreover, contagion through trade is usually more moderate, predictable, and gradual than other forms of contagion; exports generally adjust slowly to changes in relative prices and incomes. Policymakers therefore have more time to respond to contagion through trade using traditional macroeconomic tools to facilitate any necessary adjustment.</w:t>
      </w:r>
    </w:p>
    <w:p>
      <w:pPr>
        <w:pStyle w:val="BodyText"/>
        <w:spacing w:before="11"/>
        <w:rPr>
          <w:sz w:val="29"/>
        </w:rPr>
      </w:pPr>
    </w:p>
    <w:p>
      <w:pPr>
        <w:pStyle w:val="BodyText"/>
        <w:spacing w:line="360" w:lineRule="auto"/>
        <w:ind w:left="253" w:right="1206"/>
      </w:pPr>
      <w:r>
        <w:rPr/>
        <w:t>There is more disagreement on the benefits of open capital accounts and free capital flows. Although capital flows can bring substantial benefits, their volatility and tendency to swing from ‘surges’ to ‘stops’ can also create substantial economic challenges, especially in countries with less developed and more leveraged financial systems.</w:t>
      </w:r>
      <w:r>
        <w:rPr>
          <w:vertAlign w:val="superscript"/>
        </w:rPr>
        <w:t>18</w:t>
      </w:r>
      <w:r>
        <w:rPr>
          <w:vertAlign w:val="baseline"/>
        </w:rPr>
        <w:t> The costs and benefits of capital flows also depend on a number of factors that are not included in this analysis – such as the type of flow (with foreign direct investment having greater net benefits than debt flows), the duration of the flow (with longer term flows being less vulnerable to sudden swings), and the currency composition of the flow (with domestic currency flows presenting less risk related to exchange rate movements). Therefore, any full assessment of the desirability of limiting capital account</w:t>
      </w:r>
    </w:p>
    <w:p>
      <w:pPr>
        <w:pStyle w:val="BodyText"/>
      </w:pPr>
    </w:p>
    <w:p>
      <w:pPr>
        <w:pStyle w:val="BodyText"/>
      </w:pPr>
    </w:p>
    <w:p>
      <w:pPr>
        <w:pStyle w:val="BodyText"/>
        <w:spacing w:before="2"/>
        <w:rPr>
          <w:sz w:val="12"/>
        </w:rPr>
      </w:pPr>
      <w:r>
        <w:rPr/>
        <w:pict>
          <v:shape style="position:absolute;margin-left:56.664001pt;margin-top:9.239687pt;width:144.050pt;height:.1pt;mso-position-horizontal-relative:page;mso-position-vertical-relative:paragraph;z-index:-251644928;mso-wrap-distance-left:0;mso-wrap-distance-right:0" coordorigin="1133,185" coordsize="2881,0" path="m1133,185l4014,185e" filled="false" stroked="true" strokeweight=".48004pt" strokecolor="#000000">
            <v:path arrowok="t"/>
            <v:stroke dashstyle="solid"/>
            <w10:wrap type="topAndBottom"/>
          </v:shape>
        </w:pict>
      </w:r>
    </w:p>
    <w:p>
      <w:pPr>
        <w:spacing w:before="27"/>
        <w:ind w:left="253" w:right="1474" w:firstLine="0"/>
        <w:jc w:val="left"/>
        <w:rPr>
          <w:sz w:val="16"/>
        </w:rPr>
      </w:pPr>
      <w:r>
        <w:rPr>
          <w:position w:val="8"/>
          <w:sz w:val="10"/>
        </w:rPr>
        <w:t>16 </w:t>
      </w:r>
      <w:r>
        <w:rPr>
          <w:sz w:val="16"/>
        </w:rPr>
        <w:t>For risks related to rapid credit growth, see Gourinchas and Obstfeld (2012) and Schularick and Taylor (2012). For banks and contagion, see: Van Rijckeghem and Weder (2001), Cetorelli and Goldberg (2011, 2012), Allen </w:t>
      </w:r>
      <w:r>
        <w:rPr>
          <w:i/>
          <w:sz w:val="16"/>
        </w:rPr>
        <w:t>et al. </w:t>
      </w:r>
      <w:r>
        <w:rPr>
          <w:sz w:val="16"/>
        </w:rPr>
        <w:t>(2009), and Shin (2012).</w:t>
      </w:r>
    </w:p>
    <w:p>
      <w:pPr>
        <w:spacing w:line="182" w:lineRule="exact" w:before="6"/>
        <w:ind w:left="253" w:right="1140" w:firstLine="0"/>
        <w:jc w:val="left"/>
        <w:rPr>
          <w:sz w:val="16"/>
        </w:rPr>
      </w:pPr>
      <w:r>
        <w:rPr>
          <w:position w:val="8"/>
          <w:sz w:val="10"/>
        </w:rPr>
        <w:t>17 </w:t>
      </w:r>
      <w:r>
        <w:rPr>
          <w:sz w:val="16"/>
        </w:rPr>
        <w:t>Greenwood </w:t>
      </w:r>
      <w:r>
        <w:rPr>
          <w:i/>
          <w:sz w:val="16"/>
        </w:rPr>
        <w:t>et al. </w:t>
      </w:r>
      <w:r>
        <w:rPr>
          <w:sz w:val="16"/>
        </w:rPr>
        <w:t>(2011), Van Wincoop (2011), and Shin (2012) show how negative shocks to banks are magnified in the presence of leverage, causing an even greater reduction in loans and unwinding of</w:t>
      </w:r>
      <w:r>
        <w:rPr>
          <w:spacing w:val="-7"/>
          <w:sz w:val="16"/>
        </w:rPr>
        <w:t> </w:t>
      </w:r>
      <w:r>
        <w:rPr>
          <w:sz w:val="16"/>
        </w:rPr>
        <w:t>positions.</w:t>
      </w:r>
    </w:p>
    <w:p>
      <w:pPr>
        <w:spacing w:line="183" w:lineRule="exact" w:before="0"/>
        <w:ind w:left="253" w:right="0" w:firstLine="0"/>
        <w:jc w:val="left"/>
        <w:rPr>
          <w:sz w:val="16"/>
        </w:rPr>
      </w:pPr>
      <w:r>
        <w:rPr>
          <w:position w:val="8"/>
          <w:sz w:val="10"/>
        </w:rPr>
        <w:t>18 </w:t>
      </w:r>
      <w:r>
        <w:rPr>
          <w:sz w:val="16"/>
        </w:rPr>
        <w:t>See Forbes (2007) and an excellent discussion of the issues in Coeuré</w:t>
      </w:r>
      <w:r>
        <w:rPr>
          <w:spacing w:val="-19"/>
          <w:sz w:val="16"/>
        </w:rPr>
        <w:t> </w:t>
      </w:r>
      <w:r>
        <w:rPr>
          <w:sz w:val="16"/>
        </w:rPr>
        <w:t>(2016).</w:t>
      </w:r>
    </w:p>
    <w:p>
      <w:pPr>
        <w:spacing w:after="0" w:line="183" w:lineRule="exact"/>
        <w:jc w:val="left"/>
        <w:rPr>
          <w:sz w:val="16"/>
        </w:rPr>
        <w:sectPr>
          <w:footerReference w:type="default" r:id="rId20"/>
          <w:pgSz w:w="11910" w:h="16840"/>
          <w:pgMar w:footer="1676" w:header="0" w:top="1580" w:bottom="1860" w:left="880" w:right="0"/>
          <w:pgNumType w:start="18"/>
        </w:sectPr>
      </w:pPr>
    </w:p>
    <w:p>
      <w:pPr>
        <w:pStyle w:val="BodyText"/>
        <w:rPr>
          <w:sz w:val="23"/>
        </w:rPr>
      </w:pPr>
    </w:p>
    <w:p>
      <w:pPr>
        <w:pStyle w:val="BodyText"/>
        <w:spacing w:line="360" w:lineRule="auto" w:before="93"/>
        <w:ind w:left="253" w:right="1140"/>
      </w:pPr>
      <w:r>
        <w:rPr/>
        <w:t>openness in order to reduce a country’s vulnerability to contagion needs to go much deeper than the simple analysis presented here.</w:t>
      </w:r>
      <w:r>
        <w:rPr>
          <w:vertAlign w:val="superscript"/>
        </w:rPr>
        <w:t>19</w:t>
      </w:r>
    </w:p>
    <w:p>
      <w:pPr>
        <w:pStyle w:val="BodyText"/>
        <w:spacing w:before="11"/>
        <w:rPr>
          <w:sz w:val="29"/>
        </w:rPr>
      </w:pPr>
    </w:p>
    <w:p>
      <w:pPr>
        <w:pStyle w:val="BodyText"/>
        <w:spacing w:line="360" w:lineRule="auto"/>
        <w:ind w:left="253" w:right="1140"/>
      </w:pPr>
      <w:r>
        <w:rPr/>
        <w:t>The final policy result, however, appears more straightforward. Reducing bank leverage and strengthening banking systems can significantly limit a country’s vulnerability to contagion and shocks that originate elsewhere. These steps can not only reduce contagion, but also reduce domestic risks and risks related to international capital flows. Simulations suggest that the impact of stronger bank regulation and tighter leverage requirements on reducing the likelihood of banking crises and the negative effects when banks do get into difficulty can be substantial.</w:t>
      </w:r>
      <w:r>
        <w:rPr>
          <w:vertAlign w:val="superscript"/>
        </w:rPr>
        <w:t>20</w:t>
      </w:r>
      <w:r>
        <w:rPr>
          <w:vertAlign w:val="baseline"/>
        </w:rPr>
        <w:t> Granted, this policy would also have costs, such as restricting the availability of credit and the profitability of the banking system.</w:t>
      </w:r>
    </w:p>
    <w:p>
      <w:pPr>
        <w:pStyle w:val="BodyText"/>
        <w:rPr>
          <w:sz w:val="30"/>
        </w:rPr>
      </w:pPr>
    </w:p>
    <w:p>
      <w:pPr>
        <w:pStyle w:val="BodyText"/>
        <w:spacing w:line="360" w:lineRule="auto" w:before="1"/>
        <w:ind w:left="253" w:right="1140"/>
      </w:pPr>
      <w:r>
        <w:rPr/>
        <w:t>But for moderate levels of leverage, these costs are unlikely to be outweighed by the substantial benefits, including reducing country vulnerability to contagion.</w:t>
      </w:r>
    </w:p>
    <w:p>
      <w:pPr>
        <w:pStyle w:val="BodyText"/>
        <w:spacing w:before="10"/>
        <w:rPr>
          <w:sz w:val="29"/>
        </w:rPr>
      </w:pPr>
    </w:p>
    <w:p>
      <w:pPr>
        <w:pStyle w:val="Heading3"/>
        <w:numPr>
          <w:ilvl w:val="0"/>
          <w:numId w:val="1"/>
        </w:numPr>
        <w:tabs>
          <w:tab w:pos="614" w:val="left" w:leader="none"/>
        </w:tabs>
        <w:spacing w:line="240" w:lineRule="auto" w:before="1" w:after="0"/>
        <w:ind w:left="613" w:right="0" w:hanging="361"/>
        <w:jc w:val="left"/>
      </w:pPr>
      <w:r>
        <w:rPr/>
        <w:t>Conclusions and implications for the UK monetary</w:t>
      </w:r>
      <w:r>
        <w:rPr>
          <w:spacing w:val="3"/>
        </w:rPr>
        <w:t> </w:t>
      </w:r>
      <w:r>
        <w:rPr/>
        <w:t>captains</w:t>
      </w:r>
    </w:p>
    <w:p>
      <w:pPr>
        <w:pStyle w:val="BodyText"/>
        <w:rPr>
          <w:b/>
          <w:sz w:val="22"/>
        </w:rPr>
      </w:pPr>
    </w:p>
    <w:p>
      <w:pPr>
        <w:pStyle w:val="BodyText"/>
        <w:spacing w:before="1"/>
        <w:rPr>
          <w:b/>
          <w:sz w:val="18"/>
        </w:rPr>
      </w:pPr>
    </w:p>
    <w:p>
      <w:pPr>
        <w:pStyle w:val="BodyText"/>
        <w:spacing w:line="360" w:lineRule="auto"/>
        <w:ind w:left="253" w:right="1140"/>
      </w:pPr>
      <w:r>
        <w:rPr/>
        <w:t>These comments have covered a lot of ground—a rapid voyage through country comovement, common shocks, contagion and coincidence. Hopefully this voyage has left you with a few memories – even if not photos. Although countries are constantly buffeted by events outside their shores, these effects are greater for financial markets than incomes and growth. Countries’ equity markets move together much more tightly than in the past – but this is not true for GDP growth. In fact, it is quite striking that despite the high levels of global integration through trade and capital flows, and despite the strong comovement in many financial markets, GDP growth rates generally seem to be driven by different winds.</w:t>
      </w:r>
    </w:p>
    <w:p>
      <w:pPr>
        <w:pStyle w:val="BodyText"/>
        <w:rPr>
          <w:sz w:val="30"/>
        </w:rPr>
      </w:pPr>
    </w:p>
    <w:p>
      <w:pPr>
        <w:pStyle w:val="BodyText"/>
        <w:spacing w:line="360" w:lineRule="auto" w:before="1"/>
        <w:ind w:left="253" w:right="1140"/>
      </w:pPr>
      <w:r>
        <w:rPr/>
        <w:t>There are some periods and regions where GDP growth rates do move more in sync, however, such as during the Global Financial Crisis and today in the euro area. Moreover, movements in financial markets will have important effects on incomes and growth over time, especially if they persist. When do countries become more synchronized? The analysis here suggests that common shocks play an important role, especially changes in global risk measures, global commodity prices, US monetary policy, and more recently changes in China’s economic outlook. Contagion (when the bad news originates in a specific country or countries) has also played a role, but has been less important than global events in driving the increased synchronization in equity markets over time. Perhaps most important, countries worried about the effects of these common shocks and contagion need not despair. Steps such as reducing bank leverage and strengthening financial systems appear to be powerful in terms of increasing their resilience to these adverse winds blowing from abroad.</w:t>
      </w:r>
    </w:p>
    <w:p>
      <w:pPr>
        <w:pStyle w:val="BodyText"/>
        <w:spacing w:before="2"/>
        <w:rPr>
          <w:sz w:val="10"/>
        </w:rPr>
      </w:pPr>
      <w:r>
        <w:rPr/>
        <w:pict>
          <v:shape style="position:absolute;margin-left:56.664001pt;margin-top:8.067305pt;width:144.050pt;height:.1pt;mso-position-horizontal-relative:page;mso-position-vertical-relative:paragraph;z-index:-251643904;mso-wrap-distance-left:0;mso-wrap-distance-right:0" coordorigin="1133,161" coordsize="2881,0" path="m1133,161l4014,161e" filled="false" stroked="true" strokeweight=".47998pt" strokecolor="#000000">
            <v:path arrowok="t"/>
            <v:stroke dashstyle="solid"/>
            <w10:wrap type="topAndBottom"/>
          </v:shape>
        </w:pict>
      </w:r>
    </w:p>
    <w:p>
      <w:pPr>
        <w:spacing w:line="196" w:lineRule="exact" w:before="27"/>
        <w:ind w:left="253" w:right="0" w:firstLine="0"/>
        <w:jc w:val="left"/>
        <w:rPr>
          <w:sz w:val="16"/>
        </w:rPr>
      </w:pPr>
      <w:r>
        <w:rPr>
          <w:position w:val="8"/>
          <w:sz w:val="10"/>
        </w:rPr>
        <w:t>19 </w:t>
      </w:r>
      <w:r>
        <w:rPr>
          <w:sz w:val="16"/>
        </w:rPr>
        <w:t>For example, see Hoggarth, Jung and Reinhardt (2016).</w:t>
      </w:r>
    </w:p>
    <w:p>
      <w:pPr>
        <w:spacing w:line="196" w:lineRule="exact" w:before="0"/>
        <w:ind w:left="253" w:right="0" w:firstLine="0"/>
        <w:jc w:val="left"/>
        <w:rPr>
          <w:sz w:val="16"/>
        </w:rPr>
      </w:pPr>
      <w:r>
        <w:rPr>
          <w:position w:val="8"/>
          <w:sz w:val="10"/>
        </w:rPr>
        <w:t>20 </w:t>
      </w:r>
      <w:r>
        <w:rPr>
          <w:sz w:val="16"/>
        </w:rPr>
        <w:t>Greenwood </w:t>
      </w:r>
      <w:r>
        <w:rPr>
          <w:i/>
          <w:sz w:val="16"/>
        </w:rPr>
        <w:t>et al. </w:t>
      </w:r>
      <w:r>
        <w:rPr>
          <w:sz w:val="16"/>
        </w:rPr>
        <w:t>(2011), Brooke </w:t>
      </w:r>
      <w:r>
        <w:rPr>
          <w:i/>
          <w:sz w:val="16"/>
        </w:rPr>
        <w:t>et al</w:t>
      </w:r>
      <w:r>
        <w:rPr>
          <w:sz w:val="16"/>
        </w:rPr>
        <w:t>., (2015) or Haldane and Madouros (2012).</w:t>
      </w:r>
    </w:p>
    <w:p>
      <w:pPr>
        <w:spacing w:after="0" w:line="196" w:lineRule="exact"/>
        <w:jc w:val="left"/>
        <w:rPr>
          <w:sz w:val="16"/>
        </w:rPr>
        <w:sectPr>
          <w:footerReference w:type="default" r:id="rId21"/>
          <w:pgSz w:w="11910" w:h="16840"/>
          <w:pgMar w:footer="1676" w:header="0" w:top="1580" w:bottom="1860" w:left="880" w:right="0"/>
          <w:pgNumType w:start="19"/>
        </w:sectPr>
      </w:pPr>
    </w:p>
    <w:p>
      <w:pPr>
        <w:pStyle w:val="BodyText"/>
        <w:rPr>
          <w:sz w:val="23"/>
        </w:rPr>
      </w:pPr>
    </w:p>
    <w:p>
      <w:pPr>
        <w:pStyle w:val="BodyText"/>
        <w:spacing w:line="360" w:lineRule="auto" w:before="93"/>
        <w:ind w:left="253" w:right="1142"/>
      </w:pPr>
      <w:r>
        <w:rPr/>
        <w:t>These results have a number of implications for the United Kingdom and UK monetary policy. Recent steps to strengthen the UK financial system, such as measures to tighten capital requirements, leverage ratios, and liquidity buffers, should make the UK more resilient to shocks that originate elsewhere. Global events</w:t>
      </w:r>
      <w:r>
        <w:rPr>
          <w:spacing w:val="-29"/>
        </w:rPr>
        <w:t> </w:t>
      </w:r>
      <w:r>
        <w:rPr/>
        <w:t>will continue to affect the UK, but they should be less likely to translate into ‘extreme negative events’, especially in terms of sharply lower growth rates. This will be particularly important over the next few years as the UK manages its transition to a new trade regime and new relationship with the European Union. UK monetary policy will have more flexibility to focus on the domestic effects of this transition and worry less about the amplification of negative events</w:t>
      </w:r>
      <w:r>
        <w:rPr>
          <w:spacing w:val="2"/>
        </w:rPr>
        <w:t> </w:t>
      </w:r>
      <w:r>
        <w:rPr/>
        <w:t>abroad.</w:t>
      </w:r>
    </w:p>
    <w:p>
      <w:pPr>
        <w:pStyle w:val="BodyText"/>
        <w:rPr>
          <w:sz w:val="30"/>
        </w:rPr>
      </w:pPr>
    </w:p>
    <w:p>
      <w:pPr>
        <w:pStyle w:val="BodyText"/>
        <w:spacing w:line="360" w:lineRule="auto" w:before="1"/>
        <w:ind w:left="253" w:right="1163"/>
      </w:pPr>
      <w:r>
        <w:rPr/>
        <w:t>Moreover, the initial effect on the UK economy of the referendum has been less stormy than many expected. Uncertainty in the run-up to the vote created less drag, meaning that the UK went into the summer with more underlying momentum in domestic demand in Q2 than previously believed. The survey data has been extremely volatile – volatility that makes capital flow volatility look mild – and may continue to ebb and flow based more on political than economic news. The commercial property market and housing market are weaker (although some of this softening preceded the vote). There is some evidence that companies are delaying major investments – which could lead to weaker employment, wages, output, and productivity growth in the future. But these forces have been partially balanced by strong consumer spending. Net exports are also poised to pick up and provide some support to the economy.</w:t>
      </w:r>
    </w:p>
    <w:p>
      <w:pPr>
        <w:pStyle w:val="BodyText"/>
        <w:spacing w:before="11"/>
        <w:rPr>
          <w:sz w:val="29"/>
        </w:rPr>
      </w:pPr>
    </w:p>
    <w:p>
      <w:pPr>
        <w:pStyle w:val="BodyText"/>
        <w:spacing w:line="360" w:lineRule="auto"/>
        <w:ind w:left="253" w:right="1140"/>
      </w:pPr>
      <w:r>
        <w:rPr/>
        <w:t>The aggregate impact of all of these forces appears to be a modest slowing in the economy to date, one which I believed merited a modest easing in monetary policy this August. I felt that a decrease in Bank Rate, combined with a new Term Funding Scheme to deliver lower borrowing costs, would provide sufficient stimulus based on the data available at that time. I felt that the costs of additional easing through asset purchases were greater than the benefits, and therefore did not support additional programs of government and asset purchases. Now that these new asset purchase programs have been announced, however, I will not be voting against them each month. This is not because I have changed my assessment of these programs, but rather that I believe the Monetary Policy Committee should not reverse a programme where purchases are already underway and agreed on by the majority, barring a substantial change in economic circumstances.</w:t>
      </w:r>
    </w:p>
    <w:p>
      <w:pPr>
        <w:pStyle w:val="BodyText"/>
        <w:rPr>
          <w:sz w:val="30"/>
        </w:rPr>
      </w:pPr>
    </w:p>
    <w:p>
      <w:pPr>
        <w:pStyle w:val="BodyText"/>
        <w:spacing w:line="360" w:lineRule="auto"/>
        <w:ind w:left="253" w:right="1174"/>
      </w:pPr>
      <w:r>
        <w:rPr/>
        <w:t>Looking forward, I am not yet convinced that additional monetary easing will be necessary to support the economy. The behaviour of UK consumers and businesses, and evolution of prices, will be critically important in determining the appropriate action. Will consumers continue to be as resilient to the clouds of uncertainty about their relationship with the EU as they are to the frequent clouds and light rain outside? Will businesses continue to hire and avoid reducing their workforces? Will wages and domestic costs continue their gradual increase towards levels consistent with the 2% inflation target? How much and for how long will inflation be pushed up by the increase in import prices arising from sterling’s depreciation? And even if the</w:t>
      </w:r>
    </w:p>
    <w:p>
      <w:pPr>
        <w:spacing w:after="0" w:line="360" w:lineRule="auto"/>
        <w:sectPr>
          <w:footerReference w:type="default" r:id="rId22"/>
          <w:pgSz w:w="11910" w:h="16840"/>
          <w:pgMar w:footer="1676" w:header="0" w:top="1580" w:bottom="1860" w:left="880" w:right="0"/>
          <w:pgNumType w:start="20"/>
        </w:sectPr>
      </w:pPr>
    </w:p>
    <w:p>
      <w:pPr>
        <w:pStyle w:val="BodyText"/>
        <w:rPr>
          <w:sz w:val="23"/>
        </w:rPr>
      </w:pPr>
    </w:p>
    <w:p>
      <w:pPr>
        <w:pStyle w:val="BodyText"/>
        <w:spacing w:line="360" w:lineRule="auto" w:before="93"/>
        <w:ind w:left="253" w:right="1474"/>
      </w:pPr>
      <w:r>
        <w:rPr/>
        <w:t>UK manages modest growth and a restrained increase in domestic prices over the next few quarters, will there be any negative events originating abroad that present risks?</w:t>
      </w:r>
    </w:p>
    <w:p>
      <w:pPr>
        <w:pStyle w:val="BodyText"/>
        <w:spacing w:line="357" w:lineRule="auto" w:before="1"/>
        <w:ind w:left="253" w:right="1140"/>
      </w:pPr>
      <w:r>
        <w:rPr/>
        <w:t>Which way these winds blow will determine the appropriate stance of monetary policy in the future. For now, however, the economy is experiencing some chop, but no tsunami. The adverse winds could quickly pick up</w:t>
      </w:r>
    </w:p>
    <w:p>
      <w:pPr>
        <w:pStyle w:val="BodyText"/>
        <w:spacing w:line="360" w:lineRule="auto" w:before="4"/>
        <w:ind w:left="253" w:right="1141"/>
      </w:pPr>
      <w:r>
        <w:rPr/>
        <w:t>– and merit a stronger policy response. But recently they have shifted to a more favourable direction. Returning to Hokusai’s famous series of prints, although there is no “Great Wave”, there is also unlikely to be a period of calm as in his “Under Mannen Bridge at Fukagawa”. (Figure 17a). Instead, a more likely outcome is his “Shore of Tago Bay” (Figure 17b). The fishermen in the boat need to stay vigilant, and may already be a bit seasick from the chop they have already encountered, but if the current weather continues, they should be able to sail home without more aid.</w:t>
      </w:r>
    </w:p>
    <w:p>
      <w:pPr>
        <w:spacing w:after="0" w:line="360" w:lineRule="auto"/>
        <w:sectPr>
          <w:pgSz w:w="11910" w:h="16840"/>
          <w:pgMar w:header="0" w:footer="1676" w:top="1580" w:bottom="1860" w:left="880" w:right="0"/>
        </w:sectPr>
      </w:pPr>
    </w:p>
    <w:p>
      <w:pPr>
        <w:pStyle w:val="BodyText"/>
        <w:rPr>
          <w:sz w:val="23"/>
        </w:rPr>
      </w:pPr>
    </w:p>
    <w:p>
      <w:pPr>
        <w:pStyle w:val="Heading3"/>
        <w:spacing w:before="93"/>
        <w:ind w:left="253" w:firstLine="0"/>
      </w:pPr>
      <w:r>
        <w:rPr/>
        <w:t>References</w:t>
      </w:r>
    </w:p>
    <w:p>
      <w:pPr>
        <w:pStyle w:val="BodyText"/>
        <w:rPr>
          <w:b/>
          <w:sz w:val="22"/>
        </w:rPr>
      </w:pPr>
    </w:p>
    <w:p>
      <w:pPr>
        <w:pStyle w:val="BodyText"/>
        <w:spacing w:before="3"/>
        <w:rPr>
          <w:b/>
          <w:sz w:val="18"/>
        </w:rPr>
      </w:pPr>
    </w:p>
    <w:p>
      <w:pPr>
        <w:spacing w:before="0"/>
        <w:ind w:left="253" w:right="1654" w:firstLine="0"/>
        <w:jc w:val="left"/>
        <w:rPr>
          <w:sz w:val="20"/>
        </w:rPr>
      </w:pPr>
      <w:r>
        <w:rPr>
          <w:sz w:val="20"/>
        </w:rPr>
        <w:t>Franklin Allen, Babus, Ana and Elena Carletti. (2009). "</w:t>
      </w:r>
      <w:hyperlink r:id="rId23">
        <w:r>
          <w:rPr>
            <w:sz w:val="20"/>
          </w:rPr>
          <w:t>Financial Crises: Theory and Evidence</w:t>
        </w:r>
      </w:hyperlink>
      <w:r>
        <w:rPr>
          <w:sz w:val="20"/>
        </w:rPr>
        <w:t>," </w:t>
      </w:r>
      <w:hyperlink r:id="rId24">
        <w:r>
          <w:rPr>
            <w:i/>
            <w:sz w:val="20"/>
          </w:rPr>
          <w:t>Annual</w:t>
        </w:r>
      </w:hyperlink>
      <w:r>
        <w:rPr>
          <w:i/>
          <w:sz w:val="20"/>
        </w:rPr>
        <w:t> </w:t>
      </w:r>
      <w:hyperlink r:id="rId24">
        <w:r>
          <w:rPr>
            <w:i/>
            <w:sz w:val="20"/>
          </w:rPr>
          <w:t>Review of Financial Economics</w:t>
        </w:r>
        <w:r>
          <w:rPr>
            <w:sz w:val="20"/>
          </w:rPr>
          <w:t>,</w:t>
        </w:r>
      </w:hyperlink>
      <w:r>
        <w:rPr>
          <w:sz w:val="20"/>
        </w:rPr>
        <w:t> vol. 1(1), pp. 97-116.</w:t>
      </w:r>
    </w:p>
    <w:p>
      <w:pPr>
        <w:pStyle w:val="BodyText"/>
        <w:spacing w:before="11"/>
        <w:rPr>
          <w:sz w:val="19"/>
        </w:rPr>
      </w:pPr>
    </w:p>
    <w:p>
      <w:pPr>
        <w:spacing w:line="242" w:lineRule="auto" w:before="0"/>
        <w:ind w:left="253" w:right="1752" w:firstLine="0"/>
        <w:jc w:val="left"/>
        <w:rPr>
          <w:sz w:val="20"/>
        </w:rPr>
      </w:pPr>
      <w:r>
        <w:rPr>
          <w:sz w:val="20"/>
        </w:rPr>
        <w:t>Allen, Franklin, and Douglas Gale. (2000). ‘Financial Contagion.’ </w:t>
      </w:r>
      <w:r>
        <w:rPr>
          <w:i/>
          <w:sz w:val="20"/>
        </w:rPr>
        <w:t>Journal of Political Economy </w:t>
      </w:r>
      <w:r>
        <w:rPr>
          <w:sz w:val="20"/>
        </w:rPr>
        <w:t>108 (1), pp. 1-33.</w:t>
      </w:r>
    </w:p>
    <w:p>
      <w:pPr>
        <w:pStyle w:val="BodyText"/>
        <w:spacing w:before="2"/>
      </w:pPr>
    </w:p>
    <w:p>
      <w:pPr>
        <w:pStyle w:val="BodyText"/>
        <w:spacing w:line="235" w:lineRule="auto" w:before="1"/>
        <w:ind w:left="253" w:right="1474"/>
      </w:pPr>
      <w:r>
        <w:rPr/>
        <w:t>Bae, Kee-Hong, G. Andrew Karolyi, and René Stulz. (2003). ‘A New Approach to Measuring Financial Contagion.’ </w:t>
      </w:r>
      <w:r>
        <w:rPr>
          <w:i/>
        </w:rPr>
        <w:t>Review of Financial Studies </w:t>
      </w:r>
      <w:r>
        <w:rPr/>
        <w:t>16, pp. 717–763.</w:t>
      </w:r>
    </w:p>
    <w:p>
      <w:pPr>
        <w:pStyle w:val="BodyText"/>
        <w:spacing w:before="4"/>
      </w:pPr>
    </w:p>
    <w:p>
      <w:pPr>
        <w:pStyle w:val="BodyText"/>
        <w:ind w:left="253" w:right="1151"/>
      </w:pPr>
      <w:r>
        <w:rPr/>
        <w:t>Bordo, Michael, and Antu Murshid. (2001). ‘Are Financial Crises Becoming More Contagious?: What is the Historical Evidence on Contagion.’ In </w:t>
      </w:r>
      <w:r>
        <w:rPr>
          <w:i/>
        </w:rPr>
        <w:t>International Financial Contagion</w:t>
      </w:r>
      <w:r>
        <w:rPr/>
        <w:t>, edited by Stijn Claessens and Kristin Forbes. Boston, MA: Kluwer Academic Publishers, pp. 367-406.</w:t>
      </w:r>
    </w:p>
    <w:p>
      <w:pPr>
        <w:pStyle w:val="BodyText"/>
      </w:pPr>
    </w:p>
    <w:p>
      <w:pPr>
        <w:pStyle w:val="BodyText"/>
        <w:ind w:left="253" w:right="1140"/>
      </w:pPr>
      <w:r>
        <w:rPr/>
        <w:t>Brooke, Martin, Oliver Bush, Robert Edwards, Jas Ellis, Bill Francis, Rashmi Harimohan, Katharine Neiss, and Caspar Siegert. (2015). ‘Measuring the Macroeconomic Costs and Benefits of Higher UK Bank Capital Requirements.’ Bank of England Financial Stability Paper No. 35.</w:t>
      </w:r>
    </w:p>
    <w:p>
      <w:pPr>
        <w:pStyle w:val="BodyText"/>
        <w:spacing w:before="1"/>
      </w:pPr>
    </w:p>
    <w:p>
      <w:pPr>
        <w:pStyle w:val="BodyText"/>
        <w:spacing w:line="228" w:lineRule="exact" w:before="1"/>
        <w:ind w:left="253"/>
      </w:pPr>
      <w:r>
        <w:rPr/>
        <w:t>Bruno, Valentina and Hyun Song Shin. (2015). ‘Cross-Border Banking and Global Liquidity.’</w:t>
      </w:r>
    </w:p>
    <w:p>
      <w:pPr>
        <w:spacing w:line="228" w:lineRule="exact" w:before="0"/>
        <w:ind w:left="253" w:right="0" w:firstLine="0"/>
        <w:jc w:val="left"/>
        <w:rPr>
          <w:sz w:val="20"/>
        </w:rPr>
      </w:pPr>
      <w:r>
        <w:rPr>
          <w:i/>
          <w:sz w:val="20"/>
        </w:rPr>
        <w:t>Review of Economic Studies </w:t>
      </w:r>
      <w:r>
        <w:rPr>
          <w:sz w:val="20"/>
        </w:rPr>
        <w:t>82(2), pp. 535–564.</w:t>
      </w:r>
    </w:p>
    <w:p>
      <w:pPr>
        <w:pStyle w:val="BodyText"/>
        <w:spacing w:before="3"/>
      </w:pPr>
    </w:p>
    <w:p>
      <w:pPr>
        <w:pStyle w:val="BodyText"/>
        <w:ind w:left="253" w:right="1985"/>
      </w:pPr>
      <w:r>
        <w:rPr/>
        <w:t>Cesa-Bianchi, Ambrogio, Jean Imbs and Jumana Saleheen. (2016). ‘Finance and Synchronization’, Bank of England Staff Working Paper No. 612.</w:t>
      </w:r>
    </w:p>
    <w:p>
      <w:pPr>
        <w:pStyle w:val="BodyText"/>
        <w:spacing w:before="5"/>
      </w:pPr>
    </w:p>
    <w:p>
      <w:pPr>
        <w:pStyle w:val="BodyText"/>
        <w:spacing w:line="235" w:lineRule="auto"/>
        <w:ind w:left="253" w:right="1836"/>
      </w:pPr>
      <w:r>
        <w:rPr/>
        <w:t>Cetorelli, Nicola and Linda S Goldberg. (2011). "</w:t>
      </w:r>
      <w:hyperlink r:id="rId25">
        <w:r>
          <w:rPr/>
          <w:t>Global Banks and International Shock Transmission:</w:t>
        </w:r>
      </w:hyperlink>
      <w:r>
        <w:rPr/>
        <w:t> </w:t>
      </w:r>
      <w:hyperlink r:id="rId25">
        <w:r>
          <w:rPr/>
          <w:t>Evidence from the Crisis</w:t>
        </w:r>
      </w:hyperlink>
      <w:r>
        <w:rPr/>
        <w:t>," </w:t>
      </w:r>
      <w:hyperlink r:id="rId26">
        <w:r>
          <w:rPr>
            <w:i/>
          </w:rPr>
          <w:t>IMF Economic Review</w:t>
        </w:r>
        <w:r>
          <w:rPr/>
          <w:t>, </w:t>
        </w:r>
      </w:hyperlink>
      <w:r>
        <w:rPr/>
        <w:t>vol. 59(1), pp. 41-76.</w:t>
      </w:r>
    </w:p>
    <w:p>
      <w:pPr>
        <w:pStyle w:val="BodyText"/>
        <w:spacing w:before="4"/>
      </w:pPr>
    </w:p>
    <w:p>
      <w:pPr>
        <w:pStyle w:val="BodyText"/>
        <w:ind w:left="253" w:right="1474"/>
      </w:pPr>
      <w:r>
        <w:rPr/>
        <w:t>Cetorelli, Nicola and Linda S. Goldberg. (2012). "Liquidity Management of U.S. Global Banks: Internal Capital Markets in the Great Recession.” </w:t>
      </w:r>
      <w:r>
        <w:rPr>
          <w:i/>
        </w:rPr>
        <w:t>Journal of International Economics, </w:t>
      </w:r>
      <w:r>
        <w:rPr/>
        <w:t>vol. 88(2).</w:t>
      </w:r>
    </w:p>
    <w:p>
      <w:pPr>
        <w:pStyle w:val="BodyText"/>
        <w:spacing w:before="11"/>
        <w:rPr>
          <w:sz w:val="19"/>
        </w:rPr>
      </w:pPr>
    </w:p>
    <w:p>
      <w:pPr>
        <w:spacing w:before="0"/>
        <w:ind w:left="253" w:right="1563" w:firstLine="0"/>
        <w:jc w:val="left"/>
        <w:rPr>
          <w:sz w:val="20"/>
        </w:rPr>
      </w:pPr>
      <w:r>
        <w:rPr>
          <w:sz w:val="20"/>
        </w:rPr>
        <w:t>Claessens, Stijn, and Kristin Forbes, eds. (2001). </w:t>
      </w:r>
      <w:r>
        <w:rPr>
          <w:i/>
          <w:sz w:val="20"/>
        </w:rPr>
        <w:t>International Financial Contagion</w:t>
      </w:r>
      <w:r>
        <w:rPr>
          <w:sz w:val="20"/>
        </w:rPr>
        <w:t>. Boston: MA: Kluwer Academic Publishers.</w:t>
      </w:r>
    </w:p>
    <w:p>
      <w:pPr>
        <w:pStyle w:val="BodyText"/>
        <w:spacing w:before="1"/>
      </w:pPr>
    </w:p>
    <w:p>
      <w:pPr>
        <w:pStyle w:val="BodyText"/>
        <w:ind w:left="253" w:right="1474"/>
      </w:pPr>
      <w:r>
        <w:rPr/>
        <w:t>Coeuré, Benoit. (2016). ‘The Case for Rethinking International Capital Flows.’ Speech given at the ECB/SUERF/PSE/CEPII conference on ‘Rethinking Capital Controls and Capital Flows,’ Sept. 15.</w:t>
      </w:r>
    </w:p>
    <w:p>
      <w:pPr>
        <w:pStyle w:val="BodyText"/>
        <w:spacing w:before="8"/>
        <w:rPr>
          <w:sz w:val="19"/>
        </w:rPr>
      </w:pPr>
    </w:p>
    <w:p>
      <w:pPr>
        <w:spacing w:before="0"/>
        <w:ind w:left="253" w:right="1608" w:firstLine="0"/>
        <w:jc w:val="left"/>
        <w:rPr>
          <w:sz w:val="20"/>
        </w:rPr>
      </w:pPr>
      <w:r>
        <w:rPr>
          <w:sz w:val="20"/>
        </w:rPr>
        <w:t>Dungey, Mardi, Renée A. Fry, Brenda González-Hermosillo, and Vance Martin. (2010). </w:t>
      </w:r>
      <w:r>
        <w:rPr>
          <w:i/>
          <w:sz w:val="20"/>
        </w:rPr>
        <w:t>Transmission of </w:t>
      </w:r>
      <w:r>
        <w:rPr>
          <w:i/>
          <w:sz w:val="20"/>
        </w:rPr>
        <w:t>Financial Crises and Contagion: A Latent Factor Approach</w:t>
      </w:r>
      <w:r>
        <w:rPr>
          <w:sz w:val="20"/>
        </w:rPr>
        <w:t>. New York: Oxford University Press.</w:t>
      </w:r>
    </w:p>
    <w:p>
      <w:pPr>
        <w:pStyle w:val="BodyText"/>
        <w:spacing w:before="1"/>
      </w:pPr>
    </w:p>
    <w:p>
      <w:pPr>
        <w:spacing w:before="0"/>
        <w:ind w:left="253" w:right="0" w:firstLine="0"/>
        <w:jc w:val="left"/>
        <w:rPr>
          <w:i/>
          <w:sz w:val="20"/>
        </w:rPr>
      </w:pPr>
      <w:r>
        <w:rPr>
          <w:sz w:val="20"/>
        </w:rPr>
        <w:t>Forbes, Kristin. (2013). ‘The ‘Big C’: Identifying and Mitigating Contagion.’ </w:t>
      </w:r>
      <w:r>
        <w:rPr>
          <w:i/>
          <w:sz w:val="20"/>
        </w:rPr>
        <w:t>The Changing Policy Landscape.</w:t>
      </w:r>
    </w:p>
    <w:p>
      <w:pPr>
        <w:pStyle w:val="BodyText"/>
        <w:spacing w:before="3"/>
        <w:ind w:left="253"/>
      </w:pPr>
      <w:r>
        <w:rPr/>
        <w:t>2012 Jackson Hole Symposium hosted by the Federal Reserve Bank of Kansas City, pp. 23-87.</w:t>
      </w:r>
    </w:p>
    <w:p>
      <w:pPr>
        <w:pStyle w:val="BodyText"/>
        <w:spacing w:before="10"/>
        <w:rPr>
          <w:sz w:val="19"/>
        </w:rPr>
      </w:pPr>
    </w:p>
    <w:p>
      <w:pPr>
        <w:spacing w:before="0"/>
        <w:ind w:left="253" w:right="1541" w:firstLine="0"/>
        <w:jc w:val="left"/>
        <w:rPr>
          <w:sz w:val="20"/>
        </w:rPr>
      </w:pPr>
      <w:r>
        <w:rPr>
          <w:sz w:val="20"/>
        </w:rPr>
        <w:t>Forbes, Kristin. (2007). ‘The Microeconomic Evidence on Capital Controls: No Free Lunch.’ In Sebastian Edwards, ed. </w:t>
      </w:r>
      <w:r>
        <w:rPr>
          <w:i/>
          <w:sz w:val="20"/>
        </w:rPr>
        <w:t>Capital Controls and Capital Flows in Emerging Economics: Policies, Practices, and </w:t>
      </w:r>
      <w:r>
        <w:rPr>
          <w:i/>
          <w:sz w:val="20"/>
        </w:rPr>
        <w:t>Consequences. </w:t>
      </w:r>
      <w:r>
        <w:rPr>
          <w:sz w:val="20"/>
        </w:rPr>
        <w:t>Chicago: University of Chicago Press, pp. 171-199.</w:t>
      </w:r>
    </w:p>
    <w:p>
      <w:pPr>
        <w:pStyle w:val="BodyText"/>
        <w:spacing w:before="2"/>
      </w:pPr>
    </w:p>
    <w:p>
      <w:pPr>
        <w:spacing w:before="0"/>
        <w:ind w:left="253" w:right="1810" w:firstLine="0"/>
        <w:jc w:val="left"/>
        <w:rPr>
          <w:sz w:val="20"/>
        </w:rPr>
      </w:pPr>
      <w:r>
        <w:rPr>
          <w:sz w:val="20"/>
        </w:rPr>
        <w:t>Forbes, Kristin. (2004). ‘The Asian Flu and Russian Virus: The International Transmission of Crises in Firm-Level Data.’ </w:t>
      </w:r>
      <w:r>
        <w:rPr>
          <w:i/>
          <w:sz w:val="20"/>
        </w:rPr>
        <w:t>Journal of International Economics </w:t>
      </w:r>
      <w:r>
        <w:rPr>
          <w:sz w:val="20"/>
        </w:rPr>
        <w:t>63 (1), pp. 59-92.</w:t>
      </w:r>
    </w:p>
    <w:p>
      <w:pPr>
        <w:pStyle w:val="BodyText"/>
        <w:spacing w:before="11"/>
        <w:rPr>
          <w:sz w:val="19"/>
        </w:rPr>
      </w:pPr>
    </w:p>
    <w:p>
      <w:pPr>
        <w:pStyle w:val="BodyText"/>
        <w:ind w:left="253" w:right="1474"/>
      </w:pPr>
      <w:r>
        <w:rPr/>
        <w:t>Forbes, Kristin, and Roberto Rigobon. (2002). ‘No Contagion, Only Interdependence: Measuring Stock Market Co-Movements.’ </w:t>
      </w:r>
      <w:r>
        <w:rPr>
          <w:i/>
        </w:rPr>
        <w:t>Journal of Finance </w:t>
      </w:r>
      <w:r>
        <w:rPr/>
        <w:t>57(5), pp. 2223–2261.</w:t>
      </w:r>
    </w:p>
    <w:p>
      <w:pPr>
        <w:spacing w:after="0"/>
        <w:sectPr>
          <w:pgSz w:w="11910" w:h="16840"/>
          <w:pgMar w:header="0" w:footer="1676" w:top="1580" w:bottom="1860" w:left="880" w:right="0"/>
        </w:sectPr>
      </w:pPr>
    </w:p>
    <w:p>
      <w:pPr>
        <w:pStyle w:val="BodyText"/>
        <w:rPr>
          <w:sz w:val="23"/>
        </w:rPr>
      </w:pPr>
    </w:p>
    <w:p>
      <w:pPr>
        <w:pStyle w:val="BodyText"/>
        <w:spacing w:before="93"/>
        <w:ind w:left="253" w:right="1140"/>
      </w:pPr>
      <w:r>
        <w:rPr/>
        <w:t>Forbes, Kristin, and Roberto Rigobon. (2001). ‘Measuring Contagion: Conceptual and Empirical Issues.’ In </w:t>
      </w:r>
      <w:r>
        <w:rPr>
          <w:i/>
        </w:rPr>
        <w:t>International Financial Contagion, </w:t>
      </w:r>
      <w:r>
        <w:rPr/>
        <w:t>edited by Stijn Claessens, and Kristin Forbes. Boston, MA: Kluwer Academic Publishers, pp. 43-66.</w:t>
      </w:r>
    </w:p>
    <w:p>
      <w:pPr>
        <w:pStyle w:val="BodyText"/>
        <w:spacing w:before="5"/>
      </w:pPr>
    </w:p>
    <w:p>
      <w:pPr>
        <w:spacing w:line="235" w:lineRule="auto" w:before="0"/>
        <w:ind w:left="253" w:right="1474" w:firstLine="0"/>
        <w:jc w:val="left"/>
        <w:rPr>
          <w:sz w:val="20"/>
        </w:rPr>
      </w:pPr>
      <w:r>
        <w:rPr>
          <w:sz w:val="20"/>
        </w:rPr>
        <w:t>Forbes, Kristin and Francis Warnock. (2012). ‘Capital Flow Waves: Surges, Stops, Flight, and Retrenchment.’ </w:t>
      </w:r>
      <w:r>
        <w:rPr>
          <w:i/>
          <w:sz w:val="20"/>
        </w:rPr>
        <w:t>Journal of International Economics </w:t>
      </w:r>
      <w:r>
        <w:rPr>
          <w:sz w:val="20"/>
        </w:rPr>
        <w:t>88(2), pp. 235–251.</w:t>
      </w:r>
    </w:p>
    <w:p>
      <w:pPr>
        <w:pStyle w:val="BodyText"/>
        <w:spacing w:before="2"/>
      </w:pPr>
    </w:p>
    <w:p>
      <w:pPr>
        <w:spacing w:before="0"/>
        <w:ind w:left="253" w:right="1153" w:firstLine="0"/>
        <w:jc w:val="left"/>
        <w:rPr>
          <w:sz w:val="20"/>
        </w:rPr>
      </w:pPr>
      <w:r>
        <w:rPr>
          <w:sz w:val="20"/>
        </w:rPr>
        <w:t>Fratzscher, Marcel. (2012). ‘Capital Flows, Push versus Pull Factors and the Global Financial Crisis.’ </w:t>
      </w:r>
      <w:r>
        <w:rPr>
          <w:i/>
          <w:sz w:val="20"/>
        </w:rPr>
        <w:t>Journal </w:t>
      </w:r>
      <w:r>
        <w:rPr>
          <w:i/>
          <w:sz w:val="20"/>
        </w:rPr>
        <w:t>of International Economics </w:t>
      </w:r>
      <w:r>
        <w:rPr>
          <w:sz w:val="20"/>
        </w:rPr>
        <w:t>88(2), pp. 341–356.</w:t>
      </w:r>
    </w:p>
    <w:p>
      <w:pPr>
        <w:pStyle w:val="BodyText"/>
        <w:spacing w:before="1"/>
      </w:pPr>
    </w:p>
    <w:p>
      <w:pPr>
        <w:spacing w:before="0"/>
        <w:ind w:left="253" w:right="2156" w:firstLine="0"/>
        <w:jc w:val="left"/>
        <w:rPr>
          <w:i/>
          <w:sz w:val="20"/>
        </w:rPr>
      </w:pPr>
      <w:r>
        <w:rPr>
          <w:sz w:val="20"/>
        </w:rPr>
        <w:t>Gourinchas, Pierre-Olivier and Maurice Obstfeld. (2012). ‘Stories of the Twentieth Century for the Twenty-First’. </w:t>
      </w:r>
      <w:r>
        <w:rPr>
          <w:i/>
          <w:sz w:val="20"/>
        </w:rPr>
        <w:t>American Economic Journal: Macroeconomics 4(1), pp. 226-265.</w:t>
      </w:r>
    </w:p>
    <w:p>
      <w:pPr>
        <w:pStyle w:val="BodyText"/>
        <w:spacing w:before="1"/>
        <w:rPr>
          <w:i/>
        </w:rPr>
      </w:pPr>
    </w:p>
    <w:p>
      <w:pPr>
        <w:pStyle w:val="BodyText"/>
        <w:spacing w:before="1"/>
        <w:ind w:left="253" w:right="1196"/>
      </w:pPr>
      <w:r>
        <w:rPr/>
        <w:t>Greenwood, Robin, Augustin Landier, and David Thesmar. “Vulnerable Banks.” TSE Working Paper 11-280, Toulouse School of Economics, November 2011.</w:t>
      </w:r>
    </w:p>
    <w:p>
      <w:pPr>
        <w:pStyle w:val="BodyText"/>
        <w:spacing w:before="8"/>
        <w:rPr>
          <w:sz w:val="19"/>
        </w:rPr>
      </w:pPr>
    </w:p>
    <w:p>
      <w:pPr>
        <w:pStyle w:val="BodyText"/>
        <w:spacing w:line="242" w:lineRule="auto"/>
        <w:ind w:left="253" w:right="2183"/>
        <w:jc w:val="both"/>
      </w:pPr>
      <w:r>
        <w:rPr/>
        <w:t>Haldane, Andy and Vasileios Madouros. (2012). ‘The Dog and the Frisbee’, </w:t>
      </w:r>
      <w:r>
        <w:rPr>
          <w:i/>
        </w:rPr>
        <w:t>The Changing Policy </w:t>
      </w:r>
      <w:r>
        <w:rPr>
          <w:i/>
        </w:rPr>
        <w:t>Landscape. </w:t>
      </w:r>
      <w:r>
        <w:rPr/>
        <w:t>2012 Jackson Hole Symposium hosted by the Federal Reserve Bank of Kansas City, pp. 109-159.</w:t>
      </w:r>
    </w:p>
    <w:p>
      <w:pPr>
        <w:pStyle w:val="BodyText"/>
        <w:spacing w:before="9"/>
        <w:rPr>
          <w:sz w:val="19"/>
        </w:rPr>
      </w:pPr>
    </w:p>
    <w:p>
      <w:pPr>
        <w:pStyle w:val="BodyText"/>
        <w:ind w:left="253" w:right="1129"/>
      </w:pPr>
      <w:r>
        <w:rPr/>
        <w:t>Hoggarth, Gelnn, Carsten Jung, and Dennis Reinhardt. (2016). “Capital Inflows - The Good, the Bad, and the Bubbly.” Bank of England Financial Stability Working Paper. Forthcoming.</w:t>
      </w:r>
    </w:p>
    <w:p>
      <w:pPr>
        <w:pStyle w:val="BodyText"/>
        <w:spacing w:before="8"/>
        <w:rPr>
          <w:sz w:val="19"/>
        </w:rPr>
      </w:pPr>
    </w:p>
    <w:p>
      <w:pPr>
        <w:pStyle w:val="BodyText"/>
        <w:spacing w:line="242" w:lineRule="auto"/>
        <w:ind w:left="253" w:right="1240"/>
      </w:pPr>
      <w:r>
        <w:rPr/>
        <w:t>Karolyi, G. Andrew. (2003). ‘Does International Finance Contagion Really Exist?’ </w:t>
      </w:r>
      <w:r>
        <w:rPr>
          <w:i/>
        </w:rPr>
        <w:t>International Finance </w:t>
      </w:r>
      <w:r>
        <w:rPr/>
        <w:t>6(2), pp. 179-199.</w:t>
      </w:r>
    </w:p>
    <w:p>
      <w:pPr>
        <w:pStyle w:val="BodyText"/>
        <w:spacing w:before="10"/>
        <w:rPr>
          <w:sz w:val="19"/>
        </w:rPr>
      </w:pPr>
    </w:p>
    <w:p>
      <w:pPr>
        <w:pStyle w:val="BodyText"/>
        <w:ind w:left="253" w:right="1397"/>
      </w:pPr>
      <w:r>
        <w:rPr/>
        <w:t>Karolyi, G. Andrew, and René M. Stulz. (1996). ‘Why do markets move together? An investigation of U.S.- Japan Stock Return Comovements.’ </w:t>
      </w:r>
      <w:r>
        <w:rPr>
          <w:i/>
        </w:rPr>
        <w:t>The Journal of Finance </w:t>
      </w:r>
      <w:r>
        <w:rPr/>
        <w:t>51, pp. 9510986.</w:t>
      </w:r>
    </w:p>
    <w:p>
      <w:pPr>
        <w:pStyle w:val="BodyText"/>
        <w:spacing w:before="8"/>
        <w:rPr>
          <w:sz w:val="19"/>
        </w:rPr>
      </w:pPr>
    </w:p>
    <w:p>
      <w:pPr>
        <w:spacing w:line="242" w:lineRule="auto" w:before="0"/>
        <w:ind w:left="253" w:right="1564" w:firstLine="0"/>
        <w:jc w:val="left"/>
        <w:rPr>
          <w:sz w:val="20"/>
        </w:rPr>
      </w:pPr>
      <w:r>
        <w:rPr>
          <w:sz w:val="20"/>
        </w:rPr>
        <w:t>Kindleberger, Charles. 1989. </w:t>
      </w:r>
      <w:r>
        <w:rPr>
          <w:i/>
          <w:sz w:val="20"/>
        </w:rPr>
        <w:t>Manias, Panics and Crashes: A History of Financial Crises. </w:t>
      </w:r>
      <w:r>
        <w:rPr>
          <w:sz w:val="20"/>
        </w:rPr>
        <w:t>New York, NY: Basic Books.</w:t>
      </w:r>
    </w:p>
    <w:p>
      <w:pPr>
        <w:pStyle w:val="BodyText"/>
      </w:pPr>
    </w:p>
    <w:p>
      <w:pPr>
        <w:pStyle w:val="BodyText"/>
        <w:ind w:left="253" w:right="1474"/>
      </w:pPr>
      <w:r>
        <w:rPr/>
        <w:t>Koepke, Robin. (2015). ‘What Drives Capital Flows to Emerging Markets? A Survey of the Empirical Literature.’ Institute of International Finance, mimeo.</w:t>
      </w:r>
    </w:p>
    <w:p>
      <w:pPr>
        <w:pStyle w:val="BodyText"/>
        <w:spacing w:before="10"/>
        <w:rPr>
          <w:sz w:val="19"/>
        </w:rPr>
      </w:pPr>
    </w:p>
    <w:p>
      <w:pPr>
        <w:pStyle w:val="BodyText"/>
        <w:ind w:left="253" w:right="1140"/>
      </w:pPr>
      <w:r>
        <w:rPr/>
        <w:t>Londono, Juan. (2016). ‘Bad Bad Contagion.’ International Finance Discussion Papers No. 1178, Board of Governors of the Federal Reserve System (Sept).</w:t>
      </w:r>
    </w:p>
    <w:p>
      <w:pPr>
        <w:pStyle w:val="BodyText"/>
        <w:spacing w:before="5"/>
      </w:pPr>
    </w:p>
    <w:p>
      <w:pPr>
        <w:pStyle w:val="BodyText"/>
        <w:spacing w:line="235" w:lineRule="auto"/>
        <w:ind w:left="253" w:right="1475"/>
      </w:pPr>
      <w:r>
        <w:rPr/>
        <w:t>Milesi-Ferretti, Gian-Maria and Cédric Tille. (2011). ‘The Great Retrenchment: International Capital Flows during the Global Financial Crisis.’ </w:t>
      </w:r>
      <w:r>
        <w:rPr>
          <w:i/>
        </w:rPr>
        <w:t>Economic Policy </w:t>
      </w:r>
      <w:r>
        <w:rPr/>
        <w:t>66, pp. 389-346.</w:t>
      </w:r>
    </w:p>
    <w:p>
      <w:pPr>
        <w:pStyle w:val="BodyText"/>
        <w:spacing w:before="4"/>
      </w:pPr>
    </w:p>
    <w:p>
      <w:pPr>
        <w:pStyle w:val="BodyText"/>
        <w:spacing w:before="1"/>
        <w:ind w:left="253" w:right="1140"/>
      </w:pPr>
      <w:r>
        <w:rPr/>
        <w:t>Miranda-Agrippino, Silvia and Hélène Rey. (2015). ‘World Asset Markets and the Global Financial Cycle.’ Working paper.</w:t>
      </w:r>
    </w:p>
    <w:p>
      <w:pPr>
        <w:pStyle w:val="BodyText"/>
        <w:spacing w:before="4"/>
      </w:pPr>
    </w:p>
    <w:p>
      <w:pPr>
        <w:pStyle w:val="BodyText"/>
        <w:spacing w:line="235" w:lineRule="auto" w:before="1"/>
        <w:ind w:left="253" w:right="1036"/>
        <w:rPr>
          <w:i/>
        </w:rPr>
      </w:pPr>
      <w:r>
        <w:rPr/>
        <w:t>Schularick, Moritz and Alan Taylor. (2012). ‘Credit Booms Gone Bust: Monetary Policy, Leverage Cycles and Financial Crises, 1870-2008’. </w:t>
      </w:r>
      <w:r>
        <w:rPr>
          <w:i/>
        </w:rPr>
        <w:t>American Economic Review </w:t>
      </w:r>
      <w:r>
        <w:rPr/>
        <w:t>102(April), pp. 1029-61</w:t>
      </w:r>
      <w:r>
        <w:rPr>
          <w:i/>
        </w:rPr>
        <w:t>.</w:t>
      </w:r>
    </w:p>
    <w:p>
      <w:pPr>
        <w:pStyle w:val="BodyText"/>
        <w:spacing w:before="1"/>
        <w:rPr>
          <w:i/>
        </w:rPr>
      </w:pPr>
    </w:p>
    <w:p>
      <w:pPr>
        <w:pStyle w:val="BodyText"/>
        <w:spacing w:line="242" w:lineRule="auto"/>
        <w:ind w:left="253" w:right="1433"/>
      </w:pPr>
      <w:r>
        <w:rPr/>
        <w:t>Shin, Hyun Song. “Global Banking Glut and Loan Risk Premium.” </w:t>
      </w:r>
      <w:r>
        <w:rPr>
          <w:i/>
        </w:rPr>
        <w:t>IMF Economic Review </w:t>
      </w:r>
      <w:r>
        <w:rPr/>
        <w:t>60, no. 2 (2012): 155-192</w:t>
      </w:r>
    </w:p>
    <w:p>
      <w:pPr>
        <w:pStyle w:val="BodyText"/>
      </w:pPr>
    </w:p>
    <w:p>
      <w:pPr>
        <w:pStyle w:val="BodyText"/>
        <w:spacing w:line="228" w:lineRule="exact"/>
        <w:ind w:left="253"/>
      </w:pPr>
      <w:r>
        <w:rPr/>
        <w:t>Van Rijckeghem, Caroline, and Beatrice Weder. (2001). ‘Sources of Contagion, is it Finance or trade?’</w:t>
      </w:r>
    </w:p>
    <w:p>
      <w:pPr>
        <w:spacing w:line="228" w:lineRule="exact" w:before="0"/>
        <w:ind w:left="253" w:right="0" w:firstLine="0"/>
        <w:jc w:val="both"/>
        <w:rPr>
          <w:sz w:val="20"/>
        </w:rPr>
      </w:pPr>
      <w:r>
        <w:rPr>
          <w:i/>
          <w:sz w:val="20"/>
        </w:rPr>
        <w:t>Journal of International Economics </w:t>
      </w:r>
      <w:r>
        <w:rPr>
          <w:sz w:val="20"/>
        </w:rPr>
        <w:t>54(2), pp. 293-308.</w:t>
      </w:r>
    </w:p>
    <w:p>
      <w:pPr>
        <w:pStyle w:val="BodyText"/>
        <w:spacing w:before="3"/>
      </w:pPr>
    </w:p>
    <w:p>
      <w:pPr>
        <w:pStyle w:val="BodyText"/>
        <w:ind w:left="253" w:right="1574"/>
      </w:pPr>
      <w:r>
        <w:rPr/>
        <w:t>Van Wincoop, Eric. (2011). ‘International Financial Contagion Through Leveraged Financial Institutions.’ NBER Working Paper No. 17686, National Bureau of Economic Research.</w:t>
      </w:r>
    </w:p>
    <w:p>
      <w:pPr>
        <w:spacing w:after="0"/>
        <w:sectPr>
          <w:pgSz w:w="11910" w:h="16840"/>
          <w:pgMar w:header="0" w:footer="1676" w:top="1580" w:bottom="1860" w:left="880" w:right="0"/>
        </w:sectPr>
      </w:pPr>
    </w:p>
    <w:p>
      <w:pPr>
        <w:pStyle w:val="BodyText"/>
        <w:spacing w:before="9"/>
        <w:rPr>
          <w:sz w:val="22"/>
        </w:rPr>
      </w:pPr>
      <w:r>
        <w:rPr/>
        <w:pict>
          <v:shape style="position:absolute;margin-left:90.11348pt;margin-top:667.265076pt;width:13.15pt;height:38.15pt;mso-position-horizontal-relative:page;mso-position-vertical-relative:page;z-index:251694080" type="#_x0000_t202" filled="false" stroked="false">
            <v:textbox inset="0,0,0,0" style="layout-flow:vertical;mso-layout-flow-alt:bottom-to-top">
              <w:txbxContent>
                <w:p>
                  <w:pPr>
                    <w:pStyle w:val="BodyText"/>
                    <w:spacing w:before="12"/>
                    <w:ind w:left="20"/>
                  </w:pPr>
                  <w:r>
                    <w:rPr/>
                    <w:t>01/2015</w:t>
                  </w:r>
                </w:p>
              </w:txbxContent>
            </v:textbox>
            <w10:wrap type="none"/>
          </v:shape>
        </w:pict>
      </w:r>
      <w:r>
        <w:rPr/>
        <w:pict>
          <v:shape style="position:absolute;margin-left:126.47348pt;margin-top:667.265076pt;width:13.15pt;height:38.15pt;mso-position-horizontal-relative:page;mso-position-vertical-relative:page;z-index:251695104" type="#_x0000_t202" filled="false" stroked="false">
            <v:textbox inset="0,0,0,0" style="layout-flow:vertical;mso-layout-flow-alt:bottom-to-top">
              <w:txbxContent>
                <w:p>
                  <w:pPr>
                    <w:pStyle w:val="BodyText"/>
                    <w:spacing w:before="12"/>
                    <w:ind w:left="20"/>
                  </w:pPr>
                  <w:r>
                    <w:rPr/>
                    <w:t>03/2015</w:t>
                  </w:r>
                </w:p>
              </w:txbxContent>
            </v:textbox>
            <w10:wrap type="none"/>
          </v:shape>
        </w:pict>
      </w:r>
      <w:r>
        <w:rPr/>
        <w:pict>
          <v:shape style="position:absolute;margin-left:164.053482pt;margin-top:667.265076pt;width:13.15pt;height:38.15pt;mso-position-horizontal-relative:page;mso-position-vertical-relative:page;z-index:251696128" type="#_x0000_t202" filled="false" stroked="false">
            <v:textbox inset="0,0,0,0" style="layout-flow:vertical;mso-layout-flow-alt:bottom-to-top">
              <w:txbxContent>
                <w:p>
                  <w:pPr>
                    <w:pStyle w:val="BodyText"/>
                    <w:spacing w:before="12"/>
                    <w:ind w:left="20"/>
                  </w:pPr>
                  <w:r>
                    <w:rPr/>
                    <w:t>05/2015</w:t>
                  </w:r>
                </w:p>
              </w:txbxContent>
            </v:textbox>
            <w10:wrap type="none"/>
          </v:shape>
        </w:pict>
      </w:r>
      <w:r>
        <w:rPr/>
        <w:pict>
          <v:shape style="position:absolute;margin-left:201.663483pt;margin-top:667.265076pt;width:13.15pt;height:38.15pt;mso-position-horizontal-relative:page;mso-position-vertical-relative:page;z-index:251697152" type="#_x0000_t202" filled="false" stroked="false">
            <v:textbox inset="0,0,0,0" style="layout-flow:vertical;mso-layout-flow-alt:bottom-to-top">
              <w:txbxContent>
                <w:p>
                  <w:pPr>
                    <w:pStyle w:val="BodyText"/>
                    <w:spacing w:before="12"/>
                    <w:ind w:left="20"/>
                  </w:pPr>
                  <w:r>
                    <w:rPr/>
                    <w:t>07/2015</w:t>
                  </w:r>
                </w:p>
              </w:txbxContent>
            </v:textbox>
            <w10:wrap type="none"/>
          </v:shape>
        </w:pict>
      </w:r>
      <w:r>
        <w:rPr/>
        <w:pict>
          <v:shape style="position:absolute;margin-left:239.873474pt;margin-top:667.265076pt;width:13.15pt;height:38.15pt;mso-position-horizontal-relative:page;mso-position-vertical-relative:page;z-index:251698176" type="#_x0000_t202" filled="false" stroked="false">
            <v:textbox inset="0,0,0,0" style="layout-flow:vertical;mso-layout-flow-alt:bottom-to-top">
              <w:txbxContent>
                <w:p>
                  <w:pPr>
                    <w:pStyle w:val="BodyText"/>
                    <w:spacing w:before="12"/>
                    <w:ind w:left="20"/>
                  </w:pPr>
                  <w:r>
                    <w:rPr/>
                    <w:t>09/2015</w:t>
                  </w:r>
                </w:p>
              </w:txbxContent>
            </v:textbox>
            <w10:wrap type="none"/>
          </v:shape>
        </w:pict>
      </w:r>
      <w:r>
        <w:rPr/>
        <w:pict>
          <v:shape style="position:absolute;margin-left:277.453491pt;margin-top:667.265076pt;width:13.15pt;height:38.15pt;mso-position-horizontal-relative:page;mso-position-vertical-relative:page;z-index:251699200" type="#_x0000_t202" filled="false" stroked="false">
            <v:textbox inset="0,0,0,0" style="layout-flow:vertical;mso-layout-flow-alt:bottom-to-top">
              <w:txbxContent>
                <w:p>
                  <w:pPr>
                    <w:pStyle w:val="BodyText"/>
                    <w:spacing w:before="12"/>
                    <w:ind w:left="20"/>
                  </w:pPr>
                  <w:r>
                    <w:rPr/>
                    <w:t>11/2015</w:t>
                  </w:r>
                </w:p>
              </w:txbxContent>
            </v:textbox>
            <w10:wrap type="none"/>
          </v:shape>
        </w:pict>
      </w:r>
      <w:r>
        <w:rPr/>
        <w:pict>
          <v:shape style="position:absolute;margin-left:315.063477pt;margin-top:667.265076pt;width:13.15pt;height:38.15pt;mso-position-horizontal-relative:page;mso-position-vertical-relative:page;z-index:251700224" type="#_x0000_t202" filled="false" stroked="false">
            <v:textbox inset="0,0,0,0" style="layout-flow:vertical;mso-layout-flow-alt:bottom-to-top">
              <w:txbxContent>
                <w:p>
                  <w:pPr>
                    <w:pStyle w:val="BodyText"/>
                    <w:spacing w:before="12"/>
                    <w:ind w:left="20"/>
                  </w:pPr>
                  <w:r>
                    <w:rPr/>
                    <w:t>01/2016</w:t>
                  </w:r>
                </w:p>
              </w:txbxContent>
            </v:textbox>
            <w10:wrap type="none"/>
          </v:shape>
        </w:pict>
      </w:r>
      <w:r>
        <w:rPr/>
        <w:pict>
          <v:shape style="position:absolute;margin-left:352.021759pt;margin-top:667.267883pt;width:13.2pt;height:38.15pt;mso-position-horizontal-relative:page;mso-position-vertical-relative:page;z-index:251701248" type="#_x0000_t202" filled="false" stroked="false">
            <v:textbox inset="0,0,0,0" style="layout-flow:vertical;mso-layout-flow-alt:bottom-to-top">
              <w:txbxContent>
                <w:p>
                  <w:pPr>
                    <w:pStyle w:val="BodyText"/>
                    <w:spacing w:before="13"/>
                    <w:ind w:left="20"/>
                  </w:pPr>
                  <w:r>
                    <w:rPr/>
                    <w:t>03/2016</w:t>
                  </w:r>
                </w:p>
              </w:txbxContent>
            </v:textbox>
            <w10:wrap type="none"/>
          </v:shape>
        </w:pict>
      </w:r>
      <w:r>
        <w:rPr/>
        <w:pict>
          <v:shape style="position:absolute;margin-left:389.633484pt;margin-top:667.265076pt;width:13.15pt;height:38.15pt;mso-position-horizontal-relative:page;mso-position-vertical-relative:page;z-index:251702272" type="#_x0000_t202" filled="false" stroked="false">
            <v:textbox inset="0,0,0,0" style="layout-flow:vertical;mso-layout-flow-alt:bottom-to-top">
              <w:txbxContent>
                <w:p>
                  <w:pPr>
                    <w:pStyle w:val="BodyText"/>
                    <w:spacing w:before="12"/>
                    <w:ind w:left="20"/>
                  </w:pPr>
                  <w:r>
                    <w:rPr/>
                    <w:t>05/2016</w:t>
                  </w:r>
                </w:p>
              </w:txbxContent>
            </v:textbox>
            <w10:wrap type="none"/>
          </v:shape>
        </w:pict>
      </w:r>
      <w:r>
        <w:rPr/>
        <w:pict>
          <v:shape style="position:absolute;margin-left:427.221741pt;margin-top:667.267883pt;width:13.2pt;height:38.15pt;mso-position-horizontal-relative:page;mso-position-vertical-relative:page;z-index:251703296" type="#_x0000_t202" filled="false" stroked="false">
            <v:textbox inset="0,0,0,0" style="layout-flow:vertical;mso-layout-flow-alt:bottom-to-top">
              <w:txbxContent>
                <w:p>
                  <w:pPr>
                    <w:pStyle w:val="BodyText"/>
                    <w:spacing w:before="13"/>
                    <w:ind w:left="20"/>
                  </w:pPr>
                  <w:r>
                    <w:rPr/>
                    <w:t>07/2016</w:t>
                  </w:r>
                </w:p>
              </w:txbxContent>
            </v:textbox>
            <w10:wrap type="none"/>
          </v:shape>
        </w:pict>
      </w:r>
    </w:p>
    <w:p>
      <w:pPr>
        <w:pStyle w:val="Heading1"/>
      </w:pPr>
      <w:r>
        <w:rPr/>
        <w:t>Figure 1. The Great Wave off Kanagawa by Katsushika Hokusai</w:t>
      </w:r>
    </w:p>
    <w:p>
      <w:pPr>
        <w:pStyle w:val="BodyText"/>
        <w:spacing w:before="9"/>
        <w:rPr>
          <w:b/>
          <w:sz w:val="17"/>
        </w:rPr>
      </w:pPr>
      <w:r>
        <w:rPr/>
        <w:drawing>
          <wp:anchor distT="0" distB="0" distL="0" distR="0" allowOverlap="1" layoutInCell="1" locked="0" behindDoc="0" simplePos="0" relativeHeight="15">
            <wp:simplePos x="0" y="0"/>
            <wp:positionH relativeFrom="page">
              <wp:posOffset>720090</wp:posOffset>
            </wp:positionH>
            <wp:positionV relativeFrom="paragraph">
              <wp:posOffset>154967</wp:posOffset>
            </wp:positionV>
            <wp:extent cx="5765390" cy="350443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27" cstate="print"/>
                    <a:stretch>
                      <a:fillRect/>
                    </a:stretch>
                  </pic:blipFill>
                  <pic:spPr>
                    <a:xfrm>
                      <a:off x="0" y="0"/>
                      <a:ext cx="5765390" cy="3504438"/>
                    </a:xfrm>
                    <a:prstGeom prst="rect">
                      <a:avLst/>
                    </a:prstGeom>
                  </pic:spPr>
                </pic:pic>
              </a:graphicData>
            </a:graphic>
          </wp:anchor>
        </w:drawing>
      </w:r>
    </w:p>
    <w:p>
      <w:pPr>
        <w:pStyle w:val="BodyText"/>
        <w:spacing w:before="2"/>
        <w:rPr>
          <w:b/>
          <w:sz w:val="24"/>
        </w:rPr>
      </w:pPr>
    </w:p>
    <w:p>
      <w:pPr>
        <w:spacing w:before="0"/>
        <w:ind w:left="253" w:right="0" w:firstLine="0"/>
        <w:jc w:val="left"/>
        <w:rPr>
          <w:b/>
          <w:sz w:val="22"/>
        </w:rPr>
      </w:pPr>
      <w:r>
        <w:rPr/>
        <w:pict>
          <v:group style="position:absolute;margin-left:51pt;margin-top:19.197870pt;width:463pt;height:279.55pt;mso-position-horizontal-relative:page;mso-position-vertical-relative:paragraph;z-index:251693056" coordorigin="1020,384" coordsize="9260,5591">
            <v:rect style="position:absolute;left:1029;top:383;width:10;height:10" filled="true" fillcolor="#000000" stroked="false">
              <v:fill type="solid"/>
            </v:rect>
            <v:line style="position:absolute" from="1039,389" to="10270,389" stroked="true" strokeweight=".48001pt" strokecolor="#000000">
              <v:stroke dashstyle="solid"/>
            </v:line>
            <v:line style="position:absolute" from="1025,384" to="1025,5965" stroked="true" strokeweight=".48pt" strokecolor="#000000">
              <v:stroke dashstyle="solid"/>
            </v:line>
            <v:rect style="position:absolute;left:1020;top:5964;width:10;height:10" filled="true" fillcolor="#000000" stroked="false">
              <v:fill type="solid"/>
            </v:rect>
            <v:line style="position:absolute" from="1030,5970" to="10270,5970" stroked="true" strokeweight=".47998pt" strokecolor="#000000">
              <v:stroke dashstyle="solid"/>
            </v:line>
            <v:line style="position:absolute" from="10274,384" to="10274,5965" stroked="true" strokeweight=".48004pt" strokecolor="#000000">
              <v:stroke dashstyle="solid"/>
            </v:line>
            <v:rect style="position:absolute;left:10269;top:5964;width:10;height:10" filled="true" fillcolor="#000000" stroked="false">
              <v:fill type="solid"/>
            </v:rect>
            <v:shape style="position:absolute;left:7070;top:1081;width:5;height:3885" type="#_x0000_t75" stroked="false">
              <v:imagedata r:id="rId28" o:title=""/>
            </v:shape>
            <v:line style="position:absolute" from="7073,1080" to="7073,4968" stroked="true" strokeweight=".38652pt" strokecolor="#000000">
              <v:stroke dashstyle="solid"/>
            </v:line>
            <v:line style="position:absolute" from="8575,1081" to="8575,4967" stroked="true" strokeweight=".24002pt" strokecolor="#9bba58">
              <v:stroke dashstyle="solid"/>
            </v:line>
            <v:line style="position:absolute" from="8575,1079" to="8575,4969" stroked="true" strokeweight=".48002pt" strokecolor="#000000">
              <v:stroke dashstyle="solid"/>
            </v:line>
            <v:shape style="position:absolute;left:1864;top:1081;width:7517;height:3946" coordorigin="1865,1081" coordsize="7517,3946" path="m9322,4967l9322,1081m9322,4967l9382,4967m9322,4410l9382,4410m9322,3856l9382,3856m9322,3301l9382,3301m9322,2747l9382,2747m9322,2190l9382,2190m9322,1636l9382,1636m9322,1081l9382,1081m1927,4967l1927,1081m1865,4967l1927,4967m1865,4319l1927,4319m1865,3671l1927,3671m1865,3023l1927,3023m1865,2377l1927,2377m1865,1729l1927,1729m1865,1081l1927,1081m1927,4967l9322,4967m1927,4967l1927,5027m2654,4967l2654,5027m3406,4967l3406,5027m4157,4967l4157,5027m4920,4967l4920,5027m5674,4967l5674,5027m6425,4967l6425,5027m7164,4967l7164,5027m7915,4967l7915,5027m8666,4967l8666,5027e" filled="false" stroked="true" strokeweight=".72pt" strokecolor="#858585">
              <v:path arrowok="t"/>
              <v:stroke dashstyle="solid"/>
            </v:shape>
            <v:shape style="position:absolute;left:1929;top:1278;width:7400;height:3075" type="#_x0000_t75" stroked="false">
              <v:imagedata r:id="rId29" o:title=""/>
            </v:shape>
            <v:line style="position:absolute" from="2734,721" to="3118,721" stroked="true" strokeweight="1.44pt" strokecolor="#497dba">
              <v:stroke dashstyle="solid"/>
            </v:line>
            <v:shape style="position:absolute;left:9495;top:4850;width:354;height:223" type="#_x0000_t202" filled="false" stroked="false">
              <v:textbox inset="0,0,0,0">
                <w:txbxContent>
                  <w:p>
                    <w:pPr>
                      <w:spacing w:line="223" w:lineRule="exact" w:before="0"/>
                      <w:ind w:left="0" w:right="0" w:firstLine="0"/>
                      <w:jc w:val="left"/>
                      <w:rPr>
                        <w:sz w:val="20"/>
                      </w:rPr>
                    </w:pPr>
                    <w:r>
                      <w:rPr>
                        <w:sz w:val="20"/>
                      </w:rPr>
                      <w:t>260</w:t>
                    </w:r>
                  </w:p>
                </w:txbxContent>
              </v:textbox>
              <w10:wrap type="none"/>
            </v:shape>
            <v:shape style="position:absolute;left:1199;top:4850;width:575;height:223" type="#_x0000_t202" filled="false" stroked="false">
              <v:textbox inset="0,0,0,0">
                <w:txbxContent>
                  <w:p>
                    <w:pPr>
                      <w:spacing w:line="223" w:lineRule="exact" w:before="0"/>
                      <w:ind w:left="0" w:right="0" w:firstLine="0"/>
                      <w:jc w:val="left"/>
                      <w:rPr>
                        <w:sz w:val="20"/>
                      </w:rPr>
                    </w:pPr>
                    <w:r>
                      <w:rPr>
                        <w:sz w:val="20"/>
                      </w:rPr>
                      <w:t>14000</w:t>
                    </w:r>
                  </w:p>
                </w:txbxContent>
              </v:textbox>
              <w10:wrap type="none"/>
            </v:shape>
            <v:shape style="position:absolute;left:9495;top:4295;width:354;height:223" type="#_x0000_t202" filled="false" stroked="false">
              <v:textbox inset="0,0,0,0">
                <w:txbxContent>
                  <w:p>
                    <w:pPr>
                      <w:spacing w:line="223" w:lineRule="exact" w:before="0"/>
                      <w:ind w:left="0" w:right="0" w:firstLine="0"/>
                      <w:jc w:val="left"/>
                      <w:rPr>
                        <w:sz w:val="20"/>
                      </w:rPr>
                    </w:pPr>
                    <w:r>
                      <w:rPr>
                        <w:sz w:val="20"/>
                      </w:rPr>
                      <w:t>280</w:t>
                    </w:r>
                  </w:p>
                </w:txbxContent>
              </v:textbox>
              <w10:wrap type="none"/>
            </v:shape>
            <v:shape style="position:absolute;left:1199;top:4202;width:575;height:223" type="#_x0000_t202" filled="false" stroked="false">
              <v:textbox inset="0,0,0,0">
                <w:txbxContent>
                  <w:p>
                    <w:pPr>
                      <w:spacing w:line="223" w:lineRule="exact" w:before="0"/>
                      <w:ind w:left="0" w:right="0" w:firstLine="0"/>
                      <w:jc w:val="left"/>
                      <w:rPr>
                        <w:sz w:val="20"/>
                      </w:rPr>
                    </w:pPr>
                    <w:r>
                      <w:rPr>
                        <w:sz w:val="20"/>
                      </w:rPr>
                      <w:t>15000</w:t>
                    </w:r>
                  </w:p>
                </w:txbxContent>
              </v:textbox>
              <w10:wrap type="none"/>
            </v:shape>
            <v:shape style="position:absolute;left:9495;top:3740;width:354;height:223" type="#_x0000_t202" filled="false" stroked="false">
              <v:textbox inset="0,0,0,0">
                <w:txbxContent>
                  <w:p>
                    <w:pPr>
                      <w:spacing w:line="223" w:lineRule="exact" w:before="0"/>
                      <w:ind w:left="0" w:right="0" w:firstLine="0"/>
                      <w:jc w:val="left"/>
                      <w:rPr>
                        <w:sz w:val="20"/>
                      </w:rPr>
                    </w:pPr>
                    <w:r>
                      <w:rPr>
                        <w:sz w:val="20"/>
                      </w:rPr>
                      <w:t>300</w:t>
                    </w:r>
                  </w:p>
                </w:txbxContent>
              </v:textbox>
              <w10:wrap type="none"/>
            </v:shape>
            <v:shape style="position:absolute;left:1199;top:3555;width:575;height:223" type="#_x0000_t202" filled="false" stroked="false">
              <v:textbox inset="0,0,0,0">
                <w:txbxContent>
                  <w:p>
                    <w:pPr>
                      <w:spacing w:line="223" w:lineRule="exact" w:before="0"/>
                      <w:ind w:left="0" w:right="0" w:firstLine="0"/>
                      <w:jc w:val="left"/>
                      <w:rPr>
                        <w:sz w:val="20"/>
                      </w:rPr>
                    </w:pPr>
                    <w:r>
                      <w:rPr>
                        <w:sz w:val="20"/>
                      </w:rPr>
                      <w:t>16000</w:t>
                    </w:r>
                  </w:p>
                </w:txbxContent>
              </v:textbox>
              <w10:wrap type="none"/>
            </v:shape>
            <v:shape style="position:absolute;left:9495;top:3184;width:354;height:223" type="#_x0000_t202" filled="false" stroked="false">
              <v:textbox inset="0,0,0,0">
                <w:txbxContent>
                  <w:p>
                    <w:pPr>
                      <w:spacing w:line="223" w:lineRule="exact" w:before="0"/>
                      <w:ind w:left="0" w:right="0" w:firstLine="0"/>
                      <w:jc w:val="left"/>
                      <w:rPr>
                        <w:sz w:val="20"/>
                      </w:rPr>
                    </w:pPr>
                    <w:r>
                      <w:rPr>
                        <w:sz w:val="20"/>
                      </w:rPr>
                      <w:t>320</w:t>
                    </w:r>
                  </w:p>
                </w:txbxContent>
              </v:textbox>
              <w10:wrap type="none"/>
            </v:shape>
            <v:shape style="position:absolute;left:1199;top:2907;width:575;height:223" type="#_x0000_t202" filled="false" stroked="false">
              <v:textbox inset="0,0,0,0">
                <w:txbxContent>
                  <w:p>
                    <w:pPr>
                      <w:spacing w:line="223" w:lineRule="exact" w:before="0"/>
                      <w:ind w:left="0" w:right="0" w:firstLine="0"/>
                      <w:jc w:val="left"/>
                      <w:rPr>
                        <w:sz w:val="20"/>
                      </w:rPr>
                    </w:pPr>
                    <w:r>
                      <w:rPr>
                        <w:sz w:val="20"/>
                      </w:rPr>
                      <w:t>17000</w:t>
                    </w:r>
                  </w:p>
                </w:txbxContent>
              </v:textbox>
              <w10:wrap type="none"/>
            </v:shape>
            <v:shape style="position:absolute;left:9495;top:2630;width:354;height:223" type="#_x0000_t202" filled="false" stroked="false">
              <v:textbox inset="0,0,0,0">
                <w:txbxContent>
                  <w:p>
                    <w:pPr>
                      <w:spacing w:line="223" w:lineRule="exact" w:before="0"/>
                      <w:ind w:left="0" w:right="0" w:firstLine="0"/>
                      <w:jc w:val="left"/>
                      <w:rPr>
                        <w:sz w:val="20"/>
                      </w:rPr>
                    </w:pPr>
                    <w:r>
                      <w:rPr>
                        <w:sz w:val="20"/>
                      </w:rPr>
                      <w:t>340</w:t>
                    </w:r>
                  </w:p>
                </w:txbxContent>
              </v:textbox>
              <w10:wrap type="none"/>
            </v:shape>
            <v:shape style="position:absolute;left:1199;top:2259;width:575;height:223" type="#_x0000_t202" filled="false" stroked="false">
              <v:textbox inset="0,0,0,0">
                <w:txbxContent>
                  <w:p>
                    <w:pPr>
                      <w:spacing w:line="223" w:lineRule="exact" w:before="0"/>
                      <w:ind w:left="0" w:right="0" w:firstLine="0"/>
                      <w:jc w:val="left"/>
                      <w:rPr>
                        <w:sz w:val="20"/>
                      </w:rPr>
                    </w:pPr>
                    <w:r>
                      <w:rPr>
                        <w:sz w:val="20"/>
                      </w:rPr>
                      <w:t>18000</w:t>
                    </w:r>
                  </w:p>
                </w:txbxContent>
              </v:textbox>
              <w10:wrap type="none"/>
            </v:shape>
            <v:shape style="position:absolute;left:9495;top:1519;width:354;height:778" type="#_x0000_t202" filled="false" stroked="false">
              <v:textbox inset="0,0,0,0">
                <w:txbxContent>
                  <w:p>
                    <w:pPr>
                      <w:spacing w:line="223" w:lineRule="exact" w:before="0"/>
                      <w:ind w:left="0" w:right="0" w:firstLine="0"/>
                      <w:jc w:val="left"/>
                      <w:rPr>
                        <w:sz w:val="20"/>
                      </w:rPr>
                    </w:pPr>
                    <w:r>
                      <w:rPr>
                        <w:sz w:val="20"/>
                      </w:rPr>
                      <w:t>380</w:t>
                    </w:r>
                  </w:p>
                  <w:p>
                    <w:pPr>
                      <w:spacing w:line="240" w:lineRule="auto" w:before="3"/>
                      <w:rPr>
                        <w:sz w:val="28"/>
                      </w:rPr>
                    </w:pPr>
                  </w:p>
                  <w:p>
                    <w:pPr>
                      <w:spacing w:before="0"/>
                      <w:ind w:left="0" w:right="0" w:firstLine="0"/>
                      <w:jc w:val="left"/>
                      <w:rPr>
                        <w:sz w:val="20"/>
                      </w:rPr>
                    </w:pPr>
                    <w:r>
                      <w:rPr>
                        <w:sz w:val="20"/>
                      </w:rPr>
                      <w:t>360</w:t>
                    </w:r>
                  </w:p>
                </w:txbxContent>
              </v:textbox>
              <w10:wrap type="none"/>
            </v:shape>
            <v:shape style="position:absolute;left:7395;top:1275;width:1040;height:453" type="#_x0000_t202" filled="false" stroked="false">
              <v:textbox inset="0,0,0,0">
                <w:txbxContent>
                  <w:p>
                    <w:pPr>
                      <w:spacing w:line="223" w:lineRule="exact" w:before="0"/>
                      <w:ind w:left="0" w:right="0" w:firstLine="0"/>
                      <w:jc w:val="left"/>
                      <w:rPr>
                        <w:sz w:val="20"/>
                      </w:rPr>
                    </w:pPr>
                    <w:r>
                      <w:rPr>
                        <w:sz w:val="20"/>
                      </w:rPr>
                      <w:t>EU</w:t>
                    </w:r>
                  </w:p>
                  <w:p>
                    <w:pPr>
                      <w:spacing w:before="0"/>
                      <w:ind w:left="0" w:right="0" w:firstLine="0"/>
                      <w:jc w:val="left"/>
                      <w:rPr>
                        <w:sz w:val="20"/>
                      </w:rPr>
                    </w:pPr>
                    <w:r>
                      <w:rPr>
                        <w:sz w:val="20"/>
                      </w:rPr>
                      <w:t>referendum</w:t>
                    </w:r>
                  </w:p>
                </w:txbxContent>
              </v:textbox>
              <w10:wrap type="none"/>
            </v:shape>
            <v:shape style="position:absolute;left:5589;top:1142;width:1374;height:684" type="#_x0000_t202" filled="false" stroked="false">
              <v:textbox inset="0,0,0,0">
                <w:txbxContent>
                  <w:p>
                    <w:pPr>
                      <w:spacing w:line="240" w:lineRule="auto" w:before="0"/>
                      <w:ind w:left="0" w:right="-3" w:firstLine="0"/>
                      <w:jc w:val="left"/>
                      <w:rPr>
                        <w:sz w:val="20"/>
                      </w:rPr>
                    </w:pPr>
                    <w:r>
                      <w:rPr>
                        <w:sz w:val="20"/>
                      </w:rPr>
                      <w:t>EU referendum date announcement</w:t>
                    </w:r>
                  </w:p>
                </w:txbxContent>
              </v:textbox>
              <w10:wrap type="none"/>
            </v:shape>
            <v:shape style="position:absolute;left:1199;top:1612;width:575;height:223" type="#_x0000_t202" filled="false" stroked="false">
              <v:textbox inset="0,0,0,0">
                <w:txbxContent>
                  <w:p>
                    <w:pPr>
                      <w:spacing w:line="223" w:lineRule="exact" w:before="0"/>
                      <w:ind w:left="0" w:right="0" w:firstLine="0"/>
                      <w:jc w:val="left"/>
                      <w:rPr>
                        <w:sz w:val="20"/>
                      </w:rPr>
                    </w:pPr>
                    <w:r>
                      <w:rPr>
                        <w:sz w:val="20"/>
                      </w:rPr>
                      <w:t>19000</w:t>
                    </w:r>
                  </w:p>
                </w:txbxContent>
              </v:textbox>
              <w10:wrap type="none"/>
            </v:shape>
            <v:shape style="position:absolute;left:9495;top:964;width:354;height:223" type="#_x0000_t202" filled="false" stroked="false">
              <v:textbox inset="0,0,0,0">
                <w:txbxContent>
                  <w:p>
                    <w:pPr>
                      <w:spacing w:line="223" w:lineRule="exact" w:before="0"/>
                      <w:ind w:left="0" w:right="0" w:firstLine="0"/>
                      <w:jc w:val="left"/>
                      <w:rPr>
                        <w:sz w:val="20"/>
                      </w:rPr>
                    </w:pPr>
                    <w:r>
                      <w:rPr>
                        <w:sz w:val="20"/>
                      </w:rPr>
                      <w:t>400</w:t>
                    </w:r>
                  </w:p>
                </w:txbxContent>
              </v:textbox>
              <w10:wrap type="none"/>
            </v:shape>
            <v:shape style="position:absolute;left:2733;top:964;width:2666;height:270" type="#_x0000_t202" filled="false" stroked="false">
              <v:textbox inset="0,0,0,0">
                <w:txbxContent>
                  <w:p>
                    <w:pPr>
                      <w:tabs>
                        <w:tab w:pos="425" w:val="left" w:leader="none"/>
                      </w:tabs>
                      <w:spacing w:before="39"/>
                      <w:ind w:left="0" w:right="0" w:firstLine="0"/>
                      <w:jc w:val="left"/>
                      <w:rPr>
                        <w:sz w:val="20"/>
                      </w:rPr>
                    </w:pPr>
                    <w:r>
                      <w:rPr>
                        <w:w w:val="99"/>
                        <w:position w:val="5"/>
                        <w:sz w:val="20"/>
                        <w:u w:val="thick" w:color="BD4A47"/>
                      </w:rPr>
                      <w:t> </w:t>
                    </w:r>
                    <w:r>
                      <w:rPr>
                        <w:position w:val="5"/>
                        <w:sz w:val="20"/>
                        <w:u w:val="thick" w:color="BD4A47"/>
                      </w:rPr>
                      <w:tab/>
                    </w:r>
                    <w:r>
                      <w:rPr>
                        <w:sz w:val="20"/>
                      </w:rPr>
                      <w:t>DJ EURO STOXX</w:t>
                    </w:r>
                    <w:r>
                      <w:rPr>
                        <w:spacing w:val="-5"/>
                        <w:sz w:val="20"/>
                      </w:rPr>
                      <w:t> </w:t>
                    </w:r>
                    <w:r>
                      <w:rPr>
                        <w:sz w:val="20"/>
                      </w:rPr>
                      <w:t>(RHS)</w:t>
                    </w:r>
                  </w:p>
                </w:txbxContent>
              </v:textbox>
              <w10:wrap type="none"/>
            </v:shape>
            <v:shape style="position:absolute;left:1199;top:964;width:575;height:223" type="#_x0000_t202" filled="false" stroked="false">
              <v:textbox inset="0,0,0,0">
                <w:txbxContent>
                  <w:p>
                    <w:pPr>
                      <w:spacing w:line="223" w:lineRule="exact" w:before="0"/>
                      <w:ind w:left="0" w:right="0" w:firstLine="0"/>
                      <w:jc w:val="left"/>
                      <w:rPr>
                        <w:sz w:val="20"/>
                      </w:rPr>
                    </w:pPr>
                    <w:r>
                      <w:rPr>
                        <w:sz w:val="20"/>
                      </w:rPr>
                      <w:t>20000</w:t>
                    </w:r>
                  </w:p>
                </w:txbxContent>
              </v:textbox>
              <w10:wrap type="none"/>
            </v:shape>
            <v:shape style="position:absolute;left:3158;top:604;width:1497;height:223" type="#_x0000_t202" filled="false" stroked="false">
              <v:textbox inset="0,0,0,0">
                <w:txbxContent>
                  <w:p>
                    <w:pPr>
                      <w:spacing w:line="223" w:lineRule="exact" w:before="0"/>
                      <w:ind w:left="0" w:right="0" w:firstLine="0"/>
                      <w:jc w:val="left"/>
                      <w:rPr>
                        <w:sz w:val="20"/>
                      </w:rPr>
                    </w:pPr>
                    <w:r>
                      <w:rPr>
                        <w:sz w:val="20"/>
                      </w:rPr>
                      <w:t>FTSE 250 (LHS)</w:t>
                    </w:r>
                  </w:p>
                </w:txbxContent>
              </v:textbox>
              <w10:wrap type="none"/>
            </v:shape>
            <w10:wrap type="none"/>
          </v:group>
        </w:pict>
      </w:r>
      <w:r>
        <w:rPr>
          <w:b/>
          <w:sz w:val="22"/>
        </w:rPr>
        <w:t>Figure 2. FTSE 250 index and Euro Stoxx index</w:t>
      </w:r>
    </w:p>
    <w:p>
      <w:pPr>
        <w:spacing w:after="0"/>
        <w:jc w:val="left"/>
        <w:rPr>
          <w:sz w:val="22"/>
        </w:rPr>
        <w:sectPr>
          <w:pgSz w:w="11910" w:h="16840"/>
          <w:pgMar w:header="0" w:footer="1676" w:top="1580" w:bottom="1860" w:left="880" w:right="0"/>
        </w:sectPr>
      </w:pPr>
    </w:p>
    <w:p>
      <w:pPr>
        <w:pStyle w:val="BodyText"/>
        <w:spacing w:before="9"/>
        <w:rPr>
          <w:b/>
          <w:sz w:val="22"/>
        </w:rPr>
      </w:pPr>
      <w:r>
        <w:rPr/>
        <w:pict>
          <v:shape style="position:absolute;margin-left:76.407478pt;margin-top:674.173706pt;width:188.1pt;height:40.3pt;mso-position-horizontal-relative:page;mso-position-vertical-relative:page;z-index:251720704" type="#_x0000_t202" filled="false" stroked="false">
            <v:textbox inset="0,0,0,0" style="layout-flow:vertical;mso-layout-flow-alt:bottom-to-top">
              <w:txbxContent>
                <w:p>
                  <w:pPr>
                    <w:pStyle w:val="BodyText"/>
                    <w:spacing w:before="12"/>
                    <w:ind w:left="20"/>
                  </w:pPr>
                  <w:r>
                    <w:rPr/>
                    <w:t>Q1</w:t>
                  </w:r>
                  <w:r>
                    <w:rPr>
                      <w:spacing w:val="-4"/>
                    </w:rPr>
                    <w:t> </w:t>
                  </w:r>
                  <w:r>
                    <w:rPr/>
                    <w:t>1997</w:t>
                  </w:r>
                </w:p>
                <w:p>
                  <w:pPr>
                    <w:pStyle w:val="BodyText"/>
                    <w:spacing w:before="62"/>
                    <w:ind w:left="20"/>
                  </w:pPr>
                  <w:r>
                    <w:rPr/>
                    <w:t>Q2</w:t>
                  </w:r>
                  <w:r>
                    <w:rPr>
                      <w:spacing w:val="-4"/>
                    </w:rPr>
                    <w:t> </w:t>
                  </w:r>
                  <w:r>
                    <w:rPr/>
                    <w:t>1997</w:t>
                  </w:r>
                </w:p>
                <w:p>
                  <w:pPr>
                    <w:pStyle w:val="BodyText"/>
                    <w:spacing w:before="62"/>
                    <w:ind w:left="20"/>
                  </w:pPr>
                  <w:r>
                    <w:rPr/>
                    <w:t>Q3</w:t>
                  </w:r>
                  <w:r>
                    <w:rPr>
                      <w:spacing w:val="-4"/>
                    </w:rPr>
                    <w:t> </w:t>
                  </w:r>
                  <w:r>
                    <w:rPr/>
                    <w:t>1997</w:t>
                  </w:r>
                </w:p>
                <w:p>
                  <w:pPr>
                    <w:pStyle w:val="BodyText"/>
                    <w:spacing w:before="61"/>
                    <w:ind w:left="20"/>
                  </w:pPr>
                  <w:r>
                    <w:rPr/>
                    <w:t>Q4</w:t>
                  </w:r>
                  <w:r>
                    <w:rPr>
                      <w:spacing w:val="-4"/>
                    </w:rPr>
                    <w:t> </w:t>
                  </w:r>
                  <w:r>
                    <w:rPr/>
                    <w:t>1997</w:t>
                  </w:r>
                </w:p>
                <w:p>
                  <w:pPr>
                    <w:pStyle w:val="BodyText"/>
                    <w:spacing w:before="62"/>
                    <w:ind w:left="20"/>
                  </w:pPr>
                  <w:r>
                    <w:rPr/>
                    <w:t>Q1</w:t>
                  </w:r>
                  <w:r>
                    <w:rPr>
                      <w:spacing w:val="-4"/>
                    </w:rPr>
                    <w:t> </w:t>
                  </w:r>
                  <w:r>
                    <w:rPr/>
                    <w:t>1998</w:t>
                  </w:r>
                </w:p>
                <w:p>
                  <w:pPr>
                    <w:pStyle w:val="BodyText"/>
                    <w:spacing w:before="61"/>
                    <w:ind w:left="20"/>
                  </w:pPr>
                  <w:r>
                    <w:rPr/>
                    <w:t>Q2</w:t>
                  </w:r>
                  <w:r>
                    <w:rPr>
                      <w:spacing w:val="-4"/>
                    </w:rPr>
                    <w:t> </w:t>
                  </w:r>
                  <w:r>
                    <w:rPr/>
                    <w:t>1998</w:t>
                  </w:r>
                </w:p>
                <w:p>
                  <w:pPr>
                    <w:pStyle w:val="BodyText"/>
                    <w:spacing w:before="62"/>
                    <w:ind w:left="20"/>
                  </w:pPr>
                  <w:r>
                    <w:rPr/>
                    <w:t>Q3</w:t>
                  </w:r>
                  <w:r>
                    <w:rPr>
                      <w:spacing w:val="-4"/>
                    </w:rPr>
                    <w:t> </w:t>
                  </w:r>
                  <w:r>
                    <w:rPr/>
                    <w:t>1998</w:t>
                  </w:r>
                </w:p>
                <w:p>
                  <w:pPr>
                    <w:pStyle w:val="BodyText"/>
                    <w:spacing w:before="61"/>
                    <w:ind w:left="20"/>
                  </w:pPr>
                  <w:r>
                    <w:rPr/>
                    <w:t>Q4</w:t>
                  </w:r>
                  <w:r>
                    <w:rPr>
                      <w:spacing w:val="-4"/>
                    </w:rPr>
                    <w:t> </w:t>
                  </w:r>
                  <w:r>
                    <w:rPr/>
                    <w:t>1998</w:t>
                  </w:r>
                </w:p>
                <w:p>
                  <w:pPr>
                    <w:pStyle w:val="BodyText"/>
                    <w:spacing w:before="62"/>
                    <w:ind w:left="20"/>
                  </w:pPr>
                  <w:r>
                    <w:rPr/>
                    <w:t>Q1</w:t>
                  </w:r>
                  <w:r>
                    <w:rPr>
                      <w:spacing w:val="-4"/>
                    </w:rPr>
                    <w:t> </w:t>
                  </w:r>
                  <w:r>
                    <w:rPr/>
                    <w:t>1999</w:t>
                  </w:r>
                </w:p>
                <w:p>
                  <w:pPr>
                    <w:pStyle w:val="BodyText"/>
                    <w:spacing w:before="62"/>
                    <w:ind w:left="20"/>
                  </w:pPr>
                  <w:r>
                    <w:rPr/>
                    <w:t>Q2</w:t>
                  </w:r>
                  <w:r>
                    <w:rPr>
                      <w:spacing w:val="-4"/>
                    </w:rPr>
                    <w:t> </w:t>
                  </w:r>
                  <w:r>
                    <w:rPr/>
                    <w:t>1999</w:t>
                  </w:r>
                </w:p>
                <w:p>
                  <w:pPr>
                    <w:pStyle w:val="BodyText"/>
                    <w:spacing w:before="62"/>
                    <w:ind w:left="20"/>
                  </w:pPr>
                  <w:r>
                    <w:rPr/>
                    <w:t>Q3</w:t>
                  </w:r>
                  <w:r>
                    <w:rPr>
                      <w:spacing w:val="-4"/>
                    </w:rPr>
                    <w:t> </w:t>
                  </w:r>
                  <w:r>
                    <w:rPr/>
                    <w:t>1999</w:t>
                  </w:r>
                </w:p>
                <w:p>
                  <w:pPr>
                    <w:pStyle w:val="BodyText"/>
                    <w:spacing w:before="61"/>
                    <w:ind w:left="20"/>
                  </w:pPr>
                  <w:r>
                    <w:rPr/>
                    <w:t>Q4</w:t>
                  </w:r>
                  <w:r>
                    <w:rPr>
                      <w:spacing w:val="-4"/>
                    </w:rPr>
                    <w:t> </w:t>
                  </w:r>
                  <w:r>
                    <w:rPr/>
                    <w:t>1999</w:t>
                  </w:r>
                </w:p>
                <w:p>
                  <w:pPr>
                    <w:pStyle w:val="BodyText"/>
                    <w:spacing w:before="62"/>
                    <w:ind w:left="20"/>
                  </w:pPr>
                  <w:r>
                    <w:rPr/>
                    <w:t>Q1</w:t>
                  </w:r>
                  <w:r>
                    <w:rPr>
                      <w:spacing w:val="-4"/>
                    </w:rPr>
                    <w:t> </w:t>
                  </w:r>
                  <w:r>
                    <w:rPr/>
                    <w:t>2000</w:t>
                  </w:r>
                </w:p>
              </w:txbxContent>
            </v:textbox>
            <w10:wrap type="none"/>
          </v:shape>
        </w:pict>
      </w:r>
      <w:r>
        <w:rPr/>
        <w:pict>
          <v:shape style="position:absolute;margin-left:308.843475pt;margin-top:675.81134pt;width:193.05pt;height:40.3pt;mso-position-horizontal-relative:page;mso-position-vertical-relative:page;z-index:251725824" type="#_x0000_t202" filled="false" stroked="false">
            <v:textbox inset="0,0,0,0" style="layout-flow:vertical;mso-layout-flow-alt:bottom-to-top">
              <w:txbxContent>
                <w:p>
                  <w:pPr>
                    <w:pStyle w:val="BodyText"/>
                    <w:spacing w:before="12"/>
                    <w:ind w:left="20"/>
                  </w:pPr>
                  <w:r>
                    <w:rPr/>
                    <w:t>Q1</w:t>
                  </w:r>
                  <w:r>
                    <w:rPr>
                      <w:spacing w:val="-4"/>
                    </w:rPr>
                    <w:t> </w:t>
                  </w:r>
                  <w:r>
                    <w:rPr/>
                    <w:t>2008</w:t>
                  </w:r>
                </w:p>
                <w:p>
                  <w:pPr>
                    <w:pStyle w:val="BodyText"/>
                    <w:spacing w:before="70"/>
                    <w:ind w:left="20"/>
                  </w:pPr>
                  <w:r>
                    <w:rPr/>
                    <w:t>Q2</w:t>
                  </w:r>
                  <w:r>
                    <w:rPr>
                      <w:spacing w:val="-4"/>
                    </w:rPr>
                    <w:t> </w:t>
                  </w:r>
                  <w:r>
                    <w:rPr/>
                    <w:t>2008</w:t>
                  </w:r>
                </w:p>
                <w:p>
                  <w:pPr>
                    <w:pStyle w:val="BodyText"/>
                    <w:spacing w:before="70"/>
                    <w:ind w:left="20"/>
                  </w:pPr>
                  <w:r>
                    <w:rPr/>
                    <w:t>Q3</w:t>
                  </w:r>
                  <w:r>
                    <w:rPr>
                      <w:spacing w:val="-4"/>
                    </w:rPr>
                    <w:t> </w:t>
                  </w:r>
                  <w:r>
                    <w:rPr/>
                    <w:t>2008</w:t>
                  </w:r>
                </w:p>
                <w:p>
                  <w:pPr>
                    <w:pStyle w:val="BodyText"/>
                    <w:spacing w:before="70"/>
                    <w:ind w:left="20"/>
                  </w:pPr>
                  <w:r>
                    <w:rPr/>
                    <w:t>Q4</w:t>
                  </w:r>
                  <w:r>
                    <w:rPr>
                      <w:spacing w:val="-4"/>
                    </w:rPr>
                    <w:t> </w:t>
                  </w:r>
                  <w:r>
                    <w:rPr/>
                    <w:t>2008</w:t>
                  </w:r>
                </w:p>
                <w:p>
                  <w:pPr>
                    <w:pStyle w:val="BodyText"/>
                    <w:spacing w:before="70"/>
                    <w:ind w:left="20"/>
                  </w:pPr>
                  <w:r>
                    <w:rPr/>
                    <w:t>Q1</w:t>
                  </w:r>
                  <w:r>
                    <w:rPr>
                      <w:spacing w:val="-4"/>
                    </w:rPr>
                    <w:t> </w:t>
                  </w:r>
                  <w:r>
                    <w:rPr/>
                    <w:t>2009</w:t>
                  </w:r>
                </w:p>
                <w:p>
                  <w:pPr>
                    <w:pStyle w:val="BodyText"/>
                    <w:spacing w:before="70"/>
                    <w:ind w:left="20"/>
                  </w:pPr>
                  <w:r>
                    <w:rPr/>
                    <w:t>Q2</w:t>
                  </w:r>
                  <w:r>
                    <w:rPr>
                      <w:spacing w:val="-4"/>
                    </w:rPr>
                    <w:t> </w:t>
                  </w:r>
                  <w:r>
                    <w:rPr/>
                    <w:t>2009</w:t>
                  </w:r>
                </w:p>
                <w:p>
                  <w:pPr>
                    <w:pStyle w:val="BodyText"/>
                    <w:spacing w:before="70"/>
                    <w:ind w:left="20"/>
                  </w:pPr>
                  <w:r>
                    <w:rPr/>
                    <w:t>Q3</w:t>
                  </w:r>
                  <w:r>
                    <w:rPr>
                      <w:spacing w:val="-4"/>
                    </w:rPr>
                    <w:t> </w:t>
                  </w:r>
                  <w:r>
                    <w:rPr/>
                    <w:t>2009</w:t>
                  </w:r>
                </w:p>
                <w:p>
                  <w:pPr>
                    <w:pStyle w:val="BodyText"/>
                    <w:spacing w:before="69"/>
                    <w:ind w:left="20"/>
                  </w:pPr>
                  <w:r>
                    <w:rPr/>
                    <w:t>Q4</w:t>
                  </w:r>
                  <w:r>
                    <w:rPr>
                      <w:spacing w:val="-4"/>
                    </w:rPr>
                    <w:t> </w:t>
                  </w:r>
                  <w:r>
                    <w:rPr/>
                    <w:t>2009</w:t>
                  </w:r>
                </w:p>
                <w:p>
                  <w:pPr>
                    <w:pStyle w:val="BodyText"/>
                    <w:spacing w:before="70"/>
                    <w:ind w:left="20"/>
                  </w:pPr>
                  <w:r>
                    <w:rPr/>
                    <w:t>Q1</w:t>
                  </w:r>
                  <w:r>
                    <w:rPr>
                      <w:spacing w:val="-4"/>
                    </w:rPr>
                    <w:t> </w:t>
                  </w:r>
                  <w:r>
                    <w:rPr/>
                    <w:t>2010</w:t>
                  </w:r>
                </w:p>
                <w:p>
                  <w:pPr>
                    <w:pStyle w:val="BodyText"/>
                    <w:spacing w:before="70"/>
                    <w:ind w:left="20"/>
                  </w:pPr>
                  <w:r>
                    <w:rPr/>
                    <w:t>Q2</w:t>
                  </w:r>
                  <w:r>
                    <w:rPr>
                      <w:spacing w:val="-4"/>
                    </w:rPr>
                    <w:t> </w:t>
                  </w:r>
                  <w:r>
                    <w:rPr/>
                    <w:t>2010</w:t>
                  </w:r>
                </w:p>
                <w:p>
                  <w:pPr>
                    <w:pStyle w:val="BodyText"/>
                    <w:spacing w:before="70"/>
                    <w:ind w:left="20"/>
                  </w:pPr>
                  <w:r>
                    <w:rPr/>
                    <w:t>Q3</w:t>
                  </w:r>
                  <w:r>
                    <w:rPr>
                      <w:spacing w:val="-4"/>
                    </w:rPr>
                    <w:t> </w:t>
                  </w:r>
                  <w:r>
                    <w:rPr/>
                    <w:t>2010</w:t>
                  </w:r>
                </w:p>
                <w:p>
                  <w:pPr>
                    <w:pStyle w:val="BodyText"/>
                    <w:spacing w:before="70"/>
                    <w:ind w:left="20"/>
                  </w:pPr>
                  <w:r>
                    <w:rPr/>
                    <w:t>Q4</w:t>
                  </w:r>
                  <w:r>
                    <w:rPr>
                      <w:spacing w:val="-4"/>
                    </w:rPr>
                    <w:t> </w:t>
                  </w:r>
                  <w:r>
                    <w:rPr/>
                    <w:t>2010</w:t>
                  </w:r>
                </w:p>
                <w:p>
                  <w:pPr>
                    <w:pStyle w:val="BodyText"/>
                    <w:spacing w:before="70"/>
                    <w:ind w:left="20"/>
                  </w:pPr>
                  <w:r>
                    <w:rPr/>
                    <w:t>Q1</w:t>
                  </w:r>
                  <w:r>
                    <w:rPr>
                      <w:spacing w:val="-4"/>
                    </w:rPr>
                    <w:t> </w:t>
                  </w:r>
                  <w:r>
                    <w:rPr/>
                    <w:t>2011</w:t>
                  </w:r>
                </w:p>
              </w:txbxContent>
            </v:textbox>
            <w10:wrap type="none"/>
          </v:shape>
        </w:pict>
      </w:r>
    </w:p>
    <w:p>
      <w:pPr>
        <w:spacing w:before="93"/>
        <w:ind w:left="253" w:right="0" w:firstLine="0"/>
        <w:jc w:val="left"/>
        <w:rPr>
          <w:b/>
          <w:sz w:val="22"/>
        </w:rPr>
      </w:pPr>
      <w:r>
        <w:rPr/>
        <w:pict>
          <v:group style="position:absolute;margin-left:50.999996pt;margin-top:29.487875pt;width:462.75pt;height:308.2pt;mso-position-horizontal-relative:page;mso-position-vertical-relative:paragraph;z-index:251712512" coordorigin="1020,590" coordsize="9255,6164">
            <v:line style="position:absolute" from="1030,856" to="5658,856" stroked="true" strokeweight=".48pt" strokecolor="#000000">
              <v:stroke dashstyle="solid"/>
            </v:line>
            <v:line style="position:absolute" from="5668,856" to="10265,856" stroked="true" strokeweight=".48pt" strokecolor="#000000">
              <v:stroke dashstyle="solid"/>
            </v:line>
            <v:line style="position:absolute" from="1025,590" to="1025,6754" stroked="true" strokeweight=".48pt" strokecolor="#000000">
              <v:stroke dashstyle="solid"/>
            </v:line>
            <v:line style="position:absolute" from="1030,6749" to="5658,6749" stroked="true" strokeweight=".47998pt" strokecolor="#000000">
              <v:stroke dashstyle="solid"/>
            </v:line>
            <v:line style="position:absolute" from="5663,590" to="5663,6754" stroked="true" strokeweight=".48001pt" strokecolor="#000000">
              <v:stroke dashstyle="solid"/>
            </v:line>
            <v:line style="position:absolute" from="5668,6749" to="10265,6749" stroked="true" strokeweight=".47998pt" strokecolor="#000000">
              <v:stroke dashstyle="solid"/>
            </v:line>
            <v:line style="position:absolute" from="10270,590" to="10270,6754" stroked="true" strokeweight=".48004pt" strokecolor="#000000">
              <v:stroke dashstyle="solid"/>
            </v:line>
            <v:shape style="position:absolute;left:1742;top:1940;width:3627;height:2734" coordorigin="1742,1941" coordsize="3627,2734" path="m1802,4614l1802,1941m1742,4614l1802,4614m1742,4233l1802,4233m1742,3851l1802,3851m1742,3469l1802,3469m1742,3085l1802,3085m1742,2704l1802,2704m1742,2322l1802,2322m1742,1941l1802,1941m1802,4614l5369,4614m1802,4614l1802,4674m2213,4614l2213,4674m2626,4614l2626,4674m3036,4614l3036,4674m3449,4614l3449,4674m3859,4614l3859,4674m4272,4614l4272,4674m4682,4614l4682,4674m5093,4614l5093,4674e" filled="false" stroked="true" strokeweight=".72pt" strokecolor="#858585">
              <v:path arrowok="t"/>
              <v:stroke dashstyle="solid"/>
            </v:shape>
            <v:shape style="position:absolute;left:1836;top:3243;width:3497;height:828" coordorigin="1836,3244" coordsize="3497,828" path="m1836,3469l1906,3496,1973,3402,2042,3388,2110,3390,2179,3359,2246,3323,2316,3316,2386,3253,2453,3244,2522,3318,2590,3357,2659,3501,2729,3481,2796,3505,2866,3515,2933,3517,3002,3525,3070,3573,3139,3681,3209,3863,3276,3935,3346,3935,3413,3966,3482,3913,3550,3935,3619,3825,3689,3892,3756,3913,3826,3928,3893,3894,3962,4072,4030,4036,4099,4014,4169,3966,4236,3822,4306,3846,4373,3786,4442,3709,4512,3779,4579,3757,4649,3729,4716,3702,4786,3757,4853,3745,4922,3798,4992,3817,5059,3863,5129,3909,5196,3964,5266,3937,5333,4026e" filled="false" stroked="true" strokeweight="1.44pt" strokecolor="#ff0000">
              <v:path arrowok="t"/>
              <v:stroke dashstyle="solid"/>
            </v:shape>
            <v:shape style="position:absolute;left:1836;top:2302;width:3430;height:1128" coordorigin="1836,2303" coordsize="3430,1128" path="m1836,3431l1906,3431,1973,3405,2042,3342,2110,3309,2179,3297,2246,3249,2316,3232,2386,3234,2453,3270,2522,3301,2590,3388,2659,3299,2729,3347,2796,3289,2866,3241,2933,3165,3002,3215,3070,3220,3139,3256,3209,3354,3276,3369,3346,3385,3413,3301,3482,3297,3550,3222,3619,3265,3689,3256,3756,3244,3826,3153,3893,3143,3962,3117,4030,3083,4099,3013,4169,2941,4236,2939,4306,2884,4373,2795,4442,2752,4512,2663,4579,2560,4649,2490,4716,2404,4786,2392,4853,2327,4922,2341,4992,2358,5059,2387,5129,2370,5196,2303,5266,2332e" filled="false" stroked="true" strokeweight="1.44pt" strokecolor="#497dba">
              <v:path arrowok="t"/>
              <v:stroke dashstyle="solid"/>
            </v:shape>
            <v:shape style="position:absolute;left:1836;top:3253;width:3430;height:555" coordorigin="1836,3253" coordsize="3430,555" path="m1836,3477l1906,3414,1973,3407,2042,3395,2110,3369,2179,3333,2246,3318,2316,3270,2386,3253,2453,3311,2522,3335,2590,3421,2659,3405,2729,3426,2796,3405,2866,3402,2933,3395,3002,3438,3070,3517,3139,3647,3209,3721,3276,3724,3346,3753,3413,3693,3482,3721,3550,3628,3619,3683,3689,3707,3756,3714,3826,3673,3893,3808,3962,3784,4030,3769,4099,3731,4169,3630,4236,3635,4306,3599,4373,3534,4442,3575,4512,3544,4579,3517,4649,3491,4716,3520,4786,3508,4853,3537,4922,3553,4992,3585,5059,3618,5129,3654,5196,3635,5266,3700e" filled="false" stroked="true" strokeweight="1.44pt" strokecolor="#97b853">
              <v:path arrowok="t"/>
              <v:stroke dashstyle="solid"/>
            </v:shape>
            <v:shape style="position:absolute;left:1836;top:3246;width:3430;height:346" coordorigin="1836,3246" coordsize="3430,346" path="m1836,3469l1906,3445,1973,3433,2042,3431,2110,3385,2179,3354,2246,3407,2316,3347,2386,3321,2453,3287,2522,3318,2590,3335,2659,3376,2729,3333,2796,3349,2866,3333,2933,3297,3002,3277,3070,3280,3139,3246,3209,3316,3276,3505,3346,3515,3413,3592,3482,3493,3550,3489,3619,3424,3689,3525,3756,3496,3826,3479,3893,3402,3962,3553,4030,3539,4099,3561,4169,3527,4236,3469,4306,3469,4373,3472,4442,3426,4512,3426,4579,3397,4649,3388,4716,3354,4786,3347,4853,3369,4922,3311,4992,3299,5059,3289,5129,3304,5196,3359,5266,3417e" filled="false" stroked="true" strokeweight="1.44pt" strokecolor="#7c5f9f">
              <v:path arrowok="t"/>
              <v:stroke dashstyle="solid"/>
            </v:shape>
            <v:line style="position:absolute" from="1834,3469" to="5335,3469" stroked="true" strokeweight=".24pt" strokecolor="#000000">
              <v:stroke dashstyle="solid"/>
            </v:line>
            <v:line style="position:absolute" from="2220,1103" to="2604,1103" stroked="true" strokeweight="1.44pt" strokecolor="#ff0000">
              <v:stroke dashstyle="solid"/>
            </v:line>
            <v:line style="position:absolute" from="2220,1350" to="2604,1350" stroked="true" strokeweight="1.44pt" strokecolor="#497dba">
              <v:stroke dashstyle="solid"/>
            </v:line>
            <v:line style="position:absolute" from="2220,1597" to="2604,1597" stroked="true" strokeweight="1.44pt" strokecolor="#97b853">
              <v:stroke dashstyle="solid"/>
            </v:line>
            <v:line style="position:absolute" from="2220,1842" to="2604,1842" stroked="true" strokeweight="1.44pt" strokecolor="#7c5f9f">
              <v:stroke dashstyle="solid"/>
            </v:line>
            <v:shape style="position:absolute;left:6379;top:1842;width:3598;height:2840" coordorigin="6379,1842" coordsize="3598,2840" path="m6439,4621l6439,1842m6379,4621l6439,4621m6379,4225l6439,4225m6379,3827l6439,3827m6379,3431l6439,3431m6379,3033l6439,3033m6379,2637l6439,2637m6379,2241l6439,2241m6379,1842l6439,1842m6439,4621l9977,4621m6439,4621l6439,4681m6847,4621l6847,4681m7255,4621l7255,4681m7663,4621l7663,4681m8071,4621l8071,4681m8479,4621l8479,4681m8887,4621l8887,4681m9295,4621l9295,4681m9703,4621l9703,4681e" filled="false" stroked="true" strokeweight=".72pt" strokecolor="#858585">
              <v:path arrowok="t"/>
              <v:stroke dashstyle="solid"/>
            </v:shape>
            <v:shape style="position:absolute;left:6472;top:3430;width:3471;height:987" coordorigin="6473,3431" coordsize="3471,987" path="m6473,3431l6540,3431,6610,3493,6677,3551,6744,3573,6814,3606,6881,3577,6948,3580,7018,3577,7085,3525,7152,3522,7222,3529,7289,3544,7356,3604,7426,3589,7493,3585,7560,3645,7630,3813,7697,4103,7764,4043,7834,4137,7901,4002,7968,4057,8038,4141,8105,4249,8174,4108,8242,4137,8309,4132,8378,4120,8446,4141,8513,4055,8582,4117,8650,4175,8717,4201,8786,4211,8854,4149,8921,4209,8990,4293,9058,4343,9125,4417,9194,4312,9262,4295,9329,4225,9398,4187,9466,4165,9533,4146,9602,4151,9670,4134,9737,4060,9806,4127,9874,4122,9943,4074e" filled="false" stroked="true" strokeweight="1.44pt" strokecolor="#ff0000">
              <v:path arrowok="t"/>
              <v:stroke dashstyle="solid"/>
            </v:shape>
            <v:shape style="position:absolute;left:6472;top:3430;width:3471;height:1073" coordorigin="6473,3431" coordsize="3471,1073" path="m6473,3431l6540,3479,6610,3553,6677,3633,6744,3709,6814,3748,6881,3685,6948,3690,7018,3741,7085,3707,7152,3705,7222,3726,7289,3700,7356,3793,7426,3774,7493,3798,7560,3870,7630,3930,7697,4242,7764,4221,7834,4305,7901,4197,7968,4185,8038,4247,8105,4374,8174,4293,8242,4357,8309,4317,8378,4312,8446,4321,8513,4261,8582,4249,8650,4321,8717,4369,8786,4333,8854,4302,8921,4341,8990,4425,9058,4446,9125,4504,9194,4446,9262,4415,9329,4398,9398,4357,9466,4338,9533,4283,9602,4297,9670,4257,9737,4187,9806,4237,9874,4204,9943,4194e" filled="false" stroked="true" strokeweight="1.44pt" strokecolor="#497dba">
              <v:path arrowok="t"/>
              <v:stroke dashstyle="solid"/>
            </v:shape>
            <v:shape style="position:absolute;left:6472;top:3430;width:3471;height:965" coordorigin="6473,3431" coordsize="3471,965" path="m6473,3431l6540,3527,6610,3541,6677,3592,6744,3647,6814,3640,6881,3673,6948,3630,7018,3633,7085,3657,7152,3688,7222,3712,7289,3664,7356,3781,7426,3796,7493,3810,7560,3861,7630,3957,7697,4187,7764,4185,7834,4285,7901,4199,7968,4197,8038,4261,8105,4353,8174,4247,8242,4307,8309,4252,8378,4228,8446,4273,8513,4201,8582,4228,8650,4288,8717,4333,8786,4297,8854,4269,8921,4278,8990,4353,9058,4341,9125,4396,9194,4333,9262,4307,9329,4233,9398,4199,9466,4175,9533,4139,9602,4151,9670,4125,9737,4009,9806,4057,9874,4031,9943,3978e" filled="false" stroked="true" strokeweight="1.44pt" strokecolor="#97b853">
              <v:path arrowok="t"/>
              <v:stroke dashstyle="solid"/>
            </v:shape>
            <v:shape style="position:absolute;left:6472;top:3430;width:3471;height:965" coordorigin="6473,3431" coordsize="3471,965" path="m6473,3431l6540,3493,6610,3520,6677,3534,6744,3616,6814,3654,6881,3661,6948,3673,7018,3647,7085,3702,7152,3717,7222,3714,7289,3717,7356,3786,7426,3813,7493,3827,7560,3829,7630,3942,7697,4185,7764,4197,7834,4362,7901,4240,7968,4221,8038,4271,8105,4393,8174,4278,8242,4319,8309,4249,8378,4245,8446,4269,8513,4228,8582,4223,8650,4281,8717,4319,8786,4290,8854,4242,8921,4269,8990,4336,9058,4360,9125,4396,9194,4341,9262,4305,9329,4235,9398,4194,9466,4187,9533,4137,9602,4144,9670,4117,9737,3995,9806,4014,9874,3933,9943,3911e" filled="false" stroked="true" strokeweight="1.44pt" strokecolor="#7c5f9f">
              <v:path arrowok="t"/>
              <v:stroke dashstyle="solid"/>
            </v:shape>
            <v:line style="position:absolute" from="6470,3431" to="9946,3431" stroked="true" strokeweight=".24pt" strokecolor="#000000">
              <v:stroke dashstyle="solid"/>
            </v:line>
            <v:line style="position:absolute" from="7541,1005" to="7925,1005" stroked="true" strokeweight="1.44pt" strokecolor="#ff0000">
              <v:stroke dashstyle="solid"/>
            </v:line>
            <v:line style="position:absolute" from="7541,1254" to="7925,1254" stroked="true" strokeweight="1.44pt" strokecolor="#497dba">
              <v:stroke dashstyle="solid"/>
            </v:line>
            <v:line style="position:absolute" from="7541,1501" to="7925,1501" stroked="true" strokeweight="1.44pt" strokecolor="#97b853">
              <v:stroke dashstyle="solid"/>
            </v:line>
            <v:line style="position:absolute" from="7541,1749" to="7925,1749" stroked="true" strokeweight="1.44pt" strokecolor="#7c5f9f">
              <v:stroke dashstyle="solid"/>
            </v:line>
            <v:shape style="position:absolute;left:5771;top:5998;width:4324;height:180" type="#_x0000_t202" filled="false" stroked="false">
              <v:textbox inset="0,0,0,0">
                <w:txbxContent>
                  <w:p>
                    <w:pPr>
                      <w:spacing w:line="179" w:lineRule="exact" w:before="0"/>
                      <w:ind w:left="0" w:right="0" w:firstLine="0"/>
                      <w:jc w:val="left"/>
                      <w:rPr>
                        <w:sz w:val="16"/>
                      </w:rPr>
                    </w:pPr>
                    <w:r>
                      <w:rPr>
                        <w:sz w:val="16"/>
                      </w:rPr>
                      <w:t>Note: ‘Other AEs’ excludes AEs in the euro area and the US.</w:t>
                    </w:r>
                  </w:p>
                </w:txbxContent>
              </v:textbox>
              <w10:wrap type="none"/>
            </v:shape>
            <v:shape style="position:absolute;left:7967;top:886;width:943;height:968" type="#_x0000_t202" filled="false" stroked="false">
              <v:textbox inset="0,0,0,0">
                <w:txbxContent>
                  <w:p>
                    <w:pPr>
                      <w:spacing w:line="223" w:lineRule="exact" w:before="0"/>
                      <w:ind w:left="0" w:right="0" w:firstLine="0"/>
                      <w:jc w:val="left"/>
                      <w:rPr>
                        <w:sz w:val="20"/>
                      </w:rPr>
                    </w:pPr>
                    <w:r>
                      <w:rPr>
                        <w:sz w:val="20"/>
                      </w:rPr>
                      <w:t>US</w:t>
                    </w:r>
                  </w:p>
                  <w:p>
                    <w:pPr>
                      <w:spacing w:line="259" w:lineRule="auto" w:before="18"/>
                      <w:ind w:left="0" w:right="18" w:firstLine="0"/>
                      <w:jc w:val="both"/>
                      <w:rPr>
                        <w:sz w:val="20"/>
                      </w:rPr>
                    </w:pPr>
                    <w:r>
                      <w:rPr>
                        <w:sz w:val="20"/>
                      </w:rPr>
                      <w:t>Euro area Other AEs EMEs</w:t>
                    </w:r>
                  </w:p>
                </w:txbxContent>
              </v:textbox>
              <w10:wrap type="none"/>
            </v:shape>
            <v:shape style="position:absolute;left:5801;top:1724;width:487;height:3002" type="#_x0000_t202" filled="false" stroked="false">
              <v:textbox inset="0,0,0,0">
                <w:txbxContent>
                  <w:p>
                    <w:pPr>
                      <w:spacing w:line="223" w:lineRule="exact" w:before="0"/>
                      <w:ind w:left="66" w:right="0" w:firstLine="0"/>
                      <w:jc w:val="left"/>
                      <w:rPr>
                        <w:sz w:val="20"/>
                      </w:rPr>
                    </w:pPr>
                    <w:r>
                      <w:rPr>
                        <w:sz w:val="20"/>
                      </w:rPr>
                      <w:t>80%</w:t>
                    </w:r>
                  </w:p>
                  <w:p>
                    <w:pPr>
                      <w:spacing w:before="167"/>
                      <w:ind w:left="66" w:right="0" w:firstLine="0"/>
                      <w:jc w:val="left"/>
                      <w:rPr>
                        <w:sz w:val="20"/>
                      </w:rPr>
                    </w:pPr>
                    <w:r>
                      <w:rPr>
                        <w:sz w:val="20"/>
                      </w:rPr>
                      <w:t>60%</w:t>
                    </w:r>
                  </w:p>
                  <w:p>
                    <w:pPr>
                      <w:spacing w:before="167"/>
                      <w:ind w:left="66" w:right="0" w:firstLine="0"/>
                      <w:jc w:val="left"/>
                      <w:rPr>
                        <w:sz w:val="20"/>
                      </w:rPr>
                    </w:pPr>
                    <w:r>
                      <w:rPr>
                        <w:sz w:val="20"/>
                      </w:rPr>
                      <w:t>40%</w:t>
                    </w:r>
                  </w:p>
                  <w:p>
                    <w:pPr>
                      <w:spacing w:before="167"/>
                      <w:ind w:left="66" w:right="0" w:firstLine="0"/>
                      <w:jc w:val="left"/>
                      <w:rPr>
                        <w:sz w:val="20"/>
                      </w:rPr>
                    </w:pPr>
                    <w:r>
                      <w:rPr>
                        <w:sz w:val="20"/>
                      </w:rPr>
                      <w:t>20%</w:t>
                    </w:r>
                  </w:p>
                  <w:p>
                    <w:pPr>
                      <w:spacing w:before="167"/>
                      <w:ind w:left="177" w:right="0" w:firstLine="0"/>
                      <w:jc w:val="left"/>
                      <w:rPr>
                        <w:sz w:val="20"/>
                      </w:rPr>
                    </w:pPr>
                    <w:r>
                      <w:rPr>
                        <w:sz w:val="20"/>
                      </w:rPr>
                      <w:t>0%</w:t>
                    </w:r>
                  </w:p>
                  <w:p>
                    <w:pPr>
                      <w:spacing w:before="167"/>
                      <w:ind w:left="0" w:right="0" w:firstLine="0"/>
                      <w:jc w:val="left"/>
                      <w:rPr>
                        <w:sz w:val="20"/>
                      </w:rPr>
                    </w:pPr>
                    <w:r>
                      <w:rPr>
                        <w:sz w:val="20"/>
                      </w:rPr>
                      <w:t>-20%</w:t>
                    </w:r>
                  </w:p>
                  <w:p>
                    <w:pPr>
                      <w:spacing w:before="167"/>
                      <w:ind w:left="0" w:right="0" w:firstLine="0"/>
                      <w:jc w:val="left"/>
                      <w:rPr>
                        <w:sz w:val="20"/>
                      </w:rPr>
                    </w:pPr>
                    <w:r>
                      <w:rPr>
                        <w:sz w:val="20"/>
                      </w:rPr>
                      <w:t>-40%</w:t>
                    </w:r>
                  </w:p>
                  <w:p>
                    <w:pPr>
                      <w:spacing w:before="167"/>
                      <w:ind w:left="0" w:right="0" w:firstLine="0"/>
                      <w:jc w:val="left"/>
                      <w:rPr>
                        <w:sz w:val="20"/>
                      </w:rPr>
                    </w:pPr>
                    <w:r>
                      <w:rPr>
                        <w:sz w:val="20"/>
                      </w:rPr>
                      <w:t>-60%</w:t>
                    </w:r>
                  </w:p>
                </w:txbxContent>
              </v:textbox>
              <w10:wrap type="none"/>
            </v:shape>
            <v:shape style="position:absolute;left:1133;top:6007;width:4260;height:732" type="#_x0000_t202" filled="false" stroked="false">
              <v:textbox inset="0,0,0,0">
                <w:txbxContent>
                  <w:p>
                    <w:pPr>
                      <w:spacing w:line="240" w:lineRule="auto" w:before="0"/>
                      <w:ind w:left="0" w:right="-3" w:firstLine="0"/>
                      <w:jc w:val="left"/>
                      <w:rPr>
                        <w:sz w:val="16"/>
                      </w:rPr>
                    </w:pPr>
                    <w:r>
                      <w:rPr>
                        <w:sz w:val="16"/>
                      </w:rPr>
                      <w:t>Note: ‘Asian crisis countries’ include: Thailand, Philippines, Indonesia, Malaysia, Hong Kong, South Korea, and Taiwan. ‘Other AEs’ excludes AEs in the EA and Asian crisis AEs. ‘Other EMEs’ excludes Asian crisis EMEs.</w:t>
                    </w:r>
                  </w:p>
                </w:txbxContent>
              </v:textbox>
              <w10:wrap type="none"/>
            </v:shape>
            <v:shape style="position:absolute;left:2645;top:986;width:1897;height:963" type="#_x0000_t202" filled="false" stroked="false">
              <v:textbox inset="0,0,0,0">
                <w:txbxContent>
                  <w:p>
                    <w:pPr>
                      <w:spacing w:line="256" w:lineRule="auto" w:before="0"/>
                      <w:ind w:left="0" w:right="-2" w:firstLine="0"/>
                      <w:jc w:val="left"/>
                      <w:rPr>
                        <w:sz w:val="20"/>
                      </w:rPr>
                    </w:pPr>
                    <w:r>
                      <w:rPr>
                        <w:sz w:val="20"/>
                      </w:rPr>
                      <w:t>Asian crisis countries Euro area</w:t>
                    </w:r>
                  </w:p>
                  <w:p>
                    <w:pPr>
                      <w:spacing w:line="256" w:lineRule="auto" w:before="0"/>
                      <w:ind w:left="0" w:right="787" w:firstLine="0"/>
                      <w:jc w:val="left"/>
                      <w:rPr>
                        <w:sz w:val="20"/>
                      </w:rPr>
                    </w:pPr>
                    <w:r>
                      <w:rPr>
                        <w:sz w:val="20"/>
                      </w:rPr>
                      <w:t>Other AEs Other EMEs</w:t>
                    </w:r>
                  </w:p>
                </w:txbxContent>
              </v:textbox>
              <w10:wrap type="none"/>
            </v:shape>
            <v:shape style="position:absolute;left:1164;top:1823;width:487;height:2898" type="#_x0000_t202" filled="false" stroked="false">
              <v:textbox inset="0,0,0,0">
                <w:txbxContent>
                  <w:p>
                    <w:pPr>
                      <w:spacing w:line="223" w:lineRule="exact" w:before="0"/>
                      <w:ind w:left="66" w:right="0" w:firstLine="0"/>
                      <w:jc w:val="left"/>
                      <w:rPr>
                        <w:sz w:val="20"/>
                      </w:rPr>
                    </w:pPr>
                    <w:r>
                      <w:rPr>
                        <w:sz w:val="20"/>
                      </w:rPr>
                      <w:t>80%</w:t>
                    </w:r>
                  </w:p>
                  <w:p>
                    <w:pPr>
                      <w:spacing w:before="152"/>
                      <w:ind w:left="0" w:right="18" w:firstLine="0"/>
                      <w:jc w:val="right"/>
                      <w:rPr>
                        <w:sz w:val="20"/>
                      </w:rPr>
                    </w:pPr>
                    <w:r>
                      <w:rPr>
                        <w:w w:val="95"/>
                        <w:sz w:val="20"/>
                      </w:rPr>
                      <w:t>60%</w:t>
                    </w:r>
                  </w:p>
                  <w:p>
                    <w:pPr>
                      <w:spacing w:before="152"/>
                      <w:ind w:left="0" w:right="18" w:firstLine="0"/>
                      <w:jc w:val="right"/>
                      <w:rPr>
                        <w:sz w:val="20"/>
                      </w:rPr>
                    </w:pPr>
                    <w:r>
                      <w:rPr>
                        <w:w w:val="95"/>
                        <w:sz w:val="20"/>
                      </w:rPr>
                      <w:t>40%</w:t>
                    </w:r>
                  </w:p>
                  <w:p>
                    <w:pPr>
                      <w:spacing w:before="152"/>
                      <w:ind w:left="0" w:right="18" w:firstLine="0"/>
                      <w:jc w:val="right"/>
                      <w:rPr>
                        <w:sz w:val="20"/>
                      </w:rPr>
                    </w:pPr>
                    <w:r>
                      <w:rPr>
                        <w:w w:val="95"/>
                        <w:sz w:val="20"/>
                      </w:rPr>
                      <w:t>20%</w:t>
                    </w:r>
                  </w:p>
                  <w:p>
                    <w:pPr>
                      <w:spacing w:before="153"/>
                      <w:ind w:left="0" w:right="19" w:firstLine="0"/>
                      <w:jc w:val="right"/>
                      <w:rPr>
                        <w:sz w:val="20"/>
                      </w:rPr>
                    </w:pPr>
                    <w:r>
                      <w:rPr>
                        <w:spacing w:val="-1"/>
                        <w:w w:val="95"/>
                        <w:sz w:val="20"/>
                      </w:rPr>
                      <w:t>0%</w:t>
                    </w:r>
                  </w:p>
                  <w:p>
                    <w:pPr>
                      <w:spacing w:before="152"/>
                      <w:ind w:left="0" w:right="19" w:firstLine="0"/>
                      <w:jc w:val="right"/>
                      <w:rPr>
                        <w:sz w:val="20"/>
                      </w:rPr>
                    </w:pPr>
                    <w:r>
                      <w:rPr>
                        <w:spacing w:val="-1"/>
                        <w:sz w:val="20"/>
                      </w:rPr>
                      <w:t>-20%</w:t>
                    </w:r>
                  </w:p>
                  <w:p>
                    <w:pPr>
                      <w:spacing w:before="152"/>
                      <w:ind w:left="0" w:right="19" w:firstLine="0"/>
                      <w:jc w:val="right"/>
                      <w:rPr>
                        <w:sz w:val="20"/>
                      </w:rPr>
                    </w:pPr>
                    <w:r>
                      <w:rPr>
                        <w:spacing w:val="-1"/>
                        <w:sz w:val="20"/>
                      </w:rPr>
                      <w:t>-40%</w:t>
                    </w:r>
                  </w:p>
                  <w:p>
                    <w:pPr>
                      <w:spacing w:before="152"/>
                      <w:ind w:left="0" w:right="19" w:firstLine="0"/>
                      <w:jc w:val="right"/>
                      <w:rPr>
                        <w:sz w:val="20"/>
                      </w:rPr>
                    </w:pPr>
                    <w:r>
                      <w:rPr>
                        <w:spacing w:val="-1"/>
                        <w:sz w:val="20"/>
                      </w:rPr>
                      <w:t>-60%</w:t>
                    </w:r>
                  </w:p>
                </w:txbxContent>
              </v:textbox>
              <w10:wrap type="none"/>
            </v:shape>
            <v:shape style="position:absolute;left:5663;top:594;width:4607;height:262" type="#_x0000_t202" filled="false" stroked="true" strokeweight=".48004pt" strokecolor="#000000">
              <v:textbox inset="0,0,0,0">
                <w:txbxContent>
                  <w:p>
                    <w:pPr>
                      <w:spacing w:line="251" w:lineRule="exact" w:before="0"/>
                      <w:ind w:left="463" w:right="0" w:firstLine="0"/>
                      <w:jc w:val="left"/>
                      <w:rPr>
                        <w:sz w:val="22"/>
                      </w:rPr>
                    </w:pPr>
                    <w:r>
                      <w:rPr>
                        <w:sz w:val="22"/>
                      </w:rPr>
                      <w:t>b. Global Financial Crisis</w:t>
                    </w:r>
                  </w:p>
                </w:txbxContent>
              </v:textbox>
              <v:stroke dashstyle="solid"/>
              <w10:wrap type="none"/>
            </v:shape>
            <v:shape style="position:absolute;left:1024;top:594;width:4639;height:262" type="#_x0000_t202" filled="false" stroked="true" strokeweight=".48001pt" strokecolor="#000000">
              <v:textbox inset="0,0,0,0">
                <w:txbxContent>
                  <w:p>
                    <w:pPr>
                      <w:spacing w:line="251" w:lineRule="exact" w:before="0"/>
                      <w:ind w:left="463" w:right="0" w:firstLine="0"/>
                      <w:jc w:val="left"/>
                      <w:rPr>
                        <w:sz w:val="22"/>
                      </w:rPr>
                    </w:pPr>
                    <w:r>
                      <w:rPr>
                        <w:sz w:val="22"/>
                      </w:rPr>
                      <w:t>a. Asian Crisis</w:t>
                    </w:r>
                  </w:p>
                </w:txbxContent>
              </v:textbox>
              <v:stroke dashstyle="solid"/>
              <w10:wrap type="none"/>
            </v:shape>
            <w10:wrap type="none"/>
          </v:group>
        </w:pict>
      </w:r>
      <w:r>
        <w:rPr>
          <w:b/>
          <w:sz w:val="22"/>
        </w:rPr>
        <w:t>Figure 3. Changes in equity indices during periods of stress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
        <w:rPr>
          <w:b/>
          <w:sz w:val="18"/>
        </w:rPr>
      </w:pPr>
    </w:p>
    <w:p>
      <w:pPr>
        <w:spacing w:before="94"/>
        <w:ind w:left="253" w:right="0" w:firstLine="0"/>
        <w:jc w:val="left"/>
        <w:rPr>
          <w:b/>
          <w:sz w:val="22"/>
        </w:rPr>
      </w:pPr>
      <w:r>
        <w:rPr/>
        <w:pict>
          <v:group style="position:absolute;margin-left:50.999996pt;margin-top:24.017874pt;width:462.75pt;height:256.5pt;mso-position-horizontal-relative:page;mso-position-vertical-relative:paragraph;z-index:251719680" coordorigin="1020,480" coordsize="9255,5130">
            <v:line style="position:absolute" from="1030,747" to="5665,747" stroked="true" strokeweight=".48001pt" strokecolor="#000000">
              <v:stroke dashstyle="solid"/>
            </v:line>
            <v:line style="position:absolute" from="5675,747" to="10265,747" stroked="true" strokeweight=".48001pt" strokecolor="#000000">
              <v:stroke dashstyle="solid"/>
            </v:line>
            <v:line style="position:absolute" from="1025,480" to="1025,5601" stroked="true" strokeweight=".48pt" strokecolor="#000000">
              <v:stroke dashstyle="solid"/>
            </v:line>
            <v:rect style="position:absolute;left:1020;top:5600;width:10;height:10" filled="true" fillcolor="#000000" stroked="false">
              <v:fill type="solid"/>
            </v:rect>
            <v:line style="position:absolute" from="1030,5605" to="5665,5605" stroked="true" strokeweight=".47998pt" strokecolor="#000000">
              <v:stroke dashstyle="solid"/>
            </v:line>
            <v:line style="position:absolute" from="5670,480" to="5670,5601" stroked="true" strokeweight=".48001pt" strokecolor="#000000">
              <v:stroke dashstyle="solid"/>
            </v:line>
            <v:rect style="position:absolute;left:5665;top:5600;width:10;height:10" filled="true" fillcolor="#000000" stroked="false">
              <v:fill type="solid"/>
            </v:rect>
            <v:line style="position:absolute" from="5675,5605" to="10265,5605" stroked="true" strokeweight=".47998pt" strokecolor="#000000">
              <v:stroke dashstyle="solid"/>
            </v:line>
            <v:line style="position:absolute" from="10270,480" to="10270,5601" stroked="true" strokeweight=".48004pt" strokecolor="#000000">
              <v:stroke dashstyle="solid"/>
            </v:line>
            <v:rect style="position:absolute;left:10264;top:5600;width:10;height:10" filled="true" fillcolor="#000000" stroked="false">
              <v:fill type="solid"/>
            </v:rect>
            <v:shape style="position:absolute;left:1452;top:1955;width:3850;height:2626" coordorigin="1452,1955" coordsize="3850,2626" path="m1512,4521l1512,1955m1452,4521l1512,4521m1452,4154l1512,4154m1452,3787l1512,3787m1452,3422l1512,3422m1452,3055l1512,3055m1452,2687l1512,2687m1452,2323l1512,2323m1452,1955l1512,1955m1512,4521l5302,4521m1512,4521l1512,4581m1805,4521l1805,4581m2095,4521l2095,4581m2388,4521l2388,4581m2678,4521l2678,4581m2971,4521l2971,4581m3262,4521l3262,4581m3554,4521l3554,4581m3845,4521l3845,4581m4138,4521l4138,4581m4428,4521l4428,4581m4721,4521l4721,4581m5011,4521l5011,4581m5302,4521l5302,4581e" filled="false" stroked="true" strokeweight=".72pt" strokecolor="#858585">
              <v:path arrowok="t"/>
              <v:stroke dashstyle="solid"/>
            </v:shape>
            <v:shape style="position:absolute;left:1658;top:2084;width:3500;height:2326" coordorigin="1658,2085" coordsize="3500,2326" path="m1658,2990l1951,2349,2242,2733,2532,3251,2825,4411,3115,3974,3408,3093,3698,2877,3991,2085,4282,2373,4574,2471,4865,2392,5158,2217e" filled="false" stroked="true" strokeweight="1.68pt" strokecolor="#ff0000">
              <v:path arrowok="t"/>
              <v:stroke dashstyle="solid"/>
            </v:shape>
            <v:shape style="position:absolute;left:1658;top:2432;width:3500;height:908" coordorigin="1658,2433" coordsize="3500,908" path="m1658,2438l1951,2560,2242,2488,2532,2589,2825,3011,3115,2747,3408,3244,3698,3340,3991,2961,4282,2762,4574,2663,4865,2529,5158,2433e" filled="false" stroked="true" strokeweight="1.68pt" strokecolor="#7c5f9f">
              <v:path arrowok="t"/>
              <v:stroke dashstyle="solid"/>
            </v:shape>
            <v:shape style="position:absolute;left:1658;top:2382;width:3500;height:488" coordorigin="1658,2383" coordsize="3500,488" path="m1658,2757l1951,2587,2242,2620,2532,2635,2825,2795,3115,2709,3408,2750,3698,2870,3991,2589,4282,2709,4574,2630,4865,2707,5158,2383e" filled="false" stroked="true" strokeweight="1.68pt" strokecolor="#497dba">
              <v:path arrowok="t"/>
              <v:stroke dashstyle="solid"/>
            </v:shape>
            <v:shape style="position:absolute;left:1658;top:2526;width:3500;height:428" coordorigin="1658,2527" coordsize="3500,428" path="m1658,2707l1951,2531,2242,2824,2532,2848,2825,2954,3115,2918,3408,2872,3698,2711,3991,2817,4282,2680,4574,2661,4865,2527,5158,2534e" filled="false" stroked="true" strokeweight="1.68pt" strokecolor="#97b853">
              <v:path arrowok="t"/>
              <v:stroke dashstyle="solid"/>
            </v:shape>
            <v:line style="position:absolute" from="2098,1017" to="2482,1017" stroked="true" strokeweight="1.68pt" strokecolor="#ff0000">
              <v:stroke dashstyle="solid"/>
            </v:line>
            <v:line style="position:absolute" from="2098,1317" to="2482,1317" stroked="true" strokeweight="1.68pt" strokecolor="#7c5f9f">
              <v:stroke dashstyle="solid"/>
            </v:line>
            <v:line style="position:absolute" from="2098,1619" to="2482,1619" stroked="true" strokeweight="1.68pt" strokecolor="#497dba">
              <v:stroke dashstyle="solid"/>
            </v:line>
            <v:line style="position:absolute" from="2098,1922" to="2482,1922" stroked="true" strokeweight="1.68pt" strokecolor="#97b853">
              <v:stroke dashstyle="solid"/>
            </v:line>
            <v:shape style="position:absolute;left:6096;top:1871;width:3958;height:2741" coordorigin="6096,1871" coordsize="3958,2741" path="m6156,4552l6156,1871m6096,4552l6156,4552m6096,4171l6156,4171m6096,3787l6156,3787m6096,3405l6156,3405m6096,3021l6156,3021m6096,2639l6156,2639m6096,2255l6156,2255m6096,1871l6156,1871m6156,4552l10054,4552m6156,4552l6156,4612m6456,4552l6456,4612m6756,4552l6756,4612m7056,4552l7056,4612m7356,4552l7356,4612m7656,4552l7656,4612m7956,4552l7956,4612m8256,4552l8256,4612m8554,4552l8554,4612m8854,4552l8854,4612m9154,4552l9154,4612m9454,4552l9454,4612m9754,4552l9754,4612m10054,4552l10054,4612e" filled="false" stroked="true" strokeweight=".72pt" strokecolor="#858585">
              <v:path arrowok="t"/>
              <v:stroke dashstyle="solid"/>
            </v:shape>
            <v:shape style="position:absolute;left:6307;top:2651;width:3596;height:1179" coordorigin="6307,2651" coordsize="3596,1179" path="m6307,3283l6607,2831,6907,3206,7205,3830,7505,3551,7805,3074,8105,2896,8405,2651,8705,2855,9005,2651,9305,2762,9605,2781,9902,3170e" filled="false" stroked="true" strokeweight="1.68pt" strokecolor="#ff0000">
              <v:path arrowok="t"/>
              <v:stroke dashstyle="solid"/>
            </v:shape>
            <v:shape style="position:absolute;left:6307;top:2672;width:3596;height:1426" coordorigin="6307,2673" coordsize="3596,1426" path="m6307,2807l6607,3170,6907,3223,7205,3758,7505,4099,7805,3076,8105,2841,8405,2858,8705,2899,9005,2673,9305,3019,9605,2839,9902,2884e" filled="false" stroked="true" strokeweight="1.68pt" strokecolor="#497dba">
              <v:path arrowok="t"/>
              <v:stroke dashstyle="solid"/>
            </v:shape>
            <v:shape style="position:absolute;left:6307;top:2339;width:3596;height:1424" coordorigin="6307,2339" coordsize="3596,1424" path="m6307,2851l6607,3196,6907,3170,7205,3763,7505,3619,7805,2771,8105,2668,8405,2594,8705,2339,9005,2512,9305,2901,9605,2630,9902,2707e" filled="false" stroked="true" strokeweight="1.68pt" strokecolor="#97b853">
              <v:path arrowok="t"/>
              <v:stroke dashstyle="solid"/>
            </v:shape>
            <v:shape style="position:absolute;left:6307;top:2327;width:3596;height:1575" coordorigin="6307,2327" coordsize="3596,1575" path="m6307,2656l6607,2714,6907,2819,7205,3815,7505,3902,7805,2627,8105,2332,8405,2493,8705,2541,9005,2327,9305,2627,9605,2510,9902,2440e" filled="false" stroked="true" strokeweight="1.68pt" strokecolor="#7c5f9f">
              <v:path arrowok="t"/>
              <v:stroke dashstyle="solid"/>
            </v:shape>
            <v:line style="position:absolute" from="7169,1007" to="7553,1007" stroked="true" strokeweight="1.68pt" strokecolor="#ff0000">
              <v:stroke dashstyle="solid"/>
            </v:line>
            <v:line style="position:absolute" from="7169,1291" to="7553,1291" stroked="true" strokeweight="1.68pt" strokecolor="#497dba">
              <v:stroke dashstyle="solid"/>
            </v:line>
            <v:line style="position:absolute" from="7169,1574" to="7553,1574" stroked="true" strokeweight="1.68pt" strokecolor="#97b853">
              <v:stroke dashstyle="solid"/>
            </v:line>
            <v:line style="position:absolute" from="7169,1855" to="7553,1855" stroked="true" strokeweight="1.68pt" strokecolor="#7c5f9f">
              <v:stroke dashstyle="solid"/>
            </v:line>
            <v:shape style="position:absolute;left:7595;top:891;width:943;height:1071" type="#_x0000_t202" filled="false" stroked="false">
              <v:textbox inset="0,0,0,0">
                <w:txbxContent>
                  <w:p>
                    <w:pPr>
                      <w:spacing w:line="223" w:lineRule="exact" w:before="0"/>
                      <w:ind w:left="0" w:right="0" w:firstLine="0"/>
                      <w:jc w:val="left"/>
                      <w:rPr>
                        <w:sz w:val="20"/>
                      </w:rPr>
                    </w:pPr>
                    <w:r>
                      <w:rPr>
                        <w:sz w:val="20"/>
                      </w:rPr>
                      <w:t>US</w:t>
                    </w:r>
                  </w:p>
                  <w:p>
                    <w:pPr>
                      <w:spacing w:before="52"/>
                      <w:ind w:left="0" w:right="0" w:firstLine="0"/>
                      <w:jc w:val="left"/>
                      <w:rPr>
                        <w:sz w:val="20"/>
                      </w:rPr>
                    </w:pPr>
                    <w:r>
                      <w:rPr>
                        <w:sz w:val="20"/>
                      </w:rPr>
                      <w:t>Euro area</w:t>
                    </w:r>
                  </w:p>
                  <w:p>
                    <w:pPr>
                      <w:spacing w:line="280" w:lineRule="atLeast" w:before="3"/>
                      <w:ind w:left="0" w:right="0" w:firstLine="0"/>
                      <w:jc w:val="left"/>
                      <w:rPr>
                        <w:sz w:val="20"/>
                      </w:rPr>
                    </w:pPr>
                    <w:r>
                      <w:rPr>
                        <w:sz w:val="20"/>
                      </w:rPr>
                      <w:t>Other AEs EMEs</w:t>
                    </w:r>
                  </w:p>
                </w:txbxContent>
              </v:textbox>
              <w10:wrap type="none"/>
            </v:shape>
            <v:shape style="position:absolute;left:5809;top:1534;width:644;height:3126" type="#_x0000_t202" filled="false" stroked="false">
              <v:textbox inset="0,0,0,0">
                <w:txbxContent>
                  <w:p>
                    <w:pPr>
                      <w:spacing w:line="232" w:lineRule="auto" w:before="0"/>
                      <w:ind w:left="66" w:right="-1" w:firstLine="47"/>
                      <w:jc w:val="left"/>
                      <w:rPr>
                        <w:sz w:val="20"/>
                      </w:rPr>
                    </w:pPr>
                    <w:r>
                      <w:rPr>
                        <w:sz w:val="20"/>
                      </w:rPr>
                      <w:t>%qoq</w:t>
                    </w:r>
                    <w:r>
                      <w:rPr>
                        <w:w w:val="99"/>
                        <w:sz w:val="20"/>
                      </w:rPr>
                      <w:t> </w:t>
                    </w:r>
                    <w:r>
                      <w:rPr>
                        <w:sz w:val="20"/>
                      </w:rPr>
                      <w:t>3</w:t>
                    </w:r>
                  </w:p>
                  <w:p>
                    <w:pPr>
                      <w:spacing w:before="152"/>
                      <w:ind w:left="66" w:right="0" w:firstLine="0"/>
                      <w:jc w:val="left"/>
                      <w:rPr>
                        <w:sz w:val="20"/>
                      </w:rPr>
                    </w:pPr>
                    <w:r>
                      <w:rPr>
                        <w:w w:val="99"/>
                        <w:sz w:val="20"/>
                      </w:rPr>
                      <w:t>2</w:t>
                    </w:r>
                  </w:p>
                  <w:p>
                    <w:pPr>
                      <w:spacing w:before="153"/>
                      <w:ind w:left="66" w:right="0" w:firstLine="0"/>
                      <w:jc w:val="left"/>
                      <w:rPr>
                        <w:sz w:val="20"/>
                      </w:rPr>
                    </w:pPr>
                    <w:r>
                      <w:rPr>
                        <w:w w:val="99"/>
                        <w:sz w:val="20"/>
                      </w:rPr>
                      <w:t>1</w:t>
                    </w:r>
                  </w:p>
                  <w:p>
                    <w:pPr>
                      <w:spacing w:before="153"/>
                      <w:ind w:left="66" w:right="0" w:firstLine="0"/>
                      <w:jc w:val="left"/>
                      <w:rPr>
                        <w:sz w:val="20"/>
                      </w:rPr>
                    </w:pPr>
                    <w:r>
                      <w:rPr>
                        <w:w w:val="99"/>
                        <w:sz w:val="20"/>
                      </w:rPr>
                      <w:t>0</w:t>
                    </w:r>
                  </w:p>
                  <w:p>
                    <w:pPr>
                      <w:spacing w:before="152"/>
                      <w:ind w:left="0" w:right="0" w:firstLine="0"/>
                      <w:jc w:val="left"/>
                      <w:rPr>
                        <w:sz w:val="20"/>
                      </w:rPr>
                    </w:pPr>
                    <w:r>
                      <w:rPr>
                        <w:sz w:val="20"/>
                      </w:rPr>
                      <w:t>-1</w:t>
                    </w:r>
                  </w:p>
                  <w:p>
                    <w:pPr>
                      <w:spacing w:before="153"/>
                      <w:ind w:left="0" w:right="0" w:firstLine="0"/>
                      <w:jc w:val="left"/>
                      <w:rPr>
                        <w:sz w:val="20"/>
                      </w:rPr>
                    </w:pPr>
                    <w:r>
                      <w:rPr>
                        <w:sz w:val="20"/>
                      </w:rPr>
                      <w:t>-2</w:t>
                    </w:r>
                  </w:p>
                  <w:p>
                    <w:pPr>
                      <w:spacing w:before="153"/>
                      <w:ind w:left="0" w:right="0" w:firstLine="0"/>
                      <w:jc w:val="left"/>
                      <w:rPr>
                        <w:sz w:val="20"/>
                      </w:rPr>
                    </w:pPr>
                    <w:r>
                      <w:rPr>
                        <w:sz w:val="20"/>
                      </w:rPr>
                      <w:t>-3</w:t>
                    </w:r>
                  </w:p>
                  <w:p>
                    <w:pPr>
                      <w:spacing w:before="153"/>
                      <w:ind w:left="0" w:right="0" w:firstLine="0"/>
                      <w:jc w:val="left"/>
                      <w:rPr>
                        <w:sz w:val="20"/>
                      </w:rPr>
                    </w:pPr>
                    <w:r>
                      <w:rPr>
                        <w:sz w:val="20"/>
                      </w:rPr>
                      <w:t>-4</w:t>
                    </w:r>
                  </w:p>
                </w:txbxContent>
              </v:textbox>
              <w10:wrap type="none"/>
            </v:shape>
            <v:shape style="position:absolute;left:2522;top:900;width:1897;height:1127" type="#_x0000_t202" filled="false" stroked="false">
              <v:textbox inset="0,0,0,0">
                <w:txbxContent>
                  <w:p>
                    <w:pPr>
                      <w:spacing w:line="314" w:lineRule="auto" w:before="0"/>
                      <w:ind w:left="0" w:right="-2" w:firstLine="0"/>
                      <w:jc w:val="left"/>
                      <w:rPr>
                        <w:sz w:val="20"/>
                      </w:rPr>
                    </w:pPr>
                    <w:r>
                      <w:rPr>
                        <w:sz w:val="20"/>
                      </w:rPr>
                      <w:t>Asian crisis countries Other EMEs</w:t>
                    </w:r>
                  </w:p>
                  <w:p>
                    <w:pPr>
                      <w:spacing w:before="0"/>
                      <w:ind w:left="0" w:right="0" w:firstLine="0"/>
                      <w:jc w:val="left"/>
                      <w:rPr>
                        <w:sz w:val="20"/>
                      </w:rPr>
                    </w:pPr>
                    <w:r>
                      <w:rPr>
                        <w:sz w:val="20"/>
                      </w:rPr>
                      <w:t>Euro area</w:t>
                    </w:r>
                  </w:p>
                  <w:p>
                    <w:pPr>
                      <w:spacing w:before="64"/>
                      <w:ind w:left="0" w:right="0" w:firstLine="0"/>
                      <w:jc w:val="left"/>
                      <w:rPr>
                        <w:sz w:val="20"/>
                      </w:rPr>
                    </w:pPr>
                    <w:r>
                      <w:rPr>
                        <w:sz w:val="20"/>
                      </w:rPr>
                      <w:t>Other AEs</w:t>
                    </w:r>
                  </w:p>
                </w:txbxContent>
              </v:textbox>
              <w10:wrap type="none"/>
            </v:shape>
            <v:shape style="position:absolute;left:1164;top:1581;width:644;height:3045" type="#_x0000_t202" filled="false" stroked="false">
              <v:textbox inset="0,0,0,0">
                <w:txbxContent>
                  <w:p>
                    <w:pPr>
                      <w:spacing w:line="268" w:lineRule="auto" w:before="0"/>
                      <w:ind w:left="66" w:right="-1" w:firstLine="47"/>
                      <w:jc w:val="left"/>
                      <w:rPr>
                        <w:sz w:val="20"/>
                      </w:rPr>
                    </w:pPr>
                    <w:r>
                      <w:rPr>
                        <w:sz w:val="20"/>
                      </w:rPr>
                      <w:t>%qoq</w:t>
                    </w:r>
                    <w:r>
                      <w:rPr>
                        <w:w w:val="99"/>
                        <w:sz w:val="20"/>
                      </w:rPr>
                      <w:t> </w:t>
                    </w:r>
                    <w:r>
                      <w:rPr>
                        <w:sz w:val="20"/>
                      </w:rPr>
                      <w:t>3</w:t>
                    </w:r>
                  </w:p>
                  <w:p>
                    <w:pPr>
                      <w:spacing w:before="101"/>
                      <w:ind w:left="66" w:right="0" w:firstLine="0"/>
                      <w:jc w:val="left"/>
                      <w:rPr>
                        <w:sz w:val="20"/>
                      </w:rPr>
                    </w:pPr>
                    <w:r>
                      <w:rPr>
                        <w:w w:val="99"/>
                        <w:sz w:val="20"/>
                      </w:rPr>
                      <w:t>2</w:t>
                    </w:r>
                  </w:p>
                  <w:p>
                    <w:pPr>
                      <w:spacing w:before="136"/>
                      <w:ind w:left="66" w:right="0" w:firstLine="0"/>
                      <w:jc w:val="left"/>
                      <w:rPr>
                        <w:sz w:val="20"/>
                      </w:rPr>
                    </w:pPr>
                    <w:r>
                      <w:rPr>
                        <w:w w:val="99"/>
                        <w:sz w:val="20"/>
                      </w:rPr>
                      <w:t>1</w:t>
                    </w:r>
                  </w:p>
                  <w:p>
                    <w:pPr>
                      <w:spacing w:before="137"/>
                      <w:ind w:left="66" w:right="0" w:firstLine="0"/>
                      <w:jc w:val="left"/>
                      <w:rPr>
                        <w:sz w:val="20"/>
                      </w:rPr>
                    </w:pPr>
                    <w:r>
                      <w:rPr>
                        <w:w w:val="99"/>
                        <w:sz w:val="20"/>
                      </w:rPr>
                      <w:t>0</w:t>
                    </w:r>
                  </w:p>
                  <w:p>
                    <w:pPr>
                      <w:spacing w:before="137"/>
                      <w:ind w:left="0" w:right="0" w:firstLine="0"/>
                      <w:jc w:val="left"/>
                      <w:rPr>
                        <w:sz w:val="20"/>
                      </w:rPr>
                    </w:pPr>
                    <w:r>
                      <w:rPr>
                        <w:sz w:val="20"/>
                      </w:rPr>
                      <w:t>-1</w:t>
                    </w:r>
                  </w:p>
                  <w:p>
                    <w:pPr>
                      <w:spacing w:before="136"/>
                      <w:ind w:left="0" w:right="0" w:firstLine="0"/>
                      <w:jc w:val="left"/>
                      <w:rPr>
                        <w:sz w:val="20"/>
                      </w:rPr>
                    </w:pPr>
                    <w:r>
                      <w:rPr>
                        <w:sz w:val="20"/>
                      </w:rPr>
                      <w:t>-2</w:t>
                    </w:r>
                  </w:p>
                  <w:p>
                    <w:pPr>
                      <w:spacing w:before="137"/>
                      <w:ind w:left="0" w:right="0" w:firstLine="0"/>
                      <w:jc w:val="left"/>
                      <w:rPr>
                        <w:sz w:val="20"/>
                      </w:rPr>
                    </w:pPr>
                    <w:r>
                      <w:rPr>
                        <w:sz w:val="20"/>
                      </w:rPr>
                      <w:t>-3</w:t>
                    </w:r>
                  </w:p>
                  <w:p>
                    <w:pPr>
                      <w:spacing w:before="136"/>
                      <w:ind w:left="0" w:right="0" w:firstLine="0"/>
                      <w:jc w:val="left"/>
                      <w:rPr>
                        <w:sz w:val="20"/>
                      </w:rPr>
                    </w:pPr>
                    <w:r>
                      <w:rPr>
                        <w:sz w:val="20"/>
                      </w:rPr>
                      <w:t>-4</w:t>
                    </w:r>
                  </w:p>
                </w:txbxContent>
              </v:textbox>
              <w10:wrap type="none"/>
            </v:shape>
            <v:shape style="position:absolute;left:5670;top:485;width:4600;height:262" type="#_x0000_t202" filled="false" stroked="true" strokeweight=".48004pt" strokecolor="#000000">
              <v:textbox inset="0,0,0,0">
                <w:txbxContent>
                  <w:p>
                    <w:pPr>
                      <w:spacing w:line="251" w:lineRule="exact" w:before="0"/>
                      <w:ind w:left="460" w:right="0" w:firstLine="0"/>
                      <w:jc w:val="left"/>
                      <w:rPr>
                        <w:sz w:val="22"/>
                      </w:rPr>
                    </w:pPr>
                    <w:r>
                      <w:rPr>
                        <w:sz w:val="22"/>
                      </w:rPr>
                      <w:t>b. Global Financial Crisis</w:t>
                    </w:r>
                  </w:p>
                </w:txbxContent>
              </v:textbox>
              <v:stroke dashstyle="solid"/>
              <w10:wrap type="none"/>
            </v:shape>
            <v:shape style="position:absolute;left:1024;top:485;width:4646;height:262" type="#_x0000_t202" filled="false" stroked="true" strokeweight=".48001pt" strokecolor="#000000">
              <v:textbox inset="0,0,0,0">
                <w:txbxContent>
                  <w:p>
                    <w:pPr>
                      <w:spacing w:line="251" w:lineRule="exact" w:before="0"/>
                      <w:ind w:left="461" w:right="0" w:firstLine="0"/>
                      <w:jc w:val="left"/>
                      <w:rPr>
                        <w:sz w:val="22"/>
                      </w:rPr>
                    </w:pPr>
                    <w:r>
                      <w:rPr>
                        <w:sz w:val="22"/>
                      </w:rPr>
                      <w:t>a. Asian Crisis</w:t>
                    </w:r>
                  </w:p>
                </w:txbxContent>
              </v:textbox>
              <v:stroke dashstyle="solid"/>
              <w10:wrap type="none"/>
            </v:shape>
            <w10:wrap type="none"/>
          </v:group>
        </w:pict>
      </w:r>
      <w:r>
        <w:rPr/>
        <w:pict>
          <v:shape style="position:absolute;margin-left:85.287476pt;margin-top:-114.0112pt;width:13.15pt;height:52.05pt;mso-position-horizontal-relative:page;mso-position-vertical-relative:paragraph;z-index:251721728" type="#_x0000_t202" filled="false" stroked="false">
            <v:textbox inset="0,0,0,0" style="layout-flow:vertical;mso-layout-flow-alt:bottom-to-top">
              <w:txbxContent>
                <w:p>
                  <w:pPr>
                    <w:pStyle w:val="BodyText"/>
                    <w:spacing w:before="12"/>
                    <w:ind w:left="20"/>
                  </w:pPr>
                  <w:r>
                    <w:rPr/>
                    <w:t>14/06/1997</w:t>
                  </w:r>
                </w:p>
              </w:txbxContent>
            </v:textbox>
            <w10:wrap type="none"/>
          </v:shape>
        </w:pict>
      </w:r>
      <w:r>
        <w:rPr/>
        <w:pict>
          <v:shape style="position:absolute;margin-left:105.853477pt;margin-top:-114.0112pt;width:33.75pt;height:52.05pt;mso-position-horizontal-relative:page;mso-position-vertical-relative:paragraph;z-index:251722752" type="#_x0000_t202" filled="false" stroked="false">
            <v:textbox inset="0,0,0,0" style="layout-flow:vertical;mso-layout-flow-alt:bottom-to-top">
              <w:txbxContent>
                <w:p>
                  <w:pPr>
                    <w:pStyle w:val="BodyText"/>
                    <w:spacing w:before="12"/>
                    <w:ind w:left="20"/>
                  </w:pPr>
                  <w:r>
                    <w:rPr/>
                    <w:t>26/07/1997</w:t>
                  </w:r>
                </w:p>
                <w:p>
                  <w:pPr>
                    <w:pStyle w:val="BodyText"/>
                    <w:spacing w:before="182"/>
                    <w:ind w:left="20"/>
                  </w:pPr>
                  <w:r>
                    <w:rPr/>
                    <w:t>06/09/1997</w:t>
                  </w:r>
                </w:p>
              </w:txbxContent>
            </v:textbox>
            <w10:wrap type="none"/>
          </v:shape>
        </w:pict>
      </w:r>
      <w:r>
        <w:rPr/>
        <w:pict>
          <v:shape style="position:absolute;margin-left:147.013474pt;margin-top:-114.0112pt;width:95.45pt;height:52.05pt;mso-position-horizontal-relative:page;mso-position-vertical-relative:paragraph;z-index:251723776" type="#_x0000_t202" filled="false" stroked="false">
            <v:textbox inset="0,0,0,0" style="layout-flow:vertical;mso-layout-flow-alt:bottom-to-top">
              <w:txbxContent>
                <w:p>
                  <w:pPr>
                    <w:pStyle w:val="BodyText"/>
                    <w:spacing w:before="12"/>
                    <w:ind w:left="20"/>
                  </w:pPr>
                  <w:r>
                    <w:rPr/>
                    <w:t>18/10/1997</w:t>
                  </w:r>
                </w:p>
                <w:p>
                  <w:pPr>
                    <w:pStyle w:val="BodyText"/>
                    <w:spacing w:before="182"/>
                    <w:ind w:left="20"/>
                  </w:pPr>
                  <w:r>
                    <w:rPr/>
                    <w:t>29/11/1997</w:t>
                  </w:r>
                </w:p>
                <w:p>
                  <w:pPr>
                    <w:pStyle w:val="BodyText"/>
                    <w:spacing w:before="182"/>
                    <w:ind w:left="20"/>
                  </w:pPr>
                  <w:r>
                    <w:rPr/>
                    <w:t>10/01/1998</w:t>
                  </w:r>
                </w:p>
                <w:p>
                  <w:pPr>
                    <w:pStyle w:val="BodyText"/>
                    <w:spacing w:before="181"/>
                    <w:ind w:left="20"/>
                  </w:pPr>
                  <w:r>
                    <w:rPr/>
                    <w:t>21/02/1998</w:t>
                  </w:r>
                </w:p>
                <w:p>
                  <w:pPr>
                    <w:pStyle w:val="BodyText"/>
                    <w:spacing w:before="182"/>
                    <w:ind w:left="20"/>
                  </w:pPr>
                  <w:r>
                    <w:rPr/>
                    <w:t>04/04/1998</w:t>
                  </w:r>
                </w:p>
              </w:txbxContent>
            </v:textbox>
            <w10:wrap type="none"/>
          </v:shape>
        </w:pict>
      </w:r>
      <w:r>
        <w:rPr/>
        <w:pict>
          <v:shape style="position:absolute;margin-left:249.923477pt;margin-top:-114.0112pt;width:13.15pt;height:52.05pt;mso-position-horizontal-relative:page;mso-position-vertical-relative:paragraph;z-index:251724800" type="#_x0000_t202" filled="false" stroked="false">
            <v:textbox inset="0,0,0,0" style="layout-flow:vertical;mso-layout-flow-alt:bottom-to-top">
              <w:txbxContent>
                <w:p>
                  <w:pPr>
                    <w:pStyle w:val="BodyText"/>
                    <w:spacing w:before="12"/>
                    <w:ind w:left="20"/>
                  </w:pPr>
                  <w:r>
                    <w:rPr/>
                    <w:t>16/05/1998</w:t>
                  </w:r>
                </w:p>
              </w:txbxContent>
            </v:textbox>
            <w10:wrap type="none"/>
          </v:shape>
        </w:pict>
      </w:r>
      <w:r>
        <w:rPr/>
        <w:pict>
          <v:shape style="position:absolute;margin-left:317.103485pt;margin-top:-113.801201pt;width:33.550pt;height:52.05pt;mso-position-horizontal-relative:page;mso-position-vertical-relative:paragraph;z-index:251726848" type="#_x0000_t202" filled="false" stroked="false">
            <v:textbox inset="0,0,0,0" style="layout-flow:vertical;mso-layout-flow-alt:bottom-to-top">
              <w:txbxContent>
                <w:p>
                  <w:pPr>
                    <w:pStyle w:val="BodyText"/>
                    <w:spacing w:before="12"/>
                    <w:ind w:left="20"/>
                  </w:pPr>
                  <w:r>
                    <w:rPr/>
                    <w:t>07/06/2008</w:t>
                  </w:r>
                </w:p>
                <w:p>
                  <w:pPr>
                    <w:pStyle w:val="BodyText"/>
                    <w:spacing w:before="179"/>
                    <w:ind w:left="20"/>
                  </w:pPr>
                  <w:r>
                    <w:rPr/>
                    <w:t>19/07/2008</w:t>
                  </w:r>
                </w:p>
              </w:txbxContent>
            </v:textbox>
            <w10:wrap type="none"/>
          </v:shape>
        </w:pict>
      </w:r>
      <w:r>
        <w:rPr/>
        <w:pict>
          <v:shape style="position:absolute;margin-left:357.923462pt;margin-top:-113.801201pt;width:135.65pt;height:52.05pt;mso-position-horizontal-relative:page;mso-position-vertical-relative:paragraph;z-index:251727872" type="#_x0000_t202" filled="false" stroked="false">
            <v:textbox inset="0,0,0,0" style="layout-flow:vertical;mso-layout-flow-alt:bottom-to-top">
              <w:txbxContent>
                <w:p>
                  <w:pPr>
                    <w:pStyle w:val="BodyText"/>
                    <w:spacing w:before="12"/>
                    <w:ind w:left="20"/>
                  </w:pPr>
                  <w:r>
                    <w:rPr/>
                    <w:t>30/08/2008</w:t>
                  </w:r>
                </w:p>
                <w:p>
                  <w:pPr>
                    <w:pStyle w:val="BodyText"/>
                    <w:spacing w:before="179"/>
                    <w:ind w:left="20"/>
                  </w:pPr>
                  <w:r>
                    <w:rPr/>
                    <w:t>11/10/2008</w:t>
                  </w:r>
                </w:p>
                <w:p>
                  <w:pPr>
                    <w:pStyle w:val="BodyText"/>
                    <w:spacing w:before="178"/>
                    <w:ind w:left="20"/>
                  </w:pPr>
                  <w:r>
                    <w:rPr/>
                    <w:t>22/11/2008</w:t>
                  </w:r>
                </w:p>
                <w:p>
                  <w:pPr>
                    <w:pStyle w:val="BodyText"/>
                    <w:spacing w:before="178"/>
                    <w:ind w:left="20"/>
                  </w:pPr>
                  <w:r>
                    <w:rPr/>
                    <w:t>03/01/2009</w:t>
                  </w:r>
                </w:p>
                <w:p>
                  <w:pPr>
                    <w:pStyle w:val="BodyText"/>
                    <w:spacing w:before="179"/>
                    <w:ind w:left="20"/>
                  </w:pPr>
                  <w:r>
                    <w:rPr/>
                    <w:t>14/02/2009</w:t>
                  </w:r>
                </w:p>
                <w:p>
                  <w:pPr>
                    <w:pStyle w:val="BodyText"/>
                    <w:spacing w:before="178"/>
                    <w:ind w:left="20"/>
                  </w:pPr>
                  <w:r>
                    <w:rPr/>
                    <w:t>28/03/2009</w:t>
                  </w:r>
                </w:p>
                <w:p>
                  <w:pPr>
                    <w:pStyle w:val="BodyText"/>
                    <w:spacing w:before="179"/>
                    <w:ind w:left="20"/>
                  </w:pPr>
                  <w:r>
                    <w:rPr/>
                    <w:t>09/05/2009</w:t>
                  </w:r>
                </w:p>
              </w:txbxContent>
            </v:textbox>
            <w10:wrap type="none"/>
          </v:shape>
        </w:pict>
      </w:r>
      <w:r>
        <w:rPr>
          <w:b/>
          <w:sz w:val="22"/>
        </w:rPr>
        <w:t>Figure 4. GDP growth during periods of stress</w:t>
      </w:r>
    </w:p>
    <w:p>
      <w:pPr>
        <w:spacing w:after="0"/>
        <w:jc w:val="left"/>
        <w:rPr>
          <w:sz w:val="22"/>
        </w:rPr>
        <w:sectPr>
          <w:pgSz w:w="11910" w:h="16840"/>
          <w:pgMar w:header="0" w:footer="1676" w:top="1580" w:bottom="1860" w:left="880" w:right="0"/>
        </w:sectPr>
      </w:pPr>
    </w:p>
    <w:p>
      <w:pPr>
        <w:pStyle w:val="BodyText"/>
        <w:rPr>
          <w:b/>
        </w:rPr>
      </w:pPr>
    </w:p>
    <w:p>
      <w:pPr>
        <w:spacing w:before="212"/>
        <w:ind w:left="253" w:right="0" w:firstLine="0"/>
        <w:jc w:val="left"/>
        <w:rPr>
          <w:b/>
          <w:sz w:val="22"/>
        </w:rPr>
      </w:pPr>
      <w:r>
        <w:rPr>
          <w:b/>
          <w:sz w:val="22"/>
        </w:rPr>
        <w:t>Figure 5. Bilateral equity correlations</w:t>
      </w:r>
    </w:p>
    <w:p>
      <w:pPr>
        <w:pStyle w:val="BodyText"/>
        <w:spacing w:before="1"/>
        <w:rPr>
          <w:b/>
          <w:sz w:val="21"/>
        </w:rPr>
      </w:pPr>
    </w:p>
    <w:p>
      <w:pPr>
        <w:pStyle w:val="ListParagraph"/>
        <w:numPr>
          <w:ilvl w:val="0"/>
          <w:numId w:val="2"/>
        </w:numPr>
        <w:tabs>
          <w:tab w:pos="973" w:val="left" w:leader="none"/>
          <w:tab w:pos="974" w:val="left" w:leader="none"/>
        </w:tabs>
        <w:spacing w:line="240" w:lineRule="auto" w:before="1" w:after="0"/>
        <w:ind w:left="973" w:right="0" w:hanging="721"/>
        <w:jc w:val="left"/>
        <w:rPr>
          <w:sz w:val="20"/>
        </w:rPr>
      </w:pPr>
      <w:r>
        <w:rPr/>
        <w:pict>
          <v:shape style="position:absolute;margin-left:85.095474pt;margin-top:65.046616pt;width:13.15pt;height:28.6pt;mso-position-horizontal-relative:page;mso-position-vertical-relative:paragraph;z-index:251746304" type="#_x0000_t202" filled="false" stroked="false">
            <v:textbox inset="0,0,0,0" style="layout-flow:vertical;mso-layout-flow-alt:bottom-to-top">
              <w:txbxContent>
                <w:p>
                  <w:pPr>
                    <w:pStyle w:val="BodyText"/>
                    <w:spacing w:before="12"/>
                    <w:ind w:left="20"/>
                  </w:pPr>
                  <w:r>
                    <w:rPr/>
                    <w:t>EMEs</w:t>
                  </w:r>
                </w:p>
              </w:txbxContent>
            </v:textbox>
            <w10:wrap type="none"/>
          </v:shape>
        </w:pict>
      </w:r>
      <w:r>
        <w:rPr>
          <w:sz w:val="20"/>
        </w:rPr>
        <w:t>Equity Market Correlations:</w:t>
      </w:r>
      <w:r>
        <w:rPr>
          <w:spacing w:val="-5"/>
          <w:sz w:val="20"/>
        </w:rPr>
        <w:t> </w:t>
      </w:r>
      <w:r>
        <w:rPr>
          <w:sz w:val="20"/>
        </w:rPr>
        <w:t>1985-1994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p>
    <w:p>
      <w:pPr>
        <w:pStyle w:val="BodyText"/>
        <w:tabs>
          <w:tab w:pos="3772" w:val="left" w:leader="none"/>
          <w:tab w:pos="6525" w:val="left" w:leader="none"/>
        </w:tabs>
        <w:spacing w:line="211" w:lineRule="auto" w:before="114"/>
        <w:ind w:left="253" w:right="3967" w:firstLine="1574"/>
      </w:pPr>
      <w:r>
        <w:rPr/>
        <w:pict>
          <v:group style="position:absolute;margin-left:109.605827pt;margin-top:-244.435394pt;width:359.35pt;height:250pt;mso-position-horizontal-relative:page;mso-position-vertical-relative:paragraph;z-index:251735040" coordorigin="2192,-4889" coordsize="7187,5000">
            <v:shape style="position:absolute;left:2272;top:-4768;width:6855;height:4879" type="#_x0000_t75" stroked="false">
              <v:imagedata r:id="rId30" o:title=""/>
            </v:shape>
            <v:shape style="position:absolute;left:9111;top:-4768;width:135;height:4403" type="#_x0000_t75" stroked="false">
              <v:imagedata r:id="rId31" o:title=""/>
            </v:shape>
            <v:shape style="position:absolute;left:5517;top:-4889;width:305;height:82" type="#_x0000_t202" filled="false" stroked="false">
              <v:textbox inset="0,0,0,0">
                <w:txbxContent>
                  <w:p>
                    <w:pPr>
                      <w:spacing w:before="0"/>
                      <w:ind w:left="0" w:right="0" w:firstLine="0"/>
                      <w:jc w:val="left"/>
                      <w:rPr>
                        <w:sz w:val="7"/>
                      </w:rPr>
                    </w:pPr>
                    <w:r>
                      <w:rPr>
                        <w:w w:val="85"/>
                        <w:sz w:val="7"/>
                      </w:rPr>
                      <w:t>1985-1994</w:t>
                    </w:r>
                  </w:p>
                </w:txbxContent>
              </v:textbox>
              <w10:wrap type="none"/>
            </v:shape>
            <v:shape style="position:absolute;left:2192;top:-4761;width:133;height:4377" type="#_x0000_t202" filled="false" stroked="false">
              <v:textbox inset="0,0,0,0">
                <w:txbxContent>
                  <w:p>
                    <w:pPr>
                      <w:spacing w:line="273" w:lineRule="auto" w:before="0"/>
                      <w:ind w:left="0" w:right="18" w:firstLine="18"/>
                      <w:jc w:val="right"/>
                      <w:rPr>
                        <w:sz w:val="7"/>
                      </w:rPr>
                    </w:pPr>
                    <w:r>
                      <w:rPr>
                        <w:w w:val="90"/>
                        <w:sz w:val="7"/>
                      </w:rPr>
                      <w:t>VE</w:t>
                    </w:r>
                    <w:r>
                      <w:rPr>
                        <w:spacing w:val="1"/>
                        <w:w w:val="87"/>
                        <w:sz w:val="7"/>
                      </w:rPr>
                      <w:t> </w:t>
                    </w:r>
                    <w:r>
                      <w:rPr>
                        <w:spacing w:val="-5"/>
                        <w:w w:val="85"/>
                        <w:sz w:val="7"/>
                      </w:rPr>
                      <w:t>TK TH </w:t>
                    </w:r>
                    <w:r>
                      <w:rPr>
                        <w:w w:val="90"/>
                        <w:sz w:val="7"/>
                      </w:rPr>
                      <w:t>SA</w:t>
                    </w:r>
                    <w:r>
                      <w:rPr>
                        <w:spacing w:val="1"/>
                        <w:w w:val="87"/>
                        <w:sz w:val="7"/>
                      </w:rPr>
                      <w:t> </w:t>
                    </w:r>
                    <w:r>
                      <w:rPr>
                        <w:w w:val="90"/>
                        <w:sz w:val="7"/>
                      </w:rPr>
                      <w:t>SI</w:t>
                    </w:r>
                    <w:r>
                      <w:rPr>
                        <w:spacing w:val="1"/>
                        <w:w w:val="87"/>
                        <w:sz w:val="7"/>
                      </w:rPr>
                      <w:t> </w:t>
                    </w:r>
                    <w:r>
                      <w:rPr>
                        <w:spacing w:val="-2"/>
                        <w:w w:val="85"/>
                        <w:sz w:val="7"/>
                      </w:rPr>
                      <w:t>RS </w:t>
                    </w:r>
                    <w:r>
                      <w:rPr>
                        <w:w w:val="85"/>
                        <w:sz w:val="7"/>
                      </w:rPr>
                      <w:t>PO PH </w:t>
                    </w:r>
                    <w:r>
                      <w:rPr>
                        <w:w w:val="90"/>
                        <w:sz w:val="7"/>
                      </w:rPr>
                      <w:t>PE</w:t>
                    </w:r>
                    <w:r>
                      <w:rPr>
                        <w:spacing w:val="1"/>
                        <w:w w:val="87"/>
                        <w:sz w:val="7"/>
                      </w:rPr>
                      <w:t> </w:t>
                    </w:r>
                    <w:r>
                      <w:rPr>
                        <w:w w:val="90"/>
                        <w:sz w:val="7"/>
                      </w:rPr>
                      <w:t>PK</w:t>
                    </w:r>
                    <w:r>
                      <w:rPr>
                        <w:spacing w:val="1"/>
                        <w:w w:val="87"/>
                        <w:sz w:val="7"/>
                      </w:rPr>
                      <w:t> </w:t>
                    </w:r>
                    <w:r>
                      <w:rPr>
                        <w:w w:val="85"/>
                        <w:sz w:val="7"/>
                      </w:rPr>
                      <w:t>MX MY </w:t>
                    </w:r>
                    <w:r>
                      <w:rPr>
                        <w:spacing w:val="-3"/>
                        <w:w w:val="85"/>
                        <w:sz w:val="7"/>
                      </w:rPr>
                      <w:t>ID</w:t>
                    </w:r>
                    <w:r>
                      <w:rPr>
                        <w:spacing w:val="-3"/>
                        <w:w w:val="87"/>
                        <w:sz w:val="7"/>
                      </w:rPr>
                      <w:t> </w:t>
                    </w:r>
                    <w:r>
                      <w:rPr>
                        <w:spacing w:val="-3"/>
                        <w:w w:val="85"/>
                        <w:sz w:val="7"/>
                      </w:rPr>
                      <w:t>IN</w:t>
                    </w:r>
                    <w:r>
                      <w:rPr>
                        <w:spacing w:val="-3"/>
                        <w:w w:val="87"/>
                        <w:sz w:val="7"/>
                      </w:rPr>
                      <w:t> </w:t>
                    </w:r>
                    <w:r>
                      <w:rPr>
                        <w:spacing w:val="-2"/>
                        <w:w w:val="85"/>
                        <w:sz w:val="7"/>
                      </w:rPr>
                      <w:t>HN CB CH CL </w:t>
                    </w:r>
                    <w:r>
                      <w:rPr>
                        <w:w w:val="85"/>
                        <w:sz w:val="7"/>
                      </w:rPr>
                      <w:t>BR AG </w:t>
                    </w:r>
                    <w:r>
                      <w:rPr>
                        <w:spacing w:val="-2"/>
                        <w:w w:val="85"/>
                        <w:sz w:val="7"/>
                      </w:rPr>
                      <w:t>US UK </w:t>
                    </w:r>
                    <w:r>
                      <w:rPr>
                        <w:spacing w:val="-5"/>
                        <w:w w:val="85"/>
                        <w:sz w:val="7"/>
                      </w:rPr>
                      <w:t>TW </w:t>
                    </w:r>
                    <w:r>
                      <w:rPr>
                        <w:w w:val="85"/>
                        <w:sz w:val="7"/>
                      </w:rPr>
                      <w:t>SW SD </w:t>
                    </w:r>
                    <w:r>
                      <w:rPr>
                        <w:w w:val="90"/>
                        <w:sz w:val="7"/>
                      </w:rPr>
                      <w:t>SP</w:t>
                    </w:r>
                    <w:r>
                      <w:rPr>
                        <w:spacing w:val="1"/>
                        <w:w w:val="87"/>
                        <w:sz w:val="7"/>
                      </w:rPr>
                      <w:t> </w:t>
                    </w:r>
                    <w:r>
                      <w:rPr>
                        <w:spacing w:val="-2"/>
                        <w:w w:val="85"/>
                        <w:sz w:val="7"/>
                      </w:rPr>
                      <w:t>NW NZ </w:t>
                    </w:r>
                    <w:r>
                      <w:rPr>
                        <w:w w:val="85"/>
                        <w:sz w:val="7"/>
                      </w:rPr>
                      <w:t>KO </w:t>
                    </w:r>
                    <w:r>
                      <w:rPr>
                        <w:spacing w:val="-3"/>
                        <w:w w:val="85"/>
                        <w:sz w:val="7"/>
                      </w:rPr>
                      <w:t>JP IS</w:t>
                    </w:r>
                    <w:r>
                      <w:rPr>
                        <w:spacing w:val="-3"/>
                        <w:w w:val="87"/>
                        <w:sz w:val="7"/>
                      </w:rPr>
                      <w:t> </w:t>
                    </w:r>
                    <w:r>
                      <w:rPr>
                        <w:spacing w:val="-2"/>
                        <w:w w:val="85"/>
                        <w:sz w:val="7"/>
                      </w:rPr>
                      <w:t>HK DK CZ CN </w:t>
                    </w:r>
                    <w:r>
                      <w:rPr>
                        <w:w w:val="85"/>
                        <w:sz w:val="7"/>
                      </w:rPr>
                      <w:t>AU </w:t>
                    </w:r>
                    <w:r>
                      <w:rPr>
                        <w:w w:val="90"/>
                        <w:sz w:val="7"/>
                      </w:rPr>
                      <w:t>ES</w:t>
                    </w:r>
                    <w:r>
                      <w:rPr>
                        <w:spacing w:val="1"/>
                        <w:w w:val="87"/>
                        <w:sz w:val="7"/>
                      </w:rPr>
                      <w:t> </w:t>
                    </w:r>
                    <w:r>
                      <w:rPr>
                        <w:w w:val="90"/>
                        <w:sz w:val="7"/>
                      </w:rPr>
                      <w:t>PT</w:t>
                    </w:r>
                    <w:r>
                      <w:rPr>
                        <w:spacing w:val="1"/>
                        <w:w w:val="87"/>
                        <w:sz w:val="7"/>
                      </w:rPr>
                      <w:t> </w:t>
                    </w:r>
                    <w:r>
                      <w:rPr>
                        <w:spacing w:val="-2"/>
                        <w:w w:val="85"/>
                        <w:sz w:val="7"/>
                      </w:rPr>
                      <w:t>NL LX </w:t>
                    </w:r>
                    <w:r>
                      <w:rPr>
                        <w:spacing w:val="-3"/>
                        <w:w w:val="85"/>
                        <w:sz w:val="7"/>
                      </w:rPr>
                      <w:t>IT</w:t>
                    </w:r>
                    <w:r>
                      <w:rPr>
                        <w:spacing w:val="-3"/>
                        <w:w w:val="87"/>
                        <w:sz w:val="7"/>
                      </w:rPr>
                      <w:t> </w:t>
                    </w:r>
                    <w:r>
                      <w:rPr>
                        <w:spacing w:val="-3"/>
                        <w:w w:val="87"/>
                        <w:sz w:val="7"/>
                      </w:rPr>
                      <w:t> </w:t>
                    </w:r>
                    <w:r>
                      <w:rPr>
                        <w:spacing w:val="-3"/>
                        <w:w w:val="85"/>
                        <w:sz w:val="7"/>
                      </w:rPr>
                      <w:t>IR</w:t>
                    </w:r>
                    <w:r>
                      <w:rPr>
                        <w:spacing w:val="-3"/>
                        <w:w w:val="87"/>
                        <w:sz w:val="7"/>
                      </w:rPr>
                      <w:t> </w:t>
                    </w:r>
                    <w:r>
                      <w:rPr>
                        <w:spacing w:val="-1"/>
                        <w:w w:val="85"/>
                        <w:sz w:val="7"/>
                      </w:rPr>
                      <w:t>GR </w:t>
                    </w:r>
                    <w:r>
                      <w:rPr>
                        <w:w w:val="85"/>
                        <w:sz w:val="7"/>
                      </w:rPr>
                      <w:t>BD FR FN BG </w:t>
                    </w:r>
                    <w:r>
                      <w:rPr>
                        <w:spacing w:val="-1"/>
                        <w:w w:val="85"/>
                        <w:sz w:val="7"/>
                      </w:rPr>
                      <w:t>OE</w:t>
                    </w:r>
                  </w:p>
                </w:txbxContent>
              </v:textbox>
              <w10:wrap type="none"/>
            </v:shape>
            <v:shape style="position:absolute;left:9253;top:-4805;width:55;height:82" type="#_x0000_t202" filled="false" stroked="false">
              <v:textbox inset="0,0,0,0">
                <w:txbxContent>
                  <w:p>
                    <w:pPr>
                      <w:spacing w:before="0"/>
                      <w:ind w:left="0" w:right="0" w:firstLine="0"/>
                      <w:jc w:val="left"/>
                      <w:rPr>
                        <w:sz w:val="7"/>
                      </w:rPr>
                    </w:pPr>
                    <w:r>
                      <w:rPr>
                        <w:w w:val="87"/>
                        <w:sz w:val="7"/>
                      </w:rPr>
                      <w:t>1</w:t>
                    </w:r>
                  </w:p>
                </w:txbxContent>
              </v:textbox>
              <w10:wrap type="none"/>
            </v:shape>
            <v:shape style="position:absolute;left:9253;top:-4370;width:125;height:3601" type="#_x0000_t202" filled="false" stroked="false">
              <v:textbox inset="0,0,0,0">
                <w:txbxContent>
                  <w:p>
                    <w:pPr>
                      <w:spacing w:before="0"/>
                      <w:ind w:left="0" w:right="0" w:firstLine="0"/>
                      <w:jc w:val="left"/>
                      <w:rPr>
                        <w:sz w:val="7"/>
                      </w:rPr>
                    </w:pPr>
                    <w:r>
                      <w:rPr>
                        <w:sz w:val="7"/>
                      </w:rPr>
                      <w:t>0.8</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0"/>
                      <w:ind w:left="0" w:right="0" w:firstLine="0"/>
                      <w:jc w:val="left"/>
                      <w:rPr>
                        <w:sz w:val="7"/>
                      </w:rPr>
                    </w:pPr>
                    <w:r>
                      <w:rPr>
                        <w:sz w:val="7"/>
                      </w:rPr>
                      <w:t>0.6</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1"/>
                      <w:ind w:left="0" w:right="0" w:firstLine="0"/>
                      <w:jc w:val="left"/>
                      <w:rPr>
                        <w:sz w:val="7"/>
                      </w:rPr>
                    </w:pPr>
                    <w:r>
                      <w:rPr>
                        <w:sz w:val="7"/>
                      </w:rPr>
                      <w:t>0.4</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10"/>
                      <w:rPr>
                        <w:sz w:val="6"/>
                      </w:rPr>
                    </w:pPr>
                  </w:p>
                  <w:p>
                    <w:pPr>
                      <w:spacing w:before="0"/>
                      <w:ind w:left="0" w:right="0" w:firstLine="0"/>
                      <w:jc w:val="left"/>
                      <w:rPr>
                        <w:sz w:val="7"/>
                      </w:rPr>
                    </w:pPr>
                    <w:r>
                      <w:rPr>
                        <w:sz w:val="7"/>
                      </w:rPr>
                      <w:t>0.2</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0"/>
                      <w:ind w:left="0" w:right="0" w:firstLine="0"/>
                      <w:jc w:val="left"/>
                      <w:rPr>
                        <w:sz w:val="7"/>
                      </w:rPr>
                    </w:pPr>
                    <w:r>
                      <w:rPr>
                        <w:w w:val="87"/>
                        <w:sz w:val="7"/>
                      </w:rPr>
                      <w:t>0</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1"/>
                      <w:ind w:left="0" w:right="0" w:firstLine="0"/>
                      <w:jc w:val="left"/>
                      <w:rPr>
                        <w:sz w:val="7"/>
                      </w:rPr>
                    </w:pPr>
                    <w:r>
                      <w:rPr>
                        <w:w w:val="95"/>
                        <w:sz w:val="7"/>
                      </w:rPr>
                      <w:t>-0.2</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10"/>
                      <w:rPr>
                        <w:sz w:val="6"/>
                      </w:rPr>
                    </w:pPr>
                  </w:p>
                  <w:p>
                    <w:pPr>
                      <w:spacing w:before="0"/>
                      <w:ind w:left="0" w:right="0" w:firstLine="0"/>
                      <w:jc w:val="left"/>
                      <w:rPr>
                        <w:sz w:val="7"/>
                      </w:rPr>
                    </w:pPr>
                    <w:r>
                      <w:rPr>
                        <w:w w:val="95"/>
                        <w:sz w:val="7"/>
                      </w:rPr>
                      <w:t>-0.4</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0"/>
                      <w:ind w:left="0" w:right="0" w:firstLine="0"/>
                      <w:jc w:val="left"/>
                      <w:rPr>
                        <w:sz w:val="7"/>
                      </w:rPr>
                    </w:pPr>
                    <w:r>
                      <w:rPr>
                        <w:w w:val="95"/>
                        <w:sz w:val="7"/>
                      </w:rPr>
                      <w:t>-0.6</w:t>
                    </w:r>
                  </w:p>
                  <w:p>
                    <w:pPr>
                      <w:spacing w:line="240" w:lineRule="auto" w:before="0"/>
                      <w:rPr>
                        <w:sz w:val="8"/>
                      </w:rPr>
                    </w:pPr>
                  </w:p>
                  <w:p>
                    <w:pPr>
                      <w:spacing w:line="240" w:lineRule="auto" w:before="0"/>
                      <w:rPr>
                        <w:sz w:val="8"/>
                      </w:rPr>
                    </w:pPr>
                  </w:p>
                  <w:p>
                    <w:pPr>
                      <w:spacing w:line="240" w:lineRule="auto" w:before="0"/>
                      <w:rPr>
                        <w:sz w:val="8"/>
                      </w:rPr>
                    </w:pPr>
                  </w:p>
                  <w:p>
                    <w:pPr>
                      <w:spacing w:line="240" w:lineRule="auto" w:before="4"/>
                      <w:rPr>
                        <w:sz w:val="7"/>
                      </w:rPr>
                    </w:pPr>
                  </w:p>
                  <w:p>
                    <w:pPr>
                      <w:spacing w:before="0"/>
                      <w:ind w:left="0" w:right="0" w:firstLine="0"/>
                      <w:jc w:val="left"/>
                      <w:rPr>
                        <w:sz w:val="7"/>
                      </w:rPr>
                    </w:pPr>
                    <w:r>
                      <w:rPr>
                        <w:w w:val="95"/>
                        <w:sz w:val="7"/>
                      </w:rPr>
                      <w:t>-0.8</w:t>
                    </w:r>
                  </w:p>
                </w:txbxContent>
              </v:textbox>
              <w10:wrap type="none"/>
            </v:shape>
            <v:shape style="position:absolute;left:2338;top:-353;width:6667;height:82" type="#_x0000_t202" filled="false" stroked="false">
              <v:textbox inset="0,0,0,0">
                <w:txbxContent>
                  <w:p>
                    <w:pPr>
                      <w:spacing w:before="0"/>
                      <w:ind w:left="0" w:right="0" w:firstLine="0"/>
                      <w:jc w:val="left"/>
                      <w:rPr>
                        <w:sz w:val="7"/>
                      </w:rPr>
                    </w:pPr>
                    <w:r>
                      <w:rPr>
                        <w:sz w:val="7"/>
                      </w:rPr>
                      <w:t>OE BG FN FR BD GR IR IT LX NL PT ES AU CN CZ DK HK IS JP KO NZ NW SP SD SW TW UK US AG BR CL CH CB HN IN ID MY MX PK PE PH PO RS SI SA TH TK VE</w:t>
                    </w:r>
                  </w:p>
                </w:txbxContent>
              </v:textbox>
              <w10:wrap type="none"/>
            </v:shape>
            <v:shape style="position:absolute;left:9253;top:-409;width:72;height:82" type="#_x0000_t202" filled="false" stroked="false">
              <v:textbox inset="0,0,0,0">
                <w:txbxContent>
                  <w:p>
                    <w:pPr>
                      <w:spacing w:before="0"/>
                      <w:ind w:left="0" w:right="0" w:firstLine="0"/>
                      <w:jc w:val="left"/>
                      <w:rPr>
                        <w:sz w:val="7"/>
                      </w:rPr>
                    </w:pPr>
                    <w:r>
                      <w:rPr>
                        <w:sz w:val="7"/>
                      </w:rPr>
                      <w:t>-1</w:t>
                    </w:r>
                  </w:p>
                </w:txbxContent>
              </v:textbox>
              <w10:wrap type="none"/>
            </v:shape>
            <w10:wrap type="none"/>
          </v:group>
        </w:pict>
      </w:r>
      <w:r>
        <w:rPr/>
        <w:drawing>
          <wp:anchor distT="0" distB="0" distL="0" distR="0" allowOverlap="1" layoutInCell="1" locked="0" behindDoc="0" simplePos="0" relativeHeight="251741184">
            <wp:simplePos x="0" y="0"/>
            <wp:positionH relativeFrom="page">
              <wp:posOffset>1229867</wp:posOffset>
            </wp:positionH>
            <wp:positionV relativeFrom="paragraph">
              <wp:posOffset>-3018481</wp:posOffset>
            </wp:positionV>
            <wp:extent cx="165983" cy="2838450"/>
            <wp:effectExtent l="0" t="0" r="0" b="0"/>
            <wp:wrapNone/>
            <wp:docPr id="5" name="image7.png"/>
            <wp:cNvGraphicFramePr>
              <a:graphicFrameLocks noChangeAspect="1"/>
            </wp:cNvGraphicFramePr>
            <a:graphic>
              <a:graphicData uri="http://schemas.openxmlformats.org/drawingml/2006/picture">
                <pic:pic>
                  <pic:nvPicPr>
                    <pic:cNvPr id="6" name="image7.png"/>
                    <pic:cNvPicPr/>
                  </pic:nvPicPr>
                  <pic:blipFill>
                    <a:blip r:embed="rId32" cstate="print"/>
                    <a:stretch>
                      <a:fillRect/>
                    </a:stretch>
                  </pic:blipFill>
                  <pic:spPr>
                    <a:xfrm>
                      <a:off x="0" y="0"/>
                      <a:ext cx="165983" cy="2838450"/>
                    </a:xfrm>
                    <a:prstGeom prst="rect">
                      <a:avLst/>
                    </a:prstGeom>
                  </pic:spPr>
                </pic:pic>
              </a:graphicData>
            </a:graphic>
          </wp:anchor>
        </w:drawing>
      </w:r>
      <w:r>
        <w:rPr/>
        <w:pict>
          <v:shape style="position:absolute;margin-left:84.471474pt;margin-top:-132.250031pt;width:13.15pt;height:45.75pt;mso-position-horizontal-relative:page;mso-position-vertical-relative:paragraph;z-index:251744256"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pict>
          <v:shape style="position:absolute;margin-left:84.881752pt;margin-top:-65.385506pt;width:13.2pt;height:45.85pt;mso-position-horizontal-relative:page;mso-position-vertical-relative:paragraph;z-index:251745280" type="#_x0000_t202" filled="false" stroked="false">
            <v:textbox inset="0,0,0,0" style="layout-flow:vertical;mso-layout-flow-alt:bottom-to-top">
              <w:txbxContent>
                <w:p>
                  <w:pPr>
                    <w:pStyle w:val="BodyText"/>
                    <w:spacing w:before="13"/>
                    <w:ind w:left="20"/>
                  </w:pPr>
                  <w:r>
                    <w:rPr/>
                    <w:t>Euro area</w:t>
                  </w:r>
                </w:p>
              </w:txbxContent>
            </v:textbox>
            <w10:wrap type="none"/>
          </v:shape>
        </w:pict>
      </w:r>
      <w:r>
        <w:rPr/>
        <w:t>Euro area</w:t>
        <w:tab/>
        <w:t>other AEs</w:t>
        <w:tab/>
      </w:r>
      <w:r>
        <w:rPr>
          <w:spacing w:val="-5"/>
          <w:position w:val="-2"/>
        </w:rPr>
        <w:t>EMEs </w:t>
      </w:r>
      <w:r>
        <w:rPr/>
        <w:t>Note: white cells refer to countries without data for the period</w:t>
      </w:r>
      <w:r>
        <w:rPr>
          <w:spacing w:val="-15"/>
        </w:rPr>
        <w:t> </w:t>
      </w:r>
      <w:r>
        <w:rPr/>
        <w:t>considered.</w:t>
      </w:r>
    </w:p>
    <w:p>
      <w:pPr>
        <w:pStyle w:val="BodyText"/>
        <w:spacing w:before="10"/>
        <w:rPr>
          <w:sz w:val="25"/>
        </w:rPr>
      </w:pPr>
    </w:p>
    <w:p>
      <w:pPr>
        <w:pStyle w:val="ListParagraph"/>
        <w:numPr>
          <w:ilvl w:val="0"/>
          <w:numId w:val="2"/>
        </w:numPr>
        <w:tabs>
          <w:tab w:pos="973" w:val="left" w:leader="none"/>
          <w:tab w:pos="974" w:val="left" w:leader="none"/>
        </w:tabs>
        <w:spacing w:line="240" w:lineRule="auto" w:before="1" w:after="0"/>
        <w:ind w:left="973" w:right="0" w:hanging="721"/>
        <w:jc w:val="left"/>
        <w:rPr>
          <w:sz w:val="22"/>
        </w:rPr>
      </w:pPr>
      <w:r>
        <w:rPr>
          <w:sz w:val="20"/>
        </w:rPr>
        <w:t>Equity Market Correlations:</w:t>
      </w:r>
      <w:r>
        <w:rPr>
          <w:spacing w:val="-5"/>
          <w:sz w:val="20"/>
        </w:rPr>
        <w:t> </w:t>
      </w:r>
      <w:r>
        <w:rPr>
          <w:sz w:val="20"/>
        </w:rPr>
        <w:t>1995-2004</w:t>
      </w:r>
    </w:p>
    <w:p>
      <w:pPr>
        <w:pStyle w:val="BodyText"/>
        <w:spacing w:before="3"/>
        <w:rPr>
          <w:sz w:val="18"/>
        </w:rPr>
      </w:pPr>
    </w:p>
    <w:p>
      <w:pPr>
        <w:pStyle w:val="BodyText"/>
        <w:spacing w:before="8"/>
        <w:rPr>
          <w:sz w:val="8"/>
        </w:rPr>
      </w:pPr>
    </w:p>
    <w:p>
      <w:pPr>
        <w:spacing w:before="1"/>
        <w:ind w:left="3835" w:right="5300" w:firstLine="0"/>
        <w:jc w:val="center"/>
        <w:rPr>
          <w:sz w:val="7"/>
        </w:rPr>
      </w:pPr>
      <w:r>
        <w:rPr>
          <w:sz w:val="7"/>
        </w:rPr>
        <w:t>1995-2004</w:t>
      </w:r>
    </w:p>
    <w:p>
      <w:pPr>
        <w:spacing w:before="3"/>
        <w:ind w:left="5755" w:right="0" w:firstLine="0"/>
        <w:jc w:val="center"/>
        <w:rPr>
          <w:sz w:val="7"/>
        </w:rPr>
      </w:pPr>
      <w:r>
        <w:rPr/>
        <w:pict>
          <v:group style="position:absolute;margin-left:113.879997pt;margin-top:2.018336pt;width:348.5pt;height:250.05pt;mso-position-horizontal-relative:page;mso-position-vertical-relative:paragraph;z-index:251740160" coordorigin="2278,40" coordsize="6970,5001">
            <v:shape style="position:absolute;left:2277;top:40;width:6970;height:4875" type="#_x0000_t75" stroked="false">
              <v:imagedata r:id="rId33" o:title=""/>
            </v:shape>
            <v:shape style="position:absolute;left:2338;top:4455;width:6667;height:82" type="#_x0000_t202" filled="false" stroked="false">
              <v:textbox inset="0,0,0,0">
                <w:txbxContent>
                  <w:p>
                    <w:pPr>
                      <w:spacing w:before="0"/>
                      <w:ind w:left="0" w:right="0" w:firstLine="0"/>
                      <w:jc w:val="left"/>
                      <w:rPr>
                        <w:sz w:val="7"/>
                      </w:rPr>
                    </w:pPr>
                    <w:r>
                      <w:rPr>
                        <w:sz w:val="7"/>
                      </w:rPr>
                      <w:t>OE BG FN FR BD GR IR IT LX NL PT ES AU CN CZ DK HK IS JP KO NZ NW SP SD SW TW UK US AG BR CL CH CB HN IN ID MY MX PK PE PH PO RS SI SA TH TK VE</w:t>
                    </w:r>
                  </w:p>
                </w:txbxContent>
              </v:textbox>
              <w10:wrap type="none"/>
            </v:shape>
            <v:shape style="position:absolute;left:2710;top:4710;width:897;height:223" type="#_x0000_t202" filled="false" stroked="false">
              <v:textbox inset="0,0,0,0">
                <w:txbxContent>
                  <w:p>
                    <w:pPr>
                      <w:spacing w:line="223" w:lineRule="exact" w:before="0"/>
                      <w:ind w:left="0" w:right="0" w:firstLine="0"/>
                      <w:jc w:val="left"/>
                      <w:rPr>
                        <w:sz w:val="20"/>
                      </w:rPr>
                    </w:pPr>
                    <w:r>
                      <w:rPr>
                        <w:sz w:val="20"/>
                      </w:rPr>
                      <w:t>Euro area</w:t>
                    </w:r>
                  </w:p>
                </w:txbxContent>
              </v:textbox>
              <w10:wrap type="none"/>
            </v:shape>
            <v:shape style="position:absolute;left:4659;top:4777;width:895;height:223" type="#_x0000_t202" filled="false" stroked="false">
              <v:textbox inset="0,0,0,0">
                <w:txbxContent>
                  <w:p>
                    <w:pPr>
                      <w:spacing w:line="223" w:lineRule="exact" w:before="0"/>
                      <w:ind w:left="0" w:right="0" w:firstLine="0"/>
                      <w:jc w:val="left"/>
                      <w:rPr>
                        <w:sz w:val="20"/>
                      </w:rPr>
                    </w:pPr>
                    <w:r>
                      <w:rPr>
                        <w:sz w:val="20"/>
                      </w:rPr>
                      <w:t>other AEs</w:t>
                    </w:r>
                  </w:p>
                </w:txbxContent>
              </v:textbox>
              <w10:wrap type="none"/>
            </v:shape>
            <v:shape style="position:absolute;left:7405;top:4818;width:552;height:223" type="#_x0000_t202" filled="false" stroked="false">
              <v:textbox inset="0,0,0,0">
                <w:txbxContent>
                  <w:p>
                    <w:pPr>
                      <w:spacing w:line="223" w:lineRule="exact" w:before="0"/>
                      <w:ind w:left="0" w:right="0" w:firstLine="0"/>
                      <w:jc w:val="left"/>
                      <w:rPr>
                        <w:sz w:val="20"/>
                      </w:rPr>
                    </w:pPr>
                    <w:r>
                      <w:rPr>
                        <w:sz w:val="20"/>
                      </w:rPr>
                      <w:t>EMEs</w:t>
                    </w:r>
                  </w:p>
                </w:txbxContent>
              </v:textbox>
              <w10:wrap type="none"/>
            </v:shape>
            <w10:wrap type="none"/>
          </v:group>
        </w:pict>
      </w:r>
      <w:r>
        <w:rPr/>
        <w:pict>
          <v:group style="position:absolute;margin-left:97.68pt;margin-top:.479001pt;width:17.05pt;height:227.65pt;mso-position-horizontal-relative:page;mso-position-vertical-relative:paragraph;z-index:251743232" coordorigin="1954,10" coordsize="341,4553">
            <v:shape style="position:absolute;left:1953;top:9;width:250;height:4553" type="#_x0000_t75" stroked="false">
              <v:imagedata r:id="rId34" o:title=""/>
            </v:shape>
            <v:shape style="position:absolute;left:1953;top:9;width:341;height:4553" type="#_x0000_t202" filled="false" stroked="false">
              <v:textbox inset="0,0,0,0">
                <w:txbxContent>
                  <w:p>
                    <w:pPr>
                      <w:spacing w:line="273" w:lineRule="auto" w:before="38"/>
                      <w:ind w:left="238" w:right="-15" w:firstLine="18"/>
                      <w:jc w:val="right"/>
                      <w:rPr>
                        <w:sz w:val="7"/>
                      </w:rPr>
                    </w:pPr>
                    <w:r>
                      <w:rPr>
                        <w:w w:val="90"/>
                        <w:sz w:val="7"/>
                      </w:rPr>
                      <w:t>VE</w:t>
                    </w:r>
                    <w:r>
                      <w:rPr>
                        <w:spacing w:val="1"/>
                        <w:w w:val="87"/>
                        <w:sz w:val="7"/>
                      </w:rPr>
                      <w:t> </w:t>
                    </w:r>
                    <w:r>
                      <w:rPr>
                        <w:spacing w:val="-5"/>
                        <w:w w:val="85"/>
                        <w:sz w:val="7"/>
                      </w:rPr>
                      <w:t>TK TH </w:t>
                    </w:r>
                    <w:r>
                      <w:rPr>
                        <w:w w:val="90"/>
                        <w:sz w:val="7"/>
                      </w:rPr>
                      <w:t>SA</w:t>
                    </w:r>
                    <w:r>
                      <w:rPr>
                        <w:spacing w:val="1"/>
                        <w:w w:val="87"/>
                        <w:sz w:val="7"/>
                      </w:rPr>
                      <w:t> </w:t>
                    </w:r>
                    <w:r>
                      <w:rPr>
                        <w:w w:val="90"/>
                        <w:sz w:val="7"/>
                      </w:rPr>
                      <w:t>SI</w:t>
                    </w:r>
                    <w:r>
                      <w:rPr>
                        <w:spacing w:val="1"/>
                        <w:w w:val="87"/>
                        <w:sz w:val="7"/>
                      </w:rPr>
                      <w:t> </w:t>
                    </w:r>
                    <w:r>
                      <w:rPr>
                        <w:spacing w:val="-2"/>
                        <w:w w:val="85"/>
                        <w:sz w:val="7"/>
                      </w:rPr>
                      <w:t>RS </w:t>
                    </w:r>
                    <w:r>
                      <w:rPr>
                        <w:w w:val="85"/>
                        <w:sz w:val="7"/>
                      </w:rPr>
                      <w:t>PO PH </w:t>
                    </w:r>
                    <w:r>
                      <w:rPr>
                        <w:w w:val="90"/>
                        <w:sz w:val="7"/>
                      </w:rPr>
                      <w:t>PE</w:t>
                    </w:r>
                    <w:r>
                      <w:rPr>
                        <w:spacing w:val="1"/>
                        <w:w w:val="87"/>
                        <w:sz w:val="7"/>
                      </w:rPr>
                      <w:t> </w:t>
                    </w:r>
                    <w:r>
                      <w:rPr>
                        <w:w w:val="90"/>
                        <w:sz w:val="7"/>
                      </w:rPr>
                      <w:t>PK</w:t>
                    </w:r>
                    <w:r>
                      <w:rPr>
                        <w:spacing w:val="1"/>
                        <w:w w:val="87"/>
                        <w:sz w:val="7"/>
                      </w:rPr>
                      <w:t> </w:t>
                    </w:r>
                    <w:r>
                      <w:rPr>
                        <w:w w:val="85"/>
                        <w:sz w:val="7"/>
                      </w:rPr>
                      <w:t>MX MY </w:t>
                    </w:r>
                    <w:r>
                      <w:rPr>
                        <w:spacing w:val="-3"/>
                        <w:w w:val="85"/>
                        <w:sz w:val="7"/>
                      </w:rPr>
                      <w:t>ID</w:t>
                    </w:r>
                    <w:r>
                      <w:rPr>
                        <w:spacing w:val="-3"/>
                        <w:w w:val="87"/>
                        <w:sz w:val="7"/>
                      </w:rPr>
                      <w:t>  </w:t>
                    </w:r>
                    <w:r>
                      <w:rPr>
                        <w:spacing w:val="-3"/>
                        <w:w w:val="85"/>
                        <w:sz w:val="7"/>
                      </w:rPr>
                      <w:t>IN</w:t>
                    </w:r>
                    <w:r>
                      <w:rPr>
                        <w:spacing w:val="-3"/>
                        <w:w w:val="87"/>
                        <w:sz w:val="7"/>
                      </w:rPr>
                      <w:t> </w:t>
                    </w:r>
                    <w:r>
                      <w:rPr>
                        <w:spacing w:val="-2"/>
                        <w:w w:val="85"/>
                        <w:sz w:val="7"/>
                      </w:rPr>
                      <w:t>HN CB CH CL </w:t>
                    </w:r>
                    <w:r>
                      <w:rPr>
                        <w:w w:val="85"/>
                        <w:sz w:val="7"/>
                      </w:rPr>
                      <w:t>BR AG </w:t>
                    </w:r>
                    <w:r>
                      <w:rPr>
                        <w:spacing w:val="-2"/>
                        <w:w w:val="85"/>
                        <w:sz w:val="7"/>
                      </w:rPr>
                      <w:t>US UK </w:t>
                    </w:r>
                    <w:r>
                      <w:rPr>
                        <w:spacing w:val="-5"/>
                        <w:w w:val="85"/>
                        <w:sz w:val="7"/>
                      </w:rPr>
                      <w:t>TW </w:t>
                    </w:r>
                    <w:r>
                      <w:rPr>
                        <w:w w:val="85"/>
                        <w:sz w:val="7"/>
                      </w:rPr>
                      <w:t>SW SD </w:t>
                    </w:r>
                    <w:r>
                      <w:rPr>
                        <w:w w:val="90"/>
                        <w:sz w:val="7"/>
                      </w:rPr>
                      <w:t>SP</w:t>
                    </w:r>
                    <w:r>
                      <w:rPr>
                        <w:spacing w:val="1"/>
                        <w:w w:val="87"/>
                        <w:sz w:val="7"/>
                      </w:rPr>
                      <w:t> </w:t>
                    </w:r>
                    <w:r>
                      <w:rPr>
                        <w:spacing w:val="-2"/>
                        <w:w w:val="85"/>
                        <w:sz w:val="7"/>
                      </w:rPr>
                      <w:t>NW NZ </w:t>
                    </w:r>
                    <w:r>
                      <w:rPr>
                        <w:w w:val="85"/>
                        <w:sz w:val="7"/>
                      </w:rPr>
                      <w:t>KO </w:t>
                    </w:r>
                    <w:r>
                      <w:rPr>
                        <w:spacing w:val="-3"/>
                        <w:w w:val="85"/>
                        <w:sz w:val="7"/>
                      </w:rPr>
                      <w:t>JP IS</w:t>
                    </w:r>
                    <w:r>
                      <w:rPr>
                        <w:spacing w:val="-3"/>
                        <w:w w:val="87"/>
                        <w:sz w:val="7"/>
                      </w:rPr>
                      <w:t> </w:t>
                    </w:r>
                    <w:r>
                      <w:rPr>
                        <w:spacing w:val="-2"/>
                        <w:w w:val="85"/>
                        <w:sz w:val="7"/>
                      </w:rPr>
                      <w:t>HK DK CZ CN </w:t>
                    </w:r>
                    <w:r>
                      <w:rPr>
                        <w:w w:val="85"/>
                        <w:sz w:val="7"/>
                      </w:rPr>
                      <w:t>AU </w:t>
                    </w:r>
                    <w:r>
                      <w:rPr>
                        <w:w w:val="90"/>
                        <w:sz w:val="7"/>
                      </w:rPr>
                      <w:t>ES</w:t>
                    </w:r>
                    <w:r>
                      <w:rPr>
                        <w:spacing w:val="1"/>
                        <w:w w:val="87"/>
                        <w:sz w:val="7"/>
                      </w:rPr>
                      <w:t> </w:t>
                    </w:r>
                    <w:r>
                      <w:rPr>
                        <w:w w:val="90"/>
                        <w:sz w:val="7"/>
                      </w:rPr>
                      <w:t>PT</w:t>
                    </w:r>
                    <w:r>
                      <w:rPr>
                        <w:spacing w:val="1"/>
                        <w:w w:val="87"/>
                        <w:sz w:val="7"/>
                      </w:rPr>
                      <w:t> </w:t>
                    </w:r>
                    <w:r>
                      <w:rPr>
                        <w:spacing w:val="-2"/>
                        <w:w w:val="85"/>
                        <w:sz w:val="7"/>
                      </w:rPr>
                      <w:t>NL LX </w:t>
                    </w:r>
                    <w:r>
                      <w:rPr>
                        <w:spacing w:val="-3"/>
                        <w:w w:val="85"/>
                        <w:sz w:val="7"/>
                      </w:rPr>
                      <w:t>IT</w:t>
                    </w:r>
                    <w:r>
                      <w:rPr>
                        <w:spacing w:val="-3"/>
                        <w:w w:val="87"/>
                        <w:sz w:val="7"/>
                      </w:rPr>
                      <w:t> </w:t>
                    </w:r>
                    <w:r>
                      <w:rPr>
                        <w:spacing w:val="-3"/>
                        <w:w w:val="87"/>
                        <w:sz w:val="7"/>
                      </w:rPr>
                      <w:t> </w:t>
                    </w:r>
                    <w:r>
                      <w:rPr>
                        <w:spacing w:val="-3"/>
                        <w:w w:val="85"/>
                        <w:sz w:val="7"/>
                      </w:rPr>
                      <w:t>IR</w:t>
                    </w:r>
                    <w:r>
                      <w:rPr>
                        <w:spacing w:val="-3"/>
                        <w:w w:val="87"/>
                        <w:sz w:val="7"/>
                      </w:rPr>
                      <w:t> </w:t>
                    </w:r>
                    <w:r>
                      <w:rPr>
                        <w:spacing w:val="-1"/>
                        <w:w w:val="85"/>
                        <w:sz w:val="7"/>
                      </w:rPr>
                      <w:t>GR </w:t>
                    </w:r>
                    <w:r>
                      <w:rPr>
                        <w:w w:val="85"/>
                        <w:sz w:val="7"/>
                      </w:rPr>
                      <w:t>BD FR FN BG </w:t>
                    </w:r>
                    <w:r>
                      <w:rPr>
                        <w:spacing w:val="-1"/>
                        <w:w w:val="85"/>
                        <w:sz w:val="7"/>
                      </w:rPr>
                      <w:t>OE</w:t>
                    </w:r>
                  </w:p>
                </w:txbxContent>
              </v:textbox>
              <w10:wrap type="none"/>
            </v:shape>
            <w10:wrap type="none"/>
          </v:group>
        </w:pict>
      </w:r>
      <w:r>
        <w:rPr>
          <w:w w:val="87"/>
          <w:sz w:val="7"/>
        </w:rPr>
        <w:t>1</w:t>
      </w:r>
    </w:p>
    <w:p>
      <w:pPr>
        <w:pStyle w:val="BodyText"/>
        <w:spacing w:before="2"/>
        <w:rPr>
          <w:sz w:val="22"/>
        </w:rPr>
      </w:pPr>
    </w:p>
    <w:p>
      <w:pPr>
        <w:pStyle w:val="BodyText"/>
        <w:spacing w:before="8"/>
        <w:rPr>
          <w:sz w:val="8"/>
        </w:rPr>
      </w:pPr>
    </w:p>
    <w:p>
      <w:pPr>
        <w:spacing w:before="0"/>
        <w:ind w:left="0" w:right="2564" w:firstLine="0"/>
        <w:jc w:val="right"/>
        <w:rPr>
          <w:sz w:val="7"/>
        </w:rPr>
      </w:pPr>
      <w:r>
        <w:rPr>
          <w:spacing w:val="-1"/>
          <w:w w:val="85"/>
          <w:sz w:val="7"/>
        </w:rPr>
        <w:t>0.8</w:t>
      </w:r>
    </w:p>
    <w:p>
      <w:pPr>
        <w:pStyle w:val="BodyText"/>
        <w:spacing w:before="8"/>
        <w:rPr>
          <w:sz w:val="22"/>
        </w:rPr>
      </w:pPr>
    </w:p>
    <w:p>
      <w:pPr>
        <w:pStyle w:val="BodyText"/>
        <w:spacing w:before="8"/>
        <w:rPr>
          <w:sz w:val="8"/>
        </w:rPr>
      </w:pPr>
    </w:p>
    <w:p>
      <w:pPr>
        <w:spacing w:before="0"/>
        <w:ind w:left="0" w:right="2564" w:firstLine="0"/>
        <w:jc w:val="right"/>
        <w:rPr>
          <w:sz w:val="7"/>
        </w:rPr>
      </w:pPr>
      <w:r>
        <w:rPr/>
        <w:pict>
          <v:shape style="position:absolute;margin-left:88.143478pt;margin-top:-10.717093pt;width:13.15pt;height:28.6pt;mso-position-horizontal-relative:page;mso-position-vertical-relative:paragraph;z-index:251749376" type="#_x0000_t202" filled="false" stroked="false">
            <v:textbox inset="0,0,0,0" style="layout-flow:vertical;mso-layout-flow-alt:bottom-to-top">
              <w:txbxContent>
                <w:p>
                  <w:pPr>
                    <w:pStyle w:val="BodyText"/>
                    <w:spacing w:before="12"/>
                    <w:ind w:left="20"/>
                  </w:pPr>
                  <w:r>
                    <w:rPr/>
                    <w:t>EMEs</w:t>
                  </w:r>
                </w:p>
              </w:txbxContent>
            </v:textbox>
            <w10:wrap type="none"/>
          </v:shape>
        </w:pict>
      </w:r>
      <w:r>
        <w:rPr>
          <w:spacing w:val="-1"/>
          <w:w w:val="85"/>
          <w:sz w:val="7"/>
        </w:rPr>
        <w:t>0.6</w:t>
      </w:r>
    </w:p>
    <w:p>
      <w:pPr>
        <w:pStyle w:val="BodyText"/>
        <w:spacing w:before="7"/>
        <w:rPr>
          <w:sz w:val="22"/>
        </w:rPr>
      </w:pPr>
    </w:p>
    <w:p>
      <w:pPr>
        <w:pStyle w:val="BodyText"/>
        <w:spacing w:before="9"/>
        <w:rPr>
          <w:sz w:val="8"/>
        </w:rPr>
      </w:pPr>
    </w:p>
    <w:p>
      <w:pPr>
        <w:spacing w:before="0"/>
        <w:ind w:left="0" w:right="2564" w:firstLine="0"/>
        <w:jc w:val="right"/>
        <w:rPr>
          <w:sz w:val="7"/>
        </w:rPr>
      </w:pPr>
      <w:r>
        <w:rPr>
          <w:spacing w:val="-1"/>
          <w:w w:val="85"/>
          <w:sz w:val="7"/>
        </w:rPr>
        <w:t>0.4</w:t>
      </w:r>
    </w:p>
    <w:p>
      <w:pPr>
        <w:pStyle w:val="BodyText"/>
        <w:spacing w:before="2"/>
        <w:rPr>
          <w:sz w:val="22"/>
        </w:rPr>
      </w:pPr>
    </w:p>
    <w:p>
      <w:pPr>
        <w:pStyle w:val="BodyText"/>
        <w:spacing w:before="8"/>
        <w:rPr>
          <w:sz w:val="8"/>
        </w:rPr>
      </w:pPr>
    </w:p>
    <w:p>
      <w:pPr>
        <w:spacing w:before="0"/>
        <w:ind w:left="0" w:right="2564" w:firstLine="0"/>
        <w:jc w:val="right"/>
        <w:rPr>
          <w:sz w:val="7"/>
        </w:rPr>
      </w:pPr>
      <w:r>
        <w:rPr>
          <w:spacing w:val="-1"/>
          <w:w w:val="85"/>
          <w:sz w:val="7"/>
        </w:rPr>
        <w:t>0.2</w:t>
      </w:r>
    </w:p>
    <w:p>
      <w:pPr>
        <w:pStyle w:val="BodyText"/>
        <w:spacing w:before="7"/>
        <w:rPr>
          <w:sz w:val="22"/>
        </w:rPr>
      </w:pPr>
    </w:p>
    <w:p>
      <w:pPr>
        <w:pStyle w:val="BodyText"/>
        <w:spacing w:before="9"/>
        <w:rPr>
          <w:sz w:val="8"/>
        </w:rPr>
      </w:pPr>
    </w:p>
    <w:p>
      <w:pPr>
        <w:spacing w:before="0"/>
        <w:ind w:left="0" w:right="2616" w:firstLine="0"/>
        <w:jc w:val="right"/>
        <w:rPr>
          <w:sz w:val="7"/>
        </w:rPr>
      </w:pPr>
      <w:r>
        <w:rPr/>
        <w:pict>
          <v:shape style="position:absolute;margin-left:87.351479pt;margin-top:-3.119938pt;width:13.15pt;height:45.75pt;mso-position-horizontal-relative:page;mso-position-vertical-relative:paragraph;z-index:251748352"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w w:val="87"/>
          <w:sz w:val="7"/>
        </w:rPr>
        <w:t>0</w:t>
      </w:r>
    </w:p>
    <w:p>
      <w:pPr>
        <w:pStyle w:val="BodyText"/>
        <w:spacing w:before="7"/>
        <w:rPr>
          <w:sz w:val="22"/>
        </w:rPr>
      </w:pPr>
    </w:p>
    <w:p>
      <w:pPr>
        <w:pStyle w:val="BodyText"/>
        <w:spacing w:before="8"/>
        <w:rPr>
          <w:sz w:val="8"/>
        </w:rPr>
      </w:pPr>
    </w:p>
    <w:p>
      <w:pPr>
        <w:spacing w:before="1"/>
        <w:ind w:left="0" w:right="2545" w:firstLine="0"/>
        <w:jc w:val="right"/>
        <w:rPr>
          <w:sz w:val="7"/>
        </w:rPr>
      </w:pPr>
      <w:r>
        <w:rPr>
          <w:spacing w:val="-1"/>
          <w:w w:val="85"/>
          <w:sz w:val="7"/>
        </w:rPr>
        <w:t>-0.2</w:t>
      </w:r>
    </w:p>
    <w:p>
      <w:pPr>
        <w:pStyle w:val="BodyText"/>
        <w:spacing w:before="2"/>
        <w:rPr>
          <w:sz w:val="22"/>
        </w:rPr>
      </w:pPr>
    </w:p>
    <w:p>
      <w:pPr>
        <w:pStyle w:val="BodyText"/>
        <w:spacing w:before="8"/>
        <w:rPr>
          <w:sz w:val="8"/>
        </w:rPr>
      </w:pPr>
    </w:p>
    <w:p>
      <w:pPr>
        <w:spacing w:before="0"/>
        <w:ind w:left="0" w:right="2545" w:firstLine="0"/>
        <w:jc w:val="right"/>
        <w:rPr>
          <w:sz w:val="7"/>
        </w:rPr>
      </w:pPr>
      <w:r>
        <w:rPr>
          <w:spacing w:val="-1"/>
          <w:w w:val="85"/>
          <w:sz w:val="7"/>
        </w:rPr>
        <w:t>-0.4</w:t>
      </w:r>
    </w:p>
    <w:p>
      <w:pPr>
        <w:pStyle w:val="BodyText"/>
        <w:spacing w:before="7"/>
        <w:rPr>
          <w:sz w:val="22"/>
        </w:rPr>
      </w:pPr>
    </w:p>
    <w:p>
      <w:pPr>
        <w:pStyle w:val="BodyText"/>
        <w:spacing w:before="8"/>
        <w:rPr>
          <w:sz w:val="8"/>
        </w:rPr>
      </w:pPr>
    </w:p>
    <w:p>
      <w:pPr>
        <w:spacing w:before="1"/>
        <w:ind w:left="0" w:right="2545" w:firstLine="0"/>
        <w:jc w:val="right"/>
        <w:rPr>
          <w:sz w:val="7"/>
        </w:rPr>
      </w:pPr>
      <w:r>
        <w:rPr/>
        <w:pict>
          <v:shape style="position:absolute;margin-left:87.521751pt;margin-top:-7.542769pt;width:13.2pt;height:45.85pt;mso-position-horizontal-relative:page;mso-position-vertical-relative:paragraph;z-index:251747328" type="#_x0000_t202" filled="false" stroked="false">
            <v:textbox inset="0,0,0,0" style="layout-flow:vertical;mso-layout-flow-alt:bottom-to-top">
              <w:txbxContent>
                <w:p>
                  <w:pPr>
                    <w:pStyle w:val="BodyText"/>
                    <w:spacing w:before="13"/>
                    <w:ind w:left="20"/>
                  </w:pPr>
                  <w:r>
                    <w:rPr/>
                    <w:t>Euro area</w:t>
                  </w:r>
                </w:p>
              </w:txbxContent>
            </v:textbox>
            <w10:wrap type="none"/>
          </v:shape>
        </w:pict>
      </w:r>
      <w:r>
        <w:rPr>
          <w:spacing w:val="-1"/>
          <w:w w:val="85"/>
          <w:sz w:val="7"/>
        </w:rPr>
        <w:t>-0.6</w:t>
      </w:r>
    </w:p>
    <w:p>
      <w:pPr>
        <w:pStyle w:val="BodyText"/>
        <w:spacing w:before="7"/>
        <w:rPr>
          <w:sz w:val="22"/>
        </w:rPr>
      </w:pPr>
    </w:p>
    <w:p>
      <w:pPr>
        <w:pStyle w:val="BodyText"/>
        <w:spacing w:before="8"/>
        <w:rPr>
          <w:sz w:val="8"/>
        </w:rPr>
      </w:pPr>
    </w:p>
    <w:p>
      <w:pPr>
        <w:spacing w:before="0"/>
        <w:ind w:left="0" w:right="2545" w:firstLine="0"/>
        <w:jc w:val="right"/>
        <w:rPr>
          <w:sz w:val="7"/>
        </w:rPr>
      </w:pPr>
      <w:r>
        <w:rPr>
          <w:spacing w:val="-1"/>
          <w:w w:val="85"/>
          <w:sz w:val="7"/>
        </w:rPr>
        <w:t>-0.8</w:t>
      </w:r>
    </w:p>
    <w:p>
      <w:pPr>
        <w:pStyle w:val="BodyText"/>
        <w:spacing w:before="8"/>
        <w:rPr>
          <w:sz w:val="22"/>
        </w:rPr>
      </w:pPr>
    </w:p>
    <w:p>
      <w:pPr>
        <w:pStyle w:val="BodyText"/>
        <w:spacing w:before="8"/>
        <w:rPr>
          <w:sz w:val="8"/>
        </w:rPr>
      </w:pPr>
    </w:p>
    <w:p>
      <w:pPr>
        <w:spacing w:before="0"/>
        <w:ind w:left="0" w:right="2598" w:firstLine="0"/>
        <w:jc w:val="right"/>
        <w:rPr>
          <w:sz w:val="7"/>
        </w:rPr>
      </w:pPr>
      <w:r>
        <w:rPr>
          <w:w w:val="85"/>
          <w:sz w:val="7"/>
        </w:rPr>
        <w:t>-1</w:t>
      </w:r>
    </w:p>
    <w:p>
      <w:pPr>
        <w:spacing w:after="0"/>
        <w:jc w:val="right"/>
        <w:rPr>
          <w:sz w:val="7"/>
        </w:rPr>
        <w:sectPr>
          <w:pgSz w:w="11910" w:h="16840"/>
          <w:pgMar w:header="0" w:footer="1676" w:top="1580" w:bottom="1860" w:left="880" w:right="0"/>
        </w:sectPr>
      </w:pPr>
    </w:p>
    <w:p>
      <w:pPr>
        <w:pStyle w:val="BodyText"/>
        <w:spacing w:before="2"/>
        <w:rPr>
          <w:sz w:val="23"/>
        </w:rPr>
      </w:pPr>
    </w:p>
    <w:p>
      <w:pPr>
        <w:pStyle w:val="ListParagraph"/>
        <w:numPr>
          <w:ilvl w:val="0"/>
          <w:numId w:val="2"/>
        </w:numPr>
        <w:tabs>
          <w:tab w:pos="973" w:val="left" w:leader="none"/>
          <w:tab w:pos="974" w:val="left" w:leader="none"/>
        </w:tabs>
        <w:spacing w:line="240" w:lineRule="auto" w:before="93" w:after="0"/>
        <w:ind w:left="973" w:right="0" w:hanging="721"/>
        <w:jc w:val="left"/>
        <w:rPr>
          <w:sz w:val="20"/>
        </w:rPr>
      </w:pPr>
      <w:r>
        <w:rPr>
          <w:sz w:val="20"/>
        </w:rPr>
        <w:t>Equity Market Correlations:</w:t>
      </w:r>
      <w:r>
        <w:rPr>
          <w:spacing w:val="-5"/>
          <w:sz w:val="20"/>
        </w:rPr>
        <w:t> </w:t>
      </w:r>
      <w:r>
        <w:rPr>
          <w:sz w:val="20"/>
        </w:rPr>
        <w:t>2008-2010</w:t>
      </w:r>
    </w:p>
    <w:p>
      <w:pPr>
        <w:pStyle w:val="BodyText"/>
      </w:pPr>
    </w:p>
    <w:p>
      <w:pPr>
        <w:pStyle w:val="BodyText"/>
        <w:spacing w:before="4"/>
        <w:rPr>
          <w:sz w:val="16"/>
        </w:rPr>
      </w:pPr>
    </w:p>
    <w:p>
      <w:pPr>
        <w:spacing w:after="0"/>
        <w:rPr>
          <w:sz w:val="16"/>
        </w:rPr>
        <w:sectPr>
          <w:pgSz w:w="11910" w:h="16840"/>
          <w:pgMar w:header="0" w:footer="1676" w:top="1580" w:bottom="1860" w:left="880" w:right="0"/>
        </w:sectPr>
      </w:pPr>
    </w:p>
    <w:p>
      <w:pPr>
        <w:pStyle w:val="BodyText"/>
        <w:spacing w:before="11"/>
        <w:rPr>
          <w:sz w:val="8"/>
        </w:rPr>
      </w:pPr>
    </w:p>
    <w:p>
      <w:pPr>
        <w:spacing w:before="0"/>
        <w:ind w:left="2109" w:right="638" w:firstLine="0"/>
        <w:jc w:val="center"/>
        <w:rPr>
          <w:sz w:val="7"/>
        </w:rPr>
      </w:pPr>
      <w:r>
        <w:rPr/>
        <w:drawing>
          <wp:anchor distT="0" distB="0" distL="0" distR="0" allowOverlap="1" layoutInCell="1" locked="0" behindDoc="0" simplePos="0" relativeHeight="251758592">
            <wp:simplePos x="0" y="0"/>
            <wp:positionH relativeFrom="page">
              <wp:posOffset>1242060</wp:posOffset>
            </wp:positionH>
            <wp:positionV relativeFrom="paragraph">
              <wp:posOffset>64447</wp:posOffset>
            </wp:positionV>
            <wp:extent cx="155448" cy="2880359"/>
            <wp:effectExtent l="0" t="0" r="0" b="0"/>
            <wp:wrapNone/>
            <wp:docPr id="7" name="image10.png"/>
            <wp:cNvGraphicFramePr>
              <a:graphicFrameLocks noChangeAspect="1"/>
            </wp:cNvGraphicFramePr>
            <a:graphic>
              <a:graphicData uri="http://schemas.openxmlformats.org/drawingml/2006/picture">
                <pic:pic>
                  <pic:nvPicPr>
                    <pic:cNvPr id="8" name="image10.png"/>
                    <pic:cNvPicPr/>
                  </pic:nvPicPr>
                  <pic:blipFill>
                    <a:blip r:embed="rId35" cstate="print"/>
                    <a:stretch>
                      <a:fillRect/>
                    </a:stretch>
                  </pic:blipFill>
                  <pic:spPr>
                    <a:xfrm>
                      <a:off x="0" y="0"/>
                      <a:ext cx="155448" cy="2880359"/>
                    </a:xfrm>
                    <a:prstGeom prst="rect">
                      <a:avLst/>
                    </a:prstGeom>
                  </pic:spPr>
                </pic:pic>
              </a:graphicData>
            </a:graphic>
          </wp:anchor>
        </w:drawing>
      </w:r>
      <w:r>
        <w:rPr>
          <w:sz w:val="7"/>
        </w:rPr>
        <w:t>2008-2010</w:t>
      </w:r>
    </w:p>
    <w:p>
      <w:pPr>
        <w:spacing w:line="273" w:lineRule="auto" w:before="52"/>
        <w:ind w:left="1317" w:right="6752" w:firstLine="19"/>
        <w:jc w:val="right"/>
        <w:rPr>
          <w:sz w:val="7"/>
        </w:rPr>
      </w:pPr>
      <w:r>
        <w:rPr/>
        <w:drawing>
          <wp:anchor distT="0" distB="0" distL="0" distR="0" allowOverlap="1" layoutInCell="1" locked="0" behindDoc="1" simplePos="0" relativeHeight="247933952">
            <wp:simplePos x="0" y="0"/>
            <wp:positionH relativeFrom="page">
              <wp:posOffset>1444752</wp:posOffset>
            </wp:positionH>
            <wp:positionV relativeFrom="paragraph">
              <wp:posOffset>26990</wp:posOffset>
            </wp:positionV>
            <wp:extent cx="4354068" cy="3116791"/>
            <wp:effectExtent l="0" t="0" r="0" b="0"/>
            <wp:wrapNone/>
            <wp:docPr id="9" name="image11.png"/>
            <wp:cNvGraphicFramePr>
              <a:graphicFrameLocks noChangeAspect="1"/>
            </wp:cNvGraphicFramePr>
            <a:graphic>
              <a:graphicData uri="http://schemas.openxmlformats.org/drawingml/2006/picture">
                <pic:pic>
                  <pic:nvPicPr>
                    <pic:cNvPr id="10" name="image11.png"/>
                    <pic:cNvPicPr/>
                  </pic:nvPicPr>
                  <pic:blipFill>
                    <a:blip r:embed="rId36" cstate="print"/>
                    <a:stretch>
                      <a:fillRect/>
                    </a:stretch>
                  </pic:blipFill>
                  <pic:spPr>
                    <a:xfrm>
                      <a:off x="0" y="0"/>
                      <a:ext cx="4354068" cy="3116791"/>
                    </a:xfrm>
                    <a:prstGeom prst="rect">
                      <a:avLst/>
                    </a:prstGeom>
                  </pic:spPr>
                </pic:pic>
              </a:graphicData>
            </a:graphic>
          </wp:anchor>
        </w:drawing>
      </w:r>
      <w:r>
        <w:rPr/>
        <w:pict>
          <v:shape style="position:absolute;margin-left:90.443474pt;margin-top:171.437851pt;width:13.15pt;height:45.85pt;mso-position-horizontal-relative:page;mso-position-vertical-relative:paragraph;z-index:251761664"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pict>
          <v:shape style="position:absolute;margin-left:90.303474pt;margin-top:108.957619pt;width:13.15pt;height:45.75pt;mso-position-horizontal-relative:page;mso-position-vertical-relative:paragraph;z-index:251762688"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pict>
          <v:shape style="position:absolute;margin-left:90.063477pt;margin-top:35.268658pt;width:13.15pt;height:28.6pt;mso-position-horizontal-relative:page;mso-position-vertical-relative:paragraph;z-index:251763712" type="#_x0000_t202" filled="false" stroked="false">
            <v:textbox inset="0,0,0,0" style="layout-flow:vertical;mso-layout-flow-alt:bottom-to-top">
              <w:txbxContent>
                <w:p>
                  <w:pPr>
                    <w:pStyle w:val="BodyText"/>
                    <w:spacing w:before="12"/>
                    <w:ind w:left="20"/>
                  </w:pPr>
                  <w:r>
                    <w:rPr/>
                    <w:t>EMEs</w:t>
                  </w:r>
                </w:p>
              </w:txbxContent>
            </v:textbox>
            <w10:wrap type="none"/>
          </v:shape>
        </w:pict>
      </w:r>
      <w:r>
        <w:rPr>
          <w:w w:val="90"/>
          <w:sz w:val="7"/>
        </w:rPr>
        <w:t>VE </w:t>
      </w:r>
      <w:r>
        <w:rPr>
          <w:spacing w:val="-5"/>
          <w:w w:val="90"/>
          <w:sz w:val="7"/>
        </w:rPr>
        <w:t>TK</w:t>
      </w:r>
      <w:r>
        <w:rPr>
          <w:spacing w:val="-5"/>
          <w:w w:val="92"/>
          <w:sz w:val="7"/>
        </w:rPr>
        <w:t> </w:t>
      </w:r>
      <w:r>
        <w:rPr>
          <w:spacing w:val="-5"/>
          <w:w w:val="90"/>
          <w:sz w:val="7"/>
        </w:rPr>
        <w:t>TH</w:t>
      </w:r>
      <w:r>
        <w:rPr>
          <w:spacing w:val="-5"/>
          <w:w w:val="92"/>
          <w:sz w:val="7"/>
        </w:rPr>
        <w:t> </w:t>
      </w:r>
      <w:r>
        <w:rPr>
          <w:w w:val="90"/>
          <w:sz w:val="7"/>
        </w:rPr>
        <w:t>SA </w:t>
      </w:r>
      <w:r>
        <w:rPr>
          <w:w w:val="95"/>
          <w:sz w:val="7"/>
        </w:rPr>
        <w:t>SI</w:t>
      </w:r>
      <w:r>
        <w:rPr>
          <w:spacing w:val="1"/>
          <w:w w:val="92"/>
          <w:sz w:val="7"/>
        </w:rPr>
        <w:t> </w:t>
      </w:r>
      <w:r>
        <w:rPr>
          <w:spacing w:val="-2"/>
          <w:w w:val="90"/>
          <w:sz w:val="7"/>
        </w:rPr>
        <w:t>RS</w:t>
      </w:r>
      <w:r>
        <w:rPr>
          <w:spacing w:val="-2"/>
          <w:w w:val="92"/>
          <w:sz w:val="7"/>
        </w:rPr>
        <w:t> </w:t>
      </w:r>
      <w:r>
        <w:rPr>
          <w:w w:val="90"/>
          <w:sz w:val="7"/>
        </w:rPr>
        <w:t>PO PH PE PK MX MY </w:t>
      </w:r>
      <w:r>
        <w:rPr>
          <w:spacing w:val="-4"/>
          <w:w w:val="90"/>
          <w:sz w:val="7"/>
        </w:rPr>
        <w:t>ID</w:t>
      </w:r>
      <w:r>
        <w:rPr>
          <w:spacing w:val="-4"/>
          <w:w w:val="92"/>
          <w:sz w:val="7"/>
        </w:rPr>
        <w:t>  </w:t>
      </w:r>
      <w:r>
        <w:rPr>
          <w:spacing w:val="-4"/>
          <w:w w:val="90"/>
          <w:sz w:val="7"/>
        </w:rPr>
        <w:t>IN</w:t>
      </w:r>
      <w:r>
        <w:rPr>
          <w:spacing w:val="-4"/>
          <w:w w:val="92"/>
          <w:sz w:val="7"/>
        </w:rPr>
        <w:t> </w:t>
      </w:r>
      <w:r>
        <w:rPr>
          <w:spacing w:val="-2"/>
          <w:w w:val="90"/>
          <w:sz w:val="7"/>
        </w:rPr>
        <w:t>HN CB</w:t>
      </w:r>
      <w:r>
        <w:rPr>
          <w:spacing w:val="-2"/>
          <w:w w:val="92"/>
          <w:sz w:val="7"/>
        </w:rPr>
        <w:t> </w:t>
      </w:r>
      <w:r>
        <w:rPr>
          <w:spacing w:val="-2"/>
          <w:w w:val="90"/>
          <w:sz w:val="7"/>
        </w:rPr>
        <w:t>CH CL</w:t>
      </w:r>
      <w:r>
        <w:rPr>
          <w:spacing w:val="-2"/>
          <w:w w:val="91"/>
          <w:sz w:val="7"/>
        </w:rPr>
        <w:t> </w:t>
      </w:r>
      <w:r>
        <w:rPr>
          <w:w w:val="90"/>
          <w:sz w:val="7"/>
        </w:rPr>
        <w:t>BR AG </w:t>
      </w:r>
      <w:r>
        <w:rPr>
          <w:spacing w:val="-2"/>
          <w:w w:val="90"/>
          <w:sz w:val="7"/>
        </w:rPr>
        <w:t>US</w:t>
      </w:r>
      <w:r>
        <w:rPr>
          <w:spacing w:val="-2"/>
          <w:w w:val="92"/>
          <w:sz w:val="7"/>
        </w:rPr>
        <w:t> </w:t>
      </w:r>
      <w:r>
        <w:rPr>
          <w:spacing w:val="-2"/>
          <w:w w:val="90"/>
          <w:sz w:val="7"/>
        </w:rPr>
        <w:t>UK</w:t>
      </w:r>
      <w:r>
        <w:rPr>
          <w:spacing w:val="-2"/>
          <w:w w:val="92"/>
          <w:sz w:val="7"/>
        </w:rPr>
        <w:t> </w:t>
      </w:r>
      <w:r>
        <w:rPr>
          <w:spacing w:val="-5"/>
          <w:w w:val="90"/>
          <w:sz w:val="7"/>
        </w:rPr>
        <w:t>TW </w:t>
      </w:r>
      <w:r>
        <w:rPr>
          <w:w w:val="90"/>
          <w:sz w:val="7"/>
        </w:rPr>
        <w:t>SW SD SP </w:t>
      </w:r>
      <w:r>
        <w:rPr>
          <w:spacing w:val="-2"/>
          <w:w w:val="90"/>
          <w:sz w:val="7"/>
        </w:rPr>
        <w:t>NW NZ</w:t>
      </w:r>
      <w:r>
        <w:rPr>
          <w:spacing w:val="-2"/>
          <w:w w:val="92"/>
          <w:sz w:val="7"/>
        </w:rPr>
        <w:t> </w:t>
      </w:r>
      <w:r>
        <w:rPr>
          <w:w w:val="90"/>
          <w:sz w:val="7"/>
        </w:rPr>
        <w:t>KO </w:t>
      </w:r>
      <w:r>
        <w:rPr>
          <w:spacing w:val="-3"/>
          <w:w w:val="90"/>
          <w:sz w:val="7"/>
        </w:rPr>
        <w:t>JP</w:t>
      </w:r>
      <w:r>
        <w:rPr>
          <w:spacing w:val="-3"/>
          <w:w w:val="92"/>
          <w:sz w:val="7"/>
        </w:rPr>
        <w:t> </w:t>
      </w:r>
      <w:r>
        <w:rPr>
          <w:spacing w:val="-4"/>
          <w:w w:val="90"/>
          <w:sz w:val="7"/>
        </w:rPr>
        <w:t>IS</w:t>
      </w:r>
      <w:r>
        <w:rPr>
          <w:spacing w:val="-4"/>
          <w:w w:val="92"/>
          <w:sz w:val="7"/>
        </w:rPr>
        <w:t> </w:t>
      </w:r>
      <w:r>
        <w:rPr>
          <w:spacing w:val="-2"/>
          <w:w w:val="90"/>
          <w:sz w:val="7"/>
        </w:rPr>
        <w:t>HK</w:t>
      </w:r>
      <w:r>
        <w:rPr>
          <w:spacing w:val="-2"/>
          <w:w w:val="92"/>
          <w:sz w:val="7"/>
        </w:rPr>
        <w:t> </w:t>
      </w:r>
      <w:r>
        <w:rPr>
          <w:spacing w:val="-2"/>
          <w:w w:val="90"/>
          <w:sz w:val="7"/>
        </w:rPr>
        <w:t>DK</w:t>
      </w:r>
      <w:r>
        <w:rPr>
          <w:spacing w:val="-2"/>
          <w:w w:val="92"/>
          <w:sz w:val="7"/>
        </w:rPr>
        <w:t> </w:t>
      </w:r>
      <w:r>
        <w:rPr>
          <w:spacing w:val="-2"/>
          <w:w w:val="90"/>
          <w:sz w:val="7"/>
        </w:rPr>
        <w:t>CZ</w:t>
      </w:r>
      <w:r>
        <w:rPr>
          <w:spacing w:val="-2"/>
          <w:w w:val="92"/>
          <w:sz w:val="7"/>
        </w:rPr>
        <w:t> </w:t>
      </w:r>
      <w:r>
        <w:rPr>
          <w:spacing w:val="-2"/>
          <w:w w:val="90"/>
          <w:sz w:val="7"/>
        </w:rPr>
        <w:t>CN </w:t>
      </w:r>
      <w:r>
        <w:rPr>
          <w:w w:val="90"/>
          <w:sz w:val="7"/>
        </w:rPr>
        <w:t>AU ES PT </w:t>
      </w:r>
      <w:r>
        <w:rPr>
          <w:spacing w:val="-2"/>
          <w:w w:val="90"/>
          <w:sz w:val="7"/>
        </w:rPr>
        <w:t>NL</w:t>
      </w:r>
      <w:r>
        <w:rPr>
          <w:spacing w:val="-2"/>
          <w:w w:val="91"/>
          <w:sz w:val="7"/>
        </w:rPr>
        <w:t> </w:t>
      </w:r>
      <w:r>
        <w:rPr>
          <w:spacing w:val="-2"/>
          <w:w w:val="90"/>
          <w:sz w:val="7"/>
        </w:rPr>
        <w:t>LX</w:t>
      </w:r>
      <w:r>
        <w:rPr>
          <w:spacing w:val="-2"/>
          <w:w w:val="92"/>
          <w:sz w:val="7"/>
        </w:rPr>
        <w:t> </w:t>
      </w:r>
      <w:r>
        <w:rPr>
          <w:spacing w:val="-4"/>
          <w:w w:val="90"/>
          <w:sz w:val="7"/>
        </w:rPr>
        <w:t>IT</w:t>
      </w:r>
      <w:r>
        <w:rPr>
          <w:spacing w:val="-4"/>
          <w:w w:val="92"/>
          <w:sz w:val="7"/>
        </w:rPr>
        <w:t> </w:t>
      </w:r>
      <w:r>
        <w:rPr>
          <w:spacing w:val="-4"/>
          <w:w w:val="92"/>
          <w:sz w:val="7"/>
        </w:rPr>
        <w:t> </w:t>
      </w:r>
      <w:r>
        <w:rPr>
          <w:spacing w:val="-4"/>
          <w:w w:val="90"/>
          <w:sz w:val="7"/>
        </w:rPr>
        <w:t>IR</w:t>
      </w:r>
      <w:r>
        <w:rPr>
          <w:spacing w:val="-4"/>
          <w:w w:val="92"/>
          <w:sz w:val="7"/>
        </w:rPr>
        <w:t> </w:t>
      </w:r>
      <w:r>
        <w:rPr>
          <w:spacing w:val="-1"/>
          <w:w w:val="90"/>
          <w:sz w:val="7"/>
        </w:rPr>
        <w:t>GR </w:t>
      </w:r>
      <w:r>
        <w:rPr>
          <w:w w:val="90"/>
          <w:sz w:val="7"/>
        </w:rPr>
        <w:t>BD FR</w:t>
      </w:r>
      <w:r>
        <w:rPr>
          <w:w w:val="92"/>
          <w:sz w:val="7"/>
        </w:rPr>
        <w:t> </w:t>
      </w:r>
      <w:r>
        <w:rPr>
          <w:w w:val="90"/>
          <w:sz w:val="7"/>
        </w:rPr>
        <w:t>FN</w:t>
      </w:r>
      <w:r>
        <w:rPr>
          <w:w w:val="92"/>
          <w:sz w:val="7"/>
        </w:rPr>
        <w:t> </w:t>
      </w:r>
      <w:r>
        <w:rPr>
          <w:w w:val="90"/>
          <w:sz w:val="7"/>
        </w:rPr>
        <w:t>BG </w:t>
      </w:r>
      <w:r>
        <w:rPr>
          <w:spacing w:val="-1"/>
          <w:w w:val="90"/>
          <w:sz w:val="7"/>
        </w:rPr>
        <w:t>OE</w:t>
      </w:r>
    </w:p>
    <w:p>
      <w:pPr>
        <w:spacing w:before="39"/>
        <w:ind w:left="2109" w:right="638" w:firstLine="0"/>
        <w:jc w:val="center"/>
        <w:rPr>
          <w:sz w:val="7"/>
        </w:rPr>
      </w:pPr>
      <w:r>
        <w:rPr>
          <w:sz w:val="7"/>
        </w:rPr>
        <w:t>OE BG FN FR BD GR IR IT LX NL PT ES AU CN CZ DK HK IS JP KO NZ NW SP SD SW TW UK US AG BR CL CH CB HN IN ID MY MX PK PE PH PO RS SI SA TH TK VE</w:t>
      </w:r>
    </w:p>
    <w:p>
      <w:pPr>
        <w:pStyle w:val="BodyText"/>
        <w:rPr>
          <w:sz w:val="8"/>
        </w:rPr>
      </w:pPr>
      <w:r>
        <w:rPr/>
        <w:br w:type="column"/>
      </w:r>
      <w:r>
        <w:rPr>
          <w:sz w:val="8"/>
        </w:rPr>
      </w:r>
    </w:p>
    <w:p>
      <w:pPr>
        <w:pStyle w:val="BodyText"/>
        <w:spacing w:before="5"/>
        <w:rPr>
          <w:sz w:val="8"/>
        </w:rPr>
      </w:pPr>
    </w:p>
    <w:p>
      <w:pPr>
        <w:spacing w:before="0"/>
        <w:ind w:left="242" w:right="0" w:firstLine="0"/>
        <w:jc w:val="left"/>
        <w:rPr>
          <w:sz w:val="7"/>
        </w:rPr>
      </w:pPr>
      <w:r>
        <w:rPr>
          <w:w w:val="91"/>
          <w:sz w:val="7"/>
        </w:rPr>
        <w:t>1</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drawing>
          <wp:anchor distT="0" distB="0" distL="0" distR="0" allowOverlap="1" layoutInCell="1" locked="0" behindDoc="0" simplePos="0" relativeHeight="251751424">
            <wp:simplePos x="0" y="0"/>
            <wp:positionH relativeFrom="page">
              <wp:posOffset>5844220</wp:posOffset>
            </wp:positionH>
            <wp:positionV relativeFrom="paragraph">
              <wp:posOffset>-258263</wp:posOffset>
            </wp:positionV>
            <wp:extent cx="89791" cy="2818356"/>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37" cstate="print"/>
                    <a:stretch>
                      <a:fillRect/>
                    </a:stretch>
                  </pic:blipFill>
                  <pic:spPr>
                    <a:xfrm>
                      <a:off x="0" y="0"/>
                      <a:ext cx="89791" cy="2818356"/>
                    </a:xfrm>
                    <a:prstGeom prst="rect">
                      <a:avLst/>
                    </a:prstGeom>
                  </pic:spPr>
                </pic:pic>
              </a:graphicData>
            </a:graphic>
          </wp:anchor>
        </w:drawing>
      </w:r>
      <w:r>
        <w:rPr>
          <w:sz w:val="7"/>
        </w:rPr>
        <w:t>0.8</w:t>
      </w:r>
    </w:p>
    <w:p>
      <w:pPr>
        <w:pStyle w:val="BodyText"/>
        <w:rPr>
          <w:sz w:val="8"/>
        </w:rPr>
      </w:pPr>
    </w:p>
    <w:p>
      <w:pPr>
        <w:pStyle w:val="BodyText"/>
        <w:rPr>
          <w:sz w:val="8"/>
        </w:rPr>
      </w:pPr>
    </w:p>
    <w:p>
      <w:pPr>
        <w:pStyle w:val="BodyText"/>
        <w:rPr>
          <w:sz w:val="8"/>
        </w:rPr>
      </w:pPr>
    </w:p>
    <w:p>
      <w:pPr>
        <w:pStyle w:val="BodyText"/>
        <w:spacing w:before="6"/>
        <w:rPr>
          <w:sz w:val="7"/>
        </w:rPr>
      </w:pPr>
    </w:p>
    <w:p>
      <w:pPr>
        <w:spacing w:before="1"/>
        <w:ind w:left="242" w:right="0" w:firstLine="0"/>
        <w:jc w:val="left"/>
        <w:rPr>
          <w:sz w:val="7"/>
        </w:rPr>
      </w:pPr>
      <w:r>
        <w:rPr>
          <w:sz w:val="7"/>
        </w:rPr>
        <w:t>0.6</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sz w:val="7"/>
        </w:rPr>
        <w:t>0.4</w:t>
      </w:r>
    </w:p>
    <w:p>
      <w:pPr>
        <w:pStyle w:val="BodyText"/>
        <w:rPr>
          <w:sz w:val="8"/>
        </w:rPr>
      </w:pPr>
    </w:p>
    <w:p>
      <w:pPr>
        <w:pStyle w:val="BodyText"/>
        <w:rPr>
          <w:sz w:val="8"/>
        </w:rPr>
      </w:pPr>
    </w:p>
    <w:p>
      <w:pPr>
        <w:pStyle w:val="BodyText"/>
        <w:rPr>
          <w:sz w:val="8"/>
        </w:rPr>
      </w:pPr>
    </w:p>
    <w:p>
      <w:pPr>
        <w:pStyle w:val="BodyText"/>
        <w:rPr>
          <w:sz w:val="7"/>
        </w:rPr>
      </w:pPr>
    </w:p>
    <w:p>
      <w:pPr>
        <w:spacing w:before="0"/>
        <w:ind w:left="242" w:right="0" w:firstLine="0"/>
        <w:jc w:val="left"/>
        <w:rPr>
          <w:sz w:val="7"/>
        </w:rPr>
      </w:pPr>
      <w:r>
        <w:rPr>
          <w:sz w:val="7"/>
        </w:rPr>
        <w:t>0.2</w:t>
      </w:r>
    </w:p>
    <w:p>
      <w:pPr>
        <w:pStyle w:val="BodyText"/>
        <w:rPr>
          <w:sz w:val="8"/>
        </w:rPr>
      </w:pPr>
    </w:p>
    <w:p>
      <w:pPr>
        <w:pStyle w:val="BodyText"/>
        <w:rPr>
          <w:sz w:val="8"/>
        </w:rPr>
      </w:pPr>
    </w:p>
    <w:p>
      <w:pPr>
        <w:pStyle w:val="BodyText"/>
        <w:rPr>
          <w:sz w:val="8"/>
        </w:rPr>
      </w:pPr>
    </w:p>
    <w:p>
      <w:pPr>
        <w:pStyle w:val="BodyText"/>
        <w:spacing w:before="1"/>
        <w:rPr>
          <w:sz w:val="8"/>
        </w:rPr>
      </w:pPr>
    </w:p>
    <w:p>
      <w:pPr>
        <w:spacing w:before="0"/>
        <w:ind w:left="242" w:right="0" w:firstLine="0"/>
        <w:jc w:val="left"/>
        <w:rPr>
          <w:sz w:val="7"/>
        </w:rPr>
      </w:pPr>
      <w:r>
        <w:rPr>
          <w:w w:val="91"/>
          <w:sz w:val="7"/>
        </w:rPr>
        <w:t>0</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sz w:val="7"/>
        </w:rPr>
        <w:t>-0.2</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sz w:val="7"/>
        </w:rPr>
        <w:t>-0.4</w:t>
      </w:r>
    </w:p>
    <w:p>
      <w:pPr>
        <w:pStyle w:val="BodyText"/>
        <w:rPr>
          <w:sz w:val="8"/>
        </w:rPr>
      </w:pPr>
    </w:p>
    <w:p>
      <w:pPr>
        <w:pStyle w:val="BodyText"/>
        <w:rPr>
          <w:sz w:val="8"/>
        </w:rPr>
      </w:pPr>
    </w:p>
    <w:p>
      <w:pPr>
        <w:pStyle w:val="BodyText"/>
        <w:rPr>
          <w:sz w:val="8"/>
        </w:rPr>
      </w:pPr>
    </w:p>
    <w:p>
      <w:pPr>
        <w:pStyle w:val="BodyText"/>
        <w:spacing w:before="6"/>
        <w:rPr>
          <w:sz w:val="7"/>
        </w:rPr>
      </w:pPr>
    </w:p>
    <w:p>
      <w:pPr>
        <w:spacing w:before="1"/>
        <w:ind w:left="242" w:right="0" w:firstLine="0"/>
        <w:jc w:val="left"/>
        <w:rPr>
          <w:sz w:val="7"/>
        </w:rPr>
      </w:pPr>
      <w:r>
        <w:rPr>
          <w:sz w:val="7"/>
        </w:rPr>
        <w:t>-0.6</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sz w:val="7"/>
        </w:rPr>
        <w:t>-0.8</w:t>
      </w:r>
    </w:p>
    <w:p>
      <w:pPr>
        <w:pStyle w:val="BodyText"/>
        <w:rPr>
          <w:sz w:val="8"/>
        </w:rPr>
      </w:pPr>
    </w:p>
    <w:p>
      <w:pPr>
        <w:pStyle w:val="BodyText"/>
        <w:rPr>
          <w:sz w:val="8"/>
        </w:rPr>
      </w:pPr>
    </w:p>
    <w:p>
      <w:pPr>
        <w:pStyle w:val="BodyText"/>
        <w:rPr>
          <w:sz w:val="8"/>
        </w:rPr>
      </w:pPr>
    </w:p>
    <w:p>
      <w:pPr>
        <w:pStyle w:val="BodyText"/>
        <w:spacing w:before="6"/>
        <w:rPr>
          <w:sz w:val="7"/>
        </w:rPr>
      </w:pPr>
    </w:p>
    <w:p>
      <w:pPr>
        <w:spacing w:before="0"/>
        <w:ind w:left="242" w:right="0" w:firstLine="0"/>
        <w:jc w:val="left"/>
        <w:rPr>
          <w:sz w:val="7"/>
        </w:rPr>
      </w:pPr>
      <w:r>
        <w:rPr>
          <w:sz w:val="7"/>
        </w:rPr>
        <w:t>-1</w:t>
      </w:r>
    </w:p>
    <w:p>
      <w:pPr>
        <w:spacing w:after="0"/>
        <w:jc w:val="left"/>
        <w:rPr>
          <w:sz w:val="7"/>
        </w:rPr>
        <w:sectPr>
          <w:type w:val="continuous"/>
          <w:pgSz w:w="11910" w:h="16840"/>
          <w:pgMar w:top="1180" w:bottom="1860" w:left="880" w:right="0"/>
          <w:cols w:num="2" w:equalWidth="0">
            <w:col w:w="8191" w:space="40"/>
            <w:col w:w="2799"/>
          </w:cols>
        </w:sectPr>
      </w:pPr>
    </w:p>
    <w:p>
      <w:pPr>
        <w:pStyle w:val="BodyText"/>
        <w:spacing w:before="2"/>
        <w:rPr>
          <w:sz w:val="15"/>
        </w:rPr>
      </w:pPr>
    </w:p>
    <w:p>
      <w:pPr>
        <w:spacing w:after="0"/>
        <w:rPr>
          <w:sz w:val="15"/>
        </w:rPr>
        <w:sectPr>
          <w:type w:val="continuous"/>
          <w:pgSz w:w="11910" w:h="16840"/>
          <w:pgMar w:top="1180" w:bottom="1860" w:left="880" w:right="0"/>
        </w:sectPr>
      </w:pPr>
    </w:p>
    <w:p>
      <w:pPr>
        <w:pStyle w:val="BodyText"/>
        <w:spacing w:before="92"/>
        <w:jc w:val="right"/>
      </w:pPr>
      <w:r>
        <w:rPr/>
        <w:t>Euro area</w:t>
      </w:r>
    </w:p>
    <w:p>
      <w:pPr>
        <w:pStyle w:val="BodyText"/>
        <w:spacing w:before="95"/>
        <w:ind w:left="1018"/>
      </w:pPr>
      <w:r>
        <w:rPr/>
        <w:br w:type="column"/>
      </w:r>
      <w:r>
        <w:rPr/>
        <w:t>other </w:t>
      </w:r>
      <w:r>
        <w:rPr>
          <w:spacing w:val="-8"/>
        </w:rPr>
        <w:t>AEs</w:t>
      </w:r>
    </w:p>
    <w:p>
      <w:pPr>
        <w:pStyle w:val="BodyText"/>
        <w:spacing w:before="114"/>
        <w:ind w:left="1830"/>
      </w:pPr>
      <w:r>
        <w:rPr/>
        <w:br w:type="column"/>
      </w:r>
      <w:r>
        <w:rPr/>
        <w:t>EMEs</w:t>
      </w:r>
    </w:p>
    <w:p>
      <w:pPr>
        <w:spacing w:after="0"/>
        <w:sectPr>
          <w:type w:val="continuous"/>
          <w:pgSz w:w="11910" w:h="16840"/>
          <w:pgMar w:top="1180" w:bottom="1860" w:left="880" w:right="0"/>
          <w:cols w:num="3" w:equalWidth="0">
            <w:col w:w="2707" w:space="40"/>
            <w:col w:w="1894" w:space="68"/>
            <w:col w:w="6321"/>
          </w:cols>
        </w:sectPr>
      </w:pPr>
    </w:p>
    <w:p>
      <w:pPr>
        <w:pStyle w:val="BodyText"/>
        <w:spacing w:before="3"/>
        <w:rPr>
          <w:sz w:val="19"/>
        </w:rPr>
      </w:pPr>
    </w:p>
    <w:p>
      <w:pPr>
        <w:pStyle w:val="ListParagraph"/>
        <w:numPr>
          <w:ilvl w:val="0"/>
          <w:numId w:val="2"/>
        </w:numPr>
        <w:tabs>
          <w:tab w:pos="973" w:val="left" w:leader="none"/>
          <w:tab w:pos="974" w:val="left" w:leader="none"/>
        </w:tabs>
        <w:spacing w:line="240" w:lineRule="auto" w:before="93" w:after="0"/>
        <w:ind w:left="973" w:right="0" w:hanging="721"/>
        <w:jc w:val="left"/>
        <w:rPr>
          <w:sz w:val="20"/>
        </w:rPr>
      </w:pPr>
      <w:r>
        <w:rPr>
          <w:sz w:val="20"/>
        </w:rPr>
        <w:t>Equity Market Correlations:</w:t>
      </w:r>
      <w:r>
        <w:rPr>
          <w:spacing w:val="-5"/>
          <w:sz w:val="20"/>
        </w:rPr>
        <w:t> </w:t>
      </w:r>
      <w:r>
        <w:rPr>
          <w:sz w:val="20"/>
        </w:rPr>
        <w:t>2010-2016</w:t>
      </w:r>
    </w:p>
    <w:p>
      <w:pPr>
        <w:pStyle w:val="BodyText"/>
      </w:pPr>
    </w:p>
    <w:p>
      <w:pPr>
        <w:pStyle w:val="BodyText"/>
        <w:spacing w:before="10"/>
        <w:rPr>
          <w:sz w:val="16"/>
        </w:rPr>
      </w:pPr>
    </w:p>
    <w:p>
      <w:pPr>
        <w:spacing w:after="0"/>
        <w:rPr>
          <w:sz w:val="16"/>
        </w:rPr>
        <w:sectPr>
          <w:type w:val="continuous"/>
          <w:pgSz w:w="11910" w:h="16840"/>
          <w:pgMar w:top="1180" w:bottom="1860" w:left="880" w:right="0"/>
        </w:sectPr>
      </w:pPr>
    </w:p>
    <w:p>
      <w:pPr>
        <w:pStyle w:val="BodyText"/>
        <w:spacing w:before="10"/>
        <w:rPr>
          <w:sz w:val="8"/>
        </w:rPr>
      </w:pPr>
      <w:r>
        <w:rPr/>
        <w:pict>
          <v:shape style="position:absolute;margin-left:91.523476pt;margin-top:629.76001pt;width:13.15pt;height:45.85pt;mso-position-horizontal-relative:page;mso-position-vertical-relative:page;z-index:251764736"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pict>
          <v:shape style="position:absolute;margin-left:91.913475pt;margin-top:563.515686pt;width:13.15pt;height:45.75pt;mso-position-horizontal-relative:page;mso-position-vertical-relative:page;z-index:251765760" type="#_x0000_t202" filled="false" stroked="false">
            <v:textbox inset="0,0,0,0" style="layout-flow:vertical;mso-layout-flow-alt:bottom-to-top">
              <w:txbxContent>
                <w:p>
                  <w:pPr>
                    <w:pStyle w:val="BodyText"/>
                    <w:spacing w:before="12"/>
                    <w:ind w:left="20"/>
                  </w:pPr>
                  <w:r>
                    <w:rPr/>
                    <w:t>other AEs</w:t>
                  </w:r>
                </w:p>
              </w:txbxContent>
            </v:textbox>
            <w10:wrap type="none"/>
          </v:shape>
        </w:pict>
      </w:r>
    </w:p>
    <w:p>
      <w:pPr>
        <w:spacing w:before="0"/>
        <w:ind w:left="4649" w:right="3216" w:firstLine="0"/>
        <w:jc w:val="center"/>
        <w:rPr>
          <w:sz w:val="7"/>
        </w:rPr>
      </w:pPr>
      <w:r>
        <w:rPr/>
        <w:drawing>
          <wp:anchor distT="0" distB="0" distL="0" distR="0" allowOverlap="1" layoutInCell="1" locked="0" behindDoc="0" simplePos="0" relativeHeight="251752448">
            <wp:simplePos x="0" y="0"/>
            <wp:positionH relativeFrom="page">
              <wp:posOffset>1479142</wp:posOffset>
            </wp:positionH>
            <wp:positionV relativeFrom="paragraph">
              <wp:posOffset>78101</wp:posOffset>
            </wp:positionV>
            <wp:extent cx="4314638" cy="2890837"/>
            <wp:effectExtent l="0" t="0" r="0" b="0"/>
            <wp:wrapNone/>
            <wp:docPr id="13" name="image13.png"/>
            <wp:cNvGraphicFramePr>
              <a:graphicFrameLocks noChangeAspect="1"/>
            </wp:cNvGraphicFramePr>
            <a:graphic>
              <a:graphicData uri="http://schemas.openxmlformats.org/drawingml/2006/picture">
                <pic:pic>
                  <pic:nvPicPr>
                    <pic:cNvPr id="14" name="image13.png"/>
                    <pic:cNvPicPr/>
                  </pic:nvPicPr>
                  <pic:blipFill>
                    <a:blip r:embed="rId38" cstate="print"/>
                    <a:stretch>
                      <a:fillRect/>
                    </a:stretch>
                  </pic:blipFill>
                  <pic:spPr>
                    <a:xfrm>
                      <a:off x="0" y="0"/>
                      <a:ext cx="4314638" cy="2890837"/>
                    </a:xfrm>
                    <a:prstGeom prst="rect">
                      <a:avLst/>
                    </a:prstGeom>
                  </pic:spPr>
                </pic:pic>
              </a:graphicData>
            </a:graphic>
          </wp:anchor>
        </w:drawing>
      </w:r>
      <w:r>
        <w:rPr/>
        <w:pict>
          <v:group style="position:absolute;margin-left:98.760002pt;margin-top:6.09868pt;width:16.7pt;height:231.25pt;mso-position-horizontal-relative:page;mso-position-vertical-relative:paragraph;z-index:251760640" coordorigin="1975,122" coordsize="334,4625">
            <v:shape style="position:absolute;left:1975;top:121;width:245;height:4625" type="#_x0000_t75" stroked="false">
              <v:imagedata r:id="rId39" o:title=""/>
            </v:shape>
            <v:shape style="position:absolute;left:1975;top:121;width:334;height:4625" type="#_x0000_t202" filled="false" stroked="false">
              <v:textbox inset="0,0,0,0">
                <w:txbxContent>
                  <w:p>
                    <w:pPr>
                      <w:spacing w:line="283" w:lineRule="auto" w:before="11"/>
                      <w:ind w:left="230" w:right="-15" w:firstLine="10"/>
                      <w:jc w:val="center"/>
                      <w:rPr>
                        <w:sz w:val="7"/>
                      </w:rPr>
                    </w:pPr>
                    <w:r>
                      <w:rPr>
                        <w:w w:val="95"/>
                        <w:sz w:val="7"/>
                      </w:rPr>
                      <w:t>VE </w:t>
                    </w:r>
                    <w:r>
                      <w:rPr>
                        <w:spacing w:val="-5"/>
                        <w:sz w:val="7"/>
                      </w:rPr>
                      <w:t>TK TH </w:t>
                    </w:r>
                    <w:r>
                      <w:rPr>
                        <w:sz w:val="7"/>
                      </w:rPr>
                      <w:t>SA SI </w:t>
                    </w:r>
                    <w:r>
                      <w:rPr>
                        <w:w w:val="95"/>
                        <w:sz w:val="7"/>
                      </w:rPr>
                      <w:t>RS PO </w:t>
                    </w:r>
                    <w:r>
                      <w:rPr>
                        <w:sz w:val="7"/>
                      </w:rPr>
                      <w:t>PH PE PK </w:t>
                    </w:r>
                    <w:r>
                      <w:rPr>
                        <w:w w:val="95"/>
                        <w:sz w:val="7"/>
                      </w:rPr>
                      <w:t>MX MY </w:t>
                    </w:r>
                    <w:r>
                      <w:rPr>
                        <w:spacing w:val="-3"/>
                        <w:sz w:val="7"/>
                      </w:rPr>
                      <w:t>ID IN </w:t>
                    </w:r>
                    <w:r>
                      <w:rPr>
                        <w:w w:val="95"/>
                        <w:sz w:val="7"/>
                      </w:rPr>
                      <w:t>HN CB CH </w:t>
                    </w:r>
                    <w:r>
                      <w:rPr>
                        <w:sz w:val="7"/>
                      </w:rPr>
                      <w:t>CL BR </w:t>
                    </w:r>
                    <w:r>
                      <w:rPr>
                        <w:w w:val="95"/>
                        <w:sz w:val="7"/>
                      </w:rPr>
                      <w:t>AG US UK </w:t>
                    </w:r>
                    <w:r>
                      <w:rPr>
                        <w:spacing w:val="-5"/>
                        <w:w w:val="95"/>
                        <w:sz w:val="7"/>
                      </w:rPr>
                      <w:t>TW </w:t>
                    </w:r>
                    <w:r>
                      <w:rPr>
                        <w:w w:val="95"/>
                        <w:sz w:val="7"/>
                      </w:rPr>
                      <w:t>SW </w:t>
                    </w:r>
                    <w:r>
                      <w:rPr>
                        <w:sz w:val="7"/>
                      </w:rPr>
                      <w:t>SD SP </w:t>
                    </w:r>
                    <w:r>
                      <w:rPr>
                        <w:w w:val="90"/>
                        <w:sz w:val="7"/>
                      </w:rPr>
                      <w:t>NW </w:t>
                    </w:r>
                    <w:r>
                      <w:rPr>
                        <w:w w:val="95"/>
                        <w:sz w:val="7"/>
                      </w:rPr>
                      <w:t>NZ KO </w:t>
                    </w:r>
                    <w:r>
                      <w:rPr>
                        <w:spacing w:val="-3"/>
                        <w:sz w:val="7"/>
                      </w:rPr>
                      <w:t>JP IS </w:t>
                    </w:r>
                    <w:r>
                      <w:rPr>
                        <w:w w:val="95"/>
                        <w:sz w:val="7"/>
                      </w:rPr>
                      <w:t>HK DK CZ CN </w:t>
                    </w:r>
                    <w:r>
                      <w:rPr>
                        <w:sz w:val="7"/>
                      </w:rPr>
                      <w:t>AU ES PT</w:t>
                    </w:r>
                  </w:p>
                  <w:p>
                    <w:pPr>
                      <w:spacing w:line="66" w:lineRule="exact" w:before="0"/>
                      <w:ind w:left="258" w:right="-15" w:firstLine="0"/>
                      <w:jc w:val="center"/>
                      <w:rPr>
                        <w:sz w:val="7"/>
                      </w:rPr>
                    </w:pPr>
                    <w:r>
                      <w:rPr>
                        <w:w w:val="90"/>
                        <w:sz w:val="7"/>
                      </w:rPr>
                      <w:t>NL</w:t>
                    </w:r>
                  </w:p>
                  <w:p>
                    <w:pPr>
                      <w:spacing w:line="283" w:lineRule="auto" w:before="12"/>
                      <w:ind w:left="244" w:right="-15" w:firstLine="23"/>
                      <w:jc w:val="both"/>
                      <w:rPr>
                        <w:sz w:val="7"/>
                      </w:rPr>
                    </w:pPr>
                    <w:r>
                      <w:rPr>
                        <w:w w:val="90"/>
                        <w:sz w:val="7"/>
                      </w:rPr>
                      <w:t>LX </w:t>
                    </w:r>
                    <w:r>
                      <w:rPr>
                        <w:spacing w:val="-3"/>
                        <w:sz w:val="7"/>
                      </w:rPr>
                      <w:t>IT IR </w:t>
                    </w:r>
                    <w:r>
                      <w:rPr>
                        <w:w w:val="95"/>
                        <w:sz w:val="7"/>
                      </w:rPr>
                      <w:t>GR </w:t>
                    </w:r>
                    <w:r>
                      <w:rPr>
                        <w:sz w:val="7"/>
                      </w:rPr>
                      <w:t>BD FR FN </w:t>
                    </w:r>
                    <w:r>
                      <w:rPr>
                        <w:w w:val="95"/>
                        <w:sz w:val="7"/>
                      </w:rPr>
                      <w:t>BG OE</w:t>
                    </w:r>
                  </w:p>
                </w:txbxContent>
              </v:textbox>
              <w10:wrap type="none"/>
            </v:shape>
            <w10:wrap type="none"/>
          </v:group>
        </w:pict>
      </w:r>
      <w:r>
        <w:rPr/>
        <w:pict>
          <v:shape style="position:absolute;margin-left:92.103477pt;margin-top:39.745399pt;width:13.15pt;height:28.6pt;mso-position-horizontal-relative:page;mso-position-vertical-relative:paragraph;z-index:251766784" type="#_x0000_t202" filled="false" stroked="false">
            <v:textbox inset="0,0,0,0" style="layout-flow:vertical;mso-layout-flow-alt:bottom-to-top">
              <w:txbxContent>
                <w:p>
                  <w:pPr>
                    <w:pStyle w:val="BodyText"/>
                    <w:spacing w:before="12"/>
                    <w:ind w:left="20"/>
                  </w:pPr>
                  <w:r>
                    <w:rPr/>
                    <w:t>EMEs</w:t>
                  </w:r>
                </w:p>
              </w:txbxContent>
            </v:textbox>
            <w10:wrap type="none"/>
          </v:shape>
        </w:pict>
      </w:r>
      <w:r>
        <w:rPr>
          <w:sz w:val="7"/>
        </w:rPr>
        <w:t>2010-2016</w:t>
      </w:r>
    </w:p>
    <w:p>
      <w:pPr>
        <w:pStyle w:val="BodyText"/>
        <w:rPr>
          <w:sz w:val="8"/>
        </w:rPr>
      </w:pPr>
      <w:r>
        <w:rPr/>
        <w:br w:type="column"/>
      </w:r>
      <w:r>
        <w:rPr>
          <w:sz w:val="8"/>
        </w:rPr>
      </w:r>
    </w:p>
    <w:p>
      <w:pPr>
        <w:pStyle w:val="BodyText"/>
        <w:spacing w:before="5"/>
        <w:rPr>
          <w:sz w:val="8"/>
        </w:rPr>
      </w:pPr>
    </w:p>
    <w:p>
      <w:pPr>
        <w:spacing w:before="0"/>
        <w:ind w:left="196" w:right="0" w:firstLine="0"/>
        <w:jc w:val="left"/>
        <w:rPr>
          <w:sz w:val="7"/>
        </w:rPr>
      </w:pPr>
      <w:r>
        <w:rPr/>
        <w:pict>
          <v:group style="position:absolute;margin-left:114.599998pt;margin-top:1.819249pt;width:352.85pt;height:259.7pt;mso-position-horizontal-relative:page;mso-position-vertical-relative:paragraph;z-index:251757568" coordorigin="2292,36" coordsize="7057,5194">
            <v:shape style="position:absolute;left:9211;top:36;width:137;height:4555" type="#_x0000_t75" stroked="false">
              <v:imagedata r:id="rId40" o:title=""/>
            </v:shape>
            <v:shape style="position:absolute;left:2292;top:4657;width:6860;height:425" type="#_x0000_t75" stroked="false">
              <v:imagedata r:id="rId41" o:title=""/>
            </v:shape>
            <v:shape style="position:absolute;left:2353;top:4604;width:6750;height:84" type="#_x0000_t202" filled="false" stroked="false">
              <v:textbox inset="0,0,0,0">
                <w:txbxContent>
                  <w:p>
                    <w:pPr>
                      <w:spacing w:before="2"/>
                      <w:ind w:left="0" w:right="0" w:firstLine="0"/>
                      <w:jc w:val="left"/>
                      <w:rPr>
                        <w:sz w:val="7"/>
                      </w:rPr>
                    </w:pPr>
                    <w:r>
                      <w:rPr>
                        <w:sz w:val="7"/>
                      </w:rPr>
                      <w:t>OE BG FN FR BD GR IR IT LX NL PT ES AU CN CZ DK HK IS JP KO NZ NW SP SD SW TW UK US AG BR CL CH CB HN IN ID MY MX PK PE PH PO RS SI SA TH  TK VE</w:t>
                    </w:r>
                  </w:p>
                </w:txbxContent>
              </v:textbox>
              <w10:wrap type="none"/>
            </v:shape>
            <v:shape style="position:absolute;left:2710;top:4995;width:897;height:223" type="#_x0000_t202" filled="false" stroked="false">
              <v:textbox inset="0,0,0,0">
                <w:txbxContent>
                  <w:p>
                    <w:pPr>
                      <w:spacing w:line="223" w:lineRule="exact" w:before="0"/>
                      <w:ind w:left="0" w:right="0" w:firstLine="0"/>
                      <w:jc w:val="left"/>
                      <w:rPr>
                        <w:sz w:val="20"/>
                      </w:rPr>
                    </w:pPr>
                    <w:r>
                      <w:rPr>
                        <w:sz w:val="20"/>
                      </w:rPr>
                      <w:t>Euro area</w:t>
                    </w:r>
                  </w:p>
                </w:txbxContent>
              </v:textbox>
              <w10:wrap type="none"/>
            </v:shape>
            <v:shape style="position:absolute;left:4688;top:5007;width:895;height:223" type="#_x0000_t202" filled="false" stroked="false">
              <v:textbox inset="0,0,0,0">
                <w:txbxContent>
                  <w:p>
                    <w:pPr>
                      <w:spacing w:line="223" w:lineRule="exact" w:before="0"/>
                      <w:ind w:left="0" w:right="0" w:firstLine="0"/>
                      <w:jc w:val="left"/>
                      <w:rPr>
                        <w:sz w:val="20"/>
                      </w:rPr>
                    </w:pPr>
                    <w:r>
                      <w:rPr>
                        <w:sz w:val="20"/>
                      </w:rPr>
                      <w:t>other AEs</w:t>
                    </w:r>
                  </w:p>
                </w:txbxContent>
              </v:textbox>
              <w10:wrap type="none"/>
            </v:shape>
            <v:shape style="position:absolute;left:7434;top:5007;width:552;height:223" type="#_x0000_t202" filled="false" stroked="false">
              <v:textbox inset="0,0,0,0">
                <w:txbxContent>
                  <w:p>
                    <w:pPr>
                      <w:spacing w:line="223" w:lineRule="exact" w:before="0"/>
                      <w:ind w:left="0" w:right="0" w:firstLine="0"/>
                      <w:jc w:val="left"/>
                      <w:rPr>
                        <w:sz w:val="20"/>
                      </w:rPr>
                    </w:pPr>
                    <w:r>
                      <w:rPr>
                        <w:sz w:val="20"/>
                      </w:rPr>
                      <w:t>EMEs</w:t>
                    </w:r>
                  </w:p>
                </w:txbxContent>
              </v:textbox>
              <w10:wrap type="none"/>
            </v:shape>
            <w10:wrap type="none"/>
          </v:group>
        </w:pict>
      </w:r>
      <w:r>
        <w:rPr>
          <w:w w:val="88"/>
          <w:sz w:val="7"/>
        </w:rPr>
        <w:t>1</w:t>
      </w:r>
    </w:p>
    <w:p>
      <w:pPr>
        <w:pStyle w:val="BodyText"/>
        <w:rPr>
          <w:sz w:val="8"/>
        </w:rPr>
      </w:pPr>
    </w:p>
    <w:p>
      <w:pPr>
        <w:pStyle w:val="BodyText"/>
        <w:rPr>
          <w:sz w:val="8"/>
        </w:rPr>
      </w:pPr>
    </w:p>
    <w:p>
      <w:pPr>
        <w:pStyle w:val="BodyText"/>
        <w:rPr>
          <w:sz w:val="8"/>
        </w:rPr>
      </w:pPr>
    </w:p>
    <w:p>
      <w:pPr>
        <w:pStyle w:val="BodyText"/>
        <w:spacing w:before="2"/>
        <w:rPr>
          <w:sz w:val="8"/>
        </w:rPr>
      </w:pPr>
    </w:p>
    <w:p>
      <w:pPr>
        <w:spacing w:before="0"/>
        <w:ind w:left="196" w:right="0" w:firstLine="0"/>
        <w:jc w:val="left"/>
        <w:rPr>
          <w:sz w:val="7"/>
        </w:rPr>
      </w:pPr>
      <w:r>
        <w:rPr>
          <w:sz w:val="7"/>
        </w:rPr>
        <w:t>0.8</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sz w:val="7"/>
        </w:rPr>
        <w:t>0.6</w:t>
      </w:r>
    </w:p>
    <w:p>
      <w:pPr>
        <w:pStyle w:val="BodyText"/>
        <w:rPr>
          <w:sz w:val="8"/>
        </w:rPr>
      </w:pPr>
    </w:p>
    <w:p>
      <w:pPr>
        <w:pStyle w:val="BodyText"/>
        <w:rPr>
          <w:sz w:val="8"/>
        </w:rPr>
      </w:pPr>
    </w:p>
    <w:p>
      <w:pPr>
        <w:pStyle w:val="BodyText"/>
        <w:rPr>
          <w:sz w:val="8"/>
        </w:rPr>
      </w:pPr>
    </w:p>
    <w:p>
      <w:pPr>
        <w:pStyle w:val="BodyText"/>
        <w:spacing w:before="8"/>
        <w:rPr>
          <w:sz w:val="8"/>
        </w:rPr>
      </w:pPr>
    </w:p>
    <w:p>
      <w:pPr>
        <w:spacing w:before="1"/>
        <w:ind w:left="196" w:right="0" w:firstLine="0"/>
        <w:jc w:val="left"/>
        <w:rPr>
          <w:sz w:val="7"/>
        </w:rPr>
      </w:pPr>
      <w:r>
        <w:rPr>
          <w:sz w:val="7"/>
        </w:rPr>
        <w:t>0.4</w:t>
      </w:r>
    </w:p>
    <w:p>
      <w:pPr>
        <w:pStyle w:val="BodyText"/>
        <w:rPr>
          <w:sz w:val="8"/>
        </w:rPr>
      </w:pPr>
    </w:p>
    <w:p>
      <w:pPr>
        <w:pStyle w:val="BodyText"/>
        <w:rPr>
          <w:sz w:val="8"/>
        </w:rPr>
      </w:pPr>
    </w:p>
    <w:p>
      <w:pPr>
        <w:pStyle w:val="BodyText"/>
        <w:rPr>
          <w:sz w:val="8"/>
        </w:rPr>
      </w:pPr>
    </w:p>
    <w:p>
      <w:pPr>
        <w:pStyle w:val="BodyText"/>
        <w:spacing w:before="2"/>
        <w:rPr>
          <w:sz w:val="8"/>
        </w:rPr>
      </w:pPr>
    </w:p>
    <w:p>
      <w:pPr>
        <w:spacing w:before="0"/>
        <w:ind w:left="196" w:right="0" w:firstLine="0"/>
        <w:jc w:val="left"/>
        <w:rPr>
          <w:sz w:val="7"/>
        </w:rPr>
      </w:pPr>
      <w:r>
        <w:rPr>
          <w:sz w:val="7"/>
        </w:rPr>
        <w:t>0.2</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w w:val="88"/>
          <w:sz w:val="7"/>
        </w:rPr>
        <w:t>0</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sz w:val="7"/>
        </w:rPr>
        <w:t>-0.2</w:t>
      </w:r>
    </w:p>
    <w:p>
      <w:pPr>
        <w:pStyle w:val="BodyText"/>
        <w:rPr>
          <w:sz w:val="8"/>
        </w:rPr>
      </w:pPr>
    </w:p>
    <w:p>
      <w:pPr>
        <w:pStyle w:val="BodyText"/>
        <w:rPr>
          <w:sz w:val="8"/>
        </w:rPr>
      </w:pPr>
    </w:p>
    <w:p>
      <w:pPr>
        <w:pStyle w:val="BodyText"/>
        <w:rPr>
          <w:sz w:val="8"/>
        </w:rPr>
      </w:pPr>
    </w:p>
    <w:p>
      <w:pPr>
        <w:pStyle w:val="BodyText"/>
        <w:spacing w:before="2"/>
        <w:rPr>
          <w:sz w:val="8"/>
        </w:rPr>
      </w:pPr>
    </w:p>
    <w:p>
      <w:pPr>
        <w:spacing w:before="1"/>
        <w:ind w:left="196" w:right="0" w:firstLine="0"/>
        <w:jc w:val="left"/>
        <w:rPr>
          <w:sz w:val="7"/>
        </w:rPr>
      </w:pPr>
      <w:r>
        <w:rPr>
          <w:sz w:val="7"/>
        </w:rPr>
        <w:t>-0.4</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sz w:val="7"/>
        </w:rPr>
        <w:t>-0.6</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sz w:val="7"/>
        </w:rPr>
        <w:t>-0.8</w:t>
      </w:r>
    </w:p>
    <w:p>
      <w:pPr>
        <w:pStyle w:val="BodyText"/>
        <w:rPr>
          <w:sz w:val="8"/>
        </w:rPr>
      </w:pPr>
    </w:p>
    <w:p>
      <w:pPr>
        <w:pStyle w:val="BodyText"/>
        <w:rPr>
          <w:sz w:val="8"/>
        </w:rPr>
      </w:pPr>
    </w:p>
    <w:p>
      <w:pPr>
        <w:pStyle w:val="BodyText"/>
        <w:rPr>
          <w:sz w:val="8"/>
        </w:rPr>
      </w:pPr>
    </w:p>
    <w:p>
      <w:pPr>
        <w:pStyle w:val="BodyText"/>
        <w:spacing w:before="8"/>
        <w:rPr>
          <w:sz w:val="8"/>
        </w:rPr>
      </w:pPr>
    </w:p>
    <w:p>
      <w:pPr>
        <w:spacing w:before="0"/>
        <w:ind w:left="196" w:right="0" w:firstLine="0"/>
        <w:jc w:val="left"/>
        <w:rPr>
          <w:sz w:val="7"/>
        </w:rPr>
      </w:pPr>
      <w:r>
        <w:rPr>
          <w:sz w:val="7"/>
        </w:rPr>
        <w:t>-1</w:t>
      </w:r>
    </w:p>
    <w:p>
      <w:pPr>
        <w:spacing w:after="0"/>
        <w:jc w:val="left"/>
        <w:rPr>
          <w:sz w:val="7"/>
        </w:rPr>
        <w:sectPr>
          <w:type w:val="continuous"/>
          <w:pgSz w:w="11910" w:h="16840"/>
          <w:pgMar w:top="1180" w:bottom="1860" w:left="880" w:right="0"/>
          <w:cols w:num="2" w:equalWidth="0">
            <w:col w:w="8240" w:space="40"/>
            <w:col w:w="2750"/>
          </w:cols>
        </w:sectPr>
      </w:pPr>
    </w:p>
    <w:p>
      <w:pPr>
        <w:pStyle w:val="BodyText"/>
      </w:pPr>
    </w:p>
    <w:p>
      <w:pPr>
        <w:pStyle w:val="Heading1"/>
        <w:spacing w:before="212"/>
      </w:pPr>
      <w:r>
        <w:rPr/>
        <w:t>Figure 6. Bilateral GDP Correlations</w:t>
      </w:r>
    </w:p>
    <w:p>
      <w:pPr>
        <w:pStyle w:val="BodyText"/>
        <w:spacing w:before="1"/>
        <w:rPr>
          <w:b/>
          <w:sz w:val="30"/>
        </w:rPr>
      </w:pPr>
    </w:p>
    <w:p>
      <w:pPr>
        <w:pStyle w:val="ListParagraph"/>
        <w:numPr>
          <w:ilvl w:val="0"/>
          <w:numId w:val="3"/>
        </w:numPr>
        <w:tabs>
          <w:tab w:pos="973" w:val="left" w:leader="none"/>
          <w:tab w:pos="974" w:val="left" w:leader="none"/>
        </w:tabs>
        <w:spacing w:line="240" w:lineRule="auto" w:before="0" w:after="0"/>
        <w:ind w:left="973" w:right="0" w:hanging="721"/>
        <w:jc w:val="left"/>
        <w:rPr>
          <w:sz w:val="20"/>
        </w:rPr>
      </w:pPr>
      <w:r>
        <w:rPr>
          <w:sz w:val="20"/>
        </w:rPr>
        <w:t>GDP Growth Correlations: 1985-1994</w:t>
      </w:r>
    </w:p>
    <w:p>
      <w:pPr>
        <w:pStyle w:val="BodyText"/>
      </w:pPr>
    </w:p>
    <w:p>
      <w:pPr>
        <w:spacing w:after="0"/>
        <w:sectPr>
          <w:pgSz w:w="11910" w:h="16840"/>
          <w:pgMar w:header="0" w:footer="1676" w:top="1580" w:bottom="1860" w:left="880" w:right="0"/>
        </w:sectPr>
      </w:pPr>
    </w:p>
    <w:p>
      <w:pPr>
        <w:pStyle w:val="BodyText"/>
        <w:rPr>
          <w:sz w:val="6"/>
        </w:rPr>
      </w:pPr>
    </w:p>
    <w:p>
      <w:pPr>
        <w:pStyle w:val="BodyText"/>
        <w:rPr>
          <w:sz w:val="6"/>
        </w:rPr>
      </w:pPr>
    </w:p>
    <w:p>
      <w:pPr>
        <w:pStyle w:val="BodyText"/>
        <w:spacing w:before="9"/>
        <w:rPr>
          <w:sz w:val="8"/>
        </w:rPr>
      </w:pPr>
    </w:p>
    <w:p>
      <w:pPr>
        <w:spacing w:before="0"/>
        <w:ind w:left="2651" w:right="1183" w:firstLine="0"/>
        <w:jc w:val="center"/>
        <w:rPr>
          <w:sz w:val="6"/>
        </w:rPr>
      </w:pPr>
      <w:r>
        <w:rPr/>
        <w:drawing>
          <wp:anchor distT="0" distB="0" distL="0" distR="0" allowOverlap="1" layoutInCell="1" locked="0" behindDoc="0" simplePos="0" relativeHeight="251776000">
            <wp:simplePos x="0" y="0"/>
            <wp:positionH relativeFrom="page">
              <wp:posOffset>1240536</wp:posOffset>
            </wp:positionH>
            <wp:positionV relativeFrom="paragraph">
              <wp:posOffset>34912</wp:posOffset>
            </wp:positionV>
            <wp:extent cx="153924" cy="2420112"/>
            <wp:effectExtent l="0" t="0" r="0" b="0"/>
            <wp:wrapNone/>
            <wp:docPr id="15" name="image17.png"/>
            <wp:cNvGraphicFramePr>
              <a:graphicFrameLocks noChangeAspect="1"/>
            </wp:cNvGraphicFramePr>
            <a:graphic>
              <a:graphicData uri="http://schemas.openxmlformats.org/drawingml/2006/picture">
                <pic:pic>
                  <pic:nvPicPr>
                    <pic:cNvPr id="16" name="image17.png"/>
                    <pic:cNvPicPr/>
                  </pic:nvPicPr>
                  <pic:blipFill>
                    <a:blip r:embed="rId42" cstate="print"/>
                    <a:stretch>
                      <a:fillRect/>
                    </a:stretch>
                  </pic:blipFill>
                  <pic:spPr>
                    <a:xfrm>
                      <a:off x="0" y="0"/>
                      <a:ext cx="153924" cy="2420112"/>
                    </a:xfrm>
                    <a:prstGeom prst="rect">
                      <a:avLst/>
                    </a:prstGeom>
                  </pic:spPr>
                </pic:pic>
              </a:graphicData>
            </a:graphic>
          </wp:anchor>
        </w:drawing>
      </w:r>
      <w:r>
        <w:rPr>
          <w:sz w:val="6"/>
        </w:rPr>
        <w:t>1985Q1-1994Q4</w:t>
      </w:r>
    </w:p>
    <w:p>
      <w:pPr>
        <w:spacing w:line="297" w:lineRule="auto" w:before="44"/>
        <w:ind w:left="1306" w:right="6624" w:firstLine="28"/>
        <w:jc w:val="right"/>
        <w:rPr>
          <w:sz w:val="6"/>
        </w:rPr>
      </w:pPr>
      <w:r>
        <w:rPr/>
        <w:pict>
          <v:group style="position:absolute;margin-left:113.400002pt;margin-top:1.706154pt;width:346.95pt;height:209.2pt;mso-position-horizontal-relative:page;mso-position-vertical-relative:paragraph;z-index:-255365120" coordorigin="2268,34" coordsize="6939,4184">
            <v:shape style="position:absolute;left:2268;top:34;width:6756;height:4184" type="#_x0000_t75" stroked="false">
              <v:imagedata r:id="rId43" o:title=""/>
            </v:shape>
            <v:shape style="position:absolute;left:9072;top:34;width:135;height:3704" type="#_x0000_t75" stroked="false">
              <v:imagedata r:id="rId44" o:title=""/>
            </v:shape>
            <w10:wrap type="none"/>
          </v:group>
        </w:pict>
      </w:r>
      <w:r>
        <w:rPr/>
        <w:pict>
          <v:shape style="position:absolute;margin-left:89.535477pt;margin-top:37.426693pt;width:13.15pt;height:28.6pt;mso-position-horizontal-relative:page;mso-position-vertical-relative:paragraph;z-index:251777024" type="#_x0000_t202" filled="false" stroked="false">
            <v:textbox inset="0,0,0,0" style="layout-flow:vertical;mso-layout-flow-alt:bottom-to-top">
              <w:txbxContent>
                <w:p>
                  <w:pPr>
                    <w:pStyle w:val="BodyText"/>
                    <w:spacing w:before="12"/>
                    <w:ind w:left="20"/>
                  </w:pPr>
                  <w:r>
                    <w:rPr/>
                    <w:t>EMEs</w:t>
                  </w:r>
                </w:p>
              </w:txbxContent>
            </v:textbox>
            <w10:wrap type="none"/>
          </v:shape>
        </w:pict>
      </w:r>
      <w:r>
        <w:rPr/>
        <w:pict>
          <v:shape style="position:absolute;margin-left:90.323479pt;margin-top:137.645889pt;width:13.15pt;height:45.85pt;mso-position-horizontal-relative:page;mso-position-vertical-relative:paragraph;z-index:251780096"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pict>
          <v:shape style="position:absolute;margin-left:90.473473pt;margin-top:77.495651pt;width:13.15pt;height:45.75pt;mso-position-horizontal-relative:page;mso-position-vertical-relative:paragraph;z-index:251781120"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spacing w:val="-5"/>
          <w:sz w:val="6"/>
        </w:rPr>
        <w:t>TK</w:t>
      </w:r>
      <w:r>
        <w:rPr>
          <w:spacing w:val="-5"/>
          <w:w w:val="101"/>
          <w:sz w:val="6"/>
        </w:rPr>
        <w:t> </w:t>
      </w:r>
      <w:r>
        <w:rPr>
          <w:spacing w:val="-5"/>
          <w:sz w:val="6"/>
        </w:rPr>
        <w:t>TH</w:t>
      </w:r>
      <w:r>
        <w:rPr>
          <w:spacing w:val="-5"/>
          <w:w w:val="101"/>
          <w:sz w:val="6"/>
        </w:rPr>
        <w:t> </w:t>
      </w:r>
      <w:r>
        <w:rPr>
          <w:sz w:val="6"/>
        </w:rPr>
        <w:t>SA </w:t>
      </w:r>
      <w:r>
        <w:rPr>
          <w:spacing w:val="-2"/>
          <w:sz w:val="6"/>
        </w:rPr>
        <w:t>RS</w:t>
      </w:r>
      <w:r>
        <w:rPr>
          <w:spacing w:val="-2"/>
          <w:w w:val="101"/>
          <w:sz w:val="6"/>
        </w:rPr>
        <w:t> </w:t>
      </w:r>
      <w:r>
        <w:rPr>
          <w:sz w:val="6"/>
        </w:rPr>
        <w:t>PO PH MX</w:t>
      </w:r>
      <w:r>
        <w:rPr>
          <w:w w:val="101"/>
          <w:sz w:val="6"/>
        </w:rPr>
        <w:t> </w:t>
      </w:r>
      <w:r>
        <w:rPr>
          <w:sz w:val="6"/>
        </w:rPr>
        <w:t>MY</w:t>
      </w:r>
      <w:r>
        <w:rPr>
          <w:w w:val="101"/>
          <w:sz w:val="6"/>
        </w:rPr>
        <w:t> </w:t>
      </w:r>
      <w:r>
        <w:rPr>
          <w:spacing w:val="-3"/>
          <w:sz w:val="6"/>
        </w:rPr>
        <w:t>ID</w:t>
      </w:r>
      <w:r>
        <w:rPr>
          <w:spacing w:val="-3"/>
          <w:w w:val="101"/>
          <w:sz w:val="6"/>
        </w:rPr>
        <w:t>  </w:t>
      </w:r>
      <w:r>
        <w:rPr>
          <w:spacing w:val="-3"/>
          <w:sz w:val="6"/>
        </w:rPr>
        <w:t>IN</w:t>
      </w:r>
      <w:r>
        <w:rPr>
          <w:spacing w:val="-3"/>
          <w:w w:val="101"/>
          <w:sz w:val="6"/>
        </w:rPr>
        <w:t> </w:t>
      </w:r>
      <w:r>
        <w:rPr>
          <w:spacing w:val="-2"/>
          <w:sz w:val="6"/>
        </w:rPr>
        <w:t>HN</w:t>
      </w:r>
      <w:r>
        <w:rPr>
          <w:spacing w:val="-2"/>
          <w:w w:val="101"/>
          <w:sz w:val="6"/>
        </w:rPr>
        <w:t> </w:t>
      </w:r>
      <w:r>
        <w:rPr>
          <w:spacing w:val="-2"/>
          <w:sz w:val="6"/>
        </w:rPr>
        <w:t>CB</w:t>
      </w:r>
      <w:r>
        <w:rPr>
          <w:spacing w:val="-2"/>
          <w:w w:val="101"/>
          <w:sz w:val="6"/>
        </w:rPr>
        <w:t> </w:t>
      </w:r>
      <w:r>
        <w:rPr>
          <w:spacing w:val="-2"/>
          <w:sz w:val="6"/>
        </w:rPr>
        <w:t>CL</w:t>
      </w:r>
      <w:r>
        <w:rPr>
          <w:spacing w:val="-2"/>
          <w:w w:val="101"/>
          <w:sz w:val="6"/>
        </w:rPr>
        <w:t> </w:t>
      </w:r>
      <w:r>
        <w:rPr>
          <w:sz w:val="6"/>
        </w:rPr>
        <w:t>BR AG </w:t>
      </w:r>
      <w:r>
        <w:rPr>
          <w:spacing w:val="-2"/>
          <w:sz w:val="6"/>
        </w:rPr>
        <w:t>US</w:t>
      </w:r>
      <w:r>
        <w:rPr>
          <w:spacing w:val="-2"/>
          <w:w w:val="101"/>
          <w:sz w:val="6"/>
        </w:rPr>
        <w:t> </w:t>
      </w:r>
      <w:r>
        <w:rPr>
          <w:spacing w:val="-2"/>
          <w:sz w:val="6"/>
        </w:rPr>
        <w:t>UK</w:t>
      </w:r>
      <w:r>
        <w:rPr>
          <w:spacing w:val="-2"/>
          <w:w w:val="101"/>
          <w:sz w:val="6"/>
        </w:rPr>
        <w:t> </w:t>
      </w:r>
      <w:r>
        <w:rPr>
          <w:spacing w:val="-5"/>
          <w:sz w:val="6"/>
        </w:rPr>
        <w:t>TW</w:t>
      </w:r>
      <w:r>
        <w:rPr>
          <w:spacing w:val="-5"/>
          <w:w w:val="102"/>
          <w:sz w:val="6"/>
        </w:rPr>
        <w:t> </w:t>
      </w:r>
      <w:r>
        <w:rPr>
          <w:sz w:val="6"/>
        </w:rPr>
        <w:t>SW SD SP </w:t>
      </w:r>
      <w:r>
        <w:rPr>
          <w:spacing w:val="-2"/>
          <w:sz w:val="6"/>
        </w:rPr>
        <w:t>NW</w:t>
      </w:r>
      <w:r>
        <w:rPr>
          <w:spacing w:val="-2"/>
          <w:w w:val="101"/>
          <w:sz w:val="6"/>
        </w:rPr>
        <w:t> </w:t>
      </w:r>
      <w:r>
        <w:rPr>
          <w:spacing w:val="-2"/>
          <w:sz w:val="6"/>
        </w:rPr>
        <w:t>NZ</w:t>
      </w:r>
      <w:r>
        <w:rPr>
          <w:spacing w:val="-2"/>
          <w:w w:val="101"/>
          <w:sz w:val="6"/>
        </w:rPr>
        <w:t> </w:t>
      </w:r>
      <w:r>
        <w:rPr>
          <w:sz w:val="6"/>
        </w:rPr>
        <w:t>KO </w:t>
      </w:r>
      <w:r>
        <w:rPr>
          <w:spacing w:val="-3"/>
          <w:sz w:val="6"/>
        </w:rPr>
        <w:t>JP</w:t>
      </w:r>
      <w:r>
        <w:rPr>
          <w:spacing w:val="-3"/>
          <w:w w:val="101"/>
          <w:sz w:val="6"/>
        </w:rPr>
        <w:t> </w:t>
      </w:r>
      <w:r>
        <w:rPr>
          <w:spacing w:val="-3"/>
          <w:sz w:val="6"/>
        </w:rPr>
        <w:t>IS</w:t>
      </w:r>
      <w:r>
        <w:rPr>
          <w:spacing w:val="-3"/>
          <w:w w:val="102"/>
          <w:sz w:val="6"/>
        </w:rPr>
        <w:t> </w:t>
      </w:r>
      <w:r>
        <w:rPr>
          <w:spacing w:val="-2"/>
          <w:sz w:val="6"/>
        </w:rPr>
        <w:t>HK</w:t>
      </w:r>
      <w:r>
        <w:rPr>
          <w:spacing w:val="-2"/>
          <w:w w:val="101"/>
          <w:sz w:val="6"/>
        </w:rPr>
        <w:t> </w:t>
      </w:r>
      <w:r>
        <w:rPr>
          <w:spacing w:val="-2"/>
          <w:sz w:val="6"/>
        </w:rPr>
        <w:t>DK</w:t>
      </w:r>
      <w:r>
        <w:rPr>
          <w:spacing w:val="-2"/>
          <w:w w:val="101"/>
          <w:sz w:val="6"/>
        </w:rPr>
        <w:t> </w:t>
      </w:r>
      <w:r>
        <w:rPr>
          <w:spacing w:val="-2"/>
          <w:sz w:val="6"/>
        </w:rPr>
        <w:t>CZ</w:t>
      </w:r>
      <w:r>
        <w:rPr>
          <w:spacing w:val="-2"/>
          <w:w w:val="101"/>
          <w:sz w:val="6"/>
        </w:rPr>
        <w:t> </w:t>
      </w:r>
      <w:r>
        <w:rPr>
          <w:spacing w:val="-2"/>
          <w:sz w:val="6"/>
        </w:rPr>
        <w:t>CN</w:t>
      </w:r>
      <w:r>
        <w:rPr>
          <w:spacing w:val="-2"/>
          <w:w w:val="101"/>
          <w:sz w:val="6"/>
        </w:rPr>
        <w:t> </w:t>
      </w:r>
      <w:r>
        <w:rPr>
          <w:sz w:val="6"/>
        </w:rPr>
        <w:t>AU ES PT </w:t>
      </w:r>
      <w:r>
        <w:rPr>
          <w:spacing w:val="-2"/>
          <w:sz w:val="6"/>
        </w:rPr>
        <w:t>NL</w:t>
      </w:r>
      <w:r>
        <w:rPr>
          <w:spacing w:val="-2"/>
          <w:w w:val="101"/>
          <w:sz w:val="6"/>
        </w:rPr>
        <w:t> </w:t>
      </w:r>
      <w:r>
        <w:rPr>
          <w:spacing w:val="-2"/>
          <w:sz w:val="6"/>
        </w:rPr>
        <w:t>LX</w:t>
      </w:r>
      <w:r>
        <w:rPr>
          <w:spacing w:val="-2"/>
          <w:w w:val="101"/>
          <w:sz w:val="6"/>
        </w:rPr>
        <w:t> </w:t>
      </w:r>
      <w:r>
        <w:rPr>
          <w:spacing w:val="-3"/>
          <w:sz w:val="6"/>
        </w:rPr>
        <w:t>IT</w:t>
      </w:r>
      <w:r>
        <w:rPr>
          <w:spacing w:val="-3"/>
          <w:w w:val="102"/>
          <w:sz w:val="6"/>
        </w:rPr>
        <w:t> </w:t>
      </w:r>
      <w:r>
        <w:rPr>
          <w:spacing w:val="-3"/>
          <w:w w:val="101"/>
          <w:sz w:val="6"/>
        </w:rPr>
        <w:t> </w:t>
      </w:r>
      <w:r>
        <w:rPr>
          <w:spacing w:val="-3"/>
          <w:sz w:val="6"/>
        </w:rPr>
        <w:t>IR</w:t>
      </w:r>
      <w:r>
        <w:rPr>
          <w:spacing w:val="-3"/>
          <w:w w:val="101"/>
          <w:sz w:val="6"/>
        </w:rPr>
        <w:t> </w:t>
      </w:r>
      <w:r>
        <w:rPr>
          <w:spacing w:val="-1"/>
          <w:sz w:val="6"/>
        </w:rPr>
        <w:t>GR</w:t>
      </w:r>
      <w:r>
        <w:rPr>
          <w:spacing w:val="-1"/>
          <w:w w:val="101"/>
          <w:sz w:val="6"/>
        </w:rPr>
        <w:t> </w:t>
      </w:r>
      <w:r>
        <w:rPr>
          <w:sz w:val="6"/>
        </w:rPr>
        <w:t>BD FR</w:t>
      </w:r>
      <w:r>
        <w:rPr>
          <w:w w:val="101"/>
          <w:sz w:val="6"/>
        </w:rPr>
        <w:t> </w:t>
      </w:r>
      <w:r>
        <w:rPr>
          <w:sz w:val="6"/>
        </w:rPr>
        <w:t>FN</w:t>
      </w:r>
      <w:r>
        <w:rPr>
          <w:w w:val="101"/>
          <w:sz w:val="6"/>
        </w:rPr>
        <w:t> </w:t>
      </w:r>
      <w:r>
        <w:rPr>
          <w:sz w:val="6"/>
        </w:rPr>
        <w:t>BG </w:t>
      </w:r>
      <w:r>
        <w:rPr>
          <w:spacing w:val="-1"/>
          <w:sz w:val="6"/>
        </w:rPr>
        <w:t>OE</w:t>
      </w:r>
    </w:p>
    <w:p>
      <w:pPr>
        <w:spacing w:before="25"/>
        <w:ind w:left="2651" w:right="1190" w:firstLine="0"/>
        <w:jc w:val="center"/>
        <w:rPr>
          <w:sz w:val="6"/>
        </w:rPr>
      </w:pPr>
      <w:r>
        <w:rPr>
          <w:sz w:val="6"/>
        </w:rPr>
        <w:t>OE BG FN FR BD GR IR IT LX NL PT ES AU CN CZ DK HK IS JP KO NZ NW SP SD SW TW UK US AG BR CL CB HN IN ID MY MX PH PO RS SA TH TK</w:t>
      </w:r>
    </w:p>
    <w:p>
      <w:pPr>
        <w:pStyle w:val="BodyText"/>
        <w:rPr>
          <w:sz w:val="6"/>
        </w:rPr>
      </w:pPr>
      <w:r>
        <w:rPr/>
        <w:br w:type="column"/>
      </w:r>
      <w:r>
        <w:rPr>
          <w:sz w:val="6"/>
        </w:rPr>
      </w:r>
    </w:p>
    <w:p>
      <w:pPr>
        <w:pStyle w:val="BodyText"/>
        <w:rPr>
          <w:sz w:val="6"/>
        </w:rPr>
      </w:pPr>
    </w:p>
    <w:p>
      <w:pPr>
        <w:pStyle w:val="BodyText"/>
        <w:rPr>
          <w:sz w:val="6"/>
        </w:rPr>
      </w:pPr>
    </w:p>
    <w:p>
      <w:pPr>
        <w:pStyle w:val="BodyText"/>
        <w:spacing w:before="10"/>
        <w:rPr>
          <w:sz w:val="8"/>
        </w:rPr>
      </w:pPr>
    </w:p>
    <w:p>
      <w:pPr>
        <w:spacing w:before="0"/>
        <w:ind w:left="248" w:right="0" w:firstLine="0"/>
        <w:jc w:val="left"/>
        <w:rPr>
          <w:sz w:val="6"/>
        </w:rPr>
      </w:pPr>
      <w:r>
        <w:rPr>
          <w:w w:val="101"/>
          <w:sz w:val="6"/>
        </w:rPr>
        <w:t>1</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1"/>
        <w:ind w:left="248" w:right="0" w:firstLine="0"/>
        <w:jc w:val="left"/>
        <w:rPr>
          <w:sz w:val="6"/>
        </w:rPr>
      </w:pPr>
      <w:r>
        <w:rPr>
          <w:sz w:val="6"/>
        </w:rPr>
        <w:t>0.8</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248" w:right="0" w:firstLine="0"/>
        <w:jc w:val="left"/>
        <w:rPr>
          <w:sz w:val="6"/>
        </w:rPr>
      </w:pPr>
      <w:r>
        <w:rPr>
          <w:sz w:val="6"/>
        </w:rPr>
        <w:t>0.6</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248" w:right="0" w:firstLine="0"/>
        <w:jc w:val="left"/>
        <w:rPr>
          <w:sz w:val="6"/>
        </w:rPr>
      </w:pPr>
      <w:r>
        <w:rPr>
          <w:sz w:val="6"/>
        </w:rPr>
        <w:t>0.4</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248" w:right="0" w:firstLine="0"/>
        <w:jc w:val="left"/>
        <w:rPr>
          <w:sz w:val="6"/>
        </w:rPr>
      </w:pPr>
      <w:r>
        <w:rPr>
          <w:sz w:val="6"/>
        </w:rPr>
        <w:t>0.2</w:t>
      </w:r>
    </w:p>
    <w:p>
      <w:pPr>
        <w:pStyle w:val="BodyText"/>
        <w:rPr>
          <w:sz w:val="6"/>
        </w:rPr>
      </w:pPr>
    </w:p>
    <w:p>
      <w:pPr>
        <w:pStyle w:val="BodyText"/>
        <w:rPr>
          <w:sz w:val="6"/>
        </w:rPr>
      </w:pPr>
    </w:p>
    <w:p>
      <w:pPr>
        <w:pStyle w:val="BodyText"/>
        <w:rPr>
          <w:sz w:val="6"/>
        </w:rPr>
      </w:pPr>
    </w:p>
    <w:p>
      <w:pPr>
        <w:pStyle w:val="BodyText"/>
        <w:spacing w:before="4"/>
        <w:rPr>
          <w:sz w:val="8"/>
        </w:rPr>
      </w:pPr>
    </w:p>
    <w:p>
      <w:pPr>
        <w:spacing w:before="0"/>
        <w:ind w:left="248" w:right="0" w:firstLine="0"/>
        <w:jc w:val="left"/>
        <w:rPr>
          <w:sz w:val="6"/>
        </w:rPr>
      </w:pPr>
      <w:r>
        <w:rPr>
          <w:w w:val="101"/>
          <w:sz w:val="6"/>
        </w:rPr>
        <w:t>0</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248" w:right="0" w:firstLine="0"/>
        <w:jc w:val="left"/>
        <w:rPr>
          <w:sz w:val="6"/>
        </w:rPr>
      </w:pPr>
      <w:r>
        <w:rPr>
          <w:sz w:val="6"/>
        </w:rPr>
        <w:t>-0.2</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248" w:right="0" w:firstLine="0"/>
        <w:jc w:val="left"/>
        <w:rPr>
          <w:sz w:val="6"/>
        </w:rPr>
      </w:pPr>
      <w:r>
        <w:rPr>
          <w:sz w:val="6"/>
        </w:rPr>
        <w:t>-0.4</w:t>
      </w:r>
    </w:p>
    <w:p>
      <w:pPr>
        <w:pStyle w:val="BodyText"/>
        <w:rPr>
          <w:sz w:val="6"/>
        </w:rPr>
      </w:pPr>
    </w:p>
    <w:p>
      <w:pPr>
        <w:pStyle w:val="BodyText"/>
        <w:rPr>
          <w:sz w:val="6"/>
        </w:rPr>
      </w:pPr>
    </w:p>
    <w:p>
      <w:pPr>
        <w:pStyle w:val="BodyText"/>
        <w:rPr>
          <w:sz w:val="6"/>
        </w:rPr>
      </w:pPr>
    </w:p>
    <w:p>
      <w:pPr>
        <w:pStyle w:val="BodyText"/>
        <w:spacing w:before="3"/>
        <w:rPr>
          <w:sz w:val="8"/>
        </w:rPr>
      </w:pPr>
    </w:p>
    <w:p>
      <w:pPr>
        <w:spacing w:before="1"/>
        <w:ind w:left="248" w:right="0" w:firstLine="0"/>
        <w:jc w:val="left"/>
        <w:rPr>
          <w:sz w:val="6"/>
        </w:rPr>
      </w:pPr>
      <w:r>
        <w:rPr>
          <w:sz w:val="6"/>
        </w:rPr>
        <w:t>-0.6</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248" w:right="0" w:firstLine="0"/>
        <w:jc w:val="left"/>
        <w:rPr>
          <w:sz w:val="6"/>
        </w:rPr>
      </w:pPr>
      <w:r>
        <w:rPr>
          <w:sz w:val="6"/>
        </w:rPr>
        <w:t>-0.8</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248" w:right="0" w:firstLine="0"/>
        <w:jc w:val="left"/>
        <w:rPr>
          <w:sz w:val="6"/>
        </w:rPr>
      </w:pPr>
      <w:r>
        <w:rPr>
          <w:sz w:val="6"/>
        </w:rPr>
        <w:t>-1</w:t>
      </w:r>
    </w:p>
    <w:p>
      <w:pPr>
        <w:spacing w:after="0"/>
        <w:jc w:val="left"/>
        <w:rPr>
          <w:sz w:val="6"/>
        </w:rPr>
        <w:sectPr>
          <w:type w:val="continuous"/>
          <w:pgSz w:w="11910" w:h="16840"/>
          <w:pgMar w:top="1180" w:bottom="1860" w:left="880" w:right="0"/>
          <w:cols w:num="2" w:equalWidth="0">
            <w:col w:w="8046" w:space="40"/>
            <w:col w:w="2944"/>
          </w:cols>
        </w:sectPr>
      </w:pPr>
    </w:p>
    <w:p>
      <w:pPr>
        <w:pStyle w:val="BodyText"/>
        <w:spacing w:before="1"/>
        <w:rPr>
          <w:sz w:val="19"/>
        </w:rPr>
      </w:pPr>
    </w:p>
    <w:p>
      <w:pPr>
        <w:spacing w:after="0"/>
        <w:rPr>
          <w:sz w:val="19"/>
        </w:rPr>
        <w:sectPr>
          <w:type w:val="continuous"/>
          <w:pgSz w:w="11910" w:h="16840"/>
          <w:pgMar w:top="1180" w:bottom="1860" w:left="880" w:right="0"/>
        </w:sectPr>
      </w:pPr>
    </w:p>
    <w:p>
      <w:pPr>
        <w:pStyle w:val="BodyText"/>
        <w:spacing w:before="95"/>
        <w:jc w:val="right"/>
      </w:pPr>
      <w:r>
        <w:rPr/>
        <w:t>Euro area</w:t>
      </w:r>
    </w:p>
    <w:p>
      <w:pPr>
        <w:pStyle w:val="BodyText"/>
        <w:tabs>
          <w:tab w:pos="3820" w:val="left" w:leader="none"/>
        </w:tabs>
        <w:spacing w:before="93"/>
        <w:ind w:left="1218"/>
      </w:pPr>
      <w:r>
        <w:rPr/>
        <w:br w:type="column"/>
      </w:r>
      <w:r>
        <w:rPr/>
        <w:t>other AEs</w:t>
        <w:tab/>
      </w:r>
      <w:r>
        <w:rPr>
          <w:position w:val="-2"/>
        </w:rPr>
        <w:t>EMEs</w:t>
      </w:r>
    </w:p>
    <w:p>
      <w:pPr>
        <w:spacing w:after="0"/>
        <w:sectPr>
          <w:type w:val="continuous"/>
          <w:pgSz w:w="11910" w:h="16840"/>
          <w:pgMar w:top="1180" w:bottom="1860" w:left="880" w:right="0"/>
          <w:cols w:num="2" w:equalWidth="0">
            <w:col w:w="2791" w:space="40"/>
            <w:col w:w="8199"/>
          </w:cols>
        </w:sectPr>
      </w:pPr>
    </w:p>
    <w:p>
      <w:pPr>
        <w:pStyle w:val="BodyText"/>
        <w:spacing w:before="10"/>
        <w:rPr>
          <w:sz w:val="16"/>
        </w:rPr>
      </w:pPr>
    </w:p>
    <w:p>
      <w:pPr>
        <w:pStyle w:val="BodyText"/>
        <w:spacing w:before="93"/>
        <w:ind w:left="253"/>
      </w:pPr>
      <w:r>
        <w:rPr/>
        <w:t>Note: white cells refer to countries without data for the period considered.</w:t>
      </w:r>
    </w:p>
    <w:p>
      <w:pPr>
        <w:pStyle w:val="BodyText"/>
        <w:spacing w:before="6"/>
        <w:rPr>
          <w:sz w:val="29"/>
        </w:rPr>
      </w:pPr>
    </w:p>
    <w:p>
      <w:pPr>
        <w:pStyle w:val="Heading2"/>
        <w:numPr>
          <w:ilvl w:val="0"/>
          <w:numId w:val="3"/>
        </w:numPr>
        <w:tabs>
          <w:tab w:pos="973" w:val="left" w:leader="none"/>
          <w:tab w:pos="974" w:val="left" w:leader="none"/>
        </w:tabs>
        <w:spacing w:line="240" w:lineRule="auto" w:before="0" w:after="0"/>
        <w:ind w:left="973" w:right="0" w:hanging="721"/>
        <w:jc w:val="left"/>
      </w:pPr>
      <w:r>
        <w:rPr/>
        <w:t>GDP Growth Correlations:</w:t>
      </w:r>
      <w:r>
        <w:rPr>
          <w:spacing w:val="-7"/>
        </w:rPr>
        <w:t> </w:t>
      </w:r>
      <w:r>
        <w:rPr/>
        <w:t>1995-2004</w:t>
      </w:r>
    </w:p>
    <w:p>
      <w:pPr>
        <w:pStyle w:val="BodyText"/>
      </w:pPr>
    </w:p>
    <w:p>
      <w:pPr>
        <w:pStyle w:val="BodyText"/>
        <w:spacing w:before="9"/>
        <w:rPr>
          <w:sz w:val="18"/>
        </w:rPr>
      </w:pPr>
    </w:p>
    <w:p>
      <w:pPr>
        <w:pStyle w:val="BodyText"/>
        <w:spacing w:before="7"/>
        <w:rPr>
          <w:sz w:val="8"/>
        </w:rPr>
      </w:pPr>
    </w:p>
    <w:p>
      <w:pPr>
        <w:spacing w:before="0"/>
        <w:ind w:left="0" w:right="2656" w:firstLine="0"/>
        <w:jc w:val="right"/>
        <w:rPr>
          <w:sz w:val="6"/>
        </w:rPr>
      </w:pPr>
      <w:r>
        <w:rPr/>
        <w:pict>
          <v:group style="position:absolute;margin-left:98.160004pt;margin-top:-3.474362pt;width:362.2pt;height:222.1pt;mso-position-horizontal-relative:page;mso-position-vertical-relative:paragraph;z-index:251774976" coordorigin="1963,-69" coordsize="7244,4442">
            <v:shape style="position:absolute;left:2308;top:32;width:6673;height:3700" type="#_x0000_t75" stroked="false">
              <v:imagedata r:id="rId45" o:title=""/>
            </v:shape>
            <v:shape style="position:absolute;left:9072;top:32;width:135;height:3704" type="#_x0000_t75" stroked="false">
              <v:imagedata r:id="rId46" o:title=""/>
            </v:shape>
            <v:shape style="position:absolute;left:1963;top:-15;width:7073;height:4227" type="#_x0000_t75" stroked="false">
              <v:imagedata r:id="rId47" o:title=""/>
            </v:shape>
            <v:shape style="position:absolute;left:5415;top:-70;width:463;height:69" type="#_x0000_t202" filled="false" stroked="false">
              <v:textbox inset="0,0,0,0">
                <w:txbxContent>
                  <w:p>
                    <w:pPr>
                      <w:spacing w:line="68" w:lineRule="exact" w:before="0"/>
                      <w:ind w:left="0" w:right="0" w:firstLine="0"/>
                      <w:jc w:val="left"/>
                      <w:rPr>
                        <w:sz w:val="6"/>
                      </w:rPr>
                    </w:pPr>
                    <w:r>
                      <w:rPr>
                        <w:sz w:val="6"/>
                      </w:rPr>
                      <w:t>1995Q1-2004Q4</w:t>
                    </w:r>
                  </w:p>
                </w:txbxContent>
              </v:textbox>
              <w10:wrap type="none"/>
            </v:shape>
            <v:shape style="position:absolute;left:2186;top:38;width:132;height:3683" type="#_x0000_t202" filled="false" stroked="false">
              <v:textbox inset="0,0,0,0">
                <w:txbxContent>
                  <w:p>
                    <w:pPr>
                      <w:spacing w:line="292" w:lineRule="auto" w:before="0"/>
                      <w:ind w:left="0" w:right="18" w:firstLine="18"/>
                      <w:jc w:val="right"/>
                      <w:rPr>
                        <w:sz w:val="6"/>
                      </w:rPr>
                    </w:pPr>
                    <w:r>
                      <w:rPr>
                        <w:sz w:val="6"/>
                      </w:rPr>
                      <w:t>VE </w:t>
                    </w:r>
                    <w:r>
                      <w:rPr>
                        <w:spacing w:val="-5"/>
                        <w:sz w:val="6"/>
                      </w:rPr>
                      <w:t>TK</w:t>
                    </w:r>
                    <w:r>
                      <w:rPr>
                        <w:spacing w:val="-5"/>
                        <w:w w:val="101"/>
                        <w:sz w:val="6"/>
                      </w:rPr>
                      <w:t> </w:t>
                    </w:r>
                    <w:r>
                      <w:rPr>
                        <w:spacing w:val="-5"/>
                        <w:sz w:val="6"/>
                      </w:rPr>
                      <w:t>TH</w:t>
                    </w:r>
                    <w:r>
                      <w:rPr>
                        <w:spacing w:val="-5"/>
                        <w:w w:val="101"/>
                        <w:sz w:val="6"/>
                      </w:rPr>
                      <w:t> </w:t>
                    </w:r>
                    <w:r>
                      <w:rPr>
                        <w:sz w:val="6"/>
                      </w:rPr>
                      <w:t>SA </w:t>
                    </w:r>
                    <w:r>
                      <w:rPr>
                        <w:spacing w:val="-2"/>
                        <w:sz w:val="6"/>
                      </w:rPr>
                      <w:t>RS</w:t>
                    </w:r>
                    <w:r>
                      <w:rPr>
                        <w:spacing w:val="-2"/>
                        <w:w w:val="101"/>
                        <w:sz w:val="6"/>
                      </w:rPr>
                      <w:t> </w:t>
                    </w:r>
                    <w:r>
                      <w:rPr>
                        <w:sz w:val="6"/>
                      </w:rPr>
                      <w:t>PO PH MX</w:t>
                    </w:r>
                    <w:r>
                      <w:rPr>
                        <w:w w:val="101"/>
                        <w:sz w:val="6"/>
                      </w:rPr>
                      <w:t> </w:t>
                    </w:r>
                    <w:r>
                      <w:rPr>
                        <w:sz w:val="6"/>
                      </w:rPr>
                      <w:t>MY</w:t>
                    </w:r>
                    <w:r>
                      <w:rPr>
                        <w:w w:val="101"/>
                        <w:sz w:val="6"/>
                      </w:rPr>
                      <w:t> </w:t>
                    </w:r>
                    <w:r>
                      <w:rPr>
                        <w:spacing w:val="-3"/>
                        <w:sz w:val="6"/>
                      </w:rPr>
                      <w:t>ID</w:t>
                    </w:r>
                    <w:r>
                      <w:rPr>
                        <w:spacing w:val="-3"/>
                        <w:w w:val="101"/>
                        <w:sz w:val="6"/>
                      </w:rPr>
                      <w:t> </w:t>
                    </w:r>
                    <w:r>
                      <w:rPr>
                        <w:spacing w:val="-3"/>
                        <w:sz w:val="6"/>
                      </w:rPr>
                      <w:t>IN</w:t>
                    </w:r>
                    <w:r>
                      <w:rPr>
                        <w:spacing w:val="-3"/>
                        <w:w w:val="101"/>
                        <w:sz w:val="6"/>
                      </w:rPr>
                      <w:t> </w:t>
                    </w:r>
                    <w:r>
                      <w:rPr>
                        <w:spacing w:val="-2"/>
                        <w:sz w:val="6"/>
                      </w:rPr>
                      <w:t>HN</w:t>
                    </w:r>
                    <w:r>
                      <w:rPr>
                        <w:spacing w:val="-2"/>
                        <w:w w:val="101"/>
                        <w:sz w:val="6"/>
                      </w:rPr>
                      <w:t> </w:t>
                    </w:r>
                    <w:r>
                      <w:rPr>
                        <w:spacing w:val="-2"/>
                        <w:sz w:val="6"/>
                      </w:rPr>
                      <w:t>CB</w:t>
                    </w:r>
                    <w:r>
                      <w:rPr>
                        <w:spacing w:val="-2"/>
                        <w:w w:val="101"/>
                        <w:sz w:val="6"/>
                      </w:rPr>
                      <w:t> </w:t>
                    </w:r>
                    <w:r>
                      <w:rPr>
                        <w:spacing w:val="-2"/>
                        <w:sz w:val="6"/>
                      </w:rPr>
                      <w:t>CL</w:t>
                    </w:r>
                    <w:r>
                      <w:rPr>
                        <w:spacing w:val="-2"/>
                        <w:w w:val="101"/>
                        <w:sz w:val="6"/>
                      </w:rPr>
                      <w:t> </w:t>
                    </w:r>
                    <w:r>
                      <w:rPr>
                        <w:sz w:val="6"/>
                      </w:rPr>
                      <w:t>BR AG </w:t>
                    </w:r>
                    <w:r>
                      <w:rPr>
                        <w:spacing w:val="-2"/>
                        <w:sz w:val="6"/>
                      </w:rPr>
                      <w:t>US</w:t>
                    </w:r>
                    <w:r>
                      <w:rPr>
                        <w:spacing w:val="-2"/>
                        <w:w w:val="101"/>
                        <w:sz w:val="6"/>
                      </w:rPr>
                      <w:t> </w:t>
                    </w:r>
                    <w:r>
                      <w:rPr>
                        <w:spacing w:val="-2"/>
                        <w:sz w:val="6"/>
                      </w:rPr>
                      <w:t>UK</w:t>
                    </w:r>
                    <w:r>
                      <w:rPr>
                        <w:spacing w:val="-2"/>
                        <w:w w:val="101"/>
                        <w:sz w:val="6"/>
                      </w:rPr>
                      <w:t> </w:t>
                    </w:r>
                    <w:r>
                      <w:rPr>
                        <w:spacing w:val="-5"/>
                        <w:sz w:val="6"/>
                      </w:rPr>
                      <w:t>TW</w:t>
                    </w:r>
                    <w:r>
                      <w:rPr>
                        <w:spacing w:val="-5"/>
                        <w:w w:val="102"/>
                        <w:sz w:val="6"/>
                      </w:rPr>
                      <w:t> </w:t>
                    </w:r>
                    <w:r>
                      <w:rPr>
                        <w:sz w:val="6"/>
                      </w:rPr>
                      <w:t>SW SD SP </w:t>
                    </w:r>
                    <w:r>
                      <w:rPr>
                        <w:spacing w:val="-2"/>
                        <w:sz w:val="6"/>
                      </w:rPr>
                      <w:t>NW</w:t>
                    </w:r>
                    <w:r>
                      <w:rPr>
                        <w:spacing w:val="-2"/>
                        <w:w w:val="101"/>
                        <w:sz w:val="6"/>
                      </w:rPr>
                      <w:t> </w:t>
                    </w:r>
                    <w:r>
                      <w:rPr>
                        <w:spacing w:val="-2"/>
                        <w:sz w:val="6"/>
                      </w:rPr>
                      <w:t>NZ</w:t>
                    </w:r>
                    <w:r>
                      <w:rPr>
                        <w:spacing w:val="-2"/>
                        <w:w w:val="101"/>
                        <w:sz w:val="6"/>
                      </w:rPr>
                      <w:t> </w:t>
                    </w:r>
                    <w:r>
                      <w:rPr>
                        <w:sz w:val="6"/>
                      </w:rPr>
                      <w:t>KO </w:t>
                    </w:r>
                    <w:r>
                      <w:rPr>
                        <w:spacing w:val="-3"/>
                        <w:sz w:val="6"/>
                      </w:rPr>
                      <w:t>JP</w:t>
                    </w:r>
                    <w:r>
                      <w:rPr>
                        <w:spacing w:val="-3"/>
                        <w:w w:val="101"/>
                        <w:sz w:val="6"/>
                      </w:rPr>
                      <w:t> </w:t>
                    </w:r>
                    <w:r>
                      <w:rPr>
                        <w:spacing w:val="-3"/>
                        <w:sz w:val="6"/>
                      </w:rPr>
                      <w:t>IS</w:t>
                    </w:r>
                    <w:r>
                      <w:rPr>
                        <w:spacing w:val="-3"/>
                        <w:w w:val="102"/>
                        <w:sz w:val="6"/>
                      </w:rPr>
                      <w:t> </w:t>
                    </w:r>
                    <w:r>
                      <w:rPr>
                        <w:spacing w:val="-2"/>
                        <w:sz w:val="6"/>
                      </w:rPr>
                      <w:t>HK</w:t>
                    </w:r>
                    <w:r>
                      <w:rPr>
                        <w:spacing w:val="-2"/>
                        <w:w w:val="101"/>
                        <w:sz w:val="6"/>
                      </w:rPr>
                      <w:t> </w:t>
                    </w:r>
                    <w:r>
                      <w:rPr>
                        <w:spacing w:val="-2"/>
                        <w:sz w:val="6"/>
                      </w:rPr>
                      <w:t>DK</w:t>
                    </w:r>
                    <w:r>
                      <w:rPr>
                        <w:spacing w:val="-2"/>
                        <w:w w:val="101"/>
                        <w:sz w:val="6"/>
                      </w:rPr>
                      <w:t> </w:t>
                    </w:r>
                    <w:r>
                      <w:rPr>
                        <w:spacing w:val="-2"/>
                        <w:sz w:val="6"/>
                      </w:rPr>
                      <w:t>CZ</w:t>
                    </w:r>
                    <w:r>
                      <w:rPr>
                        <w:spacing w:val="-2"/>
                        <w:w w:val="101"/>
                        <w:sz w:val="6"/>
                      </w:rPr>
                      <w:t> </w:t>
                    </w:r>
                    <w:r>
                      <w:rPr>
                        <w:spacing w:val="-2"/>
                        <w:sz w:val="6"/>
                      </w:rPr>
                      <w:t>CN</w:t>
                    </w:r>
                    <w:r>
                      <w:rPr>
                        <w:spacing w:val="-2"/>
                        <w:w w:val="101"/>
                        <w:sz w:val="6"/>
                      </w:rPr>
                      <w:t> </w:t>
                    </w:r>
                    <w:r>
                      <w:rPr>
                        <w:sz w:val="6"/>
                      </w:rPr>
                      <w:t>AU ES PT </w:t>
                    </w:r>
                    <w:r>
                      <w:rPr>
                        <w:spacing w:val="-2"/>
                        <w:sz w:val="6"/>
                      </w:rPr>
                      <w:t>NL</w:t>
                    </w:r>
                    <w:r>
                      <w:rPr>
                        <w:spacing w:val="-2"/>
                        <w:w w:val="101"/>
                        <w:sz w:val="6"/>
                      </w:rPr>
                      <w:t> </w:t>
                    </w:r>
                    <w:r>
                      <w:rPr>
                        <w:spacing w:val="-2"/>
                        <w:sz w:val="6"/>
                      </w:rPr>
                      <w:t>LX</w:t>
                    </w:r>
                    <w:r>
                      <w:rPr>
                        <w:spacing w:val="-2"/>
                        <w:w w:val="101"/>
                        <w:sz w:val="6"/>
                      </w:rPr>
                      <w:t> </w:t>
                    </w:r>
                    <w:r>
                      <w:rPr>
                        <w:spacing w:val="-3"/>
                        <w:sz w:val="6"/>
                      </w:rPr>
                      <w:t>IT</w:t>
                    </w:r>
                    <w:r>
                      <w:rPr>
                        <w:spacing w:val="-3"/>
                        <w:w w:val="102"/>
                        <w:sz w:val="6"/>
                      </w:rPr>
                      <w:t> </w:t>
                    </w:r>
                    <w:r>
                      <w:rPr>
                        <w:spacing w:val="-3"/>
                        <w:w w:val="101"/>
                        <w:sz w:val="6"/>
                      </w:rPr>
                      <w:t> </w:t>
                    </w:r>
                    <w:r>
                      <w:rPr>
                        <w:spacing w:val="-3"/>
                        <w:sz w:val="6"/>
                      </w:rPr>
                      <w:t>IR</w:t>
                    </w:r>
                    <w:r>
                      <w:rPr>
                        <w:spacing w:val="-3"/>
                        <w:w w:val="101"/>
                        <w:sz w:val="6"/>
                      </w:rPr>
                      <w:t> </w:t>
                    </w:r>
                    <w:r>
                      <w:rPr>
                        <w:spacing w:val="-1"/>
                        <w:sz w:val="6"/>
                      </w:rPr>
                      <w:t>GR</w:t>
                    </w:r>
                    <w:r>
                      <w:rPr>
                        <w:spacing w:val="-1"/>
                        <w:w w:val="101"/>
                        <w:sz w:val="6"/>
                      </w:rPr>
                      <w:t> </w:t>
                    </w:r>
                    <w:r>
                      <w:rPr>
                        <w:sz w:val="6"/>
                      </w:rPr>
                      <w:t>BD FR</w:t>
                    </w:r>
                    <w:r>
                      <w:rPr>
                        <w:w w:val="101"/>
                        <w:sz w:val="6"/>
                      </w:rPr>
                      <w:t> </w:t>
                    </w:r>
                    <w:r>
                      <w:rPr>
                        <w:sz w:val="6"/>
                      </w:rPr>
                      <w:t>FN</w:t>
                    </w:r>
                    <w:r>
                      <w:rPr>
                        <w:w w:val="101"/>
                        <w:sz w:val="6"/>
                      </w:rPr>
                      <w:t> </w:t>
                    </w:r>
                    <w:r>
                      <w:rPr>
                        <w:sz w:val="6"/>
                      </w:rPr>
                      <w:t>BG </w:t>
                    </w:r>
                    <w:r>
                      <w:rPr>
                        <w:spacing w:val="-1"/>
                        <w:sz w:val="6"/>
                      </w:rPr>
                      <w:t>OE</w:t>
                    </w:r>
                  </w:p>
                </w:txbxContent>
              </v:textbox>
              <w10:wrap type="none"/>
            </v:shape>
            <v:shape style="position:absolute;left:2341;top:3746;width:6615;height:69" type="#_x0000_t202" filled="false" stroked="false">
              <v:textbox inset="0,0,0,0">
                <w:txbxContent>
                  <w:p>
                    <w:pPr>
                      <w:spacing w:line="68" w:lineRule="exact" w:before="0"/>
                      <w:ind w:left="0" w:right="0" w:firstLine="0"/>
                      <w:jc w:val="left"/>
                      <w:rPr>
                        <w:sz w:val="6"/>
                      </w:rPr>
                    </w:pPr>
                    <w:r>
                      <w:rPr>
                        <w:sz w:val="6"/>
                      </w:rPr>
                      <w:t>OE BG FN FR BD GR IR IT LX NL PT ES AU CN CZ DK HK IS JP KO NZ NW SP SD SW TW UK US AG BR CL CB HN IN ID MY MX PH PO RS SA TH TK VE</w:t>
                    </w:r>
                  </w:p>
                </w:txbxContent>
              </v:textbox>
              <w10:wrap type="none"/>
            </v:shape>
            <v:shape style="position:absolute;left:2760;top:4120;width:897;height:223" type="#_x0000_t202" filled="false" stroked="false">
              <v:textbox inset="0,0,0,0">
                <w:txbxContent>
                  <w:p>
                    <w:pPr>
                      <w:spacing w:line="223" w:lineRule="exact" w:before="0"/>
                      <w:ind w:left="0" w:right="0" w:firstLine="0"/>
                      <w:jc w:val="left"/>
                      <w:rPr>
                        <w:sz w:val="20"/>
                      </w:rPr>
                    </w:pPr>
                    <w:r>
                      <w:rPr>
                        <w:sz w:val="20"/>
                      </w:rPr>
                      <w:t>Euro area</w:t>
                    </w:r>
                  </w:p>
                </w:txbxContent>
              </v:textbox>
              <w10:wrap type="none"/>
            </v:shape>
            <v:shape style="position:absolute;left:4868;top:4134;width:895;height:223" type="#_x0000_t202" filled="false" stroked="false">
              <v:textbox inset="0,0,0,0">
                <w:txbxContent>
                  <w:p>
                    <w:pPr>
                      <w:spacing w:line="223" w:lineRule="exact" w:before="0"/>
                      <w:ind w:left="0" w:right="0" w:firstLine="0"/>
                      <w:jc w:val="left"/>
                      <w:rPr>
                        <w:sz w:val="20"/>
                      </w:rPr>
                    </w:pPr>
                    <w:r>
                      <w:rPr>
                        <w:sz w:val="20"/>
                      </w:rPr>
                      <w:t>other AEs</w:t>
                    </w:r>
                  </w:p>
                </w:txbxContent>
              </v:textbox>
              <w10:wrap type="none"/>
            </v:shape>
            <v:shape style="position:absolute;left:7479;top:4149;width:552;height:223" type="#_x0000_t202" filled="false" stroked="false">
              <v:textbox inset="0,0,0,0">
                <w:txbxContent>
                  <w:p>
                    <w:pPr>
                      <w:spacing w:line="223" w:lineRule="exact" w:before="0"/>
                      <w:ind w:left="0" w:right="0" w:firstLine="0"/>
                      <w:jc w:val="left"/>
                      <w:rPr>
                        <w:sz w:val="20"/>
                      </w:rPr>
                    </w:pPr>
                    <w:r>
                      <w:rPr>
                        <w:sz w:val="20"/>
                      </w:rPr>
                      <w:t>EMEs</w:t>
                    </w:r>
                  </w:p>
                </w:txbxContent>
              </v:textbox>
              <w10:wrap type="none"/>
            </v:shape>
            <w10:wrap type="none"/>
          </v:group>
        </w:pict>
      </w:r>
      <w:r>
        <w:rPr>
          <w:w w:val="101"/>
          <w:sz w:val="6"/>
        </w:rPr>
        <w:t>1</w:t>
      </w:r>
    </w:p>
    <w:p>
      <w:pPr>
        <w:pStyle w:val="BodyText"/>
        <w:spacing w:before="3"/>
        <w:rPr>
          <w:sz w:val="17"/>
        </w:rPr>
      </w:pPr>
    </w:p>
    <w:p>
      <w:pPr>
        <w:pStyle w:val="BodyText"/>
        <w:spacing w:before="7"/>
        <w:rPr>
          <w:sz w:val="8"/>
        </w:rPr>
      </w:pPr>
    </w:p>
    <w:p>
      <w:pPr>
        <w:spacing w:before="0"/>
        <w:ind w:left="0" w:right="2605" w:firstLine="0"/>
        <w:jc w:val="right"/>
        <w:rPr>
          <w:sz w:val="6"/>
        </w:rPr>
      </w:pPr>
      <w:r>
        <w:rPr>
          <w:spacing w:val="-1"/>
          <w:sz w:val="6"/>
        </w:rPr>
        <w:t>0.8</w:t>
      </w:r>
    </w:p>
    <w:p>
      <w:pPr>
        <w:pStyle w:val="BodyText"/>
        <w:spacing w:before="8"/>
        <w:rPr>
          <w:sz w:val="17"/>
        </w:rPr>
      </w:pPr>
    </w:p>
    <w:p>
      <w:pPr>
        <w:pStyle w:val="BodyText"/>
        <w:spacing w:before="7"/>
        <w:rPr>
          <w:sz w:val="8"/>
        </w:rPr>
      </w:pPr>
    </w:p>
    <w:p>
      <w:pPr>
        <w:spacing w:before="0"/>
        <w:ind w:left="0" w:right="2605" w:firstLine="0"/>
        <w:jc w:val="right"/>
        <w:rPr>
          <w:sz w:val="6"/>
        </w:rPr>
      </w:pPr>
      <w:r>
        <w:rPr/>
        <w:pict>
          <v:shape style="position:absolute;margin-left:91.023476pt;margin-top:-14.763524pt;width:13.15pt;height:28.6pt;mso-position-horizontal-relative:page;mso-position-vertical-relative:paragraph;z-index:251782144" type="#_x0000_t202" filled="false" stroked="false">
            <v:textbox inset="0,0,0,0" style="layout-flow:vertical;mso-layout-flow-alt:bottom-to-top">
              <w:txbxContent>
                <w:p>
                  <w:pPr>
                    <w:pStyle w:val="BodyText"/>
                    <w:spacing w:before="12"/>
                    <w:ind w:left="20"/>
                  </w:pPr>
                  <w:r>
                    <w:rPr/>
                    <w:t>EMEs</w:t>
                  </w:r>
                </w:p>
              </w:txbxContent>
            </v:textbox>
            <w10:wrap type="none"/>
          </v:shape>
        </w:pict>
      </w:r>
      <w:r>
        <w:rPr>
          <w:spacing w:val="-1"/>
          <w:sz w:val="6"/>
        </w:rPr>
        <w:t>0.6</w:t>
      </w:r>
    </w:p>
    <w:p>
      <w:pPr>
        <w:pStyle w:val="BodyText"/>
        <w:spacing w:before="7"/>
        <w:rPr>
          <w:sz w:val="17"/>
        </w:rPr>
      </w:pPr>
    </w:p>
    <w:p>
      <w:pPr>
        <w:pStyle w:val="BodyText"/>
        <w:spacing w:before="8"/>
        <w:rPr>
          <w:sz w:val="8"/>
        </w:rPr>
      </w:pPr>
    </w:p>
    <w:p>
      <w:pPr>
        <w:spacing w:before="0"/>
        <w:ind w:left="0" w:right="2605" w:firstLine="0"/>
        <w:jc w:val="right"/>
        <w:rPr>
          <w:sz w:val="6"/>
        </w:rPr>
      </w:pPr>
      <w:r>
        <w:rPr>
          <w:spacing w:val="-1"/>
          <w:sz w:val="6"/>
        </w:rPr>
        <w:t>0.4</w:t>
      </w:r>
    </w:p>
    <w:p>
      <w:pPr>
        <w:pStyle w:val="BodyText"/>
        <w:spacing w:before="3"/>
        <w:rPr>
          <w:sz w:val="17"/>
        </w:rPr>
      </w:pPr>
    </w:p>
    <w:p>
      <w:pPr>
        <w:pStyle w:val="BodyText"/>
        <w:spacing w:before="7"/>
        <w:rPr>
          <w:sz w:val="8"/>
        </w:rPr>
      </w:pPr>
    </w:p>
    <w:p>
      <w:pPr>
        <w:spacing w:before="0"/>
        <w:ind w:left="0" w:right="2605" w:firstLine="0"/>
        <w:jc w:val="right"/>
        <w:rPr>
          <w:sz w:val="6"/>
        </w:rPr>
      </w:pPr>
      <w:r>
        <w:rPr>
          <w:spacing w:val="-1"/>
          <w:sz w:val="6"/>
        </w:rPr>
        <w:t>0.2</w:t>
      </w:r>
    </w:p>
    <w:p>
      <w:pPr>
        <w:pStyle w:val="BodyText"/>
        <w:spacing w:before="7"/>
        <w:rPr>
          <w:sz w:val="17"/>
        </w:rPr>
      </w:pPr>
    </w:p>
    <w:p>
      <w:pPr>
        <w:pStyle w:val="BodyText"/>
        <w:spacing w:before="7"/>
        <w:rPr>
          <w:sz w:val="8"/>
        </w:rPr>
      </w:pPr>
    </w:p>
    <w:p>
      <w:pPr>
        <w:spacing w:before="1"/>
        <w:ind w:left="0" w:right="2656" w:firstLine="0"/>
        <w:jc w:val="right"/>
        <w:rPr>
          <w:sz w:val="6"/>
        </w:rPr>
      </w:pPr>
      <w:r>
        <w:rPr/>
        <w:pict>
          <v:shape style="position:absolute;margin-left:89.943474pt;margin-top:-11.862756pt;width:13.15pt;height:45.75pt;mso-position-horizontal-relative:page;mso-position-vertical-relative:paragraph;z-index:251779072"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w w:val="101"/>
          <w:sz w:val="6"/>
        </w:rPr>
        <w:t>0</w:t>
      </w:r>
    </w:p>
    <w:p>
      <w:pPr>
        <w:pStyle w:val="BodyText"/>
        <w:spacing w:before="7"/>
        <w:rPr>
          <w:sz w:val="17"/>
        </w:rPr>
      </w:pPr>
    </w:p>
    <w:p>
      <w:pPr>
        <w:pStyle w:val="BodyText"/>
        <w:spacing w:before="7"/>
        <w:rPr>
          <w:sz w:val="8"/>
        </w:rPr>
      </w:pPr>
    </w:p>
    <w:p>
      <w:pPr>
        <w:spacing w:before="1"/>
        <w:ind w:left="0" w:right="2586" w:firstLine="0"/>
        <w:jc w:val="right"/>
        <w:rPr>
          <w:sz w:val="6"/>
        </w:rPr>
      </w:pPr>
      <w:r>
        <w:rPr>
          <w:spacing w:val="-1"/>
          <w:sz w:val="6"/>
        </w:rPr>
        <w:t>-0.2</w:t>
      </w:r>
    </w:p>
    <w:p>
      <w:pPr>
        <w:pStyle w:val="BodyText"/>
        <w:spacing w:before="2"/>
        <w:rPr>
          <w:sz w:val="17"/>
        </w:rPr>
      </w:pPr>
    </w:p>
    <w:p>
      <w:pPr>
        <w:pStyle w:val="BodyText"/>
        <w:spacing w:before="7"/>
        <w:rPr>
          <w:sz w:val="8"/>
        </w:rPr>
      </w:pPr>
    </w:p>
    <w:p>
      <w:pPr>
        <w:spacing w:before="1"/>
        <w:ind w:left="0" w:right="2586" w:firstLine="0"/>
        <w:jc w:val="right"/>
        <w:rPr>
          <w:sz w:val="6"/>
        </w:rPr>
      </w:pPr>
      <w:r>
        <w:rPr>
          <w:spacing w:val="-1"/>
          <w:sz w:val="6"/>
        </w:rPr>
        <w:t>-0.4</w:t>
      </w:r>
    </w:p>
    <w:p>
      <w:pPr>
        <w:pStyle w:val="BodyText"/>
        <w:spacing w:before="7"/>
        <w:rPr>
          <w:sz w:val="17"/>
        </w:rPr>
      </w:pPr>
    </w:p>
    <w:p>
      <w:pPr>
        <w:pStyle w:val="BodyText"/>
        <w:spacing w:before="7"/>
        <w:rPr>
          <w:sz w:val="8"/>
        </w:rPr>
      </w:pPr>
    </w:p>
    <w:p>
      <w:pPr>
        <w:spacing w:before="1"/>
        <w:ind w:left="0" w:right="2586" w:firstLine="0"/>
        <w:jc w:val="right"/>
        <w:rPr>
          <w:sz w:val="6"/>
        </w:rPr>
      </w:pPr>
      <w:r>
        <w:rPr/>
        <w:pict>
          <v:shape style="position:absolute;margin-left:90.133476pt;margin-top:-8.84539pt;width:13.15pt;height:45.85pt;mso-position-horizontal-relative:page;mso-position-vertical-relative:paragraph;z-index:251778048"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spacing w:val="-1"/>
          <w:sz w:val="6"/>
        </w:rPr>
        <w:t>-0.6</w:t>
      </w:r>
    </w:p>
    <w:p>
      <w:pPr>
        <w:pStyle w:val="BodyText"/>
        <w:spacing w:before="7"/>
        <w:rPr>
          <w:sz w:val="17"/>
        </w:rPr>
      </w:pPr>
    </w:p>
    <w:p>
      <w:pPr>
        <w:pStyle w:val="BodyText"/>
        <w:spacing w:before="7"/>
        <w:rPr>
          <w:sz w:val="8"/>
        </w:rPr>
      </w:pPr>
    </w:p>
    <w:p>
      <w:pPr>
        <w:spacing w:before="0"/>
        <w:ind w:left="0" w:right="2586" w:firstLine="0"/>
        <w:jc w:val="right"/>
        <w:rPr>
          <w:sz w:val="6"/>
        </w:rPr>
      </w:pPr>
      <w:r>
        <w:rPr>
          <w:spacing w:val="-1"/>
          <w:sz w:val="6"/>
        </w:rPr>
        <w:t>-0.8</w:t>
      </w:r>
    </w:p>
    <w:p>
      <w:pPr>
        <w:pStyle w:val="BodyText"/>
        <w:spacing w:before="8"/>
        <w:rPr>
          <w:sz w:val="17"/>
        </w:rPr>
      </w:pPr>
    </w:p>
    <w:p>
      <w:pPr>
        <w:pStyle w:val="BodyText"/>
        <w:spacing w:before="7"/>
        <w:rPr>
          <w:sz w:val="8"/>
        </w:rPr>
      </w:pPr>
    </w:p>
    <w:p>
      <w:pPr>
        <w:spacing w:before="0"/>
        <w:ind w:left="0" w:right="2639" w:firstLine="0"/>
        <w:jc w:val="right"/>
        <w:rPr>
          <w:sz w:val="6"/>
        </w:rPr>
      </w:pPr>
      <w:r>
        <w:rPr>
          <w:sz w:val="6"/>
        </w:rPr>
        <w:t>-1</w:t>
      </w:r>
    </w:p>
    <w:p>
      <w:pPr>
        <w:spacing w:after="0"/>
        <w:jc w:val="right"/>
        <w:rPr>
          <w:sz w:val="6"/>
        </w:rPr>
        <w:sectPr>
          <w:type w:val="continuous"/>
          <w:pgSz w:w="11910" w:h="16840"/>
          <w:pgMar w:top="1180" w:bottom="1860" w:left="880" w:right="0"/>
        </w:sectPr>
      </w:pPr>
    </w:p>
    <w:p>
      <w:pPr>
        <w:pStyle w:val="BodyText"/>
        <w:spacing w:before="2"/>
        <w:rPr>
          <w:sz w:val="23"/>
        </w:rPr>
      </w:pPr>
    </w:p>
    <w:p>
      <w:pPr>
        <w:pStyle w:val="ListParagraph"/>
        <w:numPr>
          <w:ilvl w:val="0"/>
          <w:numId w:val="3"/>
        </w:numPr>
        <w:tabs>
          <w:tab w:pos="973" w:val="left" w:leader="none"/>
          <w:tab w:pos="974" w:val="left" w:leader="none"/>
        </w:tabs>
        <w:spacing w:line="240" w:lineRule="auto" w:before="93" w:after="0"/>
        <w:ind w:left="973" w:right="0" w:hanging="721"/>
        <w:jc w:val="left"/>
        <w:rPr>
          <w:sz w:val="20"/>
        </w:rPr>
      </w:pPr>
      <w:r>
        <w:rPr>
          <w:sz w:val="20"/>
        </w:rPr>
        <w:t>GDP Growth Correlations:</w:t>
      </w:r>
      <w:r>
        <w:rPr>
          <w:spacing w:val="3"/>
          <w:sz w:val="20"/>
        </w:rPr>
        <w:t> </w:t>
      </w:r>
      <w:r>
        <w:rPr>
          <w:sz w:val="20"/>
        </w:rPr>
        <w:t>2008-2011</w:t>
      </w:r>
    </w:p>
    <w:p>
      <w:pPr>
        <w:pStyle w:val="BodyText"/>
      </w:pPr>
    </w:p>
    <w:p>
      <w:pPr>
        <w:pStyle w:val="BodyText"/>
        <w:spacing w:before="5"/>
        <w:rPr>
          <w:sz w:val="18"/>
        </w:rPr>
      </w:pPr>
    </w:p>
    <w:p>
      <w:pPr>
        <w:pStyle w:val="BodyText"/>
        <w:spacing w:before="7"/>
        <w:rPr>
          <w:sz w:val="8"/>
        </w:rPr>
      </w:pPr>
    </w:p>
    <w:p>
      <w:pPr>
        <w:spacing w:before="0"/>
        <w:ind w:left="0" w:right="2656" w:firstLine="0"/>
        <w:jc w:val="right"/>
        <w:rPr>
          <w:sz w:val="6"/>
        </w:rPr>
      </w:pPr>
      <w:r>
        <w:rPr/>
        <w:pict>
          <v:group style="position:absolute;margin-left:98.879997pt;margin-top:-3.474355pt;width:350.2pt;height:221.65pt;mso-position-horizontal-relative:page;mso-position-vertical-relative:paragraph;z-index:251789312" coordorigin="1978,-69" coordsize="7004,4433">
            <v:shape style="position:absolute;left:2308;top:32;width:6673;height:3700" type="#_x0000_t75" stroked="false">
              <v:imagedata r:id="rId48" o:title=""/>
            </v:shape>
            <v:shape style="position:absolute;left:1977;top:-13;width:7001;height:4229" type="#_x0000_t75" stroked="false">
              <v:imagedata r:id="rId49" o:title=""/>
            </v:shape>
            <v:shape style="position:absolute;left:5415;top:-70;width:463;height:69" type="#_x0000_t202" filled="false" stroked="false">
              <v:textbox inset="0,0,0,0">
                <w:txbxContent>
                  <w:p>
                    <w:pPr>
                      <w:spacing w:line="68" w:lineRule="exact" w:before="0"/>
                      <w:ind w:left="0" w:right="0" w:firstLine="0"/>
                      <w:jc w:val="left"/>
                      <w:rPr>
                        <w:sz w:val="6"/>
                      </w:rPr>
                    </w:pPr>
                    <w:r>
                      <w:rPr>
                        <w:sz w:val="6"/>
                      </w:rPr>
                      <w:t>2008Q1-2011Q1</w:t>
                    </w:r>
                  </w:p>
                </w:txbxContent>
              </v:textbox>
              <w10:wrap type="none"/>
            </v:shape>
            <v:shape style="position:absolute;left:2186;top:38;width:132;height:3683" type="#_x0000_t202" filled="false" stroked="false">
              <v:textbox inset="0,0,0,0">
                <w:txbxContent>
                  <w:p>
                    <w:pPr>
                      <w:spacing w:line="292" w:lineRule="auto" w:before="0"/>
                      <w:ind w:left="0" w:right="18" w:firstLine="18"/>
                      <w:jc w:val="right"/>
                      <w:rPr>
                        <w:sz w:val="6"/>
                      </w:rPr>
                    </w:pPr>
                    <w:r>
                      <w:rPr>
                        <w:sz w:val="6"/>
                      </w:rPr>
                      <w:t>VE </w:t>
                    </w:r>
                    <w:r>
                      <w:rPr>
                        <w:spacing w:val="-5"/>
                        <w:sz w:val="6"/>
                      </w:rPr>
                      <w:t>TK</w:t>
                    </w:r>
                    <w:r>
                      <w:rPr>
                        <w:spacing w:val="-5"/>
                        <w:w w:val="101"/>
                        <w:sz w:val="6"/>
                      </w:rPr>
                      <w:t> </w:t>
                    </w:r>
                    <w:r>
                      <w:rPr>
                        <w:spacing w:val="-5"/>
                        <w:sz w:val="6"/>
                      </w:rPr>
                      <w:t>TH</w:t>
                    </w:r>
                    <w:r>
                      <w:rPr>
                        <w:spacing w:val="-5"/>
                        <w:w w:val="101"/>
                        <w:sz w:val="6"/>
                      </w:rPr>
                      <w:t> </w:t>
                    </w:r>
                    <w:r>
                      <w:rPr>
                        <w:sz w:val="6"/>
                      </w:rPr>
                      <w:t>SA </w:t>
                    </w:r>
                    <w:r>
                      <w:rPr>
                        <w:spacing w:val="-2"/>
                        <w:sz w:val="6"/>
                      </w:rPr>
                      <w:t>RS</w:t>
                    </w:r>
                    <w:r>
                      <w:rPr>
                        <w:spacing w:val="-2"/>
                        <w:w w:val="101"/>
                        <w:sz w:val="6"/>
                      </w:rPr>
                      <w:t> </w:t>
                    </w:r>
                    <w:r>
                      <w:rPr>
                        <w:sz w:val="6"/>
                      </w:rPr>
                      <w:t>PO PH MX</w:t>
                    </w:r>
                    <w:r>
                      <w:rPr>
                        <w:w w:val="101"/>
                        <w:sz w:val="6"/>
                      </w:rPr>
                      <w:t> </w:t>
                    </w:r>
                    <w:r>
                      <w:rPr>
                        <w:sz w:val="6"/>
                      </w:rPr>
                      <w:t>MY</w:t>
                    </w:r>
                    <w:r>
                      <w:rPr>
                        <w:w w:val="101"/>
                        <w:sz w:val="6"/>
                      </w:rPr>
                      <w:t> </w:t>
                    </w:r>
                    <w:r>
                      <w:rPr>
                        <w:spacing w:val="-3"/>
                        <w:sz w:val="6"/>
                      </w:rPr>
                      <w:t>ID</w:t>
                    </w:r>
                    <w:r>
                      <w:rPr>
                        <w:spacing w:val="-3"/>
                        <w:w w:val="101"/>
                        <w:sz w:val="6"/>
                      </w:rPr>
                      <w:t> </w:t>
                    </w:r>
                    <w:r>
                      <w:rPr>
                        <w:spacing w:val="-3"/>
                        <w:sz w:val="6"/>
                      </w:rPr>
                      <w:t>IN</w:t>
                    </w:r>
                    <w:r>
                      <w:rPr>
                        <w:spacing w:val="-3"/>
                        <w:w w:val="101"/>
                        <w:sz w:val="6"/>
                      </w:rPr>
                      <w:t> </w:t>
                    </w:r>
                    <w:r>
                      <w:rPr>
                        <w:spacing w:val="-2"/>
                        <w:sz w:val="6"/>
                      </w:rPr>
                      <w:t>HN</w:t>
                    </w:r>
                    <w:r>
                      <w:rPr>
                        <w:spacing w:val="-2"/>
                        <w:w w:val="101"/>
                        <w:sz w:val="6"/>
                      </w:rPr>
                      <w:t> </w:t>
                    </w:r>
                    <w:r>
                      <w:rPr>
                        <w:spacing w:val="-2"/>
                        <w:sz w:val="6"/>
                      </w:rPr>
                      <w:t>CB</w:t>
                    </w:r>
                    <w:r>
                      <w:rPr>
                        <w:spacing w:val="-2"/>
                        <w:w w:val="101"/>
                        <w:sz w:val="6"/>
                      </w:rPr>
                      <w:t> </w:t>
                    </w:r>
                    <w:r>
                      <w:rPr>
                        <w:spacing w:val="-2"/>
                        <w:sz w:val="6"/>
                      </w:rPr>
                      <w:t>CL</w:t>
                    </w:r>
                    <w:r>
                      <w:rPr>
                        <w:spacing w:val="-2"/>
                        <w:w w:val="101"/>
                        <w:sz w:val="6"/>
                      </w:rPr>
                      <w:t> </w:t>
                    </w:r>
                    <w:r>
                      <w:rPr>
                        <w:sz w:val="6"/>
                      </w:rPr>
                      <w:t>BR AG </w:t>
                    </w:r>
                    <w:r>
                      <w:rPr>
                        <w:spacing w:val="-2"/>
                        <w:sz w:val="6"/>
                      </w:rPr>
                      <w:t>US</w:t>
                    </w:r>
                    <w:r>
                      <w:rPr>
                        <w:spacing w:val="-2"/>
                        <w:w w:val="101"/>
                        <w:sz w:val="6"/>
                      </w:rPr>
                      <w:t> </w:t>
                    </w:r>
                    <w:r>
                      <w:rPr>
                        <w:spacing w:val="-2"/>
                        <w:sz w:val="6"/>
                      </w:rPr>
                      <w:t>UK</w:t>
                    </w:r>
                    <w:r>
                      <w:rPr>
                        <w:spacing w:val="-2"/>
                        <w:w w:val="101"/>
                        <w:sz w:val="6"/>
                      </w:rPr>
                      <w:t> </w:t>
                    </w:r>
                    <w:r>
                      <w:rPr>
                        <w:spacing w:val="-5"/>
                        <w:sz w:val="6"/>
                      </w:rPr>
                      <w:t>TW</w:t>
                    </w:r>
                    <w:r>
                      <w:rPr>
                        <w:spacing w:val="-5"/>
                        <w:w w:val="102"/>
                        <w:sz w:val="6"/>
                      </w:rPr>
                      <w:t> </w:t>
                    </w:r>
                    <w:r>
                      <w:rPr>
                        <w:sz w:val="6"/>
                      </w:rPr>
                      <w:t>SW SD SP </w:t>
                    </w:r>
                    <w:r>
                      <w:rPr>
                        <w:spacing w:val="-2"/>
                        <w:sz w:val="6"/>
                      </w:rPr>
                      <w:t>NW</w:t>
                    </w:r>
                    <w:r>
                      <w:rPr>
                        <w:spacing w:val="-2"/>
                        <w:w w:val="101"/>
                        <w:sz w:val="6"/>
                      </w:rPr>
                      <w:t> </w:t>
                    </w:r>
                    <w:r>
                      <w:rPr>
                        <w:spacing w:val="-2"/>
                        <w:sz w:val="6"/>
                      </w:rPr>
                      <w:t>NZ</w:t>
                    </w:r>
                    <w:r>
                      <w:rPr>
                        <w:spacing w:val="-2"/>
                        <w:w w:val="101"/>
                        <w:sz w:val="6"/>
                      </w:rPr>
                      <w:t> </w:t>
                    </w:r>
                    <w:r>
                      <w:rPr>
                        <w:sz w:val="6"/>
                      </w:rPr>
                      <w:t>KO </w:t>
                    </w:r>
                    <w:r>
                      <w:rPr>
                        <w:spacing w:val="-3"/>
                        <w:sz w:val="6"/>
                      </w:rPr>
                      <w:t>JP</w:t>
                    </w:r>
                    <w:r>
                      <w:rPr>
                        <w:spacing w:val="-3"/>
                        <w:w w:val="101"/>
                        <w:sz w:val="6"/>
                      </w:rPr>
                      <w:t> </w:t>
                    </w:r>
                    <w:r>
                      <w:rPr>
                        <w:spacing w:val="-3"/>
                        <w:sz w:val="6"/>
                      </w:rPr>
                      <w:t>IS</w:t>
                    </w:r>
                    <w:r>
                      <w:rPr>
                        <w:spacing w:val="-3"/>
                        <w:w w:val="102"/>
                        <w:sz w:val="6"/>
                      </w:rPr>
                      <w:t> </w:t>
                    </w:r>
                    <w:r>
                      <w:rPr>
                        <w:spacing w:val="-2"/>
                        <w:sz w:val="6"/>
                      </w:rPr>
                      <w:t>HK</w:t>
                    </w:r>
                    <w:r>
                      <w:rPr>
                        <w:spacing w:val="-2"/>
                        <w:w w:val="101"/>
                        <w:sz w:val="6"/>
                      </w:rPr>
                      <w:t> </w:t>
                    </w:r>
                    <w:r>
                      <w:rPr>
                        <w:spacing w:val="-2"/>
                        <w:sz w:val="6"/>
                      </w:rPr>
                      <w:t>DK</w:t>
                    </w:r>
                    <w:r>
                      <w:rPr>
                        <w:spacing w:val="-2"/>
                        <w:w w:val="101"/>
                        <w:sz w:val="6"/>
                      </w:rPr>
                      <w:t> </w:t>
                    </w:r>
                    <w:r>
                      <w:rPr>
                        <w:spacing w:val="-2"/>
                        <w:sz w:val="6"/>
                      </w:rPr>
                      <w:t>CZ</w:t>
                    </w:r>
                    <w:r>
                      <w:rPr>
                        <w:spacing w:val="-2"/>
                        <w:w w:val="101"/>
                        <w:sz w:val="6"/>
                      </w:rPr>
                      <w:t> </w:t>
                    </w:r>
                    <w:r>
                      <w:rPr>
                        <w:spacing w:val="-2"/>
                        <w:sz w:val="6"/>
                      </w:rPr>
                      <w:t>CN</w:t>
                    </w:r>
                    <w:r>
                      <w:rPr>
                        <w:spacing w:val="-2"/>
                        <w:w w:val="101"/>
                        <w:sz w:val="6"/>
                      </w:rPr>
                      <w:t> </w:t>
                    </w:r>
                    <w:r>
                      <w:rPr>
                        <w:sz w:val="6"/>
                      </w:rPr>
                      <w:t>AU ES PT </w:t>
                    </w:r>
                    <w:r>
                      <w:rPr>
                        <w:spacing w:val="-2"/>
                        <w:sz w:val="6"/>
                      </w:rPr>
                      <w:t>NL</w:t>
                    </w:r>
                    <w:r>
                      <w:rPr>
                        <w:spacing w:val="-2"/>
                        <w:w w:val="101"/>
                        <w:sz w:val="6"/>
                      </w:rPr>
                      <w:t> </w:t>
                    </w:r>
                    <w:r>
                      <w:rPr>
                        <w:spacing w:val="-2"/>
                        <w:sz w:val="6"/>
                      </w:rPr>
                      <w:t>LX</w:t>
                    </w:r>
                    <w:r>
                      <w:rPr>
                        <w:spacing w:val="-2"/>
                        <w:w w:val="101"/>
                        <w:sz w:val="6"/>
                      </w:rPr>
                      <w:t> </w:t>
                    </w:r>
                    <w:r>
                      <w:rPr>
                        <w:spacing w:val="-3"/>
                        <w:sz w:val="6"/>
                      </w:rPr>
                      <w:t>IT</w:t>
                    </w:r>
                    <w:r>
                      <w:rPr>
                        <w:spacing w:val="-3"/>
                        <w:w w:val="102"/>
                        <w:sz w:val="6"/>
                      </w:rPr>
                      <w:t> </w:t>
                    </w:r>
                    <w:r>
                      <w:rPr>
                        <w:spacing w:val="-3"/>
                        <w:w w:val="101"/>
                        <w:sz w:val="6"/>
                      </w:rPr>
                      <w:t> </w:t>
                    </w:r>
                    <w:r>
                      <w:rPr>
                        <w:spacing w:val="-3"/>
                        <w:sz w:val="6"/>
                      </w:rPr>
                      <w:t>IR</w:t>
                    </w:r>
                    <w:r>
                      <w:rPr>
                        <w:spacing w:val="-3"/>
                        <w:w w:val="101"/>
                        <w:sz w:val="6"/>
                      </w:rPr>
                      <w:t> </w:t>
                    </w:r>
                    <w:r>
                      <w:rPr>
                        <w:spacing w:val="-1"/>
                        <w:sz w:val="6"/>
                      </w:rPr>
                      <w:t>GR</w:t>
                    </w:r>
                    <w:r>
                      <w:rPr>
                        <w:spacing w:val="-1"/>
                        <w:w w:val="101"/>
                        <w:sz w:val="6"/>
                      </w:rPr>
                      <w:t> </w:t>
                    </w:r>
                    <w:r>
                      <w:rPr>
                        <w:sz w:val="6"/>
                      </w:rPr>
                      <w:t>BD FR</w:t>
                    </w:r>
                    <w:r>
                      <w:rPr>
                        <w:w w:val="101"/>
                        <w:sz w:val="6"/>
                      </w:rPr>
                      <w:t> </w:t>
                    </w:r>
                    <w:r>
                      <w:rPr>
                        <w:sz w:val="6"/>
                      </w:rPr>
                      <w:t>FN</w:t>
                    </w:r>
                    <w:r>
                      <w:rPr>
                        <w:w w:val="101"/>
                        <w:sz w:val="6"/>
                      </w:rPr>
                      <w:t> </w:t>
                    </w:r>
                    <w:r>
                      <w:rPr>
                        <w:sz w:val="6"/>
                      </w:rPr>
                      <w:t>BG </w:t>
                    </w:r>
                    <w:r>
                      <w:rPr>
                        <w:spacing w:val="-1"/>
                        <w:sz w:val="6"/>
                      </w:rPr>
                      <w:t>OE</w:t>
                    </w:r>
                  </w:p>
                </w:txbxContent>
              </v:textbox>
              <w10:wrap type="none"/>
            </v:shape>
            <v:shape style="position:absolute;left:2341;top:3746;width:6615;height:69" type="#_x0000_t202" filled="false" stroked="false">
              <v:textbox inset="0,0,0,0">
                <w:txbxContent>
                  <w:p>
                    <w:pPr>
                      <w:spacing w:line="68" w:lineRule="exact" w:before="0"/>
                      <w:ind w:left="0" w:right="0" w:firstLine="0"/>
                      <w:jc w:val="left"/>
                      <w:rPr>
                        <w:sz w:val="6"/>
                      </w:rPr>
                    </w:pPr>
                    <w:r>
                      <w:rPr>
                        <w:sz w:val="6"/>
                      </w:rPr>
                      <w:t>OE BG FN FR BD GR IR IT LX NL PT ES AU CN CZ DK HK IS JP KO NZ NW SP SD SW TW UK US AG BR CL CB HN IN ID MY MX PH PO RS SA TH TK VE</w:t>
                    </w:r>
                  </w:p>
                </w:txbxContent>
              </v:textbox>
              <w10:wrap type="none"/>
            </v:shape>
            <v:shape style="position:absolute;left:2772;top:4128;width:897;height:223" type="#_x0000_t202" filled="false" stroked="false">
              <v:textbox inset="0,0,0,0">
                <w:txbxContent>
                  <w:p>
                    <w:pPr>
                      <w:spacing w:line="223" w:lineRule="exact" w:before="0"/>
                      <w:ind w:left="0" w:right="0" w:firstLine="0"/>
                      <w:jc w:val="left"/>
                      <w:rPr>
                        <w:sz w:val="20"/>
                      </w:rPr>
                    </w:pPr>
                    <w:r>
                      <w:rPr>
                        <w:sz w:val="20"/>
                      </w:rPr>
                      <w:t>Euro area</w:t>
                    </w:r>
                  </w:p>
                </w:txbxContent>
              </v:textbox>
              <w10:wrap type="none"/>
            </v:shape>
            <v:shape style="position:absolute;left:4889;top:4114;width:895;height:223" type="#_x0000_t202" filled="false" stroked="false">
              <v:textbox inset="0,0,0,0">
                <w:txbxContent>
                  <w:p>
                    <w:pPr>
                      <w:spacing w:line="223" w:lineRule="exact" w:before="0"/>
                      <w:ind w:left="0" w:right="0" w:firstLine="0"/>
                      <w:jc w:val="left"/>
                      <w:rPr>
                        <w:sz w:val="20"/>
                      </w:rPr>
                    </w:pPr>
                    <w:r>
                      <w:rPr>
                        <w:sz w:val="20"/>
                      </w:rPr>
                      <w:t>other AEs</w:t>
                    </w:r>
                  </w:p>
                </w:txbxContent>
              </v:textbox>
              <w10:wrap type="none"/>
            </v:shape>
            <v:shape style="position:absolute;left:7465;top:4140;width:552;height:223" type="#_x0000_t202" filled="false" stroked="false">
              <v:textbox inset="0,0,0,0">
                <w:txbxContent>
                  <w:p>
                    <w:pPr>
                      <w:spacing w:line="223" w:lineRule="exact" w:before="0"/>
                      <w:ind w:left="0" w:right="0" w:firstLine="0"/>
                      <w:jc w:val="left"/>
                      <w:rPr>
                        <w:sz w:val="20"/>
                      </w:rPr>
                    </w:pPr>
                    <w:r>
                      <w:rPr>
                        <w:sz w:val="20"/>
                      </w:rPr>
                      <w:t>EMEs</w:t>
                    </w:r>
                  </w:p>
                </w:txbxContent>
              </v:textbox>
              <w10:wrap type="none"/>
            </v:shape>
            <w10:wrap type="none"/>
          </v:group>
        </w:pict>
      </w:r>
      <w:r>
        <w:rPr/>
        <w:drawing>
          <wp:anchor distT="0" distB="0" distL="0" distR="0" allowOverlap="1" layoutInCell="1" locked="0" behindDoc="0" simplePos="0" relativeHeight="251790336">
            <wp:simplePos x="0" y="0"/>
            <wp:positionH relativeFrom="page">
              <wp:posOffset>5760873</wp:posOffset>
            </wp:positionH>
            <wp:positionV relativeFrom="paragraph">
              <wp:posOffset>20621</wp:posOffset>
            </wp:positionV>
            <wp:extent cx="85297" cy="2352013"/>
            <wp:effectExtent l="0" t="0" r="0" b="0"/>
            <wp:wrapNone/>
            <wp:docPr id="17" name="image25.png"/>
            <wp:cNvGraphicFramePr>
              <a:graphicFrameLocks noChangeAspect="1"/>
            </wp:cNvGraphicFramePr>
            <a:graphic>
              <a:graphicData uri="http://schemas.openxmlformats.org/drawingml/2006/picture">
                <pic:pic>
                  <pic:nvPicPr>
                    <pic:cNvPr id="18" name="image25.png"/>
                    <pic:cNvPicPr/>
                  </pic:nvPicPr>
                  <pic:blipFill>
                    <a:blip r:embed="rId50" cstate="print"/>
                    <a:stretch>
                      <a:fillRect/>
                    </a:stretch>
                  </pic:blipFill>
                  <pic:spPr>
                    <a:xfrm>
                      <a:off x="0" y="0"/>
                      <a:ext cx="85297" cy="2352013"/>
                    </a:xfrm>
                    <a:prstGeom prst="rect">
                      <a:avLst/>
                    </a:prstGeom>
                  </pic:spPr>
                </pic:pic>
              </a:graphicData>
            </a:graphic>
          </wp:anchor>
        </w:drawing>
      </w:r>
      <w:r>
        <w:rPr>
          <w:w w:val="101"/>
          <w:sz w:val="6"/>
        </w:rPr>
        <w:t>1</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605" w:firstLine="0"/>
        <w:jc w:val="right"/>
        <w:rPr>
          <w:sz w:val="6"/>
        </w:rPr>
      </w:pPr>
      <w:r>
        <w:rPr/>
        <w:pict>
          <v:shape style="position:absolute;margin-left:91.263474pt;margin-top:4.586245pt;width:13.15pt;height:28.6pt;mso-position-horizontal-relative:page;mso-position-vertical-relative:paragraph;z-index:251803648" type="#_x0000_t202" filled="false" stroked="false">
            <v:textbox inset="0,0,0,0" style="layout-flow:vertical;mso-layout-flow-alt:bottom-to-top">
              <w:txbxContent>
                <w:p>
                  <w:pPr>
                    <w:pStyle w:val="BodyText"/>
                    <w:spacing w:before="12"/>
                    <w:ind w:left="20"/>
                  </w:pPr>
                  <w:r>
                    <w:rPr/>
                    <w:t>EMEs</w:t>
                  </w:r>
                </w:p>
              </w:txbxContent>
            </v:textbox>
            <w10:wrap type="none"/>
          </v:shape>
        </w:pict>
      </w:r>
      <w:r>
        <w:rPr>
          <w:spacing w:val="-1"/>
          <w:sz w:val="6"/>
        </w:rPr>
        <w:t>0.8</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605" w:firstLine="0"/>
        <w:jc w:val="right"/>
        <w:rPr>
          <w:sz w:val="6"/>
        </w:rPr>
      </w:pPr>
      <w:r>
        <w:rPr>
          <w:spacing w:val="-1"/>
          <w:sz w:val="6"/>
        </w:rPr>
        <w:t>0.6</w:t>
      </w:r>
    </w:p>
    <w:p>
      <w:pPr>
        <w:pStyle w:val="BodyText"/>
        <w:rPr>
          <w:sz w:val="6"/>
        </w:rPr>
      </w:pPr>
    </w:p>
    <w:p>
      <w:pPr>
        <w:pStyle w:val="BodyText"/>
        <w:rPr>
          <w:sz w:val="6"/>
        </w:rPr>
      </w:pPr>
    </w:p>
    <w:p>
      <w:pPr>
        <w:pStyle w:val="BodyText"/>
        <w:rPr>
          <w:sz w:val="6"/>
        </w:rPr>
      </w:pPr>
    </w:p>
    <w:p>
      <w:pPr>
        <w:pStyle w:val="BodyText"/>
        <w:spacing w:before="4"/>
        <w:rPr>
          <w:sz w:val="8"/>
        </w:rPr>
      </w:pPr>
    </w:p>
    <w:p>
      <w:pPr>
        <w:spacing w:before="0"/>
        <w:ind w:left="0" w:right="2605" w:firstLine="0"/>
        <w:jc w:val="right"/>
        <w:rPr>
          <w:sz w:val="6"/>
        </w:rPr>
      </w:pPr>
      <w:r>
        <w:rPr>
          <w:spacing w:val="-1"/>
          <w:sz w:val="6"/>
        </w:rPr>
        <w:t>0.4</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605" w:firstLine="0"/>
        <w:jc w:val="right"/>
        <w:rPr>
          <w:sz w:val="6"/>
        </w:rPr>
      </w:pPr>
      <w:r>
        <w:rPr/>
        <w:pict>
          <v:shape style="position:absolute;margin-left:91.313477pt;margin-top:7.022314pt;width:13.15pt;height:45.75pt;mso-position-horizontal-relative:page;mso-position-vertical-relative:paragraph;z-index:251802624"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spacing w:val="-1"/>
          <w:sz w:val="6"/>
        </w:rPr>
        <w:t>0.2</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656" w:firstLine="0"/>
        <w:jc w:val="right"/>
        <w:rPr>
          <w:sz w:val="6"/>
        </w:rPr>
      </w:pPr>
      <w:r>
        <w:rPr>
          <w:w w:val="101"/>
          <w:sz w:val="6"/>
        </w:rPr>
        <w:t>0</w:t>
      </w:r>
    </w:p>
    <w:p>
      <w:pPr>
        <w:pStyle w:val="BodyText"/>
        <w:rPr>
          <w:sz w:val="6"/>
        </w:rPr>
      </w:pPr>
    </w:p>
    <w:p>
      <w:pPr>
        <w:pStyle w:val="BodyText"/>
        <w:rPr>
          <w:sz w:val="6"/>
        </w:rPr>
      </w:pPr>
    </w:p>
    <w:p>
      <w:pPr>
        <w:pStyle w:val="BodyText"/>
        <w:rPr>
          <w:sz w:val="6"/>
        </w:rPr>
      </w:pPr>
    </w:p>
    <w:p>
      <w:pPr>
        <w:pStyle w:val="BodyText"/>
        <w:spacing w:before="3"/>
        <w:rPr>
          <w:sz w:val="8"/>
        </w:rPr>
      </w:pPr>
    </w:p>
    <w:p>
      <w:pPr>
        <w:spacing w:before="1"/>
        <w:ind w:left="0" w:right="2586" w:firstLine="0"/>
        <w:jc w:val="right"/>
        <w:rPr>
          <w:sz w:val="6"/>
        </w:rPr>
      </w:pPr>
      <w:r>
        <w:rPr>
          <w:spacing w:val="-1"/>
          <w:sz w:val="6"/>
        </w:rPr>
        <w:t>-0.2</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586" w:firstLine="0"/>
        <w:jc w:val="right"/>
        <w:rPr>
          <w:sz w:val="6"/>
        </w:rPr>
      </w:pPr>
      <w:r>
        <w:rPr/>
        <w:pict>
          <v:shape style="position:absolute;margin-left:91.283478pt;margin-top:9.049726pt;width:13.15pt;height:45.85pt;mso-position-horizontal-relative:page;mso-position-vertical-relative:paragraph;z-index:251801600"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spacing w:val="-1"/>
          <w:sz w:val="6"/>
        </w:rPr>
        <w:t>-0.4</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586" w:firstLine="0"/>
        <w:jc w:val="right"/>
        <w:rPr>
          <w:sz w:val="6"/>
        </w:rPr>
      </w:pPr>
      <w:r>
        <w:rPr>
          <w:spacing w:val="-1"/>
          <w:sz w:val="6"/>
        </w:rPr>
        <w:t>-0.6</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586" w:firstLine="0"/>
        <w:jc w:val="right"/>
        <w:rPr>
          <w:sz w:val="6"/>
        </w:rPr>
      </w:pPr>
      <w:r>
        <w:rPr>
          <w:spacing w:val="-1"/>
          <w:sz w:val="6"/>
        </w:rPr>
        <w:t>-0.8</w:t>
      </w:r>
    </w:p>
    <w:p>
      <w:pPr>
        <w:pStyle w:val="BodyText"/>
        <w:rPr>
          <w:sz w:val="6"/>
        </w:rPr>
      </w:pPr>
    </w:p>
    <w:p>
      <w:pPr>
        <w:pStyle w:val="BodyText"/>
        <w:rPr>
          <w:sz w:val="6"/>
        </w:rPr>
      </w:pPr>
    </w:p>
    <w:p>
      <w:pPr>
        <w:pStyle w:val="BodyText"/>
        <w:rPr>
          <w:sz w:val="6"/>
        </w:rPr>
      </w:pPr>
    </w:p>
    <w:p>
      <w:pPr>
        <w:pStyle w:val="BodyText"/>
        <w:spacing w:before="4"/>
        <w:rPr>
          <w:sz w:val="8"/>
        </w:rPr>
      </w:pPr>
    </w:p>
    <w:p>
      <w:pPr>
        <w:spacing w:before="0"/>
        <w:ind w:left="0" w:right="2639" w:firstLine="0"/>
        <w:jc w:val="right"/>
        <w:rPr>
          <w:sz w:val="6"/>
        </w:rPr>
      </w:pPr>
      <w:r>
        <w:rPr>
          <w:sz w:val="6"/>
        </w:rPr>
        <w:t>-1</w:t>
      </w:r>
    </w:p>
    <w:p>
      <w:pPr>
        <w:pStyle w:val="BodyText"/>
      </w:pPr>
    </w:p>
    <w:p>
      <w:pPr>
        <w:pStyle w:val="BodyText"/>
      </w:pPr>
    </w:p>
    <w:p>
      <w:pPr>
        <w:pStyle w:val="BodyText"/>
      </w:pPr>
    </w:p>
    <w:p>
      <w:pPr>
        <w:pStyle w:val="BodyText"/>
        <w:spacing w:before="3"/>
        <w:rPr>
          <w:sz w:val="22"/>
        </w:rPr>
      </w:pPr>
    </w:p>
    <w:p>
      <w:pPr>
        <w:pStyle w:val="ListParagraph"/>
        <w:numPr>
          <w:ilvl w:val="0"/>
          <w:numId w:val="3"/>
        </w:numPr>
        <w:tabs>
          <w:tab w:pos="973" w:val="left" w:leader="none"/>
          <w:tab w:pos="974" w:val="left" w:leader="none"/>
        </w:tabs>
        <w:spacing w:line="240" w:lineRule="auto" w:before="93" w:after="0"/>
        <w:ind w:left="973" w:right="0" w:hanging="721"/>
        <w:jc w:val="left"/>
        <w:rPr>
          <w:sz w:val="20"/>
        </w:rPr>
      </w:pPr>
      <w:r>
        <w:rPr>
          <w:sz w:val="20"/>
        </w:rPr>
        <w:t>GDP Growth Correlations:</w:t>
      </w:r>
      <w:r>
        <w:rPr>
          <w:spacing w:val="3"/>
          <w:sz w:val="20"/>
        </w:rPr>
        <w:t> </w:t>
      </w:r>
      <w:r>
        <w:rPr>
          <w:sz w:val="20"/>
        </w:rPr>
        <w:t>2010-2016</w:t>
      </w:r>
    </w:p>
    <w:p>
      <w:pPr>
        <w:pStyle w:val="BodyText"/>
      </w:pPr>
    </w:p>
    <w:p>
      <w:pPr>
        <w:pStyle w:val="BodyText"/>
        <w:spacing w:before="4"/>
        <w:rPr>
          <w:sz w:val="18"/>
        </w:rPr>
      </w:pPr>
    </w:p>
    <w:p>
      <w:pPr>
        <w:pStyle w:val="BodyText"/>
        <w:spacing w:before="7"/>
        <w:rPr>
          <w:sz w:val="8"/>
        </w:rPr>
      </w:pPr>
    </w:p>
    <w:p>
      <w:pPr>
        <w:spacing w:before="0"/>
        <w:ind w:left="0" w:right="2656" w:firstLine="0"/>
        <w:jc w:val="right"/>
        <w:rPr>
          <w:sz w:val="6"/>
        </w:rPr>
      </w:pPr>
      <w:r>
        <w:rPr/>
        <w:pict>
          <v:group style="position:absolute;margin-left:98.639999pt;margin-top:-3.474351pt;width:350.45pt;height:222.3pt;mso-position-horizontal-relative:page;mso-position-vertical-relative:paragraph;z-index:251797504" coordorigin="1973,-69" coordsize="7009,4446">
            <v:shape style="position:absolute;left:1972;top:-3;width:7009;height:4200" type="#_x0000_t75" stroked="false">
              <v:imagedata r:id="rId51" o:title=""/>
            </v:shape>
            <v:shape style="position:absolute;left:5415;top:-70;width:463;height:69" type="#_x0000_t202" filled="false" stroked="false">
              <v:textbox inset="0,0,0,0">
                <w:txbxContent>
                  <w:p>
                    <w:pPr>
                      <w:spacing w:line="68" w:lineRule="exact" w:before="0"/>
                      <w:ind w:left="0" w:right="0" w:firstLine="0"/>
                      <w:jc w:val="left"/>
                      <w:rPr>
                        <w:sz w:val="6"/>
                      </w:rPr>
                    </w:pPr>
                    <w:r>
                      <w:rPr>
                        <w:sz w:val="6"/>
                      </w:rPr>
                      <w:t>2010Q1-2016Q1</w:t>
                    </w:r>
                  </w:p>
                </w:txbxContent>
              </v:textbox>
              <w10:wrap type="none"/>
            </v:shape>
            <v:shape style="position:absolute;left:2186;top:38;width:132;height:3683" type="#_x0000_t202" filled="false" stroked="false">
              <v:textbox inset="0,0,0,0">
                <w:txbxContent>
                  <w:p>
                    <w:pPr>
                      <w:spacing w:line="292" w:lineRule="auto" w:before="0"/>
                      <w:ind w:left="0" w:right="18" w:firstLine="18"/>
                      <w:jc w:val="right"/>
                      <w:rPr>
                        <w:sz w:val="6"/>
                      </w:rPr>
                    </w:pPr>
                    <w:r>
                      <w:rPr>
                        <w:sz w:val="6"/>
                      </w:rPr>
                      <w:t>VE </w:t>
                    </w:r>
                    <w:r>
                      <w:rPr>
                        <w:spacing w:val="-5"/>
                        <w:sz w:val="6"/>
                      </w:rPr>
                      <w:t>TK</w:t>
                    </w:r>
                    <w:r>
                      <w:rPr>
                        <w:spacing w:val="-5"/>
                        <w:w w:val="101"/>
                        <w:sz w:val="6"/>
                      </w:rPr>
                      <w:t> </w:t>
                    </w:r>
                    <w:r>
                      <w:rPr>
                        <w:spacing w:val="-5"/>
                        <w:sz w:val="6"/>
                      </w:rPr>
                      <w:t>TH</w:t>
                    </w:r>
                    <w:r>
                      <w:rPr>
                        <w:spacing w:val="-5"/>
                        <w:w w:val="101"/>
                        <w:sz w:val="6"/>
                      </w:rPr>
                      <w:t> </w:t>
                    </w:r>
                    <w:r>
                      <w:rPr>
                        <w:sz w:val="6"/>
                      </w:rPr>
                      <w:t>SA </w:t>
                    </w:r>
                    <w:r>
                      <w:rPr>
                        <w:spacing w:val="-2"/>
                        <w:sz w:val="6"/>
                      </w:rPr>
                      <w:t>RS</w:t>
                    </w:r>
                    <w:r>
                      <w:rPr>
                        <w:spacing w:val="-2"/>
                        <w:w w:val="101"/>
                        <w:sz w:val="6"/>
                      </w:rPr>
                      <w:t> </w:t>
                    </w:r>
                    <w:r>
                      <w:rPr>
                        <w:sz w:val="6"/>
                      </w:rPr>
                      <w:t>PO PH MX</w:t>
                    </w:r>
                    <w:r>
                      <w:rPr>
                        <w:w w:val="101"/>
                        <w:sz w:val="6"/>
                      </w:rPr>
                      <w:t> </w:t>
                    </w:r>
                    <w:r>
                      <w:rPr>
                        <w:sz w:val="6"/>
                      </w:rPr>
                      <w:t>MY</w:t>
                    </w:r>
                    <w:r>
                      <w:rPr>
                        <w:w w:val="101"/>
                        <w:sz w:val="6"/>
                      </w:rPr>
                      <w:t> </w:t>
                    </w:r>
                    <w:r>
                      <w:rPr>
                        <w:spacing w:val="-3"/>
                        <w:sz w:val="6"/>
                      </w:rPr>
                      <w:t>ID</w:t>
                    </w:r>
                    <w:r>
                      <w:rPr>
                        <w:spacing w:val="-3"/>
                        <w:w w:val="101"/>
                        <w:sz w:val="6"/>
                      </w:rPr>
                      <w:t> </w:t>
                    </w:r>
                    <w:r>
                      <w:rPr>
                        <w:spacing w:val="-3"/>
                        <w:sz w:val="6"/>
                      </w:rPr>
                      <w:t>IN</w:t>
                    </w:r>
                    <w:r>
                      <w:rPr>
                        <w:spacing w:val="-3"/>
                        <w:w w:val="101"/>
                        <w:sz w:val="6"/>
                      </w:rPr>
                      <w:t> </w:t>
                    </w:r>
                    <w:r>
                      <w:rPr>
                        <w:spacing w:val="-2"/>
                        <w:sz w:val="6"/>
                      </w:rPr>
                      <w:t>HN</w:t>
                    </w:r>
                    <w:r>
                      <w:rPr>
                        <w:spacing w:val="-2"/>
                        <w:w w:val="101"/>
                        <w:sz w:val="6"/>
                      </w:rPr>
                      <w:t> </w:t>
                    </w:r>
                    <w:r>
                      <w:rPr>
                        <w:spacing w:val="-2"/>
                        <w:sz w:val="6"/>
                      </w:rPr>
                      <w:t>CB</w:t>
                    </w:r>
                    <w:r>
                      <w:rPr>
                        <w:spacing w:val="-2"/>
                        <w:w w:val="101"/>
                        <w:sz w:val="6"/>
                      </w:rPr>
                      <w:t> </w:t>
                    </w:r>
                    <w:r>
                      <w:rPr>
                        <w:spacing w:val="-2"/>
                        <w:sz w:val="6"/>
                      </w:rPr>
                      <w:t>CL</w:t>
                    </w:r>
                    <w:r>
                      <w:rPr>
                        <w:spacing w:val="-2"/>
                        <w:w w:val="101"/>
                        <w:sz w:val="6"/>
                      </w:rPr>
                      <w:t> </w:t>
                    </w:r>
                    <w:r>
                      <w:rPr>
                        <w:sz w:val="6"/>
                      </w:rPr>
                      <w:t>BR AG </w:t>
                    </w:r>
                    <w:r>
                      <w:rPr>
                        <w:spacing w:val="-2"/>
                        <w:sz w:val="6"/>
                      </w:rPr>
                      <w:t>US</w:t>
                    </w:r>
                    <w:r>
                      <w:rPr>
                        <w:spacing w:val="-2"/>
                        <w:w w:val="101"/>
                        <w:sz w:val="6"/>
                      </w:rPr>
                      <w:t> </w:t>
                    </w:r>
                    <w:r>
                      <w:rPr>
                        <w:spacing w:val="-2"/>
                        <w:sz w:val="6"/>
                      </w:rPr>
                      <w:t>UK</w:t>
                    </w:r>
                    <w:r>
                      <w:rPr>
                        <w:spacing w:val="-2"/>
                        <w:w w:val="101"/>
                        <w:sz w:val="6"/>
                      </w:rPr>
                      <w:t> </w:t>
                    </w:r>
                    <w:r>
                      <w:rPr>
                        <w:spacing w:val="-5"/>
                        <w:sz w:val="6"/>
                      </w:rPr>
                      <w:t>TW</w:t>
                    </w:r>
                    <w:r>
                      <w:rPr>
                        <w:spacing w:val="-5"/>
                        <w:w w:val="102"/>
                        <w:sz w:val="6"/>
                      </w:rPr>
                      <w:t> </w:t>
                    </w:r>
                    <w:r>
                      <w:rPr>
                        <w:sz w:val="6"/>
                      </w:rPr>
                      <w:t>SW SD SP </w:t>
                    </w:r>
                    <w:r>
                      <w:rPr>
                        <w:spacing w:val="-2"/>
                        <w:sz w:val="6"/>
                      </w:rPr>
                      <w:t>NW</w:t>
                    </w:r>
                    <w:r>
                      <w:rPr>
                        <w:spacing w:val="-2"/>
                        <w:w w:val="101"/>
                        <w:sz w:val="6"/>
                      </w:rPr>
                      <w:t> </w:t>
                    </w:r>
                    <w:r>
                      <w:rPr>
                        <w:spacing w:val="-2"/>
                        <w:sz w:val="6"/>
                      </w:rPr>
                      <w:t>NZ</w:t>
                    </w:r>
                    <w:r>
                      <w:rPr>
                        <w:spacing w:val="-2"/>
                        <w:w w:val="101"/>
                        <w:sz w:val="6"/>
                      </w:rPr>
                      <w:t> </w:t>
                    </w:r>
                    <w:r>
                      <w:rPr>
                        <w:sz w:val="6"/>
                      </w:rPr>
                      <w:t>KO </w:t>
                    </w:r>
                    <w:r>
                      <w:rPr>
                        <w:spacing w:val="-3"/>
                        <w:sz w:val="6"/>
                      </w:rPr>
                      <w:t>JP</w:t>
                    </w:r>
                    <w:r>
                      <w:rPr>
                        <w:spacing w:val="-3"/>
                        <w:w w:val="101"/>
                        <w:sz w:val="6"/>
                      </w:rPr>
                      <w:t> </w:t>
                    </w:r>
                    <w:r>
                      <w:rPr>
                        <w:spacing w:val="-3"/>
                        <w:sz w:val="6"/>
                      </w:rPr>
                      <w:t>IS</w:t>
                    </w:r>
                    <w:r>
                      <w:rPr>
                        <w:spacing w:val="-3"/>
                        <w:w w:val="102"/>
                        <w:sz w:val="6"/>
                      </w:rPr>
                      <w:t> </w:t>
                    </w:r>
                    <w:r>
                      <w:rPr>
                        <w:spacing w:val="-2"/>
                        <w:sz w:val="6"/>
                      </w:rPr>
                      <w:t>HK</w:t>
                    </w:r>
                    <w:r>
                      <w:rPr>
                        <w:spacing w:val="-2"/>
                        <w:w w:val="101"/>
                        <w:sz w:val="6"/>
                      </w:rPr>
                      <w:t> </w:t>
                    </w:r>
                    <w:r>
                      <w:rPr>
                        <w:spacing w:val="-2"/>
                        <w:sz w:val="6"/>
                      </w:rPr>
                      <w:t>DK</w:t>
                    </w:r>
                    <w:r>
                      <w:rPr>
                        <w:spacing w:val="-2"/>
                        <w:w w:val="101"/>
                        <w:sz w:val="6"/>
                      </w:rPr>
                      <w:t> </w:t>
                    </w:r>
                    <w:r>
                      <w:rPr>
                        <w:spacing w:val="-2"/>
                        <w:sz w:val="6"/>
                      </w:rPr>
                      <w:t>CZ</w:t>
                    </w:r>
                    <w:r>
                      <w:rPr>
                        <w:spacing w:val="-2"/>
                        <w:w w:val="101"/>
                        <w:sz w:val="6"/>
                      </w:rPr>
                      <w:t> </w:t>
                    </w:r>
                    <w:r>
                      <w:rPr>
                        <w:spacing w:val="-2"/>
                        <w:sz w:val="6"/>
                      </w:rPr>
                      <w:t>CN</w:t>
                    </w:r>
                    <w:r>
                      <w:rPr>
                        <w:spacing w:val="-2"/>
                        <w:w w:val="101"/>
                        <w:sz w:val="6"/>
                      </w:rPr>
                      <w:t> </w:t>
                    </w:r>
                    <w:r>
                      <w:rPr>
                        <w:sz w:val="6"/>
                      </w:rPr>
                      <w:t>AU ES PT </w:t>
                    </w:r>
                    <w:r>
                      <w:rPr>
                        <w:spacing w:val="-2"/>
                        <w:sz w:val="6"/>
                      </w:rPr>
                      <w:t>NL</w:t>
                    </w:r>
                    <w:r>
                      <w:rPr>
                        <w:spacing w:val="-2"/>
                        <w:w w:val="101"/>
                        <w:sz w:val="6"/>
                      </w:rPr>
                      <w:t> </w:t>
                    </w:r>
                    <w:r>
                      <w:rPr>
                        <w:spacing w:val="-2"/>
                        <w:sz w:val="6"/>
                      </w:rPr>
                      <w:t>LX</w:t>
                    </w:r>
                    <w:r>
                      <w:rPr>
                        <w:spacing w:val="-2"/>
                        <w:w w:val="101"/>
                        <w:sz w:val="6"/>
                      </w:rPr>
                      <w:t> </w:t>
                    </w:r>
                    <w:r>
                      <w:rPr>
                        <w:spacing w:val="-3"/>
                        <w:sz w:val="6"/>
                      </w:rPr>
                      <w:t>IT</w:t>
                    </w:r>
                    <w:r>
                      <w:rPr>
                        <w:spacing w:val="-3"/>
                        <w:w w:val="102"/>
                        <w:sz w:val="6"/>
                      </w:rPr>
                      <w:t> </w:t>
                    </w:r>
                    <w:r>
                      <w:rPr>
                        <w:spacing w:val="-3"/>
                        <w:w w:val="101"/>
                        <w:sz w:val="6"/>
                      </w:rPr>
                      <w:t> </w:t>
                    </w:r>
                    <w:r>
                      <w:rPr>
                        <w:spacing w:val="-3"/>
                        <w:sz w:val="6"/>
                      </w:rPr>
                      <w:t>IR</w:t>
                    </w:r>
                    <w:r>
                      <w:rPr>
                        <w:spacing w:val="-3"/>
                        <w:w w:val="101"/>
                        <w:sz w:val="6"/>
                      </w:rPr>
                      <w:t> </w:t>
                    </w:r>
                    <w:r>
                      <w:rPr>
                        <w:spacing w:val="-1"/>
                        <w:sz w:val="6"/>
                      </w:rPr>
                      <w:t>GR</w:t>
                    </w:r>
                    <w:r>
                      <w:rPr>
                        <w:spacing w:val="-1"/>
                        <w:w w:val="101"/>
                        <w:sz w:val="6"/>
                      </w:rPr>
                      <w:t> </w:t>
                    </w:r>
                    <w:r>
                      <w:rPr>
                        <w:sz w:val="6"/>
                      </w:rPr>
                      <w:t>BD FR</w:t>
                    </w:r>
                    <w:r>
                      <w:rPr>
                        <w:w w:val="101"/>
                        <w:sz w:val="6"/>
                      </w:rPr>
                      <w:t> </w:t>
                    </w:r>
                    <w:r>
                      <w:rPr>
                        <w:sz w:val="6"/>
                      </w:rPr>
                      <w:t>FN</w:t>
                    </w:r>
                    <w:r>
                      <w:rPr>
                        <w:w w:val="101"/>
                        <w:sz w:val="6"/>
                      </w:rPr>
                      <w:t> </w:t>
                    </w:r>
                    <w:r>
                      <w:rPr>
                        <w:sz w:val="6"/>
                      </w:rPr>
                      <w:t>BG </w:t>
                    </w:r>
                    <w:r>
                      <w:rPr>
                        <w:spacing w:val="-1"/>
                        <w:sz w:val="6"/>
                      </w:rPr>
                      <w:t>OE</w:t>
                    </w:r>
                  </w:p>
                </w:txbxContent>
              </v:textbox>
              <w10:wrap type="none"/>
            </v:shape>
            <v:shape style="position:absolute;left:2341;top:3746;width:6615;height:69" type="#_x0000_t202" filled="false" stroked="false">
              <v:textbox inset="0,0,0,0">
                <w:txbxContent>
                  <w:p>
                    <w:pPr>
                      <w:spacing w:line="68" w:lineRule="exact" w:before="0"/>
                      <w:ind w:left="0" w:right="0" w:firstLine="0"/>
                      <w:jc w:val="left"/>
                      <w:rPr>
                        <w:sz w:val="6"/>
                      </w:rPr>
                    </w:pPr>
                    <w:r>
                      <w:rPr>
                        <w:sz w:val="6"/>
                      </w:rPr>
                      <w:t>OE BG FN FR BD GR IR IT LX NL PT ES AU CN CZ DK HK IS JP KO NZ NW SP SD SW TW UK US AG BR CL CB HN IN ID MY MX PH PO RS SA TH TK VE</w:t>
                    </w:r>
                  </w:p>
                </w:txbxContent>
              </v:textbox>
              <w10:wrap type="none"/>
            </v:shape>
            <v:shape style="position:absolute;left:2772;top:4121;width:897;height:223" type="#_x0000_t202" filled="false" stroked="false">
              <v:textbox inset="0,0,0,0">
                <w:txbxContent>
                  <w:p>
                    <w:pPr>
                      <w:spacing w:line="223" w:lineRule="exact" w:before="0"/>
                      <w:ind w:left="0" w:right="0" w:firstLine="0"/>
                      <w:jc w:val="left"/>
                      <w:rPr>
                        <w:sz w:val="20"/>
                      </w:rPr>
                    </w:pPr>
                    <w:r>
                      <w:rPr>
                        <w:sz w:val="20"/>
                      </w:rPr>
                      <w:t>Euro area</w:t>
                    </w:r>
                  </w:p>
                </w:txbxContent>
              </v:textbox>
              <w10:wrap type="none"/>
            </v:shape>
            <v:shape style="position:absolute;left:4889;top:4121;width:895;height:223" type="#_x0000_t202" filled="false" stroked="false">
              <v:textbox inset="0,0,0,0">
                <w:txbxContent>
                  <w:p>
                    <w:pPr>
                      <w:spacing w:line="223" w:lineRule="exact" w:before="0"/>
                      <w:ind w:left="0" w:right="0" w:firstLine="0"/>
                      <w:jc w:val="left"/>
                      <w:rPr>
                        <w:sz w:val="20"/>
                      </w:rPr>
                    </w:pPr>
                    <w:r>
                      <w:rPr>
                        <w:sz w:val="20"/>
                      </w:rPr>
                      <w:t>other AEs</w:t>
                    </w:r>
                  </w:p>
                </w:txbxContent>
              </v:textbox>
              <w10:wrap type="none"/>
            </v:shape>
            <v:shape style="position:absolute;left:7465;top:4153;width:552;height:223" type="#_x0000_t202" filled="false" stroked="false">
              <v:textbox inset="0,0,0,0">
                <w:txbxContent>
                  <w:p>
                    <w:pPr>
                      <w:spacing w:line="223" w:lineRule="exact" w:before="0"/>
                      <w:ind w:left="0" w:right="0" w:firstLine="0"/>
                      <w:jc w:val="left"/>
                      <w:rPr>
                        <w:sz w:val="20"/>
                      </w:rPr>
                    </w:pPr>
                    <w:r>
                      <w:rPr>
                        <w:sz w:val="20"/>
                      </w:rPr>
                      <w:t>EMEs</w:t>
                    </w:r>
                  </w:p>
                </w:txbxContent>
              </v:textbox>
              <w10:wrap type="none"/>
            </v:shape>
            <w10:wrap type="none"/>
          </v:group>
        </w:pict>
      </w:r>
      <w:r>
        <w:rPr/>
        <w:drawing>
          <wp:anchor distT="0" distB="0" distL="0" distR="0" allowOverlap="1" layoutInCell="1" locked="0" behindDoc="0" simplePos="0" relativeHeight="251798528">
            <wp:simplePos x="0" y="0"/>
            <wp:positionH relativeFrom="page">
              <wp:posOffset>5760873</wp:posOffset>
            </wp:positionH>
            <wp:positionV relativeFrom="paragraph">
              <wp:posOffset>20621</wp:posOffset>
            </wp:positionV>
            <wp:extent cx="85297" cy="2352013"/>
            <wp:effectExtent l="0" t="0" r="0" b="0"/>
            <wp:wrapNone/>
            <wp:docPr id="19" name="image27.png"/>
            <wp:cNvGraphicFramePr>
              <a:graphicFrameLocks noChangeAspect="1"/>
            </wp:cNvGraphicFramePr>
            <a:graphic>
              <a:graphicData uri="http://schemas.openxmlformats.org/drawingml/2006/picture">
                <pic:pic>
                  <pic:nvPicPr>
                    <pic:cNvPr id="20" name="image27.png"/>
                    <pic:cNvPicPr/>
                  </pic:nvPicPr>
                  <pic:blipFill>
                    <a:blip r:embed="rId52" cstate="print"/>
                    <a:stretch>
                      <a:fillRect/>
                    </a:stretch>
                  </pic:blipFill>
                  <pic:spPr>
                    <a:xfrm>
                      <a:off x="0" y="0"/>
                      <a:ext cx="85297" cy="2352013"/>
                    </a:xfrm>
                    <a:prstGeom prst="rect">
                      <a:avLst/>
                    </a:prstGeom>
                  </pic:spPr>
                </pic:pic>
              </a:graphicData>
            </a:graphic>
          </wp:anchor>
        </w:drawing>
      </w:r>
      <w:r>
        <w:rPr>
          <w:w w:val="101"/>
          <w:sz w:val="6"/>
        </w:rPr>
        <w:t>1</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605" w:firstLine="0"/>
        <w:jc w:val="right"/>
        <w:rPr>
          <w:sz w:val="6"/>
        </w:rPr>
      </w:pPr>
      <w:r>
        <w:rPr/>
        <w:pict>
          <v:shape style="position:absolute;margin-left:92.103477pt;margin-top:5.35625pt;width:13.15pt;height:28.6pt;mso-position-horizontal-relative:page;mso-position-vertical-relative:paragraph;z-index:251804672" type="#_x0000_t202" filled="false" stroked="false">
            <v:textbox inset="0,0,0,0" style="layout-flow:vertical;mso-layout-flow-alt:bottom-to-top">
              <w:txbxContent>
                <w:p>
                  <w:pPr>
                    <w:pStyle w:val="BodyText"/>
                    <w:spacing w:before="12"/>
                    <w:ind w:left="20"/>
                  </w:pPr>
                  <w:r>
                    <w:rPr/>
                    <w:t>EMEs</w:t>
                  </w:r>
                </w:p>
              </w:txbxContent>
            </v:textbox>
            <w10:wrap type="none"/>
          </v:shape>
        </w:pict>
      </w:r>
      <w:r>
        <w:rPr>
          <w:spacing w:val="-1"/>
          <w:sz w:val="6"/>
        </w:rPr>
        <w:t>0.8</w:t>
      </w:r>
    </w:p>
    <w:p>
      <w:pPr>
        <w:pStyle w:val="BodyText"/>
        <w:rPr>
          <w:sz w:val="6"/>
        </w:rPr>
      </w:pPr>
    </w:p>
    <w:p>
      <w:pPr>
        <w:pStyle w:val="BodyText"/>
        <w:rPr>
          <w:sz w:val="6"/>
        </w:rPr>
      </w:pPr>
    </w:p>
    <w:p>
      <w:pPr>
        <w:pStyle w:val="BodyText"/>
        <w:rPr>
          <w:sz w:val="6"/>
        </w:rPr>
      </w:pPr>
    </w:p>
    <w:p>
      <w:pPr>
        <w:pStyle w:val="BodyText"/>
        <w:spacing w:before="4"/>
        <w:rPr>
          <w:sz w:val="8"/>
        </w:rPr>
      </w:pPr>
    </w:p>
    <w:p>
      <w:pPr>
        <w:spacing w:before="0"/>
        <w:ind w:left="0" w:right="2605" w:firstLine="0"/>
        <w:jc w:val="right"/>
        <w:rPr>
          <w:sz w:val="6"/>
        </w:rPr>
      </w:pPr>
      <w:r>
        <w:rPr>
          <w:spacing w:val="-1"/>
          <w:sz w:val="6"/>
        </w:rPr>
        <w:t>0.6</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605" w:firstLine="0"/>
        <w:jc w:val="right"/>
        <w:rPr>
          <w:sz w:val="6"/>
        </w:rPr>
      </w:pPr>
      <w:r>
        <w:rPr>
          <w:spacing w:val="-1"/>
          <w:sz w:val="6"/>
        </w:rPr>
        <w:t>0.4</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605" w:firstLine="0"/>
        <w:jc w:val="right"/>
        <w:rPr>
          <w:sz w:val="6"/>
        </w:rPr>
      </w:pPr>
      <w:r>
        <w:rPr/>
        <w:pict>
          <v:shape style="position:absolute;margin-left:91.553474pt;margin-top:7.53235pt;width:13.15pt;height:45.75pt;mso-position-horizontal-relative:page;mso-position-vertical-relative:paragraph;z-index:251800576" type="#_x0000_t202" filled="false" stroked="false">
            <v:textbox inset="0,0,0,0" style="layout-flow:vertical;mso-layout-flow-alt:bottom-to-top">
              <w:txbxContent>
                <w:p>
                  <w:pPr>
                    <w:pStyle w:val="BodyText"/>
                    <w:spacing w:before="12"/>
                    <w:ind w:left="20"/>
                  </w:pPr>
                  <w:r>
                    <w:rPr/>
                    <w:t>other AEs</w:t>
                  </w:r>
                </w:p>
              </w:txbxContent>
            </v:textbox>
            <w10:wrap type="none"/>
          </v:shape>
        </w:pict>
      </w:r>
      <w:r>
        <w:rPr>
          <w:spacing w:val="-1"/>
          <w:sz w:val="6"/>
        </w:rPr>
        <w:t>0.2</w:t>
      </w:r>
    </w:p>
    <w:p>
      <w:pPr>
        <w:pStyle w:val="BodyText"/>
        <w:rPr>
          <w:sz w:val="6"/>
        </w:rPr>
      </w:pPr>
    </w:p>
    <w:p>
      <w:pPr>
        <w:pStyle w:val="BodyText"/>
        <w:rPr>
          <w:sz w:val="6"/>
        </w:rPr>
      </w:pPr>
    </w:p>
    <w:p>
      <w:pPr>
        <w:pStyle w:val="BodyText"/>
        <w:rPr>
          <w:sz w:val="6"/>
        </w:rPr>
      </w:pPr>
    </w:p>
    <w:p>
      <w:pPr>
        <w:pStyle w:val="BodyText"/>
        <w:spacing w:before="3"/>
        <w:rPr>
          <w:sz w:val="8"/>
        </w:rPr>
      </w:pPr>
    </w:p>
    <w:p>
      <w:pPr>
        <w:spacing w:before="1"/>
        <w:ind w:left="0" w:right="2656" w:firstLine="0"/>
        <w:jc w:val="right"/>
        <w:rPr>
          <w:sz w:val="6"/>
        </w:rPr>
      </w:pPr>
      <w:r>
        <w:rPr>
          <w:w w:val="101"/>
          <w:sz w:val="6"/>
        </w:rPr>
        <w:t>0</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586" w:firstLine="0"/>
        <w:jc w:val="right"/>
        <w:rPr>
          <w:sz w:val="6"/>
        </w:rPr>
      </w:pPr>
      <w:r>
        <w:rPr>
          <w:spacing w:val="-1"/>
          <w:sz w:val="6"/>
        </w:rPr>
        <w:t>-0.2</w:t>
      </w:r>
    </w:p>
    <w:p>
      <w:pPr>
        <w:pStyle w:val="BodyText"/>
        <w:rPr>
          <w:sz w:val="6"/>
        </w:rPr>
      </w:pPr>
    </w:p>
    <w:p>
      <w:pPr>
        <w:pStyle w:val="BodyText"/>
        <w:rPr>
          <w:sz w:val="6"/>
        </w:rPr>
      </w:pPr>
    </w:p>
    <w:p>
      <w:pPr>
        <w:pStyle w:val="BodyText"/>
        <w:rPr>
          <w:sz w:val="6"/>
        </w:rPr>
      </w:pPr>
    </w:p>
    <w:p>
      <w:pPr>
        <w:pStyle w:val="BodyText"/>
        <w:spacing w:before="10"/>
        <w:rPr>
          <w:sz w:val="7"/>
        </w:rPr>
      </w:pPr>
    </w:p>
    <w:p>
      <w:pPr>
        <w:spacing w:before="0"/>
        <w:ind w:left="0" w:right="2586" w:firstLine="0"/>
        <w:jc w:val="right"/>
        <w:rPr>
          <w:sz w:val="6"/>
        </w:rPr>
      </w:pPr>
      <w:r>
        <w:rPr/>
        <w:pict>
          <v:shape style="position:absolute;margin-left:91.693474pt;margin-top:10.479699pt;width:13.15pt;height:45.85pt;mso-position-horizontal-relative:page;mso-position-vertical-relative:paragraph;z-index:251799552" type="#_x0000_t202" filled="false" stroked="false">
            <v:textbox inset="0,0,0,0" style="layout-flow:vertical;mso-layout-flow-alt:bottom-to-top">
              <w:txbxContent>
                <w:p>
                  <w:pPr>
                    <w:pStyle w:val="BodyText"/>
                    <w:spacing w:before="12"/>
                    <w:ind w:left="20"/>
                  </w:pPr>
                  <w:r>
                    <w:rPr/>
                    <w:t>Euro area</w:t>
                  </w:r>
                </w:p>
              </w:txbxContent>
            </v:textbox>
            <w10:wrap type="none"/>
          </v:shape>
        </w:pict>
      </w:r>
      <w:r>
        <w:rPr>
          <w:spacing w:val="-1"/>
          <w:sz w:val="6"/>
        </w:rPr>
        <w:t>-0.4</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586" w:firstLine="0"/>
        <w:jc w:val="right"/>
        <w:rPr>
          <w:sz w:val="6"/>
        </w:rPr>
      </w:pPr>
      <w:r>
        <w:rPr>
          <w:spacing w:val="-1"/>
          <w:sz w:val="6"/>
        </w:rPr>
        <w:t>-0.6</w:t>
      </w:r>
    </w:p>
    <w:p>
      <w:pPr>
        <w:pStyle w:val="BodyText"/>
        <w:rPr>
          <w:sz w:val="6"/>
        </w:rPr>
      </w:pPr>
    </w:p>
    <w:p>
      <w:pPr>
        <w:pStyle w:val="BodyText"/>
        <w:rPr>
          <w:sz w:val="6"/>
        </w:rPr>
      </w:pPr>
    </w:p>
    <w:p>
      <w:pPr>
        <w:pStyle w:val="BodyText"/>
        <w:rPr>
          <w:sz w:val="6"/>
        </w:rPr>
      </w:pPr>
    </w:p>
    <w:p>
      <w:pPr>
        <w:pStyle w:val="BodyText"/>
        <w:spacing w:before="4"/>
        <w:rPr>
          <w:sz w:val="8"/>
        </w:rPr>
      </w:pPr>
    </w:p>
    <w:p>
      <w:pPr>
        <w:spacing w:before="0"/>
        <w:ind w:left="0" w:right="2586" w:firstLine="0"/>
        <w:jc w:val="right"/>
        <w:rPr>
          <w:sz w:val="6"/>
        </w:rPr>
      </w:pPr>
      <w:r>
        <w:rPr>
          <w:spacing w:val="-1"/>
          <w:sz w:val="6"/>
        </w:rPr>
        <w:t>-0.8</w:t>
      </w:r>
    </w:p>
    <w:p>
      <w:pPr>
        <w:pStyle w:val="BodyText"/>
        <w:rPr>
          <w:sz w:val="6"/>
        </w:rPr>
      </w:pPr>
    </w:p>
    <w:p>
      <w:pPr>
        <w:pStyle w:val="BodyText"/>
        <w:rPr>
          <w:sz w:val="6"/>
        </w:rPr>
      </w:pPr>
    </w:p>
    <w:p>
      <w:pPr>
        <w:pStyle w:val="BodyText"/>
        <w:rPr>
          <w:sz w:val="6"/>
        </w:rPr>
      </w:pPr>
    </w:p>
    <w:p>
      <w:pPr>
        <w:pStyle w:val="BodyText"/>
        <w:spacing w:before="3"/>
        <w:rPr>
          <w:sz w:val="8"/>
        </w:rPr>
      </w:pPr>
    </w:p>
    <w:p>
      <w:pPr>
        <w:spacing w:before="0"/>
        <w:ind w:left="0" w:right="2639" w:firstLine="0"/>
        <w:jc w:val="right"/>
        <w:rPr>
          <w:sz w:val="6"/>
        </w:rPr>
      </w:pPr>
      <w:r>
        <w:rPr>
          <w:sz w:val="6"/>
        </w:rPr>
        <w:t>-1</w:t>
      </w:r>
    </w:p>
    <w:p>
      <w:pPr>
        <w:spacing w:after="0"/>
        <w:jc w:val="right"/>
        <w:rPr>
          <w:sz w:val="6"/>
        </w:rPr>
        <w:sectPr>
          <w:pgSz w:w="11910" w:h="16840"/>
          <w:pgMar w:header="0" w:footer="1676" w:top="1580" w:bottom="1860" w:left="880" w:right="0"/>
        </w:sectPr>
      </w:pPr>
    </w:p>
    <w:p>
      <w:pPr>
        <w:pStyle w:val="BodyText"/>
        <w:spacing w:before="9"/>
        <w:rPr>
          <w:sz w:val="22"/>
        </w:rPr>
      </w:pPr>
      <w:r>
        <w:rPr/>
        <w:pict>
          <v:shape style="position:absolute;margin-left:61.265751pt;margin-top:635.88562pt;width:13.2pt;height:24.25pt;mso-position-horizontal-relative:page;mso-position-vertical-relative:page;z-index:251821056" type="#_x0000_t202" filled="false" stroked="false">
            <v:textbox inset="0,0,0,0" style="layout-flow:vertical;mso-layout-flow-alt:bottom-to-top">
              <w:txbxContent>
                <w:p>
                  <w:pPr>
                    <w:pStyle w:val="BodyText"/>
                    <w:spacing w:before="13"/>
                    <w:ind w:left="20"/>
                  </w:pPr>
                  <w:r>
                    <w:rPr/>
                    <w:t>1980</w:t>
                  </w:r>
                </w:p>
              </w:txbxContent>
            </v:textbox>
            <w10:wrap type="none"/>
          </v:shape>
        </w:pict>
      </w:r>
      <w:r>
        <w:rPr/>
        <w:pict>
          <v:shape style="position:absolute;margin-left:87.711479pt;margin-top:635.889221pt;width:13.15pt;height:24.25pt;mso-position-horizontal-relative:page;mso-position-vertical-relative:page;z-index:251823104" type="#_x0000_t202" filled="false" stroked="false">
            <v:textbox inset="0,0,0,0" style="layout-flow:vertical;mso-layout-flow-alt:bottom-to-top">
              <w:txbxContent>
                <w:p>
                  <w:pPr>
                    <w:pStyle w:val="BodyText"/>
                    <w:spacing w:before="12"/>
                    <w:ind w:left="20"/>
                  </w:pPr>
                  <w:r>
                    <w:rPr/>
                    <w:t>1985</w:t>
                  </w:r>
                </w:p>
              </w:txbxContent>
            </v:textbox>
            <w10:wrap type="none"/>
          </v:shape>
        </w:pict>
      </w:r>
      <w:r>
        <w:rPr/>
        <w:pict>
          <v:shape style="position:absolute;margin-left:114.133476pt;margin-top:635.889221pt;width:13.15pt;height:24.25pt;mso-position-horizontal-relative:page;mso-position-vertical-relative:page;z-index:251826176" type="#_x0000_t202" filled="false" stroked="false">
            <v:textbox inset="0,0,0,0" style="layout-flow:vertical;mso-layout-flow-alt:bottom-to-top">
              <w:txbxContent>
                <w:p>
                  <w:pPr>
                    <w:pStyle w:val="BodyText"/>
                    <w:spacing w:before="12"/>
                    <w:ind w:left="20"/>
                  </w:pPr>
                  <w:r>
                    <w:rPr/>
                    <w:t>1990</w:t>
                  </w:r>
                </w:p>
              </w:txbxContent>
            </v:textbox>
            <w10:wrap type="none"/>
          </v:shape>
        </w:pict>
      </w:r>
      <w:r>
        <w:rPr/>
        <w:pict>
          <v:shape style="position:absolute;margin-left:140.563477pt;margin-top:635.889221pt;width:13.15pt;height:24.25pt;mso-position-horizontal-relative:page;mso-position-vertical-relative:page;z-index:251828224" type="#_x0000_t202" filled="false" stroked="false">
            <v:textbox inset="0,0,0,0" style="layout-flow:vertical;mso-layout-flow-alt:bottom-to-top">
              <w:txbxContent>
                <w:p>
                  <w:pPr>
                    <w:pStyle w:val="BodyText"/>
                    <w:spacing w:before="12"/>
                    <w:ind w:left="20"/>
                  </w:pPr>
                  <w:r>
                    <w:rPr/>
                    <w:t>1995</w:t>
                  </w:r>
                </w:p>
              </w:txbxContent>
            </v:textbox>
            <w10:wrap type="none"/>
          </v:shape>
        </w:pict>
      </w:r>
      <w:r>
        <w:rPr/>
        <w:pict>
          <v:shape style="position:absolute;margin-left:166.961746pt;margin-top:635.88562pt;width:13.2pt;height:24.25pt;mso-position-horizontal-relative:page;mso-position-vertical-relative:page;z-index:251830272" type="#_x0000_t202" filled="false" stroked="false">
            <v:textbox inset="0,0,0,0" style="layout-flow:vertical;mso-layout-flow-alt:bottom-to-top">
              <w:txbxContent>
                <w:p>
                  <w:pPr>
                    <w:pStyle w:val="BodyText"/>
                    <w:spacing w:before="13"/>
                    <w:ind w:left="20"/>
                  </w:pPr>
                  <w:r>
                    <w:rPr/>
                    <w:t>2000</w:t>
                  </w:r>
                </w:p>
              </w:txbxContent>
            </v:textbox>
            <w10:wrap type="none"/>
          </v:shape>
        </w:pict>
      </w:r>
      <w:r>
        <w:rPr/>
        <w:pict>
          <v:shape style="position:absolute;margin-left:193.403473pt;margin-top:635.889221pt;width:13.15pt;height:24.25pt;mso-position-horizontal-relative:page;mso-position-vertical-relative:page;z-index:251832320" type="#_x0000_t202" filled="false" stroked="false">
            <v:textbox inset="0,0,0,0" style="layout-flow:vertical;mso-layout-flow-alt:bottom-to-top">
              <w:txbxContent>
                <w:p>
                  <w:pPr>
                    <w:pStyle w:val="BodyText"/>
                    <w:spacing w:before="12"/>
                    <w:ind w:left="20"/>
                  </w:pPr>
                  <w:r>
                    <w:rPr/>
                    <w:t>2005</w:t>
                  </w:r>
                </w:p>
              </w:txbxContent>
            </v:textbox>
            <w10:wrap type="none"/>
          </v:shape>
        </w:pict>
      </w:r>
      <w:r>
        <w:rPr/>
        <w:pict>
          <v:shape style="position:absolute;margin-left:219.833481pt;margin-top:635.889221pt;width:13.15pt;height:24.25pt;mso-position-horizontal-relative:page;mso-position-vertical-relative:page;z-index:251834368" type="#_x0000_t202" filled="false" stroked="false">
            <v:textbox inset="0,0,0,0" style="layout-flow:vertical;mso-layout-flow-alt:bottom-to-top">
              <w:txbxContent>
                <w:p>
                  <w:pPr>
                    <w:pStyle w:val="BodyText"/>
                    <w:spacing w:before="12"/>
                    <w:ind w:left="20"/>
                  </w:pPr>
                  <w:r>
                    <w:rPr/>
                    <w:t>2010</w:t>
                  </w:r>
                </w:p>
              </w:txbxContent>
            </v:textbox>
            <w10:wrap type="none"/>
          </v:shape>
        </w:pict>
      </w:r>
      <w:r>
        <w:rPr/>
        <w:pict>
          <v:shape style="position:absolute;margin-left:246.253479pt;margin-top:635.889221pt;width:13.15pt;height:24.25pt;mso-position-horizontal-relative:page;mso-position-vertical-relative:page;z-index:251836416" type="#_x0000_t202" filled="false" stroked="false">
            <v:textbox inset="0,0,0,0" style="layout-flow:vertical;mso-layout-flow-alt:bottom-to-top">
              <w:txbxContent>
                <w:p>
                  <w:pPr>
                    <w:pStyle w:val="BodyText"/>
                    <w:spacing w:before="12"/>
                    <w:ind w:left="20"/>
                  </w:pPr>
                  <w:r>
                    <w:rPr/>
                    <w:t>2015</w:t>
                  </w:r>
                </w:p>
              </w:txbxContent>
            </v:textbox>
            <w10:wrap type="none"/>
          </v:shape>
        </w:pict>
      </w:r>
      <w:r>
        <w:rPr/>
        <w:pict>
          <v:shape style="position:absolute;margin-left:296.033478pt;margin-top:636.759216pt;width:189pt;height:24.25pt;mso-position-horizontal-relative:page;mso-position-vertical-relative:page;z-index:251838464" type="#_x0000_t202" filled="false" stroked="false">
            <v:textbox inset="0,0,0,0" style="layout-flow:vertical;mso-layout-flow-alt:bottom-to-top">
              <w:txbxContent>
                <w:p>
                  <w:pPr>
                    <w:pStyle w:val="BodyText"/>
                    <w:spacing w:before="12"/>
                    <w:ind w:left="20"/>
                  </w:pPr>
                  <w:r>
                    <w:rPr/>
                    <w:t>1984</w:t>
                  </w:r>
                </w:p>
                <w:p>
                  <w:pPr>
                    <w:pStyle w:val="BodyText"/>
                    <w:spacing w:before="122"/>
                    <w:ind w:left="20"/>
                  </w:pPr>
                  <w:r>
                    <w:rPr/>
                    <w:t>1987</w:t>
                  </w:r>
                </w:p>
                <w:p>
                  <w:pPr>
                    <w:pStyle w:val="BodyText"/>
                    <w:spacing w:before="122"/>
                    <w:ind w:left="20"/>
                  </w:pPr>
                  <w:r>
                    <w:rPr/>
                    <w:t>1990</w:t>
                  </w:r>
                </w:p>
                <w:p>
                  <w:pPr>
                    <w:pStyle w:val="BodyText"/>
                    <w:spacing w:before="122"/>
                    <w:ind w:left="20"/>
                  </w:pPr>
                  <w:r>
                    <w:rPr/>
                    <w:t>1993</w:t>
                  </w:r>
                </w:p>
                <w:p>
                  <w:pPr>
                    <w:pStyle w:val="BodyText"/>
                    <w:spacing w:before="121"/>
                    <w:ind w:left="20"/>
                  </w:pPr>
                  <w:r>
                    <w:rPr/>
                    <w:t>1996</w:t>
                  </w:r>
                </w:p>
                <w:p>
                  <w:pPr>
                    <w:pStyle w:val="BodyText"/>
                    <w:spacing w:before="122"/>
                    <w:ind w:left="20"/>
                  </w:pPr>
                  <w:r>
                    <w:rPr/>
                    <w:t>1999</w:t>
                  </w:r>
                </w:p>
                <w:p>
                  <w:pPr>
                    <w:pStyle w:val="BodyText"/>
                    <w:spacing w:before="122"/>
                    <w:ind w:left="20"/>
                  </w:pPr>
                  <w:r>
                    <w:rPr/>
                    <w:t>2002</w:t>
                  </w:r>
                </w:p>
                <w:p>
                  <w:pPr>
                    <w:pStyle w:val="BodyText"/>
                    <w:spacing w:before="122"/>
                    <w:ind w:left="20"/>
                  </w:pPr>
                  <w:r>
                    <w:rPr/>
                    <w:t>2005</w:t>
                  </w:r>
                </w:p>
                <w:p>
                  <w:pPr>
                    <w:pStyle w:val="BodyText"/>
                    <w:spacing w:before="122"/>
                    <w:ind w:left="20"/>
                  </w:pPr>
                  <w:r>
                    <w:rPr/>
                    <w:t>2008</w:t>
                  </w:r>
                </w:p>
                <w:p>
                  <w:pPr>
                    <w:pStyle w:val="BodyText"/>
                    <w:spacing w:before="121"/>
                    <w:ind w:left="20"/>
                  </w:pPr>
                  <w:r>
                    <w:rPr/>
                    <w:t>2011</w:t>
                  </w:r>
                </w:p>
                <w:p>
                  <w:pPr>
                    <w:pStyle w:val="BodyText"/>
                    <w:spacing w:before="122"/>
                    <w:ind w:left="20"/>
                  </w:pPr>
                  <w:r>
                    <w:rPr/>
                    <w:t>2014</w:t>
                  </w:r>
                </w:p>
              </w:txbxContent>
            </v:textbox>
            <w10:wrap type="none"/>
          </v:shape>
        </w:pict>
      </w:r>
    </w:p>
    <w:p>
      <w:pPr>
        <w:pStyle w:val="Heading1"/>
      </w:pPr>
      <w:r>
        <w:rPr/>
        <w:pict>
          <v:group style="position:absolute;margin-left:50.999996pt;margin-top:23.847876pt;width:462.75pt;height:265.25pt;mso-position-horizontal-relative:page;mso-position-vertical-relative:paragraph;z-index:251811840" coordorigin="1020,477" coordsize="9255,5305">
            <v:line style="position:absolute" from="1030,746" to="5665,746" stroked="true" strokeweight=".48pt" strokecolor="#000000">
              <v:stroke dashstyle="solid"/>
            </v:line>
            <v:line style="position:absolute" from="5675,746" to="10265,746" stroked="true" strokeweight=".48pt" strokecolor="#000000">
              <v:stroke dashstyle="solid"/>
            </v:line>
            <v:line style="position:absolute" from="1025,477" to="1025,5782" stroked="true" strokeweight=".48pt" strokecolor="#000000">
              <v:stroke dashstyle="solid"/>
            </v:line>
            <v:line style="position:absolute" from="1030,5777" to="5665,5777" stroked="true" strokeweight=".47998pt" strokecolor="#000000">
              <v:stroke dashstyle="solid"/>
            </v:line>
            <v:line style="position:absolute" from="5670,477" to="5670,5782" stroked="true" strokeweight=".48001pt" strokecolor="#000000">
              <v:stroke dashstyle="solid"/>
            </v:line>
            <v:line style="position:absolute" from="5675,5777" to="10265,5777" stroked="true" strokeweight=".47998pt" strokecolor="#000000">
              <v:stroke dashstyle="solid"/>
            </v:line>
            <v:line style="position:absolute" from="10270,477" to="10270,5782" stroked="true" strokeweight=".48004pt" strokecolor="#000000">
              <v:stroke dashstyle="solid"/>
            </v:line>
            <v:shape style="position:absolute;left:1356;top:1215;width:3807;height:3567" coordorigin="1356,1216" coordsize="3807,3567" path="m5100,4782l5100,1216m5100,4782l5162,4782m5100,4458l5162,4458m5100,4134l5162,4134m5100,3810l5162,3810m5100,3484l5162,3484m5100,3160l5162,3160m5100,2836l5162,2836m5100,2512l5162,2512m5100,2188l5162,2188m5100,1864l5162,1864m5100,1540l5162,1540m5100,1216l5162,1216m1356,4458l5100,4458m2383,4458l2383,4518m2894,4458l2894,4518m3408,4458l3408,4518m3922,4458l3922,4518m4433,4458l4433,4518m4946,4458l4946,4518e" filled="false" stroked="true" strokeweight=".72pt" strokecolor="#858585">
              <v:path arrowok="t"/>
              <v:stroke dashstyle="solid"/>
            </v:shape>
            <v:shape style="position:absolute;left:1339;top:1856;width:3778;height:2842" type="#_x0000_t75" stroked="false">
              <v:imagedata r:id="rId53" o:title=""/>
            </v:shape>
            <v:line style="position:absolute" from="1774,1161" to="2158,1161" stroked="true" strokeweight="1.68pt" strokecolor="#00af50">
              <v:stroke dashstyle="solid"/>
            </v:line>
            <v:line style="position:absolute" from="1774,1487" to="2158,1487" stroked="true" strokeweight="1.68pt" strokecolor="#000000">
              <v:stroke dashstyle="solid"/>
            </v:line>
            <v:line style="position:absolute" from="1774,1811" to="2158,1811" stroked="true" strokeweight="1.68pt" strokecolor="#ff0000">
              <v:stroke dashstyle="solid"/>
            </v:line>
            <v:shape style="position:absolute;left:5997;top:1196;width:3612;height:3593" coordorigin="5998,1197" coordsize="3612,3593" path="m9550,4789l9550,1197m9550,4789l9610,4789m9550,4391l9610,4391m9550,3990l9610,3990m9550,3592l9610,3592m9550,3193l9610,3193m9550,2793l9610,2793m9550,2394l9610,2394m9550,1993l9610,1993m9550,1595l9610,1595m9550,1197l9610,1197m5998,4391l9550,4391m5998,4391l5998,4451m6338,4391l6338,4451m6679,4391l6679,4451m7020,4391l7020,4451m7361,4391l7361,4451m7702,4391l7702,4451m8042,4391l8042,4451m8386,4391l8386,4451m8726,4391l8726,4451m9067,4391l9067,4451m9408,4391l9408,4451e" filled="false" stroked="true" strokeweight=".72pt" strokecolor="#858585">
              <v:path arrowok="t"/>
              <v:stroke dashstyle="solid"/>
            </v:shape>
            <v:shape style="position:absolute;left:6012;top:2024;width:3524;height:2223" coordorigin="6012,2025" coordsize="3524,2223" path="m6012,3916l6038,4093,6067,4096,6096,4093,6125,4096,6154,4089,6182,4077,6209,4103,6238,4108,6266,3995,6295,4033,6324,4065,6353,4084,6382,4084,6408,4079,6437,4072,6466,4098,6494,4115,6523,4113,6552,4146,6578,4151,6607,4156,6636,4081,6665,4115,6694,4031,6722,4007,6751,3995,6778,3981,6806,3985,6835,4009,6864,4029,6893,4036,6922,3961,6948,3954,6977,4017,7006,4072,7034,4074,7063,4084,7092,4065,7121,4014,7147,4084,7176,4093,7205,4091,7234,4026,7262,4041,7291,4024,7318,4009,7346,3995,7375,3981,7404,3966,7433,3988,7462,4115,7488,4163,7517,4139,7546,4132,7574,4117,7603,4105,7632,4101,7661,4077,7687,3993,7716,3947,7745,3937,7774,3935,7802,3954,7831,3870,7858,3793,7886,3719,7915,3671,7944,3697,7973,3760,8002,3753,8030,3729,8057,3693,8086,3705,8114,3657,8143,3609,8172,3549,8201,3517,8227,3575,8256,3673,8285,3851,8314,3789,8342,3779,8371,3712,8400,3647,8426,3719,8455,3822,8484,3870,8513,3858,8542,3849,8570,3870,8597,3954,8626,4024,8654,3757,8683,3421,8712,2286,8741,2025,8767,2149,8796,2164,8825,2185,8854,2202,8882,2224,8911,2245,8940,2262,8966,2310,8995,2303,9024,2317,9053,2409,9082,2495,9110,2524,9137,2555,9166,2584,9194,2545,9223,2519,9252,2502,9281,2934,9310,3810,9336,3774,9365,3786,9394,3822,9422,3909,9451,4117,9480,4117,9506,4199,9535,4247e" filled="false" stroked="true" strokeweight="1.68pt" strokecolor="#000000">
              <v:path arrowok="t"/>
              <v:stroke dashstyle="solid"/>
            </v:shape>
            <v:shape style="position:absolute;left:6012;top:1616;width:3524;height:2489" coordorigin="6012,1617" coordsize="3524,2489" path="m6012,3921l6038,4009,6067,3993,6096,3976,6125,4105,6154,3988,6182,3976,6209,3971,6238,4019,6266,3923,6295,3918,6324,3834,6353,3897,6382,3885,6408,3777,6437,3695,6466,3577,6494,3738,6523,3729,6552,3772,6578,3868,6607,3863,6636,3820,6665,3870,6694,3904,6722,3875,6751,3781,6778,3827,6806,3918,6835,3592,6864,3467,6893,3366,6922,3105,6948,3088,6977,3167,7006,3258,7034,3405,7063,3400,7092,3436,7121,3443,7147,3563,7176,3541,7205,3486,7234,3393,7262,3150,7291,3030,7318,2963,7346,2908,7375,2874,7404,2977,7433,3105,7462,3232,7488,3832,7517,3897,7546,3897,7574,3887,7603,3738,7632,3721,7661,3654,7687,3529,7716,3496,7745,3539,7774,3637,7802,3702,7831,3901,7858,3520,7886,3421,7915,3292,7944,3258,7973,3321,8002,3208,8030,3196,8057,3073,8086,3078,8114,3073,8143,3028,8172,3145,8201,3124,8227,3184,8256,3282,8285,3575,8314,3609,8342,3760,8371,3786,8400,3498,8426,3537,8455,3546,8484,3441,8513,3366,8542,3383,8570,3457,8597,3597,8626,3810,8654,3294,8683,2886,8712,1977,8741,1617,8767,1708,8796,1753,8825,1761,8854,1804,8882,1869,8911,1864,8940,1895,8966,2029,8995,2041,9024,2056,9053,2121,9082,2214,9110,2279,9137,2250,9166,2310,9194,2260,9223,2190,9252,2169,9281,2421,9310,3124,9336,3133,9365,3073,9394,3093,9422,3042,9451,3177,9480,3138,9506,3105,9535,2985e" filled="false" stroked="true" strokeweight="1.68pt" strokecolor="#00af50">
              <v:path arrowok="t"/>
              <v:stroke dashstyle="solid"/>
            </v:shape>
            <v:shape style="position:absolute;left:6012;top:2134;width:3524;height:2225" coordorigin="6012,2135" coordsize="3524,2225" path="m6012,3640l6038,4000,6067,4017,6096,3969,6125,3983,6154,3985,6182,3964,6209,4014,6238,4019,6266,3853,6295,4041,6324,4108,6353,4098,6382,4103,6408,4115,6437,4117,6466,4300,6494,4297,6523,4259,6552,4273,6578,4314,6607,4288,6636,4093,6665,4081,6694,3945,6722,3911,6751,3892,6778,3815,6806,3796,6835,4036,6864,4115,6893,4141,6922,4187,6948,4158,6977,4204,7006,4209,7034,4103,7063,4053,7092,4048,7121,4021,7147,3969,7176,3985,7205,4026,7234,3966,7262,4055,7291,4103,7318,4146,7346,4149,7375,4144,7404,4002,7433,4021,7462,4093,7488,4012,7517,3969,7546,3971,7574,3985,7603,4101,7632,4144,7661,4093,7687,3935,7716,3969,7745,3949,7774,3945,7802,3904,7831,3808,7858,3755,7886,3678,7915,3669,7944,3673,7973,3741,8002,3721,8030,3683,8057,3654,8086,3587,8114,3469,8143,3400,8172,3325,8201,3258,8227,3325,8256,3505,8285,3642,8314,3522,8342,3424,8371,3443,8400,3481,8426,3527,8455,3649,8484,3673,8513,3652,8542,3623,8570,3623,8626,3592,8654,3397,8683,3172,8712,2219,8741,2135,8767,2255,8796,2248,8825,2303,8854,2274,8882,2308,8911,2406,8940,2425,8966,2469,8995,2430,9024,2416,9053,2495,9082,2531,9110,2548,9137,2615,9166,2627,9194,2620,9223,2617,9252,2596,9281,3217,9310,4021,9336,4005,9365,3966,9394,3959,9422,4168,9451,4324,9480,4309,9506,4360,9535,4345e" filled="false" stroked="true" strokeweight="1.68pt" strokecolor="#ff0000">
              <v:path arrowok="t"/>
              <v:stroke dashstyle="solid"/>
            </v:shape>
            <v:shape style="position:absolute;left:6012;top:2146;width:3524;height:2465" coordorigin="6012,2147" coordsize="3524,2465" path="m6012,3796l6038,3633,6067,3553,6096,3558,6125,3556,6154,3649,6182,3791,6209,3801,6238,3906,6266,3887,6295,3856,6324,3829,6353,3981,6382,4113,6408,4252,6437,4302,6466,4547,6494,4521,6523,4348,6552,4403,6578,4309,6607,4300,6636,4367,6665,4360,6694,4485,6722,4612,6751,4504,6778,4542,6806,4480,6835,4465,6864,4449,6893,4357,6922,4319,6948,4240,6977,4305,7006,4261,7034,4225,7063,4309,7092,4259,7121,4228,7147,4494,7176,4516,7205,4470,7234,4458,7262,4413,7291,4405,7318,4453,7346,4437,7375,4422,7404,4453,7433,4405,7462,4326,7488,3983,7517,3882,7546,3786,7574,3753,7603,3774,7632,3640,7661,3709,7687,3743,7716,3865,7745,3748,7774,3755,7802,3777,7831,3772,7858,3853,7886,3810,7915,3779,7944,3808,7973,3839,8002,3841,8030,3849,8057,3849,8086,3786,8114,3791,8143,3925,8172,3721,8201,3640,8227,3647,8256,3652,8285,3762,8314,3738,8342,3738,8371,3697,8400,3822,8426,3882,8455,4024,8484,4206,8513,4223,8542,4211,8570,4197,8597,4276,8626,4345,8654,4189,8683,3937,8712,2512,8741,2147,8767,2317,8825,2351,8882,2363,8911,2349,8940,2361,9024,2404,9053,2517,9082,2653,9110,2687,9137,2721,9166,2752,9194,2706,9223,2711,9252,2697,9281,3124,9310,4101,9336,3906,9365,3949,9394,4017,9422,4072,9451,4245,9480,4233,9506,4336,9535,4492e" filled="false" stroked="true" strokeweight="1.68pt" strokecolor="#ffc000">
              <v:path arrowok="t"/>
              <v:stroke dashstyle="solid"/>
            </v:shape>
            <v:line style="position:absolute" from="6504,1134" to="6888,1134" stroked="true" strokeweight="1.68pt" strokecolor="#000000">
              <v:stroke dashstyle="solid"/>
            </v:line>
            <v:line style="position:absolute" from="6504,1444" to="6888,1444" stroked="true" strokeweight="1.68pt" strokecolor="#00af50">
              <v:stroke dashstyle="solid"/>
            </v:line>
            <v:line style="position:absolute" from="6504,1753" to="6888,1753" stroked="true" strokeweight="1.68pt" strokecolor="#ff0000">
              <v:stroke dashstyle="solid"/>
            </v:line>
            <v:line style="position:absolute" from="6504,2063" to="6888,2063" stroked="true" strokeweight="1.68pt" strokecolor="#ffc000">
              <v:stroke dashstyle="solid"/>
            </v:line>
            <v:shape style="position:absolute;left:9725;top:1078;width:364;height:3817" type="#_x0000_t202" filled="false" stroked="false">
              <v:textbox inset="0,0,0,0">
                <w:txbxContent>
                  <w:p>
                    <w:pPr>
                      <w:spacing w:line="223" w:lineRule="exact" w:before="0"/>
                      <w:ind w:left="0" w:right="0" w:firstLine="0"/>
                      <w:jc w:val="left"/>
                      <w:rPr>
                        <w:sz w:val="20"/>
                      </w:rPr>
                    </w:pPr>
                    <w:r>
                      <w:rPr>
                        <w:sz w:val="20"/>
                      </w:rPr>
                      <w:t>0.8</w:t>
                    </w:r>
                  </w:p>
                  <w:p>
                    <w:pPr>
                      <w:spacing w:before="169"/>
                      <w:ind w:left="0" w:right="0" w:firstLine="0"/>
                      <w:jc w:val="left"/>
                      <w:rPr>
                        <w:sz w:val="20"/>
                      </w:rPr>
                    </w:pPr>
                    <w:r>
                      <w:rPr>
                        <w:sz w:val="20"/>
                      </w:rPr>
                      <w:t>0.7</w:t>
                    </w:r>
                  </w:p>
                  <w:p>
                    <w:pPr>
                      <w:spacing w:before="169"/>
                      <w:ind w:left="0" w:right="0" w:firstLine="0"/>
                      <w:jc w:val="left"/>
                      <w:rPr>
                        <w:sz w:val="20"/>
                      </w:rPr>
                    </w:pPr>
                    <w:r>
                      <w:rPr>
                        <w:sz w:val="20"/>
                      </w:rPr>
                      <w:t>0.6</w:t>
                    </w:r>
                  </w:p>
                  <w:p>
                    <w:pPr>
                      <w:spacing w:before="170"/>
                      <w:ind w:left="0" w:right="0" w:firstLine="0"/>
                      <w:jc w:val="left"/>
                      <w:rPr>
                        <w:sz w:val="20"/>
                      </w:rPr>
                    </w:pPr>
                    <w:r>
                      <w:rPr>
                        <w:sz w:val="20"/>
                      </w:rPr>
                      <w:t>0.5</w:t>
                    </w:r>
                  </w:p>
                  <w:p>
                    <w:pPr>
                      <w:spacing w:before="169"/>
                      <w:ind w:left="0" w:right="0" w:firstLine="0"/>
                      <w:jc w:val="left"/>
                      <w:rPr>
                        <w:sz w:val="20"/>
                      </w:rPr>
                    </w:pPr>
                    <w:r>
                      <w:rPr>
                        <w:sz w:val="20"/>
                      </w:rPr>
                      <w:t>0.4</w:t>
                    </w:r>
                  </w:p>
                  <w:p>
                    <w:pPr>
                      <w:spacing w:before="169"/>
                      <w:ind w:left="0" w:right="0" w:firstLine="0"/>
                      <w:jc w:val="left"/>
                      <w:rPr>
                        <w:sz w:val="20"/>
                      </w:rPr>
                    </w:pPr>
                    <w:r>
                      <w:rPr>
                        <w:sz w:val="20"/>
                      </w:rPr>
                      <w:t>0.3</w:t>
                    </w:r>
                  </w:p>
                  <w:p>
                    <w:pPr>
                      <w:spacing w:before="169"/>
                      <w:ind w:left="0" w:right="0" w:firstLine="0"/>
                      <w:jc w:val="left"/>
                      <w:rPr>
                        <w:sz w:val="20"/>
                      </w:rPr>
                    </w:pPr>
                    <w:r>
                      <w:rPr>
                        <w:sz w:val="20"/>
                      </w:rPr>
                      <w:t>0.2</w:t>
                    </w:r>
                  </w:p>
                  <w:p>
                    <w:pPr>
                      <w:spacing w:before="170"/>
                      <w:ind w:left="0" w:right="0" w:firstLine="0"/>
                      <w:jc w:val="left"/>
                      <w:rPr>
                        <w:sz w:val="20"/>
                      </w:rPr>
                    </w:pPr>
                    <w:r>
                      <w:rPr>
                        <w:sz w:val="20"/>
                      </w:rPr>
                      <w:t>0.1</w:t>
                    </w:r>
                  </w:p>
                  <w:p>
                    <w:pPr>
                      <w:spacing w:before="169"/>
                      <w:ind w:left="0" w:right="0" w:firstLine="0"/>
                      <w:jc w:val="left"/>
                      <w:rPr>
                        <w:sz w:val="20"/>
                      </w:rPr>
                    </w:pPr>
                    <w:r>
                      <w:rPr>
                        <w:w w:val="99"/>
                        <w:sz w:val="20"/>
                      </w:rPr>
                      <w:t>0</w:t>
                    </w:r>
                  </w:p>
                  <w:p>
                    <w:pPr>
                      <w:spacing w:before="169"/>
                      <w:ind w:left="0" w:right="0" w:firstLine="0"/>
                      <w:jc w:val="left"/>
                      <w:rPr>
                        <w:sz w:val="20"/>
                      </w:rPr>
                    </w:pPr>
                    <w:r>
                      <w:rPr>
                        <w:sz w:val="20"/>
                      </w:rPr>
                      <w:t>-0.1</w:t>
                    </w:r>
                  </w:p>
                </w:txbxContent>
              </v:textbox>
              <w10:wrap type="none"/>
            </v:shape>
            <v:shape style="position:absolute;left:6930;top:1017;width:1641;height:1151" type="#_x0000_t202" filled="false" stroked="false">
              <v:textbox inset="0,0,0,0">
                <w:txbxContent>
                  <w:p>
                    <w:pPr>
                      <w:spacing w:line="324" w:lineRule="auto" w:before="0"/>
                      <w:ind w:left="0" w:right="598" w:firstLine="0"/>
                      <w:jc w:val="left"/>
                      <w:rPr>
                        <w:sz w:val="20"/>
                      </w:rPr>
                    </w:pPr>
                    <w:r>
                      <w:rPr>
                        <w:sz w:val="20"/>
                      </w:rPr>
                      <w:t>Full sample Euro area</w:t>
                    </w:r>
                  </w:p>
                  <w:p>
                    <w:pPr>
                      <w:spacing w:line="228" w:lineRule="exact" w:before="0"/>
                      <w:ind w:left="0" w:right="0" w:firstLine="0"/>
                      <w:jc w:val="left"/>
                      <w:rPr>
                        <w:sz w:val="20"/>
                      </w:rPr>
                    </w:pPr>
                    <w:r>
                      <w:rPr>
                        <w:sz w:val="20"/>
                      </w:rPr>
                      <w:t>Other Advanced</w:t>
                    </w:r>
                  </w:p>
                  <w:p>
                    <w:pPr>
                      <w:spacing w:before="72"/>
                      <w:ind w:left="0" w:right="0" w:firstLine="0"/>
                      <w:jc w:val="left"/>
                      <w:rPr>
                        <w:sz w:val="20"/>
                      </w:rPr>
                    </w:pPr>
                    <w:r>
                      <w:rPr>
                        <w:sz w:val="20"/>
                      </w:rPr>
                      <w:t>Emerging Markets</w:t>
                    </w:r>
                  </w:p>
                </w:txbxContent>
              </v:textbox>
              <w10:wrap type="none"/>
            </v:shape>
            <v:shape style="position:absolute;left:5275;top:1097;width:364;height:3790" type="#_x0000_t202" filled="false" stroked="false">
              <v:textbox inset="0,0,0,0">
                <w:txbxContent>
                  <w:p>
                    <w:pPr>
                      <w:spacing w:line="223" w:lineRule="exact" w:before="0"/>
                      <w:ind w:left="0" w:right="0" w:firstLine="0"/>
                      <w:jc w:val="left"/>
                      <w:rPr>
                        <w:sz w:val="20"/>
                      </w:rPr>
                    </w:pPr>
                    <w:r>
                      <w:rPr>
                        <w:w w:val="99"/>
                        <w:sz w:val="20"/>
                      </w:rPr>
                      <w:t>1</w:t>
                    </w:r>
                  </w:p>
                  <w:p>
                    <w:pPr>
                      <w:spacing w:before="94"/>
                      <w:ind w:left="0" w:right="0" w:firstLine="0"/>
                      <w:jc w:val="left"/>
                      <w:rPr>
                        <w:sz w:val="20"/>
                      </w:rPr>
                    </w:pPr>
                    <w:r>
                      <w:rPr>
                        <w:sz w:val="20"/>
                      </w:rPr>
                      <w:t>0.9</w:t>
                    </w:r>
                  </w:p>
                  <w:p>
                    <w:pPr>
                      <w:spacing w:before="94"/>
                      <w:ind w:left="0" w:right="0" w:firstLine="0"/>
                      <w:jc w:val="left"/>
                      <w:rPr>
                        <w:sz w:val="20"/>
                      </w:rPr>
                    </w:pPr>
                    <w:r>
                      <w:rPr>
                        <w:sz w:val="20"/>
                      </w:rPr>
                      <w:t>0.8</w:t>
                    </w:r>
                  </w:p>
                  <w:p>
                    <w:pPr>
                      <w:spacing w:before="95"/>
                      <w:ind w:left="0" w:right="0" w:firstLine="0"/>
                      <w:jc w:val="left"/>
                      <w:rPr>
                        <w:sz w:val="20"/>
                      </w:rPr>
                    </w:pPr>
                    <w:r>
                      <w:rPr>
                        <w:sz w:val="20"/>
                      </w:rPr>
                      <w:t>0.7</w:t>
                    </w:r>
                  </w:p>
                  <w:p>
                    <w:pPr>
                      <w:spacing w:before="94"/>
                      <w:ind w:left="0" w:right="0" w:firstLine="0"/>
                      <w:jc w:val="left"/>
                      <w:rPr>
                        <w:sz w:val="20"/>
                      </w:rPr>
                    </w:pPr>
                    <w:r>
                      <w:rPr>
                        <w:sz w:val="20"/>
                      </w:rPr>
                      <w:t>0.6</w:t>
                    </w:r>
                  </w:p>
                  <w:p>
                    <w:pPr>
                      <w:spacing w:before="94"/>
                      <w:ind w:left="0" w:right="0" w:firstLine="0"/>
                      <w:jc w:val="left"/>
                      <w:rPr>
                        <w:sz w:val="20"/>
                      </w:rPr>
                    </w:pPr>
                    <w:r>
                      <w:rPr>
                        <w:sz w:val="20"/>
                      </w:rPr>
                      <w:t>0.5</w:t>
                    </w:r>
                  </w:p>
                  <w:p>
                    <w:pPr>
                      <w:spacing w:before="94"/>
                      <w:ind w:left="0" w:right="0" w:firstLine="0"/>
                      <w:jc w:val="left"/>
                      <w:rPr>
                        <w:sz w:val="20"/>
                      </w:rPr>
                    </w:pPr>
                    <w:r>
                      <w:rPr>
                        <w:sz w:val="20"/>
                      </w:rPr>
                      <w:t>0.4</w:t>
                    </w:r>
                  </w:p>
                  <w:p>
                    <w:pPr>
                      <w:spacing w:before="95"/>
                      <w:ind w:left="0" w:right="0" w:firstLine="0"/>
                      <w:jc w:val="left"/>
                      <w:rPr>
                        <w:sz w:val="20"/>
                      </w:rPr>
                    </w:pPr>
                    <w:r>
                      <w:rPr>
                        <w:sz w:val="20"/>
                      </w:rPr>
                      <w:t>0.3</w:t>
                    </w:r>
                  </w:p>
                  <w:p>
                    <w:pPr>
                      <w:spacing w:before="94"/>
                      <w:ind w:left="0" w:right="0" w:firstLine="0"/>
                      <w:jc w:val="left"/>
                      <w:rPr>
                        <w:sz w:val="20"/>
                      </w:rPr>
                    </w:pPr>
                    <w:r>
                      <w:rPr>
                        <w:sz w:val="20"/>
                      </w:rPr>
                      <w:t>0.2</w:t>
                    </w:r>
                  </w:p>
                  <w:p>
                    <w:pPr>
                      <w:spacing w:before="94"/>
                      <w:ind w:left="0" w:right="0" w:firstLine="0"/>
                      <w:jc w:val="left"/>
                      <w:rPr>
                        <w:sz w:val="20"/>
                      </w:rPr>
                    </w:pPr>
                    <w:r>
                      <w:rPr>
                        <w:sz w:val="20"/>
                      </w:rPr>
                      <w:t>0.1</w:t>
                    </w:r>
                  </w:p>
                  <w:p>
                    <w:pPr>
                      <w:spacing w:before="95"/>
                      <w:ind w:left="0" w:right="0" w:firstLine="0"/>
                      <w:jc w:val="left"/>
                      <w:rPr>
                        <w:sz w:val="20"/>
                      </w:rPr>
                    </w:pPr>
                    <w:r>
                      <w:rPr>
                        <w:w w:val="99"/>
                        <w:sz w:val="20"/>
                      </w:rPr>
                      <w:t>0</w:t>
                    </w:r>
                  </w:p>
                  <w:p>
                    <w:pPr>
                      <w:spacing w:before="94"/>
                      <w:ind w:left="0" w:right="0" w:firstLine="0"/>
                      <w:jc w:val="left"/>
                      <w:rPr>
                        <w:sz w:val="20"/>
                      </w:rPr>
                    </w:pPr>
                    <w:r>
                      <w:rPr>
                        <w:sz w:val="20"/>
                      </w:rPr>
                      <w:t>-0.1</w:t>
                    </w:r>
                  </w:p>
                </w:txbxContent>
              </v:textbox>
              <w10:wrap type="none"/>
            </v:shape>
            <v:shape style="position:absolute;left:2200;top:1044;width:1465;height:1199" type="#_x0000_t202" filled="false" stroked="false">
              <v:textbox inset="0,0,0,0">
                <w:txbxContent>
                  <w:p>
                    <w:pPr>
                      <w:spacing w:line="338" w:lineRule="auto" w:before="0"/>
                      <w:ind w:left="0" w:right="422" w:firstLine="0"/>
                      <w:jc w:val="left"/>
                      <w:rPr>
                        <w:sz w:val="20"/>
                      </w:rPr>
                    </w:pPr>
                    <w:r>
                      <w:rPr>
                        <w:sz w:val="20"/>
                      </w:rPr>
                      <w:t>Euro area Full sample</w:t>
                    </w:r>
                  </w:p>
                  <w:p>
                    <w:pPr>
                      <w:spacing w:before="0"/>
                      <w:ind w:left="0" w:right="0" w:firstLine="0"/>
                      <w:jc w:val="left"/>
                      <w:rPr>
                        <w:sz w:val="20"/>
                      </w:rPr>
                    </w:pPr>
                    <w:r>
                      <w:rPr>
                        <w:sz w:val="20"/>
                      </w:rPr>
                      <w:t>Other Advanced</w:t>
                    </w:r>
                  </w:p>
                  <w:p>
                    <w:pPr>
                      <w:spacing w:before="90"/>
                      <w:ind w:left="0" w:right="0" w:firstLine="0"/>
                      <w:jc w:val="left"/>
                      <w:rPr>
                        <w:sz w:val="20"/>
                      </w:rPr>
                    </w:pPr>
                    <w:r>
                      <w:rPr>
                        <w:sz w:val="20"/>
                      </w:rPr>
                      <w:t>Emerging</w:t>
                    </w:r>
                  </w:p>
                </w:txbxContent>
              </v:textbox>
              <w10:wrap type="none"/>
            </v:shape>
            <v:shape style="position:absolute;left:5670;top:481;width:4600;height:264" type="#_x0000_t202" filled="false" stroked="true" strokeweight=".48004pt" strokecolor="#000000">
              <v:textbox inset="0,0,0,0">
                <w:txbxContent>
                  <w:p>
                    <w:pPr>
                      <w:spacing w:before="0"/>
                      <w:ind w:left="463" w:right="0" w:firstLine="0"/>
                      <w:jc w:val="left"/>
                      <w:rPr>
                        <w:sz w:val="22"/>
                      </w:rPr>
                    </w:pPr>
                    <w:r>
                      <w:rPr>
                        <w:sz w:val="22"/>
                      </w:rPr>
                      <w:t>b. GDP growth</w:t>
                    </w:r>
                  </w:p>
                </w:txbxContent>
              </v:textbox>
              <v:stroke dashstyle="solid"/>
              <w10:wrap type="none"/>
            </v:shape>
            <v:shape style="position:absolute;left:1024;top:481;width:4646;height:264" type="#_x0000_t202" filled="false" stroked="true" strokeweight=".48001pt" strokecolor="#000000">
              <v:textbox inset="0,0,0,0">
                <w:txbxContent>
                  <w:p>
                    <w:pPr>
                      <w:spacing w:before="0"/>
                      <w:ind w:left="463" w:right="0" w:firstLine="0"/>
                      <w:jc w:val="left"/>
                      <w:rPr>
                        <w:sz w:val="22"/>
                      </w:rPr>
                    </w:pPr>
                    <w:r>
                      <w:rPr>
                        <w:sz w:val="22"/>
                      </w:rPr>
                      <w:t>a. Equity returns</w:t>
                    </w:r>
                  </w:p>
                </w:txbxContent>
              </v:textbox>
              <v:stroke dashstyle="solid"/>
              <w10:wrap type="none"/>
            </v:shape>
            <w10:wrap type="none"/>
          </v:group>
        </w:pict>
      </w:r>
      <w:r>
        <w:rPr/>
        <w:t>Figure 7. Five-year rolling correlations in equity returns and GDP growth rates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sz w:val="23"/>
        </w:rPr>
      </w:pPr>
    </w:p>
    <w:p>
      <w:pPr>
        <w:spacing w:before="93"/>
        <w:ind w:left="253" w:right="0" w:firstLine="0"/>
        <w:jc w:val="left"/>
        <w:rPr>
          <w:b/>
          <w:sz w:val="22"/>
        </w:rPr>
      </w:pPr>
      <w:r>
        <w:rPr/>
        <w:pict>
          <v:group style="position:absolute;margin-left:51pt;margin-top:23.84786pt;width:469.2pt;height:238.75pt;mso-position-horizontal-relative:page;mso-position-vertical-relative:paragraph;z-index:251820032" coordorigin="1020,477" coordsize="9384,4775">
            <v:line style="position:absolute" from="1030,746" to="5709,746" stroked="true" strokeweight=".47998pt" strokecolor="#000000">
              <v:stroke dashstyle="solid"/>
            </v:line>
            <v:line style="position:absolute" from="5718,746" to="10394,746" stroked="true" strokeweight=".47998pt" strokecolor="#000000">
              <v:stroke dashstyle="solid"/>
            </v:line>
            <v:line style="position:absolute" from="1025,477" to="1025,5242" stroked="true" strokeweight=".48pt" strokecolor="#000000">
              <v:stroke dashstyle="solid"/>
            </v:line>
            <v:rect style="position:absolute;left:1020;top:5241;width:10;height:10" filled="true" fillcolor="#000000" stroked="false">
              <v:fill type="solid"/>
            </v:rect>
            <v:line style="position:absolute" from="1030,5247" to="5709,5247" stroked="true" strokeweight=".47998pt" strokecolor="#000000">
              <v:stroke dashstyle="solid"/>
            </v:line>
            <v:line style="position:absolute" from="5713,477" to="5713,5242" stroked="true" strokeweight=".47998pt" strokecolor="#000000">
              <v:stroke dashstyle="solid"/>
            </v:line>
            <v:rect style="position:absolute;left:5708;top:5241;width:10;height:10" filled="true" fillcolor="#000000" stroked="false">
              <v:fill type="solid"/>
            </v:rect>
            <v:line style="position:absolute" from="5718,5247" to="10394,5247" stroked="true" strokeweight=".47998pt" strokecolor="#000000">
              <v:stroke dashstyle="solid"/>
            </v:line>
            <v:line style="position:absolute" from="10399,477" to="10399,5242" stroked="true" strokeweight=".47998pt" strokecolor="#000000">
              <v:stroke dashstyle="solid"/>
            </v:line>
            <v:rect style="position:absolute;left:10394;top:5241;width:10;height:10" filled="true" fillcolor="#000000" stroked="false">
              <v:fill type="solid"/>
            </v:rect>
            <v:shape style="position:absolute;left:1356;top:1563;width:3920;height:2888" coordorigin="1356,1563" coordsize="3920,2888" path="m5215,4390l5215,1563m5215,4390l5275,4390m5215,3987l5275,3987m5215,3584l5275,3584m5215,3178l5275,3178m5215,2775l5275,2775m5215,2372l5275,2372m5215,1969l5275,1969m5215,1563l5275,1563m1356,4390l5215,4390m1356,4390l1356,4450m1884,4390l1884,4450m2412,4390l2412,4450m2940,4390l2940,4450m3470,4390l3470,4450m3998,4390l3998,4450m4526,4390l4526,4450m5054,4390l5054,4450e" filled="false" stroked="true" strokeweight=".72pt" strokecolor="#858585">
              <v:path arrowok="t"/>
              <v:stroke dashstyle="solid"/>
            </v:shape>
            <v:shape style="position:absolute;left:1339;top:2045;width:3893;height:1985" type="#_x0000_t75" stroked="false">
              <v:imagedata r:id="rId54" o:title=""/>
            </v:shape>
            <v:line style="position:absolute" from="1807,1026" to="2191,1026" stroked="true" strokeweight="1.68pt" strokecolor="#00af50">
              <v:stroke dashstyle="solid"/>
            </v:line>
            <v:line style="position:absolute" from="1807,1314" to="2191,1314" stroked="true" strokeweight="1.68pt" strokecolor="#000000">
              <v:stroke dashstyle="solid"/>
            </v:line>
            <v:line style="position:absolute" from="1807,1602" to="2191,1602" stroked="true" strokeweight="1.68pt" strokecolor="#c00000">
              <v:stroke dashstyle="solid"/>
            </v:line>
            <v:line style="position:absolute" from="1807,1890" to="2191,1890" stroked="true" strokeweight="1.68pt" strokecolor="#ffc000">
              <v:stroke dashstyle="solid"/>
            </v:line>
            <v:shape style="position:absolute;left:6036;top:1579;width:3754;height:2890" coordorigin="6036,1580" coordsize="3754,2890" path="m9730,4410l9730,1580m9730,4410l9790,4410m9730,3937l9790,3937m9730,3466l9790,3466m9730,2994l9790,2994m9730,2523l9790,2523m9730,2050l9790,2050m9730,1580l9790,1580m6036,4410l9730,4410m6036,4410l6036,4470m6389,4410l6389,4470m6739,4410l6739,4470m7092,4410l7092,4470m7442,4410l7442,4470m7795,4410l7795,4470m8148,4410l8148,4470m8498,4410l8498,4470m8851,4410l8851,4470m9202,4410l9202,4470m9554,4410l9554,4470e" filled="false" stroked="true" strokeweight=".72pt" strokecolor="#858585">
              <v:path arrowok="t"/>
              <v:stroke dashstyle="solid"/>
            </v:shape>
            <v:shape style="position:absolute;left:6050;top:2763;width:3665;height:730" coordorigin="6050,2763" coordsize="3665,730" path="m6050,2806l6082,2811,6110,2840,6139,2866,6168,2905,6199,2893,6228,2874,6257,2857,6286,2833,6314,2826,6346,2821,6374,2811,6403,2799,6432,2766,6461,2763,6492,2778,6521,2790,6550,2823,6578,2830,6607,2835,6638,2842,6667,2852,6696,2878,6725,2881,6756,2850,6785,2830,6814,2854,6842,2864,6871,2910,6902,2929,6931,2936,6960,2946,6989,2970,7018,3001,7049,3020,7078,3046,7106,3032,7135,3054,7164,3034,7195,3066,7224,3054,7253,3015,7282,2977,7313,3082,7342,3116,7370,3178,7399,3195,7428,3162,7459,3135,7488,3123,7517,3138,7546,3157,7574,3118,7606,3030,7634,2998,7663,2972,7692,2953,7721,2931,7752,2970,7781,2984,7810,3001,7838,3003,7870,3027,7898,3056,7927,3046,7956,3039,7985,3030,8016,3018,8045,3018,8074,3013,8102,3015,8131,3025,8162,3027,8191,3061,8220,3022,8249,3032,8278,3054,8309,3070,8338,3092,8366,3097,8395,3109,8426,3142,8455,3157,8484,3162,8513,3176,8542,3200,8573,3222,8602,3250,8630,3277,8659,3306,8719,3327,8777,3380,8806,3454,8834,3423,8866,3130,8894,2893,8952,2840,8983,2830,9012,2809,9041,2794,9070,2785,9098,2785,9130,2794,9158,2804,9187,2809,9216,2804,9245,2790,9276,2799,9305,2809,9334,2840,9362,2859,9391,2864,9422,2871,9451,3058,9480,3334,9509,3382,9540,3399,9569,3423,9598,3373,9626,3409,9655,3435,9686,3462,9715,3493e" filled="false" stroked="true" strokeweight="1.68pt" strokecolor="#000000">
              <v:path arrowok="t"/>
              <v:stroke dashstyle="solid"/>
            </v:shape>
            <v:shape style="position:absolute;left:6050;top:2827;width:3665;height:756" coordorigin="6050,2828" coordsize="3665,756" path="m6050,3207l6082,3224,6110,3243,6139,3289,6168,3313,6199,3277,6228,3255,6257,3212,6286,3186,6314,3152,6346,3157,6374,3150,6403,3142,6432,3099,6461,3111,6492,3121,6521,3140,6550,3133,6578,3159,6607,3171,6638,3162,6667,3164,6696,3150,6725,3121,6756,3042,6785,2998,6814,2994,6842,3020,6871,3056,6902,3109,6931,3054,6960,3037,6989,3037,7018,3051,7049,3070,7078,3090,7106,3106,7135,3150,7164,3164,7195,3157,7224,3159,7253,3166,7282,3162,7313,3222,7342,3366,7399,3440,7459,3454,7488,3457,7517,3483,7546,3454,7574,3459,7606,3548,7634,3560,7663,3562,7692,3553,7721,3519,7752,3519,7781,3522,7810,3519,7838,3474,7870,3459,7898,3462,7927,3454,7956,3471,7985,3423,8016,3404,8045,3392,8074,3382,8102,3392,8131,3399,8162,3414,8191,3378,8220,3363,8249,3366,8278,3358,8309,3385,8338,3390,8366,3421,8395,3442,8426,3522,8455,3536,8484,3529,8513,3562,8542,3560,8573,3579,8602,3584,8630,3570,8659,3550,8688,3531,8719,3524,8748,3510,8777,3512,8806,3483,8834,3416,8866,3214,8894,2900,8923,2878,8952,2871,8983,2878,9012,2864,9041,2828,9070,2828,9098,2830,9130,2845,9158,2854,9187,2869,9216,2888,9245,2922,9276,2960,9305,2974,9334,3030,9362,3073,9391,3063,9422,3042,9451,3178,9480,3445,9509,3483,9540,3471,9569,3464,9598,3154,9626,3214,9655,3226,9686,3250,9715,3289e" filled="false" stroked="true" strokeweight="1.68pt" strokecolor="#00af50">
              <v:path arrowok="t"/>
              <v:stroke dashstyle="solid"/>
            </v:shape>
            <v:shape style="position:absolute;left:6050;top:2539;width:3665;height:1179" coordorigin="6050,2540" coordsize="3665,1179" path="m6050,2540l6082,2545,6110,2578,6139,2598,6168,2653,6199,2660,6228,2629,6257,2641,6286,2607,6314,2624,6346,2629,6374,2626,6403,2636,6432,2631,6461,2590,6492,2605,6521,2614,6550,2672,6578,2653,6607,2653,6638,2670,6667,2686,6696,2744,6725,2775,6756,2749,6785,2780,6814,2816,6842,2847,6871,2917,6902,2924,6931,2979,6960,3022,6989,3037,7018,3082,7049,3128,7078,3140,7106,3133,7135,3135,7164,3176,7195,3262,7224,3226,7253,3248,7282,3243,7313,3243,7342,3267,7370,3358,7399,3370,7428,3375,7459,3382,7488,3378,7517,3349,7546,3366,7574,3313,7606,3193,7634,3178,7663,3171,7692,3190,7721,3193,7752,3176,7781,3186,7810,3200,7838,3200,7870,3188,7898,3202,7927,3186,7956,3171,7985,3154,8016,3128,8045,3133,8074,3135,8102,3169,8131,3164,8162,3190,8191,3301,8220,3279,8249,3226,8278,3217,8309,3212,8338,3248,8366,3248,8395,3279,8426,3301,8455,3322,8484,3344,8513,3346,8542,3356,8573,3370,8602,3411,8630,3416,8659,3430,8688,3442,8719,3466,8748,3476,8777,3452,8806,3447,8834,3438,8866,3174,8894,3030,8923,2991,8952,2989,8983,2953,9012,2905,9041,2905,9070,2876,9098,2876,9130,2881,9158,2893,9187,2888,9216,2893,9245,2893,9276,2902,9305,2910,9334,2931,9362,2941,9391,2967,9422,2996,9451,3195,9480,3399,9509,3438,9540,3450,9569,3507,9598,3570,9626,3603,9655,3646,9686,3673,9715,3718e" filled="false" stroked="true" strokeweight="1.68pt" strokecolor="#ff0000">
              <v:path arrowok="t"/>
              <v:stroke dashstyle="solid"/>
            </v:shape>
            <v:shape style="position:absolute;left:6050;top:2179;width:3665;height:1260" coordorigin="6050,2180" coordsize="3665,1260" path="m6050,2631l6082,2614,6110,2641,6139,2655,6168,2672,6199,2665,6228,2686,6257,2653,6286,2655,6314,2653,6346,2598,6374,2569,6403,2490,6432,2406,6461,2473,6492,2490,6521,2499,6550,2550,6578,2586,6607,2588,6638,2607,6667,2614,6696,2655,6725,2686,6756,2715,6785,2638,6814,2694,6842,2629,6871,2643,6902,2624,6931,2648,6960,2631,6989,2715,7018,2746,7049,2718,7078,2821,7106,2742,7135,2766,7164,2590,7195,2564,7224,2574,7253,2355,7282,2199,7313,2732,7342,2662,7370,2703,7399,2720,7428,2631,7459,2581,7488,2547,7517,2602,7546,2696,7574,2638,7606,2442,7634,2358,7663,2288,7692,2221,7721,2180,7752,2310,7781,2343,7810,2372,7838,2418,7870,2511,7898,2605,7927,2602,7956,2583,7985,2612,8016,2617,8045,2624,8074,2614,8102,2578,8131,2602,8162,2571,8191,2583,8220,2514,8249,2590,8278,2662,8309,2694,8338,2713,8366,2701,8395,2691,8426,2701,8455,2706,8484,2703,8513,2720,8542,2775,8573,2804,8602,2838,8630,2919,8659,2996,8688,3020,8719,3042,8748,3090,8777,3212,8806,3440,8834,3416,8866,3022,8894,2749,8923,2686,8952,2667,8983,2672,9012,2672,9041,2658,9070,2665,9098,2660,9130,2667,9158,2677,9187,2684,9216,2653,9245,2588,9276,2574,9305,2581,9334,2610,9362,2617,9391,2612,9422,2619,9451,2830,9480,3190,9509,3253,9540,3296,9569,3313,9598,3337,9626,3363,9655,3378,9686,3406,9715,3423e" filled="false" stroked="true" strokeweight="1.68pt" strokecolor="#ffc000">
              <v:path arrowok="t"/>
              <v:stroke dashstyle="solid"/>
            </v:shape>
            <v:line style="position:absolute" from="6746,1033" to="7130,1033" stroked="true" strokeweight="1.68pt" strokecolor="#000000">
              <v:stroke dashstyle="solid"/>
            </v:line>
            <v:line style="position:absolute" from="6746,1330" to="7130,1330" stroked="true" strokeweight="1.68pt" strokecolor="#00af50">
              <v:stroke dashstyle="solid"/>
            </v:line>
            <v:line style="position:absolute" from="6746,1928" to="7130,1928" stroked="true" strokeweight="1.68pt" strokecolor="#ffc000">
              <v:stroke dashstyle="solid"/>
            </v:line>
            <v:shape style="position:absolute;left:9903;top:4292;width:131;height:223" type="#_x0000_t202" filled="false" stroked="false">
              <v:textbox inset="0,0,0,0">
                <w:txbxContent>
                  <w:p>
                    <w:pPr>
                      <w:spacing w:line="223" w:lineRule="exact" w:before="0"/>
                      <w:ind w:left="0" w:right="0" w:firstLine="0"/>
                      <w:jc w:val="left"/>
                      <w:rPr>
                        <w:sz w:val="20"/>
                      </w:rPr>
                    </w:pPr>
                    <w:r>
                      <w:rPr>
                        <w:w w:val="99"/>
                        <w:sz w:val="20"/>
                      </w:rPr>
                      <w:t>0</w:t>
                    </w:r>
                  </w:p>
                </w:txbxContent>
              </v:textbox>
              <w10:wrap type="none"/>
            </v:shape>
            <v:shape style="position:absolute;left:9903;top:1462;width:299;height:2581" type="#_x0000_t202" filled="false" stroked="false">
              <v:textbox inset="0,0,0,0">
                <w:txbxContent>
                  <w:p>
                    <w:pPr>
                      <w:spacing w:line="223" w:lineRule="exact" w:before="0"/>
                      <w:ind w:left="0" w:right="0" w:firstLine="0"/>
                      <w:jc w:val="left"/>
                      <w:rPr>
                        <w:sz w:val="20"/>
                      </w:rPr>
                    </w:pPr>
                    <w:r>
                      <w:rPr>
                        <w:sz w:val="20"/>
                      </w:rPr>
                      <w:t>2.4</w:t>
                    </w:r>
                  </w:p>
                  <w:p>
                    <w:pPr>
                      <w:spacing w:line="240" w:lineRule="auto" w:before="11"/>
                      <w:rPr>
                        <w:sz w:val="20"/>
                      </w:rPr>
                    </w:pPr>
                  </w:p>
                  <w:p>
                    <w:pPr>
                      <w:spacing w:before="0"/>
                      <w:ind w:left="0" w:right="0" w:firstLine="0"/>
                      <w:jc w:val="left"/>
                      <w:rPr>
                        <w:sz w:val="20"/>
                      </w:rPr>
                    </w:pPr>
                    <w:r>
                      <w:rPr>
                        <w:w w:val="99"/>
                        <w:sz w:val="20"/>
                      </w:rPr>
                      <w:t>2</w:t>
                    </w:r>
                  </w:p>
                  <w:p>
                    <w:pPr>
                      <w:spacing w:line="240" w:lineRule="auto" w:before="0"/>
                      <w:rPr>
                        <w:sz w:val="21"/>
                      </w:rPr>
                    </w:pPr>
                  </w:p>
                  <w:p>
                    <w:pPr>
                      <w:spacing w:before="0"/>
                      <w:ind w:left="0" w:right="0" w:firstLine="0"/>
                      <w:jc w:val="left"/>
                      <w:rPr>
                        <w:sz w:val="20"/>
                      </w:rPr>
                    </w:pPr>
                    <w:r>
                      <w:rPr>
                        <w:sz w:val="20"/>
                      </w:rPr>
                      <w:t>1.6</w:t>
                    </w:r>
                  </w:p>
                  <w:p>
                    <w:pPr>
                      <w:spacing w:line="240" w:lineRule="auto" w:before="0"/>
                      <w:rPr>
                        <w:sz w:val="21"/>
                      </w:rPr>
                    </w:pPr>
                  </w:p>
                  <w:p>
                    <w:pPr>
                      <w:spacing w:before="0"/>
                      <w:ind w:left="0" w:right="0" w:firstLine="0"/>
                      <w:jc w:val="left"/>
                      <w:rPr>
                        <w:sz w:val="20"/>
                      </w:rPr>
                    </w:pPr>
                    <w:r>
                      <w:rPr>
                        <w:sz w:val="20"/>
                      </w:rPr>
                      <w:t>1.2</w:t>
                    </w:r>
                  </w:p>
                  <w:p>
                    <w:pPr>
                      <w:spacing w:line="240" w:lineRule="auto" w:before="1"/>
                      <w:rPr>
                        <w:sz w:val="21"/>
                      </w:rPr>
                    </w:pPr>
                  </w:p>
                  <w:p>
                    <w:pPr>
                      <w:spacing w:before="0"/>
                      <w:ind w:left="0" w:right="0" w:firstLine="0"/>
                      <w:jc w:val="left"/>
                      <w:rPr>
                        <w:sz w:val="20"/>
                      </w:rPr>
                    </w:pPr>
                    <w:r>
                      <w:rPr>
                        <w:sz w:val="20"/>
                      </w:rPr>
                      <w:t>0.8</w:t>
                    </w:r>
                  </w:p>
                  <w:p>
                    <w:pPr>
                      <w:spacing w:line="240" w:lineRule="auto" w:before="11"/>
                      <w:rPr>
                        <w:sz w:val="20"/>
                      </w:rPr>
                    </w:pPr>
                  </w:p>
                  <w:p>
                    <w:pPr>
                      <w:spacing w:before="0"/>
                      <w:ind w:left="0" w:right="0" w:firstLine="0"/>
                      <w:jc w:val="left"/>
                      <w:rPr>
                        <w:sz w:val="20"/>
                      </w:rPr>
                    </w:pPr>
                    <w:r>
                      <w:rPr>
                        <w:sz w:val="20"/>
                      </w:rPr>
                      <w:t>0.4</w:t>
                    </w:r>
                  </w:p>
                </w:txbxContent>
              </v:textbox>
              <w10:wrap type="none"/>
            </v:shape>
            <v:shape style="position:absolute;left:6746;top:916;width:2067;height:1117" type="#_x0000_t202" filled="false" stroked="false">
              <v:textbox inset="0,0,0,0">
                <w:txbxContent>
                  <w:p>
                    <w:pPr>
                      <w:spacing w:line="312" w:lineRule="auto" w:before="0"/>
                      <w:ind w:left="426" w:right="598" w:firstLine="0"/>
                      <w:jc w:val="left"/>
                      <w:rPr>
                        <w:sz w:val="20"/>
                      </w:rPr>
                    </w:pPr>
                    <w:r>
                      <w:rPr>
                        <w:sz w:val="20"/>
                      </w:rPr>
                      <w:t>Full sample Euro area</w:t>
                    </w:r>
                  </w:p>
                  <w:p>
                    <w:pPr>
                      <w:tabs>
                        <w:tab w:pos="426" w:val="left" w:leader="none"/>
                      </w:tabs>
                      <w:spacing w:line="228" w:lineRule="exact" w:before="0"/>
                      <w:ind w:left="0" w:right="0" w:firstLine="0"/>
                      <w:jc w:val="left"/>
                      <w:rPr>
                        <w:sz w:val="20"/>
                      </w:rPr>
                    </w:pPr>
                    <w:r>
                      <w:rPr>
                        <w:w w:val="99"/>
                        <w:position w:val="7"/>
                        <w:sz w:val="20"/>
                        <w:u w:val="thick" w:color="FF0000"/>
                      </w:rPr>
                      <w:t> </w:t>
                    </w:r>
                    <w:r>
                      <w:rPr>
                        <w:position w:val="7"/>
                        <w:sz w:val="20"/>
                        <w:u w:val="thick" w:color="FF0000"/>
                      </w:rPr>
                      <w:tab/>
                    </w:r>
                    <w:r>
                      <w:rPr>
                        <w:sz w:val="20"/>
                      </w:rPr>
                      <w:t>Other</w:t>
                    </w:r>
                    <w:r>
                      <w:rPr>
                        <w:spacing w:val="-1"/>
                        <w:sz w:val="20"/>
                      </w:rPr>
                      <w:t> </w:t>
                    </w:r>
                    <w:r>
                      <w:rPr>
                        <w:sz w:val="20"/>
                      </w:rPr>
                      <w:t>advanced</w:t>
                    </w:r>
                  </w:p>
                  <w:p>
                    <w:pPr>
                      <w:spacing w:before="60"/>
                      <w:ind w:left="426" w:right="0" w:firstLine="0"/>
                      <w:jc w:val="left"/>
                      <w:rPr>
                        <w:sz w:val="20"/>
                      </w:rPr>
                    </w:pPr>
                    <w:r>
                      <w:rPr>
                        <w:sz w:val="20"/>
                      </w:rPr>
                      <w:t>Emerging markets</w:t>
                    </w:r>
                  </w:p>
                </w:txbxContent>
              </v:textbox>
              <w10:wrap type="none"/>
            </v:shape>
            <v:shape style="position:absolute;left:5389;top:1447;width:131;height:3051" type="#_x0000_t202" filled="false" stroked="false">
              <v:textbox inset="0,0,0,0">
                <w:txbxContent>
                  <w:p>
                    <w:pPr>
                      <w:spacing w:line="223" w:lineRule="exact" w:before="0"/>
                      <w:ind w:left="0" w:right="0" w:firstLine="0"/>
                      <w:jc w:val="left"/>
                      <w:rPr>
                        <w:sz w:val="20"/>
                      </w:rPr>
                    </w:pPr>
                    <w:r>
                      <w:rPr>
                        <w:w w:val="99"/>
                        <w:sz w:val="20"/>
                      </w:rPr>
                      <w:t>8</w:t>
                    </w:r>
                  </w:p>
                  <w:p>
                    <w:pPr>
                      <w:spacing w:before="173"/>
                      <w:ind w:left="0" w:right="0" w:firstLine="0"/>
                      <w:jc w:val="left"/>
                      <w:rPr>
                        <w:sz w:val="20"/>
                      </w:rPr>
                    </w:pPr>
                    <w:r>
                      <w:rPr>
                        <w:w w:val="99"/>
                        <w:sz w:val="20"/>
                      </w:rPr>
                      <w:t>7</w:t>
                    </w:r>
                  </w:p>
                  <w:p>
                    <w:pPr>
                      <w:spacing w:before="175"/>
                      <w:ind w:left="0" w:right="0" w:firstLine="0"/>
                      <w:jc w:val="left"/>
                      <w:rPr>
                        <w:sz w:val="20"/>
                      </w:rPr>
                    </w:pPr>
                    <w:r>
                      <w:rPr>
                        <w:w w:val="99"/>
                        <w:sz w:val="20"/>
                      </w:rPr>
                      <w:t>6</w:t>
                    </w:r>
                  </w:p>
                  <w:p>
                    <w:pPr>
                      <w:spacing w:before="174"/>
                      <w:ind w:left="0" w:right="0" w:firstLine="0"/>
                      <w:jc w:val="left"/>
                      <w:rPr>
                        <w:sz w:val="20"/>
                      </w:rPr>
                    </w:pPr>
                    <w:r>
                      <w:rPr>
                        <w:w w:val="99"/>
                        <w:sz w:val="20"/>
                      </w:rPr>
                      <w:t>5</w:t>
                    </w:r>
                  </w:p>
                  <w:p>
                    <w:pPr>
                      <w:spacing w:before="173"/>
                      <w:ind w:left="0" w:right="0" w:firstLine="0"/>
                      <w:jc w:val="left"/>
                      <w:rPr>
                        <w:sz w:val="20"/>
                      </w:rPr>
                    </w:pPr>
                    <w:r>
                      <w:rPr>
                        <w:w w:val="99"/>
                        <w:sz w:val="20"/>
                      </w:rPr>
                      <w:t>4</w:t>
                    </w:r>
                  </w:p>
                  <w:p>
                    <w:pPr>
                      <w:spacing w:before="175"/>
                      <w:ind w:left="0" w:right="0" w:firstLine="0"/>
                      <w:jc w:val="left"/>
                      <w:rPr>
                        <w:sz w:val="20"/>
                      </w:rPr>
                    </w:pPr>
                    <w:r>
                      <w:rPr>
                        <w:w w:val="99"/>
                        <w:sz w:val="20"/>
                      </w:rPr>
                      <w:t>3</w:t>
                    </w:r>
                  </w:p>
                  <w:p>
                    <w:pPr>
                      <w:spacing w:before="173"/>
                      <w:ind w:left="0" w:right="0" w:firstLine="0"/>
                      <w:jc w:val="left"/>
                      <w:rPr>
                        <w:sz w:val="20"/>
                      </w:rPr>
                    </w:pPr>
                    <w:r>
                      <w:rPr>
                        <w:w w:val="99"/>
                        <w:sz w:val="20"/>
                      </w:rPr>
                      <w:t>2</w:t>
                    </w:r>
                  </w:p>
                  <w:p>
                    <w:pPr>
                      <w:spacing w:before="174"/>
                      <w:ind w:left="0" w:right="0" w:firstLine="0"/>
                      <w:jc w:val="left"/>
                      <w:rPr>
                        <w:sz w:val="20"/>
                      </w:rPr>
                    </w:pPr>
                    <w:r>
                      <w:rPr>
                        <w:w w:val="99"/>
                        <w:sz w:val="20"/>
                      </w:rPr>
                      <w:t>1</w:t>
                    </w:r>
                  </w:p>
                </w:txbxContent>
              </v:textbox>
              <w10:wrap type="none"/>
            </v:shape>
            <v:shape style="position:absolute;left:2233;top:909;width:1641;height:1087" type="#_x0000_t202" filled="false" stroked="false">
              <v:textbox inset="0,0,0,0">
                <w:txbxContent>
                  <w:p>
                    <w:pPr>
                      <w:spacing w:line="300" w:lineRule="auto" w:before="0"/>
                      <w:ind w:left="0" w:right="598" w:firstLine="0"/>
                      <w:jc w:val="left"/>
                      <w:rPr>
                        <w:sz w:val="20"/>
                      </w:rPr>
                    </w:pPr>
                    <w:r>
                      <w:rPr>
                        <w:sz w:val="20"/>
                      </w:rPr>
                      <w:t>Euro area Full sample</w:t>
                    </w:r>
                  </w:p>
                  <w:p>
                    <w:pPr>
                      <w:spacing w:before="0"/>
                      <w:ind w:left="0" w:right="0" w:firstLine="0"/>
                      <w:jc w:val="left"/>
                      <w:rPr>
                        <w:sz w:val="20"/>
                      </w:rPr>
                    </w:pPr>
                    <w:r>
                      <w:rPr>
                        <w:sz w:val="20"/>
                      </w:rPr>
                      <w:t>Other advanced</w:t>
                    </w:r>
                  </w:p>
                  <w:p>
                    <w:pPr>
                      <w:spacing w:before="52"/>
                      <w:ind w:left="0" w:right="0" w:firstLine="0"/>
                      <w:jc w:val="left"/>
                      <w:rPr>
                        <w:sz w:val="20"/>
                      </w:rPr>
                    </w:pPr>
                    <w:r>
                      <w:rPr>
                        <w:sz w:val="20"/>
                      </w:rPr>
                      <w:t>Emerging markets</w:t>
                    </w:r>
                  </w:p>
                </w:txbxContent>
              </v:textbox>
              <w10:wrap type="none"/>
            </v:shape>
            <v:shape style="position:absolute;left:5713;top:481;width:4686;height:264" type="#_x0000_t202" filled="false" stroked="true" strokeweight=".47998pt" strokecolor="#000000">
              <v:textbox inset="0,0,0,0">
                <w:txbxContent>
                  <w:p>
                    <w:pPr>
                      <w:spacing w:before="0"/>
                      <w:ind w:left="463" w:right="0" w:firstLine="0"/>
                      <w:jc w:val="left"/>
                      <w:rPr>
                        <w:sz w:val="22"/>
                      </w:rPr>
                    </w:pPr>
                    <w:r>
                      <w:rPr>
                        <w:sz w:val="22"/>
                      </w:rPr>
                      <w:t>b. GDP growth</w:t>
                    </w:r>
                  </w:p>
                </w:txbxContent>
              </v:textbox>
              <v:stroke dashstyle="solid"/>
              <w10:wrap type="none"/>
            </v:shape>
            <v:shape style="position:absolute;left:1024;top:481;width:4689;height:264" type="#_x0000_t202" filled="false" stroked="true" strokeweight=".47998pt" strokecolor="#000000">
              <v:textbox inset="0,0,0,0">
                <w:txbxContent>
                  <w:p>
                    <w:pPr>
                      <w:spacing w:before="0"/>
                      <w:ind w:left="463" w:right="0" w:firstLine="0"/>
                      <w:jc w:val="left"/>
                      <w:rPr>
                        <w:sz w:val="22"/>
                      </w:rPr>
                    </w:pPr>
                    <w:r>
                      <w:rPr>
                        <w:sz w:val="22"/>
                      </w:rPr>
                      <w:t>a. Equity returns</w:t>
                    </w:r>
                  </w:p>
                </w:txbxContent>
              </v:textbox>
              <v:stroke dashstyle="solid"/>
              <w10:wrap type="none"/>
            </v:shape>
            <w10:wrap type="none"/>
          </v:group>
        </w:pict>
      </w:r>
      <w:r>
        <w:rPr/>
        <w:pict>
          <v:shape style="position:absolute;margin-left:61.287476pt;margin-top:-73.962891pt;width:13.15pt;height:24.25pt;mso-position-horizontal-relative:page;mso-position-vertical-relative:paragraph;z-index:251822080" type="#_x0000_t202" filled="false" stroked="false">
            <v:textbox inset="0,0,0,0" style="layout-flow:vertical;mso-layout-flow-alt:bottom-to-top">
              <w:txbxContent>
                <w:p>
                  <w:pPr>
                    <w:pStyle w:val="BodyText"/>
                    <w:spacing w:before="12"/>
                    <w:ind w:left="20"/>
                  </w:pPr>
                  <w:r>
                    <w:rPr/>
                    <w:t>1980</w:t>
                  </w:r>
                </w:p>
              </w:txbxContent>
            </v:textbox>
            <w10:wrap type="none"/>
          </v:shape>
        </w:pict>
      </w:r>
      <w:r>
        <w:rPr/>
        <w:pict>
          <v:shape style="position:absolute;margin-left:86.943474pt;margin-top:-73.962891pt;width:13.15pt;height:24.25pt;mso-position-horizontal-relative:page;mso-position-vertical-relative:paragraph;z-index:251824128" type="#_x0000_t202" filled="false" stroked="false">
            <v:textbox inset="0,0,0,0" style="layout-flow:vertical;mso-layout-flow-alt:bottom-to-top">
              <w:txbxContent>
                <w:p>
                  <w:pPr>
                    <w:pStyle w:val="BodyText"/>
                    <w:spacing w:before="12"/>
                    <w:ind w:left="20"/>
                  </w:pPr>
                  <w:r>
                    <w:rPr/>
                    <w:t>1985</w:t>
                  </w:r>
                </w:p>
              </w:txbxContent>
            </v:textbox>
            <w10:wrap type="none"/>
          </v:shape>
        </w:pict>
      </w:r>
      <w:r>
        <w:rPr/>
        <w:pict>
          <v:shape style="position:absolute;margin-left:112.603477pt;margin-top:-73.962891pt;width:13.15pt;height:24.25pt;mso-position-horizontal-relative:page;mso-position-vertical-relative:paragraph;z-index:251825152" type="#_x0000_t202" filled="false" stroked="false">
            <v:textbox inset="0,0,0,0" style="layout-flow:vertical;mso-layout-flow-alt:bottom-to-top">
              <w:txbxContent>
                <w:p>
                  <w:pPr>
                    <w:pStyle w:val="BodyText"/>
                    <w:spacing w:before="12"/>
                    <w:ind w:left="20"/>
                  </w:pPr>
                  <w:r>
                    <w:rPr/>
                    <w:t>1990</w:t>
                  </w:r>
                </w:p>
              </w:txbxContent>
            </v:textbox>
            <w10:wrap type="none"/>
          </v:shape>
        </w:pict>
      </w:r>
      <w:r>
        <w:rPr/>
        <w:pict>
          <v:shape style="position:absolute;margin-left:138.233475pt;margin-top:-73.962891pt;width:13.15pt;height:24.25pt;mso-position-horizontal-relative:page;mso-position-vertical-relative:paragraph;z-index:251827200" type="#_x0000_t202" filled="false" stroked="false">
            <v:textbox inset="0,0,0,0" style="layout-flow:vertical;mso-layout-flow-alt:bottom-to-top">
              <w:txbxContent>
                <w:p>
                  <w:pPr>
                    <w:pStyle w:val="BodyText"/>
                    <w:spacing w:before="12"/>
                    <w:ind w:left="20"/>
                  </w:pPr>
                  <w:r>
                    <w:rPr/>
                    <w:t>1995</w:t>
                  </w:r>
                </w:p>
              </w:txbxContent>
            </v:textbox>
            <w10:wrap type="none"/>
          </v:shape>
        </w:pict>
      </w:r>
      <w:r>
        <w:rPr/>
        <w:pict>
          <v:shape style="position:absolute;margin-left:163.883484pt;margin-top:-73.962891pt;width:13.15pt;height:24.25pt;mso-position-horizontal-relative:page;mso-position-vertical-relative:paragraph;z-index:251829248" type="#_x0000_t202" filled="false" stroked="false">
            <v:textbox inset="0,0,0,0" style="layout-flow:vertical;mso-layout-flow-alt:bottom-to-top">
              <w:txbxContent>
                <w:p>
                  <w:pPr>
                    <w:pStyle w:val="BodyText"/>
                    <w:spacing w:before="12"/>
                    <w:ind w:left="20"/>
                  </w:pPr>
                  <w:r>
                    <w:rPr/>
                    <w:t>2000</w:t>
                  </w:r>
                </w:p>
              </w:txbxContent>
            </v:textbox>
            <w10:wrap type="none"/>
          </v:shape>
        </w:pict>
      </w:r>
      <w:r>
        <w:rPr/>
        <w:pict>
          <v:shape style="position:absolute;margin-left:189.543472pt;margin-top:-73.962891pt;width:13.15pt;height:24.25pt;mso-position-horizontal-relative:page;mso-position-vertical-relative:paragraph;z-index:251831296" type="#_x0000_t202" filled="false" stroked="false">
            <v:textbox inset="0,0,0,0" style="layout-flow:vertical;mso-layout-flow-alt:bottom-to-top">
              <w:txbxContent>
                <w:p>
                  <w:pPr>
                    <w:pStyle w:val="BodyText"/>
                    <w:spacing w:before="12"/>
                    <w:ind w:left="20"/>
                  </w:pPr>
                  <w:r>
                    <w:rPr/>
                    <w:t>2005</w:t>
                  </w:r>
                </w:p>
              </w:txbxContent>
            </v:textbox>
            <w10:wrap type="none"/>
          </v:shape>
        </w:pict>
      </w:r>
      <w:r>
        <w:rPr/>
        <w:pict>
          <v:shape style="position:absolute;margin-left:215.173477pt;margin-top:-73.962891pt;width:13.15pt;height:24.25pt;mso-position-horizontal-relative:page;mso-position-vertical-relative:paragraph;z-index:251833344" type="#_x0000_t202" filled="false" stroked="false">
            <v:textbox inset="0,0,0,0" style="layout-flow:vertical;mso-layout-flow-alt:bottom-to-top">
              <w:txbxContent>
                <w:p>
                  <w:pPr>
                    <w:pStyle w:val="BodyText"/>
                    <w:spacing w:before="12"/>
                    <w:ind w:left="20"/>
                  </w:pPr>
                  <w:r>
                    <w:rPr/>
                    <w:t>2010</w:t>
                  </w:r>
                </w:p>
              </w:txbxContent>
            </v:textbox>
            <w10:wrap type="none"/>
          </v:shape>
        </w:pict>
      </w:r>
      <w:r>
        <w:rPr/>
        <w:pict>
          <v:shape style="position:absolute;margin-left:240.811752pt;margin-top:-73.966515pt;width:13.2pt;height:24.25pt;mso-position-horizontal-relative:page;mso-position-vertical-relative:paragraph;z-index:251835392" type="#_x0000_t202" filled="false" stroked="false">
            <v:textbox inset="0,0,0,0" style="layout-flow:vertical;mso-layout-flow-alt:bottom-to-top">
              <w:txbxContent>
                <w:p>
                  <w:pPr>
                    <w:pStyle w:val="BodyText"/>
                    <w:spacing w:before="13"/>
                    <w:ind w:left="20"/>
                  </w:pPr>
                  <w:r>
                    <w:rPr/>
                    <w:t>2015</w:t>
                  </w:r>
                </w:p>
              </w:txbxContent>
            </v:textbox>
            <w10:wrap type="none"/>
          </v:shape>
        </w:pict>
      </w:r>
      <w:r>
        <w:rPr/>
        <w:pict>
          <v:shape style="position:absolute;margin-left:294.063477pt;margin-top:-73.60289pt;width:183.75pt;height:24.25pt;mso-position-horizontal-relative:page;mso-position-vertical-relative:paragraph;z-index:251837440" type="#_x0000_t202" filled="false" stroked="false">
            <v:textbox inset="0,0,0,0" style="layout-flow:vertical;mso-layout-flow-alt:bottom-to-top">
              <w:txbxContent>
                <w:p>
                  <w:pPr>
                    <w:pStyle w:val="BodyText"/>
                    <w:spacing w:before="12"/>
                    <w:ind w:left="20"/>
                  </w:pPr>
                  <w:r>
                    <w:rPr/>
                    <w:t>1985</w:t>
                  </w:r>
                </w:p>
                <w:p>
                  <w:pPr>
                    <w:pStyle w:val="BodyText"/>
                    <w:spacing w:before="112"/>
                    <w:ind w:left="20"/>
                  </w:pPr>
                  <w:r>
                    <w:rPr/>
                    <w:t>1988</w:t>
                  </w:r>
                </w:p>
                <w:p>
                  <w:pPr>
                    <w:pStyle w:val="BodyText"/>
                    <w:spacing w:before="111"/>
                    <w:ind w:left="20"/>
                  </w:pPr>
                  <w:r>
                    <w:rPr/>
                    <w:t>1991</w:t>
                  </w:r>
                </w:p>
                <w:p>
                  <w:pPr>
                    <w:pStyle w:val="BodyText"/>
                    <w:spacing w:before="111"/>
                    <w:ind w:left="20"/>
                  </w:pPr>
                  <w:r>
                    <w:rPr/>
                    <w:t>1994</w:t>
                  </w:r>
                </w:p>
                <w:p>
                  <w:pPr>
                    <w:pStyle w:val="BodyText"/>
                    <w:spacing w:before="112"/>
                    <w:ind w:left="20"/>
                  </w:pPr>
                  <w:r>
                    <w:rPr/>
                    <w:t>1997</w:t>
                  </w:r>
                </w:p>
                <w:p>
                  <w:pPr>
                    <w:pStyle w:val="BodyText"/>
                    <w:spacing w:before="111"/>
                    <w:ind w:left="20"/>
                  </w:pPr>
                  <w:r>
                    <w:rPr/>
                    <w:t>2000</w:t>
                  </w:r>
                </w:p>
                <w:p>
                  <w:pPr>
                    <w:pStyle w:val="BodyText"/>
                    <w:spacing w:before="111"/>
                    <w:ind w:left="20"/>
                  </w:pPr>
                  <w:r>
                    <w:rPr/>
                    <w:t>2003</w:t>
                  </w:r>
                </w:p>
                <w:p>
                  <w:pPr>
                    <w:pStyle w:val="BodyText"/>
                    <w:spacing w:before="111"/>
                    <w:ind w:left="20"/>
                  </w:pPr>
                  <w:r>
                    <w:rPr/>
                    <w:t>2006</w:t>
                  </w:r>
                </w:p>
                <w:p>
                  <w:pPr>
                    <w:pStyle w:val="BodyText"/>
                    <w:spacing w:before="111"/>
                    <w:ind w:left="20"/>
                  </w:pPr>
                  <w:r>
                    <w:rPr/>
                    <w:t>2009</w:t>
                  </w:r>
                </w:p>
                <w:p>
                  <w:pPr>
                    <w:pStyle w:val="BodyText"/>
                    <w:spacing w:before="112"/>
                    <w:ind w:left="20"/>
                  </w:pPr>
                  <w:r>
                    <w:rPr/>
                    <w:t>2012</w:t>
                  </w:r>
                </w:p>
                <w:p>
                  <w:pPr>
                    <w:pStyle w:val="BodyText"/>
                    <w:spacing w:before="110"/>
                    <w:ind w:left="20"/>
                  </w:pPr>
                  <w:r>
                    <w:rPr/>
                    <w:t>2015</w:t>
                  </w:r>
                </w:p>
              </w:txbxContent>
            </v:textbox>
            <w10:wrap type="none"/>
          </v:shape>
        </w:pict>
      </w:r>
      <w:r>
        <w:rPr>
          <w:b/>
          <w:sz w:val="22"/>
        </w:rPr>
        <w:t>Figure 8. Five-year rolling standard deviations of equity returns and GDP growth rates</w:t>
      </w:r>
    </w:p>
    <w:p>
      <w:pPr>
        <w:spacing w:after="0"/>
        <w:jc w:val="left"/>
        <w:rPr>
          <w:sz w:val="22"/>
        </w:rPr>
        <w:sectPr>
          <w:pgSz w:w="11910" w:h="16840"/>
          <w:pgMar w:header="0" w:footer="1676" w:top="1580" w:bottom="1860" w:left="880" w:right="0"/>
        </w:sectPr>
      </w:pPr>
    </w:p>
    <w:p>
      <w:pPr>
        <w:pStyle w:val="BodyText"/>
        <w:spacing w:before="9"/>
        <w:rPr>
          <w:b/>
          <w:sz w:val="22"/>
        </w:rPr>
      </w:pPr>
    </w:p>
    <w:p>
      <w:pPr>
        <w:spacing w:before="93"/>
        <w:ind w:left="253" w:right="0" w:firstLine="0"/>
        <w:jc w:val="left"/>
        <w:rPr>
          <w:b/>
          <w:sz w:val="22"/>
        </w:rPr>
      </w:pPr>
      <w:r>
        <w:rPr>
          <w:b/>
          <w:sz w:val="22"/>
        </w:rPr>
        <w:t>Figure 9. Share of variance explained by set of principal components</w:t>
      </w:r>
    </w:p>
    <w:p>
      <w:pPr>
        <w:pStyle w:val="Heading2"/>
        <w:numPr>
          <w:ilvl w:val="1"/>
          <w:numId w:val="3"/>
        </w:numPr>
        <w:tabs>
          <w:tab w:pos="967" w:val="left" w:leader="none"/>
          <w:tab w:pos="5258" w:val="left" w:leader="none"/>
        </w:tabs>
        <w:spacing w:line="240" w:lineRule="auto" w:before="141" w:after="0"/>
        <w:ind w:left="966" w:right="0" w:hanging="357"/>
        <w:jc w:val="left"/>
      </w:pPr>
      <w:r>
        <w:rPr/>
        <w:pict>
          <v:group style="position:absolute;margin-left:51pt;margin-top:6.567842pt;width:475.45pt;height:337.95pt;mso-position-horizontal-relative:page;mso-position-vertical-relative:paragraph;z-index:-255293440" coordorigin="1020,131" coordsize="9509,6759">
            <v:line style="position:absolute" from="1030,136" to="5668,136" stroked="true" strokeweight=".48pt" strokecolor="#000000">
              <v:stroke dashstyle="solid"/>
            </v:line>
            <v:line style="position:absolute" from="5677,136" to="10519,136" stroked="true" strokeweight=".48pt" strokecolor="#000000">
              <v:stroke dashstyle="solid"/>
            </v:line>
            <v:line style="position:absolute" from="1030,439" to="5668,439" stroked="true" strokeweight=".48pt" strokecolor="#000000">
              <v:stroke dashstyle="solid"/>
            </v:line>
            <v:line style="position:absolute" from="5677,439" to="10519,439" stroked="true" strokeweight=".48pt" strokecolor="#000000">
              <v:stroke dashstyle="solid"/>
            </v:line>
            <v:line style="position:absolute" from="1025,131" to="1025,6890" stroked="true" strokeweight=".48pt" strokecolor="#000000">
              <v:stroke dashstyle="solid"/>
            </v:line>
            <v:line style="position:absolute" from="1030,6886" to="5668,6886" stroked="true" strokeweight=".47998pt" strokecolor="#000000">
              <v:stroke dashstyle="solid"/>
            </v:line>
            <v:line style="position:absolute" from="5673,131" to="5673,6890" stroked="true" strokeweight=".48001pt" strokecolor="#000000">
              <v:stroke dashstyle="solid"/>
            </v:line>
            <v:line style="position:absolute" from="5677,6886" to="10519,6886" stroked="true" strokeweight=".47998pt" strokecolor="#000000">
              <v:stroke dashstyle="solid"/>
            </v:line>
            <v:line style="position:absolute" from="10524,131" to="10524,6890" stroked="true" strokeweight=".47998pt" strokecolor="#000000">
              <v:stroke dashstyle="solid"/>
            </v:line>
            <v:shape style="position:absolute;left:1329;top:1328;width:3651;height:2578" coordorigin="1330,1329" coordsize="3651,2578" path="m4920,3846l4920,1329m4920,3846l4980,3846m4920,3342l4980,3342m4920,2838l4980,2838m4920,2334l4980,2334m4920,1830l4980,1830m4920,1329l4980,1329m1330,3846l4920,3846m1330,3846l1330,3906m1678,3846l1678,3906m2023,3846l2023,3906m2371,3846l2371,3906m2719,3846l2719,3906m3067,3846l3067,3906m3415,3846l3415,3906m3761,3846l3761,3906m4109,3846l4109,3906m4457,3846l4457,3906m4805,3846l4805,3906e" filled="false" stroked="true" strokeweight=".72pt" strokecolor="#858585">
              <v:path arrowok="t"/>
              <v:stroke dashstyle="solid"/>
            </v:shape>
            <v:shape style="position:absolute;left:1315;top:1549;width:3620;height:1733" type="#_x0000_t75" stroked="false">
              <v:imagedata r:id="rId55" o:title=""/>
            </v:shape>
            <v:line style="position:absolute" from="1531,688" to="1915,688" stroked="true" strokeweight="1.44pt" strokecolor="#000000">
              <v:stroke dashstyle="solid"/>
            </v:line>
            <v:line style="position:absolute" from="1531,947" to="1915,947" stroked="true" strokeweight="1.44pt" strokecolor="#00af50">
              <v:stroke dashstyle="solid"/>
            </v:line>
            <v:line style="position:absolute" from="1531,1206" to="1915,1206" stroked="true" strokeweight="1.44pt" strokecolor="#ff0000">
              <v:stroke dashstyle="solid"/>
            </v:line>
            <v:line style="position:absolute" from="1531,1465" to="1915,1465" stroked="true" strokeweight="1.44pt" strokecolor="#ffc000">
              <v:stroke dashstyle="solid"/>
            </v:line>
            <v:shape style="position:absolute;left:5990;top:1328;width:3927;height:2578" coordorigin="5990,1329" coordsize="3927,2578" path="m9857,3846l9857,1329m9857,3846l9917,3846m9857,3126l9917,3126m9857,2406l9917,2406m9857,1686l9917,1686m5990,3846l9857,3846m5990,3846l5990,3906m6362,3846l6362,3906m6732,3846l6732,3906m7104,3846l7104,3906m7476,3846l7476,3906m7846,3846l7846,3906m8218,3846l8218,3906m8587,3846l8587,3906m8959,3846l8959,3906m9331,3846l9331,3906m9701,3846l9701,3906e" filled="false" stroked="true" strokeweight=".72pt" strokecolor="#858585">
              <v:path arrowok="t"/>
              <v:stroke dashstyle="solid"/>
            </v:shape>
            <v:shape style="position:absolute;left:5990;top:1818;width:3867;height:1174" coordorigin="5990,1818" coordsize="3867,1174" path="m5990,2769l6022,2807,6053,2898,6084,2860,6115,2932,6144,2939,6175,2920,6206,2937,6238,2963,6269,2982,6300,2941,6331,2982,6362,2958,6394,2992,6422,2963,6454,2886,6485,2857,6516,2843,6547,2841,6578,2862,6610,2901,6641,2879,6670,2860,6701,2785,6732,2824,6763,2795,6794,2783,6826,2745,6857,2728,6888,2682,6919,2709,6950,2723,6982,2675,7010,2670,7042,2605,7073,2639,7104,2644,7135,2649,7166,2661,7198,2668,7229,2656,7258,2668,7289,2610,7320,2579,7351,2596,7382,2699,7414,2709,7445,2737,7476,2706,7505,2704,7536,2721,7567,2718,7598,2668,7630,2670,7661,2675,7692,2682,7723,2673,7752,2651,7783,2689,7814,2670,7846,2629,7877,2663,7908,2632,7939,2639,7970,2682,8002,2687,8030,2673,8062,2632,8093,2603,8124,2586,8155,2572,8186,2533,8218,2536,8249,2519,8278,2505,8309,2555,8340,2569,8371,2557,8402,2533,8434,2524,8465,2593,8496,2673,8527,2704,8558,2706,8590,2694,8618,2694,8650,2673,8681,2718,8712,2716,8743,2701,8774,2721,8806,2694,8837,2747,8866,2766,8897,2589,8928,2459,8959,2010,8990,1818,9022,1859,9053,1869,9084,1900,9113,1893,9144,1909,9175,1897,9206,1926,9238,1972,9269,1974,9300,2010,9331,2049,9362,2082,9391,2094,9422,2094,9454,2063,9485,2025,9516,2046,9547,2056,9578,2188,9610,2613,9638,2670,9670,2610,9701,2596,9732,2639,9763,2670,9794,2639,9826,2692,9857,2740e" filled="false" stroked="true" strokeweight="1.68pt" strokecolor="#000000">
              <v:path arrowok="t"/>
              <v:stroke dashstyle="solid"/>
            </v:shape>
            <v:shape style="position:absolute;left:5990;top:1921;width:3867;height:1685" coordorigin="5990,1921" coordsize="3867,1685" path="m5990,3448l6022,3491,6053,3505,6084,3558,6115,3558,6144,3606,6175,3429,6206,3462,6238,3462,6269,3501,6300,3486,6331,3532,6362,3496,6394,3537,6422,3546,6454,3462,6485,3397,6516,3316,6547,3429,6578,3395,6610,3419,6641,3469,6670,3395,6701,3325,6732,3340,6763,3270,6794,3268,6826,3167,6857,3220,6888,3210,6919,3189,6950,3119,6982,3069,7010,2865,7042,2877,7073,2917,7104,2975,7135,3042,7166,3018,7198,3001,7229,2949,7258,3006,7289,2932,7320,2865,7351,2946,7382,2869,7414,2843,7445,2788,7476,2742,7505,2745,7536,2886,7567,2977,7598,3081,7630,3505,7661,3592,7692,3587,7723,3589,7752,3467,7783,3453,7814,3376,7846,3246,7877,3225,7908,3193,7939,3256,7970,3277,8002,3376,8030,3203,8062,3114,8093,3011,8124,3025,8155,3033,8186,2939,8218,2951,8249,2807,8278,2802,8309,2836,8340,2836,8371,2874,8402,2843,8434,2896,8465,2987,8496,3157,8527,3196,8558,3261,8590,3297,8618,3193,8650,3150,8681,3186,8712,3100,8743,3064,8774,3102,8806,3157,8837,3256,8866,3321,8897,3081,8928,2800,8959,2173,8990,1921,9022,1984,9053,2025,9084,2034,9113,2061,9144,2097,9175,2097,9206,2116,9238,2183,9269,2183,9300,2176,9331,2197,9362,2245,9391,2233,9422,2226,9454,2190,9485,2157,9516,2147,9547,2205,9578,2365,9610,2713,9638,2706,9670,2603,9701,2579,9732,2553,9763,2733,9794,2718,9826,2737,9857,2869e" filled="false" stroked="true" strokeweight="1.68pt" strokecolor="#00af50">
              <v:path arrowok="t"/>
              <v:stroke dashstyle="solid"/>
            </v:shape>
            <v:shape style="position:absolute;left:5990;top:1705;width:3867;height:831" coordorigin="5990,1705" coordsize="3867,831" path="m5990,2236l6022,2301,6053,2346,6084,2346,6115,2368,6144,2490,6175,2399,6206,2382,6238,2442,6269,2440,6300,2478,6331,2497,6362,2536,6394,2531,6422,2471,6454,2428,6485,2435,6516,2452,6547,2476,6578,2495,6610,2500,6641,2440,6670,2365,6701,2358,6732,2269,6763,2197,6794,2219,6826,2195,6857,2128,6888,2106,6919,2116,6950,2209,6982,2236,7010,2224,7042,2159,7073,2075,7104,2094,7135,2053,7166,2200,7198,2140,7229,2116,7258,2190,7289,2152,7320,2118,7351,2133,7382,2195,7414,2262,7445,2298,7476,2279,7505,2305,7536,2248,7567,2334,7598,2185,7630,2128,7661,2089,7692,2135,7723,2171,7752,2217,7783,2272,7814,2291,7846,2262,7877,2303,7908,2281,7939,2260,7970,2229,8002,2200,8030,2217,8062,2173,8093,2226,8124,2209,8155,2164,8186,2137,8218,2164,8249,2212,8278,2212,8309,2238,8340,2217,8371,2289,8402,2257,8434,2250,8465,2233,8496,2253,8527,2207,8558,2149,8590,2200,8618,2236,8650,2221,8681,2171,8712,2200,8743,2185,8774,2173,8806,2183,8837,2226,8866,2197,8897,2085,8928,2017,8959,1705,8990,1717,9022,1761,9053,1758,9084,1804,9113,1809,9144,1799,9175,1780,9206,1801,9238,1828,9269,1833,9300,1888,9331,1936,9362,1953,9391,1953,9422,1957,9454,1933,9485,1888,9516,1907,9547,1893,9578,2008,9610,2325,9638,2373,9670,2325,9701,2277,9732,2368,9763,2375,9794,2375,9826,2430,9857,2529e" filled="false" stroked="true" strokeweight="1.68pt" strokecolor="#ff0000">
              <v:path arrowok="t"/>
              <v:stroke dashstyle="solid"/>
            </v:shape>
            <v:shape style="position:absolute;left:5990;top:1503;width:3867;height:773" coordorigin="5990,1504" coordsize="3867,773" path="m5990,2154l6022,2277,6053,2245,6084,2267,6115,2238,6144,2166,6175,2209,6206,2233,6238,2241,6269,2233,6300,2190,6331,2142,6362,1972,6394,1869,6422,1929,6454,1821,6485,1835,6516,1897,6547,1941,6578,1948,6610,2010,6641,2087,6670,2125,6701,2075,6732,2005,6763,2106,6794,2034,6826,2176,6857,2123,6888,2200,6919,2166,6950,2094,6982,2032,7010,2032,7042,2133,7073,2068,7104,2034,7135,2008,7166,2027,7198,2133,7229,2173,7258,2135,7289,2159,7320,2010,7351,2013,7382,2029,7414,2020,7445,2053,7476,2027,7505,2037,7536,2039,7567,1833,7598,1761,7630,1801,7661,1818,7692,1857,7723,1897,7752,1816,7783,1792,7814,1809,7846,1804,7877,1809,7908,1830,7939,1835,7970,1823,8002,1840,8030,1866,8062,1871,8093,1885,8124,1883,8155,1881,8186,1876,8218,1888,8249,1765,8278,1821,8309,1969,8340,1960,8371,2075,8402,1917,8434,2046,8465,2101,8496,2190,8527,2097,8558,2140,8590,2135,8618,2185,8650,2231,8681,2224,8712,2238,8743,2200,8774,2157,8806,2128,8837,2121,8866,2135,8897,2140,8928,2063,8959,1679,8990,1504,9022,1650,9053,1657,9084,1633,9113,1559,9144,1557,9175,1564,9206,1554,9238,1557,9269,1602,9300,1600,9331,1648,9362,1638,9391,1645,9422,1638,9454,1626,9485,1605,9516,1636,9547,1643,9578,1710,9610,2116,9638,2094,9670,2195,9701,2248,9732,2080,9763,1981,9794,1917,9826,1907,9857,2005e" filled="false" stroked="true" strokeweight="1.68pt" strokecolor="#ffc000">
              <v:path arrowok="t"/>
              <v:stroke dashstyle="solid"/>
            </v:shape>
            <v:line style="position:absolute" from="6185,695" to="6569,695" stroked="true" strokeweight="1.68pt" strokecolor="#000000">
              <v:stroke dashstyle="solid"/>
            </v:line>
            <v:line style="position:absolute" from="6185,971" to="6569,971" stroked="true" strokeweight="1.68pt" strokecolor="#00af50">
              <v:stroke dashstyle="solid"/>
            </v:line>
            <v:line style="position:absolute" from="6185,1247" to="6569,1247" stroked="true" strokeweight="1.68pt" strokecolor="#ff0000">
              <v:stroke dashstyle="solid"/>
            </v:line>
            <w10:wrap type="none"/>
          </v:group>
        </w:pict>
      </w:r>
      <w:r>
        <w:rPr/>
        <w:t>Equity</w:t>
      </w:r>
      <w:r>
        <w:rPr>
          <w:spacing w:val="-3"/>
        </w:rPr>
        <w:t> </w:t>
      </w:r>
      <w:r>
        <w:rPr/>
        <w:t>returns</w:t>
        <w:tab/>
        <w:t>b. GDP</w:t>
      </w:r>
      <w:r>
        <w:rPr>
          <w:spacing w:val="-14"/>
        </w:rPr>
        <w:t> </w:t>
      </w:r>
      <w:r>
        <w:rPr/>
        <w:t>growth</w:t>
      </w:r>
    </w:p>
    <w:p>
      <w:pPr>
        <w:spacing w:after="0" w:line="240" w:lineRule="auto"/>
        <w:jc w:val="left"/>
        <w:sectPr>
          <w:pgSz w:w="11910" w:h="16840"/>
          <w:pgMar w:header="0" w:footer="1676" w:top="1580" w:bottom="1860" w:left="880" w:right="0"/>
        </w:sectPr>
      </w:pPr>
    </w:p>
    <w:p>
      <w:pPr>
        <w:pStyle w:val="BodyText"/>
        <w:spacing w:line="271" w:lineRule="auto" w:before="169"/>
        <w:ind w:left="1077" w:right="619"/>
      </w:pPr>
      <w:r>
        <w:rPr/>
        <w:t>Full sample EA</w:t>
      </w:r>
    </w:p>
    <w:p>
      <w:pPr>
        <w:pStyle w:val="BodyText"/>
        <w:spacing w:line="271" w:lineRule="auto"/>
        <w:ind w:left="1077" w:right="19"/>
      </w:pPr>
      <w:r>
        <w:rPr/>
        <w:t>Other advanced Emerging markets</w:t>
      </w:r>
    </w:p>
    <w:p>
      <w:pPr>
        <w:pStyle w:val="BodyText"/>
        <w:rPr>
          <w:sz w:val="22"/>
        </w:rPr>
      </w:pPr>
      <w:r>
        <w:rPr/>
        <w:br w:type="column"/>
      </w:r>
      <w:r>
        <w:rPr>
          <w:sz w:val="22"/>
        </w:rPr>
      </w:r>
    </w:p>
    <w:p>
      <w:pPr>
        <w:pStyle w:val="BodyText"/>
        <w:rPr>
          <w:sz w:val="22"/>
        </w:rPr>
      </w:pPr>
    </w:p>
    <w:p>
      <w:pPr>
        <w:pStyle w:val="BodyText"/>
        <w:spacing w:before="3"/>
        <w:rPr>
          <w:sz w:val="26"/>
        </w:rPr>
      </w:pPr>
    </w:p>
    <w:p>
      <w:pPr>
        <w:pStyle w:val="BodyText"/>
        <w:ind w:left="1077"/>
      </w:pPr>
      <w:r>
        <w:rPr>
          <w:w w:val="99"/>
        </w:rPr>
        <w:t>1</w:t>
      </w:r>
    </w:p>
    <w:p>
      <w:pPr>
        <w:pStyle w:val="BodyText"/>
        <w:spacing w:before="9"/>
        <w:rPr>
          <w:sz w:val="23"/>
        </w:rPr>
      </w:pPr>
    </w:p>
    <w:p>
      <w:pPr>
        <w:pStyle w:val="BodyText"/>
        <w:spacing w:before="1"/>
        <w:ind w:left="1077"/>
      </w:pPr>
      <w:r>
        <w:rPr/>
        <w:t>0.8</w:t>
      </w:r>
    </w:p>
    <w:p>
      <w:pPr>
        <w:pStyle w:val="BodyText"/>
        <w:spacing w:before="8"/>
        <w:rPr>
          <w:sz w:val="23"/>
        </w:rPr>
      </w:pPr>
    </w:p>
    <w:p>
      <w:pPr>
        <w:pStyle w:val="BodyText"/>
        <w:spacing w:before="1"/>
        <w:ind w:left="1077"/>
      </w:pPr>
      <w:r>
        <w:rPr/>
        <w:t>0.6</w:t>
      </w:r>
    </w:p>
    <w:p>
      <w:pPr>
        <w:pStyle w:val="BodyText"/>
        <w:spacing w:before="9"/>
        <w:rPr>
          <w:sz w:val="23"/>
        </w:rPr>
      </w:pPr>
    </w:p>
    <w:p>
      <w:pPr>
        <w:pStyle w:val="BodyText"/>
        <w:ind w:left="1077"/>
      </w:pPr>
      <w:r>
        <w:rPr/>
        <w:t>0.4</w:t>
      </w:r>
    </w:p>
    <w:p>
      <w:pPr>
        <w:pStyle w:val="BodyText"/>
        <w:spacing w:before="9"/>
        <w:rPr>
          <w:sz w:val="23"/>
        </w:rPr>
      </w:pPr>
    </w:p>
    <w:p>
      <w:pPr>
        <w:pStyle w:val="BodyText"/>
        <w:ind w:left="1077"/>
      </w:pPr>
      <w:r>
        <w:rPr/>
        <w:t>0.2</w:t>
      </w:r>
    </w:p>
    <w:p>
      <w:pPr>
        <w:pStyle w:val="BodyText"/>
        <w:spacing w:line="288" w:lineRule="auto" w:before="177"/>
        <w:ind w:left="1198" w:right="236"/>
      </w:pPr>
      <w:r>
        <w:rPr/>
        <w:br w:type="column"/>
      </w:r>
      <w:r>
        <w:rPr/>
        <w:t>Full sample Euro area Other</w:t>
      </w:r>
      <w:r>
        <w:rPr>
          <w:spacing w:val="-14"/>
        </w:rPr>
        <w:t> </w:t>
      </w:r>
      <w:r>
        <w:rPr/>
        <w:t>advanced</w:t>
      </w:r>
    </w:p>
    <w:p>
      <w:pPr>
        <w:pStyle w:val="BodyText"/>
        <w:tabs>
          <w:tab w:pos="1198" w:val="left" w:leader="none"/>
        </w:tabs>
        <w:spacing w:line="229" w:lineRule="exact"/>
        <w:ind w:left="772"/>
      </w:pPr>
      <w:r>
        <w:rPr>
          <w:w w:val="99"/>
          <w:position w:val="6"/>
          <w:u w:val="thick" w:color="FFC000"/>
        </w:rPr>
        <w:t> </w:t>
      </w:r>
      <w:r>
        <w:rPr>
          <w:position w:val="6"/>
          <w:u w:val="thick" w:color="FFC000"/>
        </w:rPr>
        <w:tab/>
      </w:r>
      <w:r>
        <w:rPr/>
        <w:t>Emerging</w:t>
      </w:r>
      <w:r>
        <w:rPr>
          <w:spacing w:val="-3"/>
        </w:rPr>
        <w:t> </w:t>
      </w:r>
      <w:r>
        <w:rPr/>
        <w:t>markets</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spacing w:before="156"/>
        <w:ind w:left="1061" w:right="1577"/>
        <w:jc w:val="center"/>
      </w:pPr>
      <w:r>
        <w:rPr/>
        <w:t>0.9</w:t>
      </w:r>
    </w:p>
    <w:p>
      <w:pPr>
        <w:pStyle w:val="BodyText"/>
        <w:rPr>
          <w:sz w:val="22"/>
        </w:rPr>
      </w:pPr>
    </w:p>
    <w:p>
      <w:pPr>
        <w:pStyle w:val="BodyText"/>
        <w:spacing w:before="6"/>
      </w:pPr>
    </w:p>
    <w:p>
      <w:pPr>
        <w:pStyle w:val="BodyText"/>
        <w:spacing w:before="1"/>
        <w:ind w:left="1061" w:right="1577"/>
        <w:jc w:val="center"/>
      </w:pPr>
      <w:r>
        <w:rPr/>
        <w:t>0.7</w:t>
      </w:r>
    </w:p>
    <w:p>
      <w:pPr>
        <w:pStyle w:val="BodyText"/>
        <w:rPr>
          <w:sz w:val="22"/>
        </w:rPr>
      </w:pPr>
    </w:p>
    <w:p>
      <w:pPr>
        <w:pStyle w:val="BodyText"/>
        <w:spacing w:before="6"/>
      </w:pPr>
    </w:p>
    <w:p>
      <w:pPr>
        <w:pStyle w:val="BodyText"/>
        <w:ind w:left="1061" w:right="1577"/>
        <w:jc w:val="center"/>
      </w:pPr>
      <w:r>
        <w:rPr/>
        <w:t>0.5</w:t>
      </w:r>
    </w:p>
    <w:p>
      <w:pPr>
        <w:spacing w:after="0"/>
        <w:jc w:val="center"/>
        <w:sectPr>
          <w:type w:val="continuous"/>
          <w:pgSz w:w="11910" w:h="16840"/>
          <w:pgMar w:top="1180" w:bottom="1860" w:left="880" w:right="0"/>
          <w:cols w:num="4" w:equalWidth="0">
            <w:col w:w="2739" w:space="397"/>
            <w:col w:w="1357" w:space="39"/>
            <w:col w:w="2859" w:space="682"/>
            <w:col w:w="2957"/>
          </w:cols>
        </w:sectPr>
      </w:pPr>
    </w:p>
    <w:p>
      <w:pPr>
        <w:pStyle w:val="BodyText"/>
        <w:spacing w:before="8"/>
        <w:rPr>
          <w:sz w:val="15"/>
        </w:rPr>
      </w:pPr>
    </w:p>
    <w:p>
      <w:pPr>
        <w:pStyle w:val="BodyText"/>
        <w:tabs>
          <w:tab w:pos="9151" w:val="left" w:leader="none"/>
        </w:tabs>
        <w:spacing w:before="93"/>
        <w:ind w:left="4213"/>
      </w:pPr>
      <w:r>
        <w:rPr/>
        <w:pict>
          <v:shape style="position:absolute;margin-left:59.943478pt;margin-top:15.959114pt;width:186.95pt;height:24.25pt;mso-position-horizontal-relative:page;mso-position-vertical-relative:paragraph;z-index:251848704" type="#_x0000_t202" filled="false" stroked="false">
            <v:textbox inset="0,0,0,0" style="layout-flow:vertical;mso-layout-flow-alt:bottom-to-top">
              <w:txbxContent>
                <w:p>
                  <w:pPr>
                    <w:pStyle w:val="BodyText"/>
                    <w:spacing w:before="12"/>
                    <w:ind w:left="20"/>
                  </w:pPr>
                  <w:r>
                    <w:rPr/>
                    <w:t>1985</w:t>
                  </w:r>
                </w:p>
                <w:p>
                  <w:pPr>
                    <w:pStyle w:val="BodyText"/>
                    <w:spacing w:before="118"/>
                    <w:ind w:left="20"/>
                  </w:pPr>
                  <w:r>
                    <w:rPr/>
                    <w:t>1988</w:t>
                  </w:r>
                </w:p>
                <w:p>
                  <w:pPr>
                    <w:pStyle w:val="BodyText"/>
                    <w:spacing w:before="117"/>
                    <w:ind w:left="20"/>
                  </w:pPr>
                  <w:r>
                    <w:rPr/>
                    <w:t>1991</w:t>
                  </w:r>
                </w:p>
                <w:p>
                  <w:pPr>
                    <w:pStyle w:val="BodyText"/>
                    <w:spacing w:before="118"/>
                    <w:ind w:left="20"/>
                  </w:pPr>
                  <w:r>
                    <w:rPr/>
                    <w:t>1994</w:t>
                  </w:r>
                </w:p>
                <w:p>
                  <w:pPr>
                    <w:pStyle w:val="BodyText"/>
                    <w:spacing w:before="118"/>
                    <w:ind w:left="20"/>
                  </w:pPr>
                  <w:r>
                    <w:rPr/>
                    <w:t>1997</w:t>
                  </w:r>
                </w:p>
                <w:p>
                  <w:pPr>
                    <w:pStyle w:val="BodyText"/>
                    <w:spacing w:before="118"/>
                    <w:ind w:left="20"/>
                  </w:pPr>
                  <w:r>
                    <w:rPr/>
                    <w:t>2000</w:t>
                  </w:r>
                </w:p>
                <w:p>
                  <w:pPr>
                    <w:pStyle w:val="BodyText"/>
                    <w:spacing w:before="117"/>
                    <w:ind w:left="20"/>
                  </w:pPr>
                  <w:r>
                    <w:rPr/>
                    <w:t>2003</w:t>
                  </w:r>
                </w:p>
                <w:p>
                  <w:pPr>
                    <w:pStyle w:val="BodyText"/>
                    <w:spacing w:before="118"/>
                    <w:ind w:left="20"/>
                  </w:pPr>
                  <w:r>
                    <w:rPr/>
                    <w:t>2006</w:t>
                  </w:r>
                </w:p>
                <w:p>
                  <w:pPr>
                    <w:pStyle w:val="BodyText"/>
                    <w:spacing w:before="117"/>
                    <w:ind w:left="20"/>
                  </w:pPr>
                  <w:r>
                    <w:rPr/>
                    <w:t>2009</w:t>
                  </w:r>
                </w:p>
                <w:p>
                  <w:pPr>
                    <w:pStyle w:val="BodyText"/>
                    <w:spacing w:before="118"/>
                    <w:ind w:left="20"/>
                  </w:pPr>
                  <w:r>
                    <w:rPr/>
                    <w:t>2012</w:t>
                  </w:r>
                </w:p>
                <w:p>
                  <w:pPr>
                    <w:pStyle w:val="BodyText"/>
                    <w:spacing w:before="117"/>
                    <w:ind w:left="20"/>
                  </w:pPr>
                  <w:r>
                    <w:rPr/>
                    <w:t>2015</w:t>
                  </w:r>
                </w:p>
              </w:txbxContent>
            </v:textbox>
            <w10:wrap type="none"/>
          </v:shape>
        </w:pict>
      </w:r>
      <w:r>
        <w:rPr/>
        <w:pict>
          <v:shape style="position:absolute;margin-left:293.053467pt;margin-top:15.959114pt;width:198.7pt;height:24.25pt;mso-position-horizontal-relative:page;mso-position-vertical-relative:paragraph;z-index:251850752" type="#_x0000_t202" filled="false" stroked="false">
            <v:textbox inset="0,0,0,0" style="layout-flow:vertical;mso-layout-flow-alt:bottom-to-top">
              <w:txbxContent>
                <w:p>
                  <w:pPr>
                    <w:pStyle w:val="BodyText"/>
                    <w:spacing w:before="12"/>
                    <w:ind w:left="20"/>
                  </w:pPr>
                  <w:r>
                    <w:rPr/>
                    <w:t>1984</w:t>
                  </w:r>
                </w:p>
                <w:p>
                  <w:pPr>
                    <w:pStyle w:val="BodyText"/>
                    <w:spacing w:before="141"/>
                    <w:ind w:left="20"/>
                  </w:pPr>
                  <w:r>
                    <w:rPr/>
                    <w:t>1987</w:t>
                  </w:r>
                </w:p>
                <w:p>
                  <w:pPr>
                    <w:pStyle w:val="BodyText"/>
                    <w:spacing w:before="142"/>
                    <w:ind w:left="20"/>
                  </w:pPr>
                  <w:r>
                    <w:rPr/>
                    <w:t>1990</w:t>
                  </w:r>
                </w:p>
                <w:p>
                  <w:pPr>
                    <w:pStyle w:val="BodyText"/>
                    <w:spacing w:before="141"/>
                    <w:ind w:left="20"/>
                  </w:pPr>
                  <w:r>
                    <w:rPr/>
                    <w:t>1993</w:t>
                  </w:r>
                </w:p>
                <w:p>
                  <w:pPr>
                    <w:pStyle w:val="BodyText"/>
                    <w:spacing w:before="141"/>
                    <w:ind w:left="20"/>
                  </w:pPr>
                  <w:r>
                    <w:rPr/>
                    <w:t>1996</w:t>
                  </w:r>
                </w:p>
                <w:p>
                  <w:pPr>
                    <w:pStyle w:val="BodyText"/>
                    <w:spacing w:before="141"/>
                    <w:ind w:left="20"/>
                  </w:pPr>
                  <w:r>
                    <w:rPr/>
                    <w:t>1999</w:t>
                  </w:r>
                </w:p>
                <w:p>
                  <w:pPr>
                    <w:pStyle w:val="BodyText"/>
                    <w:spacing w:before="141"/>
                    <w:ind w:left="20"/>
                  </w:pPr>
                  <w:r>
                    <w:rPr/>
                    <w:t>2002</w:t>
                  </w:r>
                </w:p>
                <w:p>
                  <w:pPr>
                    <w:pStyle w:val="BodyText"/>
                    <w:spacing w:before="141"/>
                    <w:ind w:left="20"/>
                  </w:pPr>
                  <w:r>
                    <w:rPr/>
                    <w:t>2005</w:t>
                  </w:r>
                </w:p>
                <w:p>
                  <w:pPr>
                    <w:pStyle w:val="BodyText"/>
                    <w:spacing w:before="142"/>
                    <w:ind w:left="20"/>
                  </w:pPr>
                  <w:r>
                    <w:rPr/>
                    <w:t>2008</w:t>
                  </w:r>
                </w:p>
                <w:p>
                  <w:pPr>
                    <w:pStyle w:val="BodyText"/>
                    <w:spacing w:before="140"/>
                    <w:ind w:left="20"/>
                  </w:pPr>
                  <w:r>
                    <w:rPr/>
                    <w:t>2011</w:t>
                  </w:r>
                </w:p>
                <w:p>
                  <w:pPr>
                    <w:pStyle w:val="BodyText"/>
                    <w:spacing w:before="142"/>
                    <w:ind w:left="20"/>
                  </w:pPr>
                  <w:r>
                    <w:rPr/>
                    <w:t>2014</w:t>
                  </w:r>
                </w:p>
              </w:txbxContent>
            </v:textbox>
            <w10:wrap type="none"/>
          </v:shape>
        </w:pict>
      </w:r>
      <w:r>
        <w:rPr/>
        <w:t>0</w:t>
        <w:tab/>
        <w:t>0.3</w:t>
      </w:r>
    </w:p>
    <w:p>
      <w:pPr>
        <w:pStyle w:val="BodyText"/>
      </w:pPr>
    </w:p>
    <w:p>
      <w:pPr>
        <w:pStyle w:val="BodyText"/>
      </w:pPr>
    </w:p>
    <w:p>
      <w:pPr>
        <w:spacing w:after="0"/>
        <w:sectPr>
          <w:type w:val="continuous"/>
          <w:pgSz w:w="11910" w:h="16840"/>
          <w:pgMar w:top="1180" w:bottom="1860" w:left="880" w:right="0"/>
        </w:sectPr>
      </w:pPr>
    </w:p>
    <w:p>
      <w:pPr>
        <w:pStyle w:val="BodyText"/>
        <w:spacing w:before="6"/>
        <w:rPr>
          <w:sz w:val="22"/>
        </w:rPr>
      </w:pPr>
    </w:p>
    <w:p>
      <w:pPr>
        <w:spacing w:before="0"/>
        <w:ind w:left="253" w:right="0" w:firstLine="0"/>
        <w:jc w:val="left"/>
        <w:rPr>
          <w:sz w:val="16"/>
        </w:rPr>
      </w:pPr>
      <w:r>
        <w:rPr>
          <w:sz w:val="16"/>
        </w:rPr>
        <w:t>Note: The full sample includes 23 countries with weekly</w:t>
      </w:r>
      <w:r>
        <w:rPr>
          <w:spacing w:val="-22"/>
          <w:sz w:val="16"/>
        </w:rPr>
        <w:t> </w:t>
      </w:r>
      <w:r>
        <w:rPr>
          <w:sz w:val="16"/>
        </w:rPr>
        <w:t>equity market data from 1980; of these, 5 are in the euro area, 5 are emerging markets and 13 are other advanced economies. A different number of principal components is selected for each country group by using the components which have an eigenvalue greater than 1 for the full sample period 1980- 2016. As a result, the full sample line shows the share of variance explained over time by the first 3 principal components; the euro area sample - by the first component; the other advanced group - by the first two principal components; and the emerging markets group - by the first principal component</w:t>
      </w:r>
      <w:r>
        <w:rPr>
          <w:spacing w:val="-3"/>
          <w:sz w:val="16"/>
        </w:rPr>
        <w:t> </w:t>
      </w:r>
      <w:r>
        <w:rPr>
          <w:sz w:val="16"/>
        </w:rPr>
        <w:t>only.</w:t>
      </w:r>
    </w:p>
    <w:p>
      <w:pPr>
        <w:pStyle w:val="BodyText"/>
        <w:spacing w:before="6"/>
        <w:rPr>
          <w:sz w:val="22"/>
        </w:rPr>
      </w:pPr>
      <w:r>
        <w:rPr/>
        <w:br w:type="column"/>
      </w:r>
      <w:r>
        <w:rPr>
          <w:sz w:val="22"/>
        </w:rPr>
      </w:r>
    </w:p>
    <w:p>
      <w:pPr>
        <w:spacing w:before="0"/>
        <w:ind w:left="215" w:right="1573" w:firstLine="0"/>
        <w:jc w:val="left"/>
        <w:rPr>
          <w:sz w:val="16"/>
        </w:rPr>
      </w:pPr>
      <w:r>
        <w:rPr>
          <w:sz w:val="16"/>
        </w:rPr>
        <w:t>Note: The full sample includes 31 countries with quarterly GDP growth data from 1980; of these, 12 are in the euro area, 5 are emerging markets and 14 are other advanced economies. A different number of principal components is selected for each country group by using the components which have an eigenvalue greater than 1 for the full sample period 1980-2016. As a result, the full sample line shows the share of variance explained over time by the first 5 principal components; the euro area sample - by the first 2 components; the other advanced group - by the first 5 principal components; and the emerging markets group - by the first 3 principal components.</w:t>
      </w:r>
    </w:p>
    <w:p>
      <w:pPr>
        <w:spacing w:after="0"/>
        <w:jc w:val="left"/>
        <w:rPr>
          <w:sz w:val="16"/>
        </w:rPr>
        <w:sectPr>
          <w:type w:val="continuous"/>
          <w:pgSz w:w="11910" w:h="16840"/>
          <w:pgMar w:top="1180" w:bottom="1860" w:left="880" w:right="0"/>
          <w:cols w:num="2" w:equalWidth="0">
            <w:col w:w="4646" w:space="40"/>
            <w:col w:w="6344"/>
          </w:cols>
        </w:sectPr>
      </w:pPr>
    </w:p>
    <w:p>
      <w:pPr>
        <w:pStyle w:val="BodyText"/>
        <w:spacing w:before="8"/>
        <w:rPr>
          <w:sz w:val="12"/>
        </w:rPr>
      </w:pPr>
      <w:r>
        <w:rPr/>
        <w:pict>
          <v:shape style="position:absolute;margin-left:59.367477pt;margin-top:664.905579pt;width:195.5pt;height:24.25pt;mso-position-horizontal-relative:page;mso-position-vertical-relative:page;z-index:251847680" type="#_x0000_t202" filled="false" stroked="false">
            <v:textbox inset="0,0,0,0" style="layout-flow:vertical;mso-layout-flow-alt:bottom-to-top">
              <w:txbxContent>
                <w:p>
                  <w:pPr>
                    <w:pStyle w:val="BodyText"/>
                    <w:spacing w:before="12"/>
                    <w:ind w:left="20"/>
                  </w:pPr>
                  <w:r>
                    <w:rPr/>
                    <w:t>1985</w:t>
                  </w:r>
                </w:p>
                <w:p>
                  <w:pPr>
                    <w:pStyle w:val="BodyText"/>
                    <w:spacing w:before="135"/>
                    <w:ind w:left="20"/>
                  </w:pPr>
                  <w:r>
                    <w:rPr/>
                    <w:t>1988</w:t>
                  </w:r>
                </w:p>
                <w:p>
                  <w:pPr>
                    <w:pStyle w:val="BodyText"/>
                    <w:spacing w:before="135"/>
                    <w:ind w:left="20"/>
                  </w:pPr>
                  <w:r>
                    <w:rPr/>
                    <w:t>1991</w:t>
                  </w:r>
                </w:p>
                <w:p>
                  <w:pPr>
                    <w:pStyle w:val="BodyText"/>
                    <w:spacing w:before="134"/>
                    <w:ind w:left="20"/>
                  </w:pPr>
                  <w:r>
                    <w:rPr/>
                    <w:t>1994</w:t>
                  </w:r>
                </w:p>
                <w:p>
                  <w:pPr>
                    <w:pStyle w:val="BodyText"/>
                    <w:spacing w:before="136"/>
                    <w:ind w:left="20"/>
                  </w:pPr>
                  <w:r>
                    <w:rPr/>
                    <w:t>1997</w:t>
                  </w:r>
                </w:p>
                <w:p>
                  <w:pPr>
                    <w:pStyle w:val="BodyText"/>
                    <w:spacing w:before="134"/>
                    <w:ind w:left="20"/>
                  </w:pPr>
                  <w:r>
                    <w:rPr/>
                    <w:t>2000</w:t>
                  </w:r>
                </w:p>
                <w:p>
                  <w:pPr>
                    <w:pStyle w:val="BodyText"/>
                    <w:spacing w:before="135"/>
                    <w:ind w:left="20"/>
                  </w:pPr>
                  <w:r>
                    <w:rPr/>
                    <w:t>2003</w:t>
                  </w:r>
                </w:p>
                <w:p>
                  <w:pPr>
                    <w:pStyle w:val="BodyText"/>
                    <w:spacing w:before="135"/>
                    <w:ind w:left="20"/>
                  </w:pPr>
                  <w:r>
                    <w:rPr/>
                    <w:t>2006</w:t>
                  </w:r>
                </w:p>
                <w:p>
                  <w:pPr>
                    <w:pStyle w:val="BodyText"/>
                    <w:spacing w:before="135"/>
                    <w:ind w:left="20"/>
                  </w:pPr>
                  <w:r>
                    <w:rPr/>
                    <w:t>2009</w:t>
                  </w:r>
                </w:p>
                <w:p>
                  <w:pPr>
                    <w:pStyle w:val="BodyText"/>
                    <w:spacing w:before="134"/>
                    <w:ind w:left="20"/>
                  </w:pPr>
                  <w:r>
                    <w:rPr/>
                    <w:t>2012</w:t>
                  </w:r>
                </w:p>
                <w:p>
                  <w:pPr>
                    <w:pStyle w:val="BodyText"/>
                    <w:spacing w:before="135"/>
                    <w:ind w:left="20"/>
                  </w:pPr>
                  <w:r>
                    <w:rPr/>
                    <w:t>2015</w:t>
                  </w:r>
                </w:p>
              </w:txbxContent>
            </v:textbox>
            <w10:wrap type="none"/>
          </v:shape>
        </w:pict>
      </w:r>
      <w:r>
        <w:rPr/>
        <w:pict>
          <v:shape style="position:absolute;margin-left:293.753479pt;margin-top:663.175598pt;width:189.8pt;height:24.25pt;mso-position-horizontal-relative:page;mso-position-vertical-relative:page;z-index:251849728" type="#_x0000_t202" filled="false" stroked="false">
            <v:textbox inset="0,0,0,0" style="layout-flow:vertical;mso-layout-flow-alt:bottom-to-top">
              <w:txbxContent>
                <w:p>
                  <w:pPr>
                    <w:pStyle w:val="BodyText"/>
                    <w:spacing w:before="12"/>
                    <w:ind w:left="20"/>
                  </w:pPr>
                  <w:r>
                    <w:rPr/>
                    <w:t>1984</w:t>
                  </w:r>
                </w:p>
                <w:p>
                  <w:pPr>
                    <w:pStyle w:val="BodyText"/>
                    <w:spacing w:before="124"/>
                    <w:ind w:left="20"/>
                  </w:pPr>
                  <w:r>
                    <w:rPr/>
                    <w:t>1987</w:t>
                  </w:r>
                </w:p>
                <w:p>
                  <w:pPr>
                    <w:pStyle w:val="BodyText"/>
                    <w:spacing w:before="123"/>
                    <w:ind w:left="20"/>
                  </w:pPr>
                  <w:r>
                    <w:rPr/>
                    <w:t>1990</w:t>
                  </w:r>
                </w:p>
                <w:p>
                  <w:pPr>
                    <w:pStyle w:val="BodyText"/>
                    <w:spacing w:before="123"/>
                    <w:ind w:left="20"/>
                  </w:pPr>
                  <w:r>
                    <w:rPr/>
                    <w:t>1993</w:t>
                  </w:r>
                </w:p>
                <w:p>
                  <w:pPr>
                    <w:pStyle w:val="BodyText"/>
                    <w:spacing w:before="124"/>
                    <w:ind w:left="20"/>
                  </w:pPr>
                  <w:r>
                    <w:rPr/>
                    <w:t>1996</w:t>
                  </w:r>
                </w:p>
                <w:p>
                  <w:pPr>
                    <w:pStyle w:val="BodyText"/>
                    <w:spacing w:before="123"/>
                    <w:ind w:left="20"/>
                  </w:pPr>
                  <w:r>
                    <w:rPr/>
                    <w:t>1999</w:t>
                  </w:r>
                </w:p>
                <w:p>
                  <w:pPr>
                    <w:pStyle w:val="BodyText"/>
                    <w:spacing w:before="123"/>
                    <w:ind w:left="20"/>
                  </w:pPr>
                  <w:r>
                    <w:rPr/>
                    <w:t>2002</w:t>
                  </w:r>
                </w:p>
                <w:p>
                  <w:pPr>
                    <w:pStyle w:val="BodyText"/>
                    <w:spacing w:before="124"/>
                    <w:ind w:left="20"/>
                  </w:pPr>
                  <w:r>
                    <w:rPr/>
                    <w:t>2005</w:t>
                  </w:r>
                </w:p>
                <w:p>
                  <w:pPr>
                    <w:pStyle w:val="BodyText"/>
                    <w:spacing w:before="123"/>
                    <w:ind w:left="20"/>
                  </w:pPr>
                  <w:r>
                    <w:rPr/>
                    <w:t>2008</w:t>
                  </w:r>
                </w:p>
                <w:p>
                  <w:pPr>
                    <w:pStyle w:val="BodyText"/>
                    <w:spacing w:before="123"/>
                    <w:ind w:left="20"/>
                  </w:pPr>
                  <w:r>
                    <w:rPr/>
                    <w:t>2011</w:t>
                  </w:r>
                </w:p>
                <w:p>
                  <w:pPr>
                    <w:pStyle w:val="BodyText"/>
                    <w:spacing w:before="124"/>
                    <w:ind w:left="20"/>
                  </w:pPr>
                  <w:r>
                    <w:rPr/>
                    <w:t>2014</w:t>
                  </w:r>
                </w:p>
              </w:txbxContent>
            </v:textbox>
            <w10:wrap type="none"/>
          </v:shape>
        </w:pict>
      </w:r>
    </w:p>
    <w:p>
      <w:pPr>
        <w:pStyle w:val="Heading1"/>
      </w:pPr>
      <w:r>
        <w:rPr/>
        <w:pict>
          <v:group style="position:absolute;margin-left:51pt;margin-top:29.487873pt;width:485.8pt;height:237.15pt;mso-position-horizontal-relative:page;mso-position-vertical-relative:paragraph;z-index:251846656" coordorigin="1020,590" coordsize="9716,4743">
            <v:line style="position:absolute" from="1030,897" to="5677,897" stroked="true" strokeweight=".48001pt" strokecolor="#000000">
              <v:stroke dashstyle="solid"/>
            </v:line>
            <v:line style="position:absolute" from="5687,897" to="10726,897" stroked="true" strokeweight=".48001pt" strokecolor="#000000">
              <v:stroke dashstyle="solid"/>
            </v:line>
            <v:line style="position:absolute" from="1025,590" to="1025,5323" stroked="true" strokeweight=".48pt" strokecolor="#000000">
              <v:stroke dashstyle="solid"/>
            </v:line>
            <v:rect style="position:absolute;left:1020;top:5323;width:10;height:10" filled="true" fillcolor="#000000" stroked="false">
              <v:fill type="solid"/>
            </v:rect>
            <v:line style="position:absolute" from="1030,5328" to="5677,5328" stroked="true" strokeweight=".47998pt" strokecolor="#000000">
              <v:stroke dashstyle="solid"/>
            </v:line>
            <v:line style="position:absolute" from="5682,590" to="5682,5323" stroked="true" strokeweight=".47998pt" strokecolor="#000000">
              <v:stroke dashstyle="solid"/>
            </v:line>
            <v:rect style="position:absolute;left:5677;top:5323;width:10;height:10" filled="true" fillcolor="#000000" stroked="false">
              <v:fill type="solid"/>
            </v:rect>
            <v:line style="position:absolute" from="5687,5328" to="10726,5328" stroked="true" strokeweight=".47998pt" strokecolor="#000000">
              <v:stroke dashstyle="solid"/>
            </v:line>
            <v:line style="position:absolute" from="10730,590" to="10730,5323" stroked="true" strokeweight=".47998pt" strokecolor="#000000">
              <v:stroke dashstyle="solid"/>
            </v:line>
            <v:rect style="position:absolute;left:10725;top:5323;width:10;height:10" filled="true" fillcolor="#000000" stroked="false">
              <v:fill type="solid"/>
            </v:rect>
            <v:shape style="position:absolute;left:1317;top:1560;width:3828;height:2465" coordorigin="1318,1560" coordsize="3828,2465" path="m5086,3965l5086,1560m5086,3965l5146,3965m5086,3485l5146,3485m5086,3003l5146,3003m5086,2523l5146,2523m5086,2043l5146,2043m5086,1560l5146,1560m1318,3965l5086,3965m1318,3965l1318,4025m1682,3965l1682,4025m2047,3965l2047,4025m2412,3965l2412,4025m2777,3965l2777,4025m3142,3965l3142,4025m3506,3965l3506,4025m3871,3965l3871,4025m4236,3965l4236,4025m4601,3965l4601,4025m4963,3965l4963,4025e" filled="false" stroked="true" strokeweight=".72pt" strokecolor="#858585">
              <v:path arrowok="t"/>
              <v:stroke dashstyle="solid"/>
            </v:shape>
            <v:shape style="position:absolute;left:1298;top:1838;width:3807;height:1457" type="#_x0000_t75" stroked="false">
              <v:imagedata r:id="rId56" o:title=""/>
            </v:shape>
            <v:line style="position:absolute" from="1654,1306" to="2038,1306" stroked="true" strokeweight="1.92pt" strokecolor="#497dba">
              <v:stroke dashstyle="solid"/>
            </v:line>
            <v:shape style="position:absolute;left:5990;top:1529;width:3768;height:2463" coordorigin="5990,1529" coordsize="3768,2463" path="m9698,3932l9698,1529m9698,3932l9758,3932m9698,3452l9758,3452m9698,2972l9758,2972m9698,2489l9758,2489m9698,2009l9758,2009m9698,1529l9758,1529m5990,3932l9698,3932m5990,3932l5990,3992m6343,3932l6343,3992m6696,3932l6696,3992m7049,3932l7049,3992m7402,3932l7402,3992m7757,3932l7757,3992m8110,3932l8110,3992m8462,3932l8462,3992m8815,3932l8815,3992m9168,3932l9168,3992m9523,3932l9523,3992e" filled="false" stroked="true" strokeweight=".72pt" strokecolor="#858585">
              <v:path arrowok="t"/>
              <v:stroke dashstyle="solid"/>
            </v:shape>
            <v:shape style="position:absolute;left:6004;top:2025;width:3680;height:1496" coordorigin="6005,2026" coordsize="3680,1496" path="m6005,2931l6034,2948,6062,3017,6094,3032,6122,3039,6151,3060,6180,3075,6211,3077,6240,3094,6269,3113,6300,3099,6329,3123,6358,3156,6386,3156,6418,3178,6446,3173,6475,3171,6504,3200,6535,3243,6564,3243,6593,3255,6622,3257,6653,3276,6682,3252,6710,3228,6742,3161,6770,3152,6799,3142,6828,3152,6859,3168,6888,3140,6917,3128,6946,3125,6977,3106,7006,3111,7034,3135,7063,3161,7094,3204,7123,3183,7152,3164,7181,3152,7212,3180,7241,3180,7270,3200,7301,3231,7330,3286,7358,3286,7387,3296,7418,3293,7447,3293,7476,3305,7505,3324,7536,3334,7565,3293,7594,3288,7622,3279,7654,3276,7682,3269,7711,3276,7742,3269,7771,3248,7800,3248,7829,3286,7860,3281,7889,3274,7918,3262,7946,3214,7978,3178,8006,3159,8035,3152,8064,3183,8095,3173,8124,3183,8153,3257,8184,3236,8213,3221,8242,3202,8270,3226,8302,3233,8330,3269,8359,3339,8388,3411,8419,3418,8448,3425,8477,3423,8506,3401,8537,3428,8566,3471,8594,3464,8623,3449,8654,3452,8683,3464,8712,3488,8743,3509,8772,3440,8801,3279,8830,2523,8861,2026,8890,2060,8918,2067,8947,2057,8978,2038,9007,2031,9036,2062,9065,2064,9096,2100,9125,2110,9154,2117,9185,2182,9214,2240,9242,2268,9271,2292,9302,2336,9331,2340,9360,2326,9389,2326,9420,2688,9449,3334,9478,3375,9506,3384,9538,3396,9566,3418,9595,3492,9626,3502,9655,3512,9684,3521e" filled="false" stroked="true" strokeweight="1.92pt" strokecolor="#497dba">
              <v:path arrowok="t"/>
              <v:stroke dashstyle="solid"/>
            </v:shape>
            <v:line style="position:absolute" from="6197,1306" to="6581,1306" stroked="true" strokeweight="1.92pt" strokecolor="#497dba">
              <v:stroke dashstyle="solid"/>
            </v:line>
            <v:shape style="position:absolute;left:5790;top:4771;width:4822;height:547" type="#_x0000_t202" filled="false" stroked="false">
              <v:textbox inset="0,0,0,0">
                <w:txbxContent>
                  <w:p>
                    <w:pPr>
                      <w:spacing w:line="240" w:lineRule="auto" w:before="0"/>
                      <w:ind w:left="0" w:right="-1" w:firstLine="0"/>
                      <w:jc w:val="left"/>
                      <w:rPr>
                        <w:sz w:val="16"/>
                      </w:rPr>
                    </w:pPr>
                    <w:r>
                      <w:rPr>
                        <w:sz w:val="16"/>
                      </w:rPr>
                      <w:t>Note: Average is of first five principal components and the weights reflect the share of variance explained by those. See note on Figure 9 for further detail on the full country sample.</w:t>
                    </w:r>
                  </w:p>
                </w:txbxContent>
              </v:textbox>
              <w10:wrap type="none"/>
            </v:shape>
            <v:shape style="position:absolute;left:6625;top:1189;width:3548;height:2849" type="#_x0000_t202" filled="false" stroked="false">
              <v:textbox inset="0,0,0,0">
                <w:txbxContent>
                  <w:p>
                    <w:pPr>
                      <w:tabs>
                        <w:tab w:pos="3248" w:val="left" w:leader="none"/>
                      </w:tabs>
                      <w:spacing w:line="230" w:lineRule="auto" w:before="0"/>
                      <w:ind w:left="0" w:right="18" w:firstLine="0"/>
                      <w:jc w:val="left"/>
                      <w:rPr>
                        <w:sz w:val="20"/>
                      </w:rPr>
                    </w:pPr>
                    <w:r>
                      <w:rPr>
                        <w:sz w:val="20"/>
                      </w:rPr>
                      <w:t>Weighted average of rolling standard deviations of</w:t>
                    </w:r>
                    <w:r>
                      <w:rPr>
                        <w:spacing w:val="-7"/>
                        <w:sz w:val="20"/>
                      </w:rPr>
                      <w:t> </w:t>
                    </w:r>
                    <w:r>
                      <w:rPr>
                        <w:sz w:val="20"/>
                      </w:rPr>
                      <w:t>common factors</w:t>
                      <w:tab/>
                    </w:r>
                    <w:r>
                      <w:rPr>
                        <w:spacing w:val="-6"/>
                        <w:position w:val="1"/>
                        <w:sz w:val="20"/>
                      </w:rPr>
                      <w:t>5.0</w:t>
                    </w:r>
                  </w:p>
                  <w:p>
                    <w:pPr>
                      <w:spacing w:line="240" w:lineRule="auto" w:before="2"/>
                      <w:rPr>
                        <w:sz w:val="21"/>
                      </w:rPr>
                    </w:pPr>
                  </w:p>
                  <w:p>
                    <w:pPr>
                      <w:spacing w:before="1"/>
                      <w:ind w:left="0" w:right="18" w:firstLine="0"/>
                      <w:jc w:val="right"/>
                      <w:rPr>
                        <w:sz w:val="20"/>
                      </w:rPr>
                    </w:pPr>
                    <w:r>
                      <w:rPr>
                        <w:w w:val="95"/>
                        <w:sz w:val="20"/>
                      </w:rPr>
                      <w:t>4.0</w:t>
                    </w:r>
                  </w:p>
                  <w:p>
                    <w:pPr>
                      <w:spacing w:line="240" w:lineRule="auto" w:before="8"/>
                      <w:rPr>
                        <w:sz w:val="21"/>
                      </w:rPr>
                    </w:pPr>
                  </w:p>
                  <w:p>
                    <w:pPr>
                      <w:spacing w:before="1"/>
                      <w:ind w:left="0" w:right="18" w:firstLine="0"/>
                      <w:jc w:val="right"/>
                      <w:rPr>
                        <w:sz w:val="20"/>
                      </w:rPr>
                    </w:pPr>
                    <w:r>
                      <w:rPr>
                        <w:w w:val="95"/>
                        <w:sz w:val="20"/>
                      </w:rPr>
                      <w:t>3.0</w:t>
                    </w:r>
                  </w:p>
                  <w:p>
                    <w:pPr>
                      <w:spacing w:line="240" w:lineRule="auto" w:before="9"/>
                      <w:rPr>
                        <w:sz w:val="21"/>
                      </w:rPr>
                    </w:pPr>
                  </w:p>
                  <w:p>
                    <w:pPr>
                      <w:spacing w:before="0"/>
                      <w:ind w:left="0" w:right="18" w:firstLine="0"/>
                      <w:jc w:val="right"/>
                      <w:rPr>
                        <w:sz w:val="20"/>
                      </w:rPr>
                    </w:pPr>
                    <w:r>
                      <w:rPr>
                        <w:w w:val="95"/>
                        <w:sz w:val="20"/>
                      </w:rPr>
                      <w:t>2.0</w:t>
                    </w:r>
                  </w:p>
                  <w:p>
                    <w:pPr>
                      <w:spacing w:line="240" w:lineRule="auto" w:before="9"/>
                      <w:rPr>
                        <w:sz w:val="21"/>
                      </w:rPr>
                    </w:pPr>
                  </w:p>
                  <w:p>
                    <w:pPr>
                      <w:spacing w:before="0"/>
                      <w:ind w:left="0" w:right="18" w:firstLine="0"/>
                      <w:jc w:val="right"/>
                      <w:rPr>
                        <w:sz w:val="20"/>
                      </w:rPr>
                    </w:pPr>
                    <w:r>
                      <w:rPr>
                        <w:w w:val="95"/>
                        <w:sz w:val="20"/>
                      </w:rPr>
                      <w:t>1.0</w:t>
                    </w:r>
                  </w:p>
                  <w:p>
                    <w:pPr>
                      <w:spacing w:line="240" w:lineRule="auto" w:before="9"/>
                      <w:rPr>
                        <w:sz w:val="21"/>
                      </w:rPr>
                    </w:pPr>
                  </w:p>
                  <w:p>
                    <w:pPr>
                      <w:spacing w:before="0"/>
                      <w:ind w:left="0" w:right="18" w:firstLine="0"/>
                      <w:jc w:val="right"/>
                      <w:rPr>
                        <w:sz w:val="20"/>
                      </w:rPr>
                    </w:pPr>
                    <w:r>
                      <w:rPr>
                        <w:w w:val="95"/>
                        <w:sz w:val="20"/>
                      </w:rPr>
                      <w:t>0.0</w:t>
                    </w:r>
                  </w:p>
                </w:txbxContent>
              </v:textbox>
              <w10:wrap type="none"/>
            </v:shape>
            <v:shape style="position:absolute;left:1133;top:4771;width:4333;height:547" type="#_x0000_t202" filled="false" stroked="false">
              <v:textbox inset="0,0,0,0">
                <w:txbxContent>
                  <w:p>
                    <w:pPr>
                      <w:spacing w:line="240" w:lineRule="auto" w:before="0"/>
                      <w:ind w:left="0" w:right="-1" w:firstLine="0"/>
                      <w:jc w:val="left"/>
                      <w:rPr>
                        <w:sz w:val="16"/>
                      </w:rPr>
                    </w:pPr>
                    <w:r>
                      <w:rPr>
                        <w:sz w:val="16"/>
                      </w:rPr>
                      <w:t>Note: Average is of first three principal components and the weights reflect the share of variance explained by those. See note on Figure 9 for further detail on the full country sample.</w:t>
                    </w:r>
                  </w:p>
                </w:txbxContent>
              </v:textbox>
              <w10:wrap type="none"/>
            </v:shape>
            <v:shape style="position:absolute;left:2078;top:1189;width:3480;height:2883" type="#_x0000_t202" filled="false" stroked="false">
              <v:textbox inset="0,0,0,0">
                <w:txbxContent>
                  <w:p>
                    <w:pPr>
                      <w:tabs>
                        <w:tab w:pos="3180" w:val="left" w:leader="none"/>
                      </w:tabs>
                      <w:spacing w:line="240" w:lineRule="auto" w:before="0"/>
                      <w:ind w:left="0" w:right="18" w:firstLine="0"/>
                      <w:jc w:val="left"/>
                      <w:rPr>
                        <w:sz w:val="20"/>
                      </w:rPr>
                    </w:pPr>
                    <w:r>
                      <w:rPr>
                        <w:sz w:val="20"/>
                      </w:rPr>
                      <w:t>Weighted average rolling standard deviation of</w:t>
                    </w:r>
                    <w:r>
                      <w:rPr>
                        <w:spacing w:val="-5"/>
                        <w:sz w:val="20"/>
                      </w:rPr>
                      <w:t> </w:t>
                    </w:r>
                    <w:r>
                      <w:rPr>
                        <w:sz w:val="20"/>
                      </w:rPr>
                      <w:t>common</w:t>
                    </w:r>
                    <w:r>
                      <w:rPr>
                        <w:spacing w:val="-3"/>
                        <w:sz w:val="20"/>
                      </w:rPr>
                      <w:t> </w:t>
                    </w:r>
                    <w:r>
                      <w:rPr>
                        <w:sz w:val="20"/>
                      </w:rPr>
                      <w:t>factors</w:t>
                      <w:tab/>
                    </w:r>
                    <w:r>
                      <w:rPr>
                        <w:spacing w:val="-6"/>
                        <w:position w:val="-1"/>
                        <w:sz w:val="20"/>
                      </w:rPr>
                      <w:t>5.0</w:t>
                    </w:r>
                  </w:p>
                  <w:p>
                    <w:pPr>
                      <w:spacing w:line="240" w:lineRule="auto" w:before="7"/>
                      <w:rPr>
                        <w:sz w:val="21"/>
                      </w:rPr>
                    </w:pPr>
                  </w:p>
                  <w:p>
                    <w:pPr>
                      <w:spacing w:before="0"/>
                      <w:ind w:left="0" w:right="18" w:firstLine="0"/>
                      <w:jc w:val="right"/>
                      <w:rPr>
                        <w:sz w:val="20"/>
                      </w:rPr>
                    </w:pPr>
                    <w:r>
                      <w:rPr>
                        <w:w w:val="95"/>
                        <w:sz w:val="20"/>
                      </w:rPr>
                      <w:t>4.0</w:t>
                    </w:r>
                  </w:p>
                  <w:p>
                    <w:pPr>
                      <w:spacing w:line="240" w:lineRule="auto" w:before="9"/>
                      <w:rPr>
                        <w:sz w:val="21"/>
                      </w:rPr>
                    </w:pPr>
                  </w:p>
                  <w:p>
                    <w:pPr>
                      <w:spacing w:before="0"/>
                      <w:ind w:left="0" w:right="18" w:firstLine="0"/>
                      <w:jc w:val="right"/>
                      <w:rPr>
                        <w:sz w:val="20"/>
                      </w:rPr>
                    </w:pPr>
                    <w:r>
                      <w:rPr>
                        <w:w w:val="95"/>
                        <w:sz w:val="20"/>
                      </w:rPr>
                      <w:t>3.0</w:t>
                    </w:r>
                  </w:p>
                  <w:p>
                    <w:pPr>
                      <w:spacing w:line="240" w:lineRule="auto" w:before="10"/>
                      <w:rPr>
                        <w:sz w:val="21"/>
                      </w:rPr>
                    </w:pPr>
                  </w:p>
                  <w:p>
                    <w:pPr>
                      <w:spacing w:before="0"/>
                      <w:ind w:left="0" w:right="18" w:firstLine="0"/>
                      <w:jc w:val="right"/>
                      <w:rPr>
                        <w:sz w:val="20"/>
                      </w:rPr>
                    </w:pPr>
                    <w:r>
                      <w:rPr>
                        <w:w w:val="95"/>
                        <w:sz w:val="20"/>
                      </w:rPr>
                      <w:t>2.0</w:t>
                    </w:r>
                  </w:p>
                  <w:p>
                    <w:pPr>
                      <w:spacing w:line="240" w:lineRule="auto" w:before="10"/>
                      <w:rPr>
                        <w:sz w:val="21"/>
                      </w:rPr>
                    </w:pPr>
                  </w:p>
                  <w:p>
                    <w:pPr>
                      <w:spacing w:before="0"/>
                      <w:ind w:left="0" w:right="18" w:firstLine="0"/>
                      <w:jc w:val="right"/>
                      <w:rPr>
                        <w:sz w:val="20"/>
                      </w:rPr>
                    </w:pPr>
                    <w:r>
                      <w:rPr>
                        <w:w w:val="95"/>
                        <w:sz w:val="20"/>
                      </w:rPr>
                      <w:t>1.0</w:t>
                    </w:r>
                  </w:p>
                  <w:p>
                    <w:pPr>
                      <w:spacing w:line="240" w:lineRule="auto" w:before="9"/>
                      <w:rPr>
                        <w:sz w:val="21"/>
                      </w:rPr>
                    </w:pPr>
                  </w:p>
                  <w:p>
                    <w:pPr>
                      <w:spacing w:before="0"/>
                      <w:ind w:left="0" w:right="18" w:firstLine="0"/>
                      <w:jc w:val="right"/>
                      <w:rPr>
                        <w:sz w:val="20"/>
                      </w:rPr>
                    </w:pPr>
                    <w:r>
                      <w:rPr>
                        <w:w w:val="95"/>
                        <w:sz w:val="20"/>
                      </w:rPr>
                      <w:t>0.0</w:t>
                    </w:r>
                  </w:p>
                </w:txbxContent>
              </v:textbox>
              <w10:wrap type="none"/>
            </v:shape>
            <v:shape style="position:absolute;left:5682;top:594;width:5049;height:303" type="#_x0000_t202" filled="false" stroked="true" strokeweight=".47998pt" strokecolor="#000000">
              <v:textbox inset="0,0,0,0">
                <w:txbxContent>
                  <w:p>
                    <w:pPr>
                      <w:spacing w:line="251" w:lineRule="exact" w:before="0"/>
                      <w:ind w:left="460" w:right="0" w:firstLine="0"/>
                      <w:jc w:val="left"/>
                      <w:rPr>
                        <w:sz w:val="22"/>
                      </w:rPr>
                    </w:pPr>
                    <w:r>
                      <w:rPr>
                        <w:sz w:val="22"/>
                      </w:rPr>
                      <w:t>b. GDP growth</w:t>
                    </w:r>
                  </w:p>
                </w:txbxContent>
              </v:textbox>
              <v:stroke dashstyle="solid"/>
              <w10:wrap type="none"/>
            </v:shape>
            <v:shape style="position:absolute;left:1024;top:594;width:4658;height:303" type="#_x0000_t202" filled="false" stroked="true" strokeweight=".47998pt" strokecolor="#000000">
              <v:textbox inset="0,0,0,0">
                <w:txbxContent>
                  <w:p>
                    <w:pPr>
                      <w:spacing w:line="251" w:lineRule="exact" w:before="0"/>
                      <w:ind w:left="463" w:right="0" w:firstLine="0"/>
                      <w:jc w:val="left"/>
                      <w:rPr>
                        <w:sz w:val="22"/>
                      </w:rPr>
                    </w:pPr>
                    <w:r>
                      <w:rPr>
                        <w:sz w:val="22"/>
                      </w:rPr>
                      <w:t>a. Equity returns</w:t>
                    </w:r>
                  </w:p>
                </w:txbxContent>
              </v:textbox>
              <v:stroke dashstyle="solid"/>
              <w10:wrap type="none"/>
            </v:shape>
            <w10:wrap type="none"/>
          </v:group>
        </w:pict>
      </w:r>
      <w:r>
        <w:rPr/>
        <w:t>Figure 10. Weighted average of five-year rolling standard deviation of principal components</w:t>
      </w:r>
    </w:p>
    <w:p>
      <w:pPr>
        <w:spacing w:after="0"/>
        <w:sectPr>
          <w:type w:val="continuous"/>
          <w:pgSz w:w="11910" w:h="16840"/>
          <w:pgMar w:top="1180" w:bottom="1860" w:left="880" w:right="0"/>
        </w:sectPr>
      </w:pPr>
    </w:p>
    <w:p>
      <w:pPr>
        <w:pStyle w:val="BodyText"/>
        <w:spacing w:before="9"/>
        <w:rPr>
          <w:b/>
          <w:sz w:val="22"/>
        </w:rPr>
      </w:pPr>
      <w:r>
        <w:rPr/>
        <w:pict>
          <v:shape style="position:absolute;margin-left:53.919476pt;margin-top:296.509216pt;width:192.85pt;height:24.25pt;mso-position-horizontal-relative:page;mso-position-vertical-relative:page;z-index:251862016" type="#_x0000_t202" filled="false" stroked="false">
            <v:textbox inset="0,0,0,0" style="layout-flow:vertical;mso-layout-flow-alt:bottom-to-top">
              <w:txbxContent>
                <w:p>
                  <w:pPr>
                    <w:pStyle w:val="BodyText"/>
                    <w:spacing w:before="12"/>
                    <w:ind w:left="20"/>
                  </w:pPr>
                  <w:r>
                    <w:rPr/>
                    <w:t>1985</w:t>
                  </w:r>
                </w:p>
                <w:p>
                  <w:pPr>
                    <w:pStyle w:val="BodyText"/>
                    <w:spacing w:before="130"/>
                    <w:ind w:left="20"/>
                  </w:pPr>
                  <w:r>
                    <w:rPr/>
                    <w:t>1988</w:t>
                  </w:r>
                </w:p>
                <w:p>
                  <w:pPr>
                    <w:pStyle w:val="BodyText"/>
                    <w:spacing w:before="129"/>
                    <w:ind w:left="20"/>
                  </w:pPr>
                  <w:r>
                    <w:rPr/>
                    <w:t>1991</w:t>
                  </w:r>
                </w:p>
                <w:p>
                  <w:pPr>
                    <w:pStyle w:val="BodyText"/>
                    <w:spacing w:before="130"/>
                    <w:ind w:left="20"/>
                  </w:pPr>
                  <w:r>
                    <w:rPr/>
                    <w:t>1994</w:t>
                  </w:r>
                </w:p>
                <w:p>
                  <w:pPr>
                    <w:pStyle w:val="BodyText"/>
                    <w:spacing w:before="129"/>
                    <w:ind w:left="20"/>
                  </w:pPr>
                  <w:r>
                    <w:rPr/>
                    <w:t>1997</w:t>
                  </w:r>
                </w:p>
                <w:p>
                  <w:pPr>
                    <w:pStyle w:val="BodyText"/>
                    <w:spacing w:before="130"/>
                    <w:ind w:left="20"/>
                  </w:pPr>
                  <w:r>
                    <w:rPr/>
                    <w:t>2000</w:t>
                  </w:r>
                </w:p>
                <w:p>
                  <w:pPr>
                    <w:pStyle w:val="BodyText"/>
                    <w:spacing w:before="129"/>
                    <w:ind w:left="20"/>
                  </w:pPr>
                  <w:r>
                    <w:rPr/>
                    <w:t>2003</w:t>
                  </w:r>
                </w:p>
                <w:p>
                  <w:pPr>
                    <w:pStyle w:val="BodyText"/>
                    <w:spacing w:before="130"/>
                    <w:ind w:left="20"/>
                  </w:pPr>
                  <w:r>
                    <w:rPr/>
                    <w:t>2006</w:t>
                  </w:r>
                </w:p>
                <w:p>
                  <w:pPr>
                    <w:pStyle w:val="BodyText"/>
                    <w:spacing w:before="129"/>
                    <w:ind w:left="20"/>
                  </w:pPr>
                  <w:r>
                    <w:rPr/>
                    <w:t>2009</w:t>
                  </w:r>
                </w:p>
                <w:p>
                  <w:pPr>
                    <w:pStyle w:val="BodyText"/>
                    <w:spacing w:before="130"/>
                    <w:ind w:left="20"/>
                  </w:pPr>
                  <w:r>
                    <w:rPr/>
                    <w:t>2012</w:t>
                  </w:r>
                </w:p>
                <w:p>
                  <w:pPr>
                    <w:pStyle w:val="BodyText"/>
                    <w:spacing w:before="129"/>
                    <w:ind w:left="20"/>
                  </w:pPr>
                  <w:r>
                    <w:rPr/>
                    <w:t>2015</w:t>
                  </w:r>
                </w:p>
              </w:txbxContent>
            </v:textbox>
            <w10:wrap type="none"/>
          </v:shape>
        </w:pict>
      </w:r>
      <w:r>
        <w:rPr/>
        <w:pict>
          <v:shape style="position:absolute;margin-left:288.283478pt;margin-top:294.915588pt;width:181.3pt;height:24.25pt;mso-position-horizontal-relative:page;mso-position-vertical-relative:page;z-index:251863040" type="#_x0000_t202" filled="false" stroked="false">
            <v:textbox inset="0,0,0,0" style="layout-flow:vertical;mso-layout-flow-alt:bottom-to-top">
              <w:txbxContent>
                <w:p>
                  <w:pPr>
                    <w:pStyle w:val="BodyText"/>
                    <w:spacing w:before="12"/>
                    <w:ind w:left="20"/>
                  </w:pPr>
                  <w:r>
                    <w:rPr/>
                    <w:t>1984</w:t>
                  </w:r>
                </w:p>
                <w:p>
                  <w:pPr>
                    <w:pStyle w:val="BodyText"/>
                    <w:spacing w:before="106"/>
                    <w:ind w:left="20"/>
                  </w:pPr>
                  <w:r>
                    <w:rPr/>
                    <w:t>1987</w:t>
                  </w:r>
                </w:p>
                <w:p>
                  <w:pPr>
                    <w:pStyle w:val="BodyText"/>
                    <w:spacing w:before="107"/>
                    <w:ind w:left="20"/>
                  </w:pPr>
                  <w:r>
                    <w:rPr/>
                    <w:t>1990</w:t>
                  </w:r>
                </w:p>
                <w:p>
                  <w:pPr>
                    <w:pStyle w:val="BodyText"/>
                    <w:spacing w:before="106"/>
                    <w:ind w:left="20"/>
                  </w:pPr>
                  <w:r>
                    <w:rPr/>
                    <w:t>1993</w:t>
                  </w:r>
                </w:p>
                <w:p>
                  <w:pPr>
                    <w:pStyle w:val="BodyText"/>
                    <w:spacing w:before="106"/>
                    <w:ind w:left="20"/>
                  </w:pPr>
                  <w:r>
                    <w:rPr/>
                    <w:t>1996</w:t>
                  </w:r>
                </w:p>
                <w:p>
                  <w:pPr>
                    <w:pStyle w:val="BodyText"/>
                    <w:spacing w:before="107"/>
                    <w:ind w:left="20"/>
                  </w:pPr>
                  <w:r>
                    <w:rPr/>
                    <w:t>1999</w:t>
                  </w:r>
                </w:p>
                <w:p>
                  <w:pPr>
                    <w:pStyle w:val="BodyText"/>
                    <w:spacing w:before="106"/>
                    <w:ind w:left="20"/>
                  </w:pPr>
                  <w:r>
                    <w:rPr/>
                    <w:t>2002</w:t>
                  </w:r>
                </w:p>
                <w:p>
                  <w:pPr>
                    <w:pStyle w:val="BodyText"/>
                    <w:spacing w:before="107"/>
                    <w:ind w:left="20"/>
                  </w:pPr>
                  <w:r>
                    <w:rPr/>
                    <w:t>2005</w:t>
                  </w:r>
                </w:p>
                <w:p>
                  <w:pPr>
                    <w:pStyle w:val="BodyText"/>
                    <w:spacing w:before="106"/>
                    <w:ind w:left="20"/>
                  </w:pPr>
                  <w:r>
                    <w:rPr/>
                    <w:t>2008</w:t>
                  </w:r>
                </w:p>
                <w:p>
                  <w:pPr>
                    <w:pStyle w:val="BodyText"/>
                    <w:spacing w:before="106"/>
                    <w:ind w:left="20"/>
                  </w:pPr>
                  <w:r>
                    <w:rPr/>
                    <w:t>2011</w:t>
                  </w:r>
                </w:p>
                <w:p>
                  <w:pPr>
                    <w:pStyle w:val="BodyText"/>
                    <w:spacing w:before="107"/>
                    <w:ind w:left="20"/>
                  </w:pPr>
                  <w:r>
                    <w:rPr/>
                    <w:t>2014</w:t>
                  </w:r>
                </w:p>
              </w:txbxContent>
            </v:textbox>
            <w10:wrap type="none"/>
          </v:shape>
        </w:pict>
      </w:r>
    </w:p>
    <w:p>
      <w:pPr>
        <w:spacing w:before="93"/>
        <w:ind w:left="253" w:right="1173" w:firstLine="0"/>
        <w:jc w:val="left"/>
        <w:rPr>
          <w:b/>
          <w:sz w:val="22"/>
        </w:rPr>
      </w:pPr>
      <w:r>
        <w:rPr/>
        <w:pict>
          <v:group style="position:absolute;margin-left:50.999996pt;margin-top:35.967892pt;width:459.6pt;height:275.95pt;mso-position-horizontal-relative:page;mso-position-vertical-relative:paragraph;z-index:251860992" coordorigin="1020,719" coordsize="9192,5519">
            <v:line style="position:absolute" from="1030,988" to="5665,988" stroked="true" strokeweight=".48pt" strokecolor="#000000">
              <v:stroke dashstyle="solid"/>
            </v:line>
            <v:line style="position:absolute" from="5675,988" to="10202,988" stroked="true" strokeweight=".48pt" strokecolor="#000000">
              <v:stroke dashstyle="solid"/>
            </v:line>
            <v:line style="position:absolute" from="1025,719" to="1025,6238" stroked="true" strokeweight=".48pt" strokecolor="#000000">
              <v:stroke dashstyle="solid"/>
            </v:line>
            <v:line style="position:absolute" from="1030,6233" to="5665,6233" stroked="true" strokeweight=".48001pt" strokecolor="#000000">
              <v:stroke dashstyle="solid"/>
            </v:line>
            <v:line style="position:absolute" from="5670,719" to="5670,6238" stroked="true" strokeweight=".48001pt" strokecolor="#000000">
              <v:stroke dashstyle="solid"/>
            </v:line>
            <v:line style="position:absolute" from="5675,6233" to="10202,6233" stroked="true" strokeweight=".48001pt" strokecolor="#000000">
              <v:stroke dashstyle="solid"/>
            </v:line>
            <v:line style="position:absolute" from="10207,719" to="10207,6238" stroked="true" strokeweight=".48001pt" strokecolor="#000000">
              <v:stroke dashstyle="solid"/>
            </v:line>
            <v:shape style="position:absolute;left:1209;top:1662;width:3773;height:2367" coordorigin="1210,1662" coordsize="3773,2367" path="m4922,3969l4922,1662m4922,3969l4982,3969m4922,3508l4982,3508m4922,3047l4982,3047m4922,2586l4982,2586m4922,2123l4982,2123m4922,1662l4982,1662m1210,3969l4922,3969m1210,3969l1210,4029m1567,3969l1567,4029m1927,3969l1927,4029m2287,3969l2287,4029m2647,3969l2647,4029m3005,3969l3005,4029m3365,3969l3365,4029m3725,3969l3725,4029m4085,3969l4085,4029m4442,3969l4442,4029m4802,3969l4802,4029e" filled="false" stroked="true" strokeweight=".72pt" strokecolor="#858585">
              <v:path arrowok="t"/>
              <v:stroke dashstyle="solid"/>
            </v:shape>
            <v:shape style="position:absolute;left:1195;top:2072;width:3742;height:1493" type="#_x0000_t75" stroked="false">
              <v:imagedata r:id="rId57" o:title=""/>
            </v:shape>
            <v:line style="position:absolute" from="1637,1329" to="2021,1329" stroked="true" strokeweight="1.44pt" strokecolor="#000000">
              <v:stroke dashstyle="solid"/>
            </v:line>
            <v:line style="position:absolute" from="1637,1573" to="2021,1573" stroked="true" strokeweight="1.44pt" strokecolor="#ff0000">
              <v:stroke dashstyle="solid"/>
            </v:line>
            <v:shape style="position:absolute;left:5889;top:1662;width:3603;height:2336" coordorigin="5890,1662" coordsize="3603,2336" path="m9430,3935l9430,1662m9430,3935l9492,3935m9430,3683l9492,3683m9430,3431l9492,3431m9430,3179l9492,3179m9430,2927l9492,2927m9430,2673l9492,2673m9430,2421l9492,2421m9430,2169l9492,2169m9430,1917l9492,1917m9430,1662l9492,1662m5890,3935l9430,3935m5890,3935l5890,3997m6226,3935l6226,3997m6564,3935l6564,3997m6900,3935l6900,3997m7236,3935l7236,3997m7572,3935l7572,3997m7908,3935l7908,3997m8244,3935l8244,3997m8580,3935l8580,3997m8916,3935l8916,3997m9252,3935l9252,3997e" filled="false" stroked="true" strokeweight=".72pt" strokecolor="#858585">
              <v:path arrowok="t"/>
              <v:stroke dashstyle="solid"/>
            </v:shape>
            <v:shape style="position:absolute;left:5894;top:1870;width:3531;height:310" coordorigin="5894,1871" coordsize="3531,310" path="m5894,2104l5923,2121,5952,2073,5978,2073,6007,2049,6036,2053,6062,2077,6091,2140,6120,2123,6146,2099,6175,2111,6204,2101,6230,2089,6259,2147,6288,2041,6314,2061,6343,2034,6372,2053,6398,2087,6427,2106,6456,2106,6482,2123,6511,2058,6540,2097,6566,2099,6595,2133,6624,2113,6650,2181,6679,2145,6708,2142,6737,2152,6763,2152,6792,2135,6821,2113,6847,2137,6876,2149,6905,2113,6931,2116,6960,2087,6989,2111,7015,2125,7044,2133,7073,2118,7099,2118,7128,2118,7157,2123,7183,2135,7212,2094,7241,2082,7267,2123,7296,2109,7325,2097,7351,2070,7380,2137,7409,2145,7435,2142,7464,2142,7493,2145,7519,2106,7548,2097,7577,2121,7603,2032,7632,2085,7661,2106,7690,2089,7716,2075,7745,2085,7774,2080,7800,2085,7829,2077,7858,2097,7884,2113,7913,2063,7942,2070,7968,2075,7997,2056,8026,2077,8052,2068,8081,2039,8110,2049,8136,2058,8165,2097,8194,2106,8220,2094,8249,2104,8278,2058,8304,2080,8333,2111,8362,2109,8388,2070,8417,2128,8446,2089,8472,2118,8501,2080,8530,2017,8556,1989,8585,1905,8614,1890,8640,1888,8669,1871,8698,1876,8726,1907,8753,1914,8782,1929,8810,1924,8837,1938,8866,1929,8894,1933,8921,1950,8950,1967,8978,1974,9005,1977,9034,1972,9062,1977,9089,1979,9118,1979,9146,2015,9173,2073,9202,2125,9230,2133,9257,2118,9286,2133,9314,2113,9341,2101,9370,2125,9398,2161,9425,2176e" filled="false" stroked="true" strokeweight="1.44pt" strokecolor="#000000">
              <v:path arrowok="t"/>
              <v:stroke dashstyle="solid"/>
            </v:shape>
            <v:shape style="position:absolute;left:5894;top:1789;width:3531;height:1136" coordorigin="5894,1789" coordsize="3531,1136" path="m5894,1890l5923,1883,5952,1799,5978,1806,6007,1811,6036,1813,6062,1813,6091,1821,6120,1821,6146,1823,6175,1866,6204,1864,6230,1837,6259,1842,6288,1845,6314,1835,6343,1840,6372,1833,6398,1825,6427,1821,6456,1806,6482,1801,6511,1797,6540,1813,6566,1801,6595,1823,6624,1835,6650,1837,6679,1842,6708,1842,6737,1842,6763,1830,6792,1833,6821,1869,6847,1871,6876,1835,6905,1809,6931,1804,6960,1811,6989,1813,7015,1835,7044,1830,7073,1825,7099,1835,7128,1864,7157,1866,7183,1869,7212,1878,7241,1878,7267,1885,7296,1905,7325,1900,7351,1828,7380,1792,7409,1797,7435,1799,7464,1801,7493,1821,7519,1828,7548,1857,7577,1881,7603,1945,7632,1945,7661,1936,7690,1929,7716,1974,7745,2051,7774,2073,7800,2087,7829,2087,7858,2013,7884,2015,7913,2063,7942,2068,7968,2056,7997,2075,8026,2125,8052,2145,8081,2159,8110,2101,8136,2053,8165,1931,8194,1969,8220,1989,8249,2022,8278,2073,8304,2022,8333,1977,8362,1979,8388,2001,8417,1996,8446,1991,8472,1955,8501,1962,8530,2135,8556,2279,8585,2817,8614,2925,8640,2877,8669,2867,8698,2845,8726,2845,8753,2812,8782,2773,8810,2764,8837,2735,8866,2745,8894,2725,8921,2649,8950,2586,8978,2572,9005,2557,9034,2538,9062,2562,9089,2572,9118,2584,9146,2346,9173,1917,9202,1924,9230,1931,9257,1919,9286,1861,9314,1799,9341,1809,9370,1797,9398,1794,9425,1789e" filled="false" stroked="true" strokeweight="1.44pt" strokecolor="#ff0000">
              <v:path arrowok="t"/>
              <v:stroke dashstyle="solid"/>
            </v:shape>
            <v:line style="position:absolute" from="6163,1293" to="6547,1293" stroked="true" strokeweight="1.44pt" strokecolor="#000000">
              <v:stroke dashstyle="solid"/>
            </v:line>
            <v:line style="position:absolute" from="6163,1547" to="6547,1547" stroked="true" strokeweight="1.44pt" strokecolor="#ff0000">
              <v:stroke dashstyle="solid"/>
            </v:line>
            <v:shape style="position:absolute;left:5778;top:4757;width:4313;height:1469" type="#_x0000_t202" filled="false" stroked="false">
              <v:textbox inset="0,0,0,0">
                <w:txbxContent>
                  <w:p>
                    <w:pPr>
                      <w:spacing w:line="240" w:lineRule="auto" w:before="0"/>
                      <w:ind w:left="0" w:right="-3" w:firstLine="0"/>
                      <w:jc w:val="left"/>
                      <w:rPr>
                        <w:sz w:val="16"/>
                      </w:rPr>
                    </w:pPr>
                    <w:r>
                      <w:rPr>
                        <w:sz w:val="16"/>
                      </w:rPr>
                      <w:t>Weighted loadings on first 5 components; full sample includes </w:t>
                    </w:r>
                    <w:r>
                      <w:rPr>
                        <w:b/>
                        <w:sz w:val="16"/>
                        <w:u w:val="single"/>
                      </w:rPr>
                      <w:t>32</w:t>
                    </w:r>
                    <w:r>
                      <w:rPr>
                        <w:b/>
                        <w:sz w:val="16"/>
                      </w:rPr>
                      <w:t> </w:t>
                    </w:r>
                    <w:r>
                      <w:rPr>
                        <w:sz w:val="16"/>
                      </w:rPr>
                      <w:t>countries with data from 1980 (Austria, Belgium, Finland, France, Germany, Greece, Ireland, Italy, Luxemburg, Netherlands, Portugal, Spain, Malaysia, Mexico, Philippines, South Africa, Thailand, Australia, Canada, Denmark, Hong Kong, Japan, South Korea, New Zealand, Norway, Singapore, Sweden, Switzerland, Taiwan, UK and US).</w:t>
                    </w:r>
                  </w:p>
                </w:txbxContent>
              </v:textbox>
              <w10:wrap type="none"/>
            </v:shape>
            <v:shape style="position:absolute;left:9605;top:1544;width:410;height:2496" type="#_x0000_t202" filled="false" stroked="false">
              <v:textbox inset="0,0,0,0">
                <w:txbxContent>
                  <w:p>
                    <w:pPr>
                      <w:spacing w:line="223" w:lineRule="exact" w:before="0"/>
                      <w:ind w:left="0" w:right="0" w:firstLine="0"/>
                      <w:jc w:val="left"/>
                      <w:rPr>
                        <w:sz w:val="20"/>
                      </w:rPr>
                    </w:pPr>
                    <w:r>
                      <w:rPr>
                        <w:sz w:val="20"/>
                      </w:rPr>
                      <w:t>0.18</w:t>
                    </w:r>
                  </w:p>
                  <w:p>
                    <w:pPr>
                      <w:spacing w:before="22"/>
                      <w:ind w:left="0" w:right="0" w:firstLine="0"/>
                      <w:jc w:val="left"/>
                      <w:rPr>
                        <w:sz w:val="20"/>
                      </w:rPr>
                    </w:pPr>
                    <w:r>
                      <w:rPr>
                        <w:sz w:val="20"/>
                      </w:rPr>
                      <w:t>0.16</w:t>
                    </w:r>
                  </w:p>
                  <w:p>
                    <w:pPr>
                      <w:spacing w:before="23"/>
                      <w:ind w:left="0" w:right="0" w:firstLine="0"/>
                      <w:jc w:val="left"/>
                      <w:rPr>
                        <w:sz w:val="20"/>
                      </w:rPr>
                    </w:pPr>
                    <w:r>
                      <w:rPr>
                        <w:sz w:val="20"/>
                      </w:rPr>
                      <w:t>0.14</w:t>
                    </w:r>
                  </w:p>
                  <w:p>
                    <w:pPr>
                      <w:spacing w:before="22"/>
                      <w:ind w:left="0" w:right="0" w:firstLine="0"/>
                      <w:jc w:val="left"/>
                      <w:rPr>
                        <w:sz w:val="20"/>
                      </w:rPr>
                    </w:pPr>
                    <w:r>
                      <w:rPr>
                        <w:sz w:val="20"/>
                      </w:rPr>
                      <w:t>0.12</w:t>
                    </w:r>
                  </w:p>
                  <w:p>
                    <w:pPr>
                      <w:spacing w:before="23"/>
                      <w:ind w:left="0" w:right="0" w:firstLine="0"/>
                      <w:jc w:val="left"/>
                      <w:rPr>
                        <w:sz w:val="20"/>
                      </w:rPr>
                    </w:pPr>
                    <w:r>
                      <w:rPr>
                        <w:sz w:val="20"/>
                      </w:rPr>
                      <w:t>0.10</w:t>
                    </w:r>
                  </w:p>
                  <w:p>
                    <w:pPr>
                      <w:spacing w:before="23"/>
                      <w:ind w:left="0" w:right="0" w:firstLine="0"/>
                      <w:jc w:val="left"/>
                      <w:rPr>
                        <w:sz w:val="20"/>
                      </w:rPr>
                    </w:pPr>
                    <w:r>
                      <w:rPr>
                        <w:sz w:val="20"/>
                      </w:rPr>
                      <w:t>0.08</w:t>
                    </w:r>
                  </w:p>
                  <w:p>
                    <w:pPr>
                      <w:spacing w:before="22"/>
                      <w:ind w:left="0" w:right="0" w:firstLine="0"/>
                      <w:jc w:val="left"/>
                      <w:rPr>
                        <w:sz w:val="20"/>
                      </w:rPr>
                    </w:pPr>
                    <w:r>
                      <w:rPr>
                        <w:sz w:val="20"/>
                      </w:rPr>
                      <w:t>0.06</w:t>
                    </w:r>
                  </w:p>
                  <w:p>
                    <w:pPr>
                      <w:spacing w:before="23"/>
                      <w:ind w:left="0" w:right="0" w:firstLine="0"/>
                      <w:jc w:val="left"/>
                      <w:rPr>
                        <w:sz w:val="20"/>
                      </w:rPr>
                    </w:pPr>
                    <w:r>
                      <w:rPr>
                        <w:sz w:val="20"/>
                      </w:rPr>
                      <w:t>0.04</w:t>
                    </w:r>
                  </w:p>
                  <w:p>
                    <w:pPr>
                      <w:spacing w:before="23"/>
                      <w:ind w:left="0" w:right="0" w:firstLine="0"/>
                      <w:jc w:val="left"/>
                      <w:rPr>
                        <w:sz w:val="20"/>
                      </w:rPr>
                    </w:pPr>
                    <w:r>
                      <w:rPr>
                        <w:sz w:val="20"/>
                      </w:rPr>
                      <w:t>0.02</w:t>
                    </w:r>
                  </w:p>
                  <w:p>
                    <w:pPr>
                      <w:spacing w:before="22"/>
                      <w:ind w:left="0" w:right="0" w:firstLine="0"/>
                      <w:jc w:val="left"/>
                      <w:rPr>
                        <w:sz w:val="20"/>
                      </w:rPr>
                    </w:pPr>
                    <w:r>
                      <w:rPr>
                        <w:sz w:val="20"/>
                      </w:rPr>
                      <w:t>0.00</w:t>
                    </w:r>
                  </w:p>
                </w:txbxContent>
              </v:textbox>
              <w10:wrap type="none"/>
            </v:shape>
            <v:shape style="position:absolute;left:6589;top:1175;width:1443;height:476" type="#_x0000_t202" filled="false" stroked="false">
              <v:textbox inset="0,0,0,0">
                <w:txbxContent>
                  <w:p>
                    <w:pPr>
                      <w:spacing w:line="264" w:lineRule="auto" w:before="0"/>
                      <w:ind w:left="0" w:right="-1" w:firstLine="0"/>
                      <w:jc w:val="left"/>
                      <w:rPr>
                        <w:sz w:val="20"/>
                      </w:rPr>
                    </w:pPr>
                    <w:r>
                      <w:rPr>
                        <w:sz w:val="20"/>
                      </w:rPr>
                      <w:t>Avg abs loading Stdev loading</w:t>
                    </w:r>
                  </w:p>
                </w:txbxContent>
              </v:textbox>
              <w10:wrap type="none"/>
            </v:shape>
            <v:shape style="position:absolute;left:1133;top:4757;width:4394;height:1099" type="#_x0000_t202" filled="false" stroked="false">
              <v:textbox inset="0,0,0,0">
                <w:txbxContent>
                  <w:p>
                    <w:pPr>
                      <w:spacing w:line="240" w:lineRule="auto" w:before="0"/>
                      <w:ind w:left="0" w:right="-2" w:firstLine="0"/>
                      <w:jc w:val="left"/>
                      <w:rPr>
                        <w:sz w:val="16"/>
                      </w:rPr>
                    </w:pPr>
                    <w:r>
                      <w:rPr>
                        <w:sz w:val="16"/>
                      </w:rPr>
                      <w:t>Weighted loadings on first 3 components; full sample includes </w:t>
                    </w:r>
                    <w:r>
                      <w:rPr>
                        <w:b/>
                        <w:sz w:val="16"/>
                        <w:u w:val="single"/>
                      </w:rPr>
                      <w:t>23</w:t>
                    </w:r>
                    <w:r>
                      <w:rPr>
                        <w:b/>
                        <w:sz w:val="16"/>
                      </w:rPr>
                      <w:t> </w:t>
                    </w:r>
                    <w:r>
                      <w:rPr>
                        <w:sz w:val="16"/>
                      </w:rPr>
                      <w:t>countries with data from 1980 (France, Germany, Italy, Netherlands, Spain, Argentina, Chile, India, Malaysia, Thailand, Australia, Canada, Denmark, Hong Kong, Japan, South Korea, New Zealand, Singapore, Sweden, Switzerland, Taiwan, UK and US).</w:t>
                    </w:r>
                  </w:p>
                </w:txbxContent>
              </v:textbox>
              <w10:wrap type="none"/>
            </v:shape>
            <v:shape style="position:absolute;left:5095;top:1544;width:410;height:2529" type="#_x0000_t202" filled="false" stroked="false">
              <v:textbox inset="0,0,0,0">
                <w:txbxContent>
                  <w:p>
                    <w:pPr>
                      <w:spacing w:line="223" w:lineRule="exact" w:before="0"/>
                      <w:ind w:left="0" w:right="0" w:firstLine="0"/>
                      <w:jc w:val="left"/>
                      <w:rPr>
                        <w:sz w:val="20"/>
                      </w:rPr>
                    </w:pPr>
                    <w:r>
                      <w:rPr>
                        <w:sz w:val="20"/>
                      </w:rPr>
                      <w:t>0.25</w:t>
                    </w:r>
                  </w:p>
                  <w:p>
                    <w:pPr>
                      <w:spacing w:line="240" w:lineRule="auto" w:before="0"/>
                      <w:rPr>
                        <w:sz w:val="20"/>
                      </w:rPr>
                    </w:pPr>
                  </w:p>
                  <w:p>
                    <w:pPr>
                      <w:spacing w:before="1"/>
                      <w:ind w:left="0" w:right="0" w:firstLine="0"/>
                      <w:jc w:val="left"/>
                      <w:rPr>
                        <w:sz w:val="20"/>
                      </w:rPr>
                    </w:pPr>
                    <w:r>
                      <w:rPr>
                        <w:sz w:val="20"/>
                      </w:rPr>
                      <w:t>0.20</w:t>
                    </w:r>
                  </w:p>
                  <w:p>
                    <w:pPr>
                      <w:spacing w:line="240" w:lineRule="auto" w:before="1"/>
                      <w:rPr>
                        <w:sz w:val="20"/>
                      </w:rPr>
                    </w:pPr>
                  </w:p>
                  <w:p>
                    <w:pPr>
                      <w:spacing w:before="0"/>
                      <w:ind w:left="0" w:right="0" w:firstLine="0"/>
                      <w:jc w:val="left"/>
                      <w:rPr>
                        <w:sz w:val="20"/>
                      </w:rPr>
                    </w:pPr>
                    <w:r>
                      <w:rPr>
                        <w:sz w:val="20"/>
                      </w:rPr>
                      <w:t>0.15</w:t>
                    </w:r>
                  </w:p>
                  <w:p>
                    <w:pPr>
                      <w:spacing w:line="240" w:lineRule="auto" w:before="1"/>
                      <w:rPr>
                        <w:sz w:val="20"/>
                      </w:rPr>
                    </w:pPr>
                  </w:p>
                  <w:p>
                    <w:pPr>
                      <w:spacing w:before="0"/>
                      <w:ind w:left="0" w:right="0" w:firstLine="0"/>
                      <w:jc w:val="left"/>
                      <w:rPr>
                        <w:sz w:val="20"/>
                      </w:rPr>
                    </w:pPr>
                    <w:r>
                      <w:rPr>
                        <w:sz w:val="20"/>
                      </w:rPr>
                      <w:t>0.10</w:t>
                    </w:r>
                  </w:p>
                  <w:p>
                    <w:pPr>
                      <w:spacing w:line="240" w:lineRule="auto" w:before="1"/>
                      <w:rPr>
                        <w:sz w:val="20"/>
                      </w:rPr>
                    </w:pPr>
                  </w:p>
                  <w:p>
                    <w:pPr>
                      <w:spacing w:before="0"/>
                      <w:ind w:left="0" w:right="0" w:firstLine="0"/>
                      <w:jc w:val="left"/>
                      <w:rPr>
                        <w:sz w:val="20"/>
                      </w:rPr>
                    </w:pPr>
                    <w:r>
                      <w:rPr>
                        <w:sz w:val="20"/>
                      </w:rPr>
                      <w:t>0.05</w:t>
                    </w:r>
                  </w:p>
                  <w:p>
                    <w:pPr>
                      <w:spacing w:line="240" w:lineRule="auto" w:before="1"/>
                      <w:rPr>
                        <w:sz w:val="20"/>
                      </w:rPr>
                    </w:pPr>
                  </w:p>
                  <w:p>
                    <w:pPr>
                      <w:spacing w:before="0"/>
                      <w:ind w:left="0" w:right="0" w:firstLine="0"/>
                      <w:jc w:val="left"/>
                      <w:rPr>
                        <w:sz w:val="20"/>
                      </w:rPr>
                    </w:pPr>
                    <w:r>
                      <w:rPr>
                        <w:sz w:val="20"/>
                      </w:rPr>
                      <w:t>0.00</w:t>
                    </w:r>
                  </w:p>
                </w:txbxContent>
              </v:textbox>
              <w10:wrap type="none"/>
            </v:shape>
            <v:shape style="position:absolute;left:2062;top:1209;width:1443;height:468" type="#_x0000_t202" filled="false" stroked="false">
              <v:textbox inset="0,0,0,0">
                <w:txbxContent>
                  <w:p>
                    <w:pPr>
                      <w:spacing w:line="254" w:lineRule="auto" w:before="0"/>
                      <w:ind w:left="0" w:right="-1" w:firstLine="0"/>
                      <w:jc w:val="left"/>
                      <w:rPr>
                        <w:sz w:val="20"/>
                      </w:rPr>
                    </w:pPr>
                    <w:r>
                      <w:rPr>
                        <w:sz w:val="20"/>
                      </w:rPr>
                      <w:t>Avg abs loading Stdev loading</w:t>
                    </w:r>
                  </w:p>
                </w:txbxContent>
              </v:textbox>
              <w10:wrap type="none"/>
            </v:shape>
            <v:shape style="position:absolute;left:5670;top:724;width:4537;height:264" type="#_x0000_t202" filled="false" stroked="true" strokeweight=".48001pt" strokecolor="#000000">
              <v:textbox inset="0,0,0,0">
                <w:txbxContent>
                  <w:p>
                    <w:pPr>
                      <w:spacing w:line="251" w:lineRule="exact" w:before="0"/>
                      <w:ind w:left="463" w:right="0" w:firstLine="0"/>
                      <w:jc w:val="left"/>
                      <w:rPr>
                        <w:sz w:val="22"/>
                      </w:rPr>
                    </w:pPr>
                    <w:r>
                      <w:rPr>
                        <w:sz w:val="22"/>
                      </w:rPr>
                      <w:t>b. GDP growth</w:t>
                    </w:r>
                  </w:p>
                </w:txbxContent>
              </v:textbox>
              <v:stroke dashstyle="solid"/>
              <w10:wrap type="none"/>
            </v:shape>
            <v:shape style="position:absolute;left:1024;top:724;width:4646;height:264" type="#_x0000_t202" filled="false" stroked="true" strokeweight=".48001pt" strokecolor="#000000">
              <v:textbox inset="0,0,0,0">
                <w:txbxContent>
                  <w:p>
                    <w:pPr>
                      <w:spacing w:line="251" w:lineRule="exact" w:before="0"/>
                      <w:ind w:left="463" w:right="0" w:firstLine="0"/>
                      <w:jc w:val="left"/>
                      <w:rPr>
                        <w:sz w:val="22"/>
                      </w:rPr>
                    </w:pPr>
                    <w:r>
                      <w:rPr>
                        <w:sz w:val="22"/>
                      </w:rPr>
                      <w:t>a. Equity returns</w:t>
                    </w:r>
                  </w:p>
                </w:txbxContent>
              </v:textbox>
              <v:stroke dashstyle="solid"/>
              <w10:wrap type="none"/>
            </v:shape>
            <w10:wrap type="none"/>
          </v:group>
        </w:pict>
      </w:r>
      <w:r>
        <w:rPr>
          <w:b/>
          <w:sz w:val="22"/>
        </w:rPr>
        <w:t>Figure 11. Average absolute loading and standard deviation of loadings on common factors from rolling principal component analysis (5-year rolling window)</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27"/>
        </w:rPr>
      </w:pPr>
      <w:r>
        <w:rPr/>
        <w:drawing>
          <wp:anchor distT="0" distB="0" distL="0" distR="0" allowOverlap="1" layoutInCell="1" locked="0" behindDoc="0" simplePos="0" relativeHeight="189">
            <wp:simplePos x="0" y="0"/>
            <wp:positionH relativeFrom="page">
              <wp:posOffset>720090</wp:posOffset>
            </wp:positionH>
            <wp:positionV relativeFrom="paragraph">
              <wp:posOffset>222219</wp:posOffset>
            </wp:positionV>
            <wp:extent cx="6163859" cy="3519487"/>
            <wp:effectExtent l="0" t="0" r="0" b="0"/>
            <wp:wrapTopAndBottom/>
            <wp:docPr id="21" name="image33.jpeg"/>
            <wp:cNvGraphicFramePr>
              <a:graphicFrameLocks noChangeAspect="1"/>
            </wp:cNvGraphicFramePr>
            <a:graphic>
              <a:graphicData uri="http://schemas.openxmlformats.org/drawingml/2006/picture">
                <pic:pic>
                  <pic:nvPicPr>
                    <pic:cNvPr id="22" name="image33.jpeg"/>
                    <pic:cNvPicPr/>
                  </pic:nvPicPr>
                  <pic:blipFill>
                    <a:blip r:embed="rId58" cstate="print"/>
                    <a:stretch>
                      <a:fillRect/>
                    </a:stretch>
                  </pic:blipFill>
                  <pic:spPr>
                    <a:xfrm>
                      <a:off x="0" y="0"/>
                      <a:ext cx="6163859" cy="3519487"/>
                    </a:xfrm>
                    <a:prstGeom prst="rect">
                      <a:avLst/>
                    </a:prstGeom>
                  </pic:spPr>
                </pic:pic>
              </a:graphicData>
            </a:graphic>
          </wp:anchor>
        </w:drawing>
      </w:r>
    </w:p>
    <w:p>
      <w:pPr>
        <w:spacing w:after="0"/>
        <w:rPr>
          <w:sz w:val="27"/>
        </w:rPr>
        <w:sectPr>
          <w:pgSz w:w="11910" w:h="16840"/>
          <w:pgMar w:header="0" w:footer="1676" w:top="1580" w:bottom="1860" w:left="880" w:right="0"/>
        </w:sectPr>
      </w:pPr>
    </w:p>
    <w:p>
      <w:pPr>
        <w:pStyle w:val="BodyText"/>
        <w:spacing w:before="9"/>
        <w:rPr>
          <w:b/>
          <w:sz w:val="22"/>
        </w:rPr>
      </w:pPr>
      <w:r>
        <w:rPr/>
        <w:pict>
          <v:shape style="position:absolute;margin-left:60.903477pt;margin-top:629.099243pt;width:189.45pt;height:24.25pt;mso-position-horizontal-relative:page;mso-position-vertical-relative:page;z-index:251883520" type="#_x0000_t202" filled="false" stroked="false">
            <v:textbox inset="0,0,0,0" style="layout-flow:vertical;mso-layout-flow-alt:bottom-to-top">
              <w:txbxContent>
                <w:p>
                  <w:pPr>
                    <w:pStyle w:val="BodyText"/>
                    <w:spacing w:before="12"/>
                    <w:ind w:left="20"/>
                  </w:pPr>
                  <w:r>
                    <w:rPr/>
                    <w:t>1980</w:t>
                  </w:r>
                </w:p>
                <w:p>
                  <w:pPr>
                    <w:pStyle w:val="BodyText"/>
                    <w:spacing w:before="64"/>
                    <w:ind w:left="20"/>
                  </w:pPr>
                  <w:r>
                    <w:rPr/>
                    <w:t>1982</w:t>
                  </w:r>
                </w:p>
                <w:p>
                  <w:pPr>
                    <w:pStyle w:val="BodyText"/>
                    <w:spacing w:before="64"/>
                    <w:ind w:left="20"/>
                  </w:pPr>
                  <w:r>
                    <w:rPr/>
                    <w:t>1985</w:t>
                  </w:r>
                </w:p>
                <w:p>
                  <w:pPr>
                    <w:pStyle w:val="BodyText"/>
                    <w:spacing w:before="64"/>
                    <w:ind w:left="20"/>
                  </w:pPr>
                  <w:r>
                    <w:rPr/>
                    <w:t>1988</w:t>
                  </w:r>
                </w:p>
                <w:p>
                  <w:pPr>
                    <w:pStyle w:val="BodyText"/>
                    <w:spacing w:before="64"/>
                    <w:ind w:left="20"/>
                  </w:pPr>
                  <w:r>
                    <w:rPr/>
                    <w:t>1991</w:t>
                  </w:r>
                </w:p>
                <w:p>
                  <w:pPr>
                    <w:pStyle w:val="BodyText"/>
                    <w:spacing w:before="64"/>
                    <w:ind w:left="20"/>
                  </w:pPr>
                  <w:r>
                    <w:rPr/>
                    <w:t>1994</w:t>
                  </w:r>
                </w:p>
                <w:p>
                  <w:pPr>
                    <w:pStyle w:val="BodyText"/>
                    <w:spacing w:before="64"/>
                    <w:ind w:left="20"/>
                  </w:pPr>
                  <w:r>
                    <w:rPr/>
                    <w:t>1997</w:t>
                  </w:r>
                </w:p>
                <w:p>
                  <w:pPr>
                    <w:pStyle w:val="BodyText"/>
                    <w:spacing w:before="63"/>
                    <w:ind w:left="20"/>
                  </w:pPr>
                  <w:r>
                    <w:rPr/>
                    <w:t>2000</w:t>
                  </w:r>
                </w:p>
                <w:p>
                  <w:pPr>
                    <w:pStyle w:val="BodyText"/>
                    <w:spacing w:before="64"/>
                    <w:ind w:left="20"/>
                  </w:pPr>
                  <w:r>
                    <w:rPr/>
                    <w:t>2003</w:t>
                  </w:r>
                </w:p>
                <w:p>
                  <w:pPr>
                    <w:pStyle w:val="BodyText"/>
                    <w:spacing w:before="64"/>
                    <w:ind w:left="20"/>
                  </w:pPr>
                  <w:r>
                    <w:rPr/>
                    <w:t>2006</w:t>
                  </w:r>
                </w:p>
                <w:p>
                  <w:pPr>
                    <w:pStyle w:val="BodyText"/>
                    <w:spacing w:before="64"/>
                    <w:ind w:left="20"/>
                  </w:pPr>
                  <w:r>
                    <w:rPr/>
                    <w:t>2009</w:t>
                  </w:r>
                </w:p>
                <w:p>
                  <w:pPr>
                    <w:pStyle w:val="BodyText"/>
                    <w:spacing w:before="64"/>
                    <w:ind w:left="20"/>
                  </w:pPr>
                  <w:r>
                    <w:rPr/>
                    <w:t>2012</w:t>
                  </w:r>
                </w:p>
                <w:p>
                  <w:pPr>
                    <w:pStyle w:val="BodyText"/>
                    <w:spacing w:before="64"/>
                    <w:ind w:left="20"/>
                  </w:pPr>
                  <w:r>
                    <w:rPr/>
                    <w:t>2015</w:t>
                  </w:r>
                </w:p>
              </w:txbxContent>
            </v:textbox>
            <w10:wrap type="none"/>
          </v:shape>
        </w:pict>
      </w:r>
      <w:r>
        <w:rPr/>
        <w:pict>
          <v:shape style="position:absolute;margin-left:119.683479pt;margin-top:605.749084pt;width:13.15pt;height:15.55pt;mso-position-horizontal-relative:page;mso-position-vertical-relative:page;z-index:251885568" type="#_x0000_t202" filled="false" stroked="false">
            <v:textbox inset="0,0,0,0" style="layout-flow:vertical;mso-layout-flow-alt:bottom-to-top">
              <w:txbxContent>
                <w:p>
                  <w:pPr>
                    <w:pStyle w:val="BodyText"/>
                    <w:tabs>
                      <w:tab w:pos="290" w:val="left" w:leader="none"/>
                    </w:tabs>
                    <w:spacing w:before="12"/>
                    <w:ind w:left="20"/>
                  </w:pPr>
                  <w:r>
                    <w:rPr>
                      <w:w w:val="99"/>
                      <w:u w:val="thick" w:color="497DBA"/>
                    </w:rPr>
                    <w:t> </w:t>
                  </w:r>
                  <w:r>
                    <w:rPr>
                      <w:u w:val="thick" w:color="497DBA"/>
                    </w:rPr>
                    <w:tab/>
                  </w:r>
                </w:p>
              </w:txbxContent>
            </v:textbox>
            <w10:wrap type="none"/>
          </v:shape>
        </w:pict>
      </w:r>
      <w:r>
        <w:rPr/>
        <w:pict>
          <v:shape style="position:absolute;margin-left:222.523483pt;margin-top:609.469116pt;width:13.15pt;height:11.85pt;mso-position-horizontal-relative:page;mso-position-vertical-relative:page;z-index:251886592" type="#_x0000_t202" filled="false" stroked="false">
            <v:textbox inset="0,0,0,0" style="layout-flow:vertical;mso-layout-flow-alt:bottom-to-top">
              <w:txbxContent>
                <w:p>
                  <w:pPr>
                    <w:pStyle w:val="BodyText"/>
                    <w:spacing w:before="12"/>
                    <w:ind w:left="20"/>
                  </w:pPr>
                  <w:r>
                    <w:rPr>
                      <w:w w:val="99"/>
                      <w:u w:val="thick" w:color="497DBA"/>
                    </w:rPr>
                    <w:t> </w:t>
                  </w:r>
                  <w:r>
                    <w:rPr>
                      <w:spacing w:val="-26"/>
                      <w:u w:val="thick" w:color="497DBA"/>
                    </w:rPr>
                    <w:t> </w:t>
                  </w:r>
                </w:p>
              </w:txbxContent>
            </v:textbox>
            <w10:wrap type="none"/>
          </v:shape>
        </w:pict>
      </w:r>
      <w:r>
        <w:rPr/>
        <w:pict>
          <v:shape style="position:absolute;margin-left:293.533478pt;margin-top:629.319214pt;width:190.8pt;height:24.25pt;mso-position-horizontal-relative:page;mso-position-vertical-relative:page;z-index:251887616" type="#_x0000_t202" filled="false" stroked="false">
            <v:textbox inset="0,0,0,0" style="layout-flow:vertical;mso-layout-flow-alt:bottom-to-top">
              <w:txbxContent>
                <w:p>
                  <w:pPr>
                    <w:pStyle w:val="BodyText"/>
                    <w:spacing w:before="12"/>
                    <w:ind w:left="20"/>
                  </w:pPr>
                  <w:r>
                    <w:rPr/>
                    <w:t>1980</w:t>
                  </w:r>
                </w:p>
                <w:p>
                  <w:pPr>
                    <w:pStyle w:val="BodyText"/>
                    <w:spacing w:before="67"/>
                    <w:ind w:left="20"/>
                  </w:pPr>
                  <w:r>
                    <w:rPr/>
                    <w:t>1983</w:t>
                  </w:r>
                </w:p>
                <w:p>
                  <w:pPr>
                    <w:pStyle w:val="BodyText"/>
                    <w:spacing w:before="66"/>
                    <w:ind w:left="20"/>
                  </w:pPr>
                  <w:r>
                    <w:rPr/>
                    <w:t>1986</w:t>
                  </w:r>
                </w:p>
                <w:p>
                  <w:pPr>
                    <w:pStyle w:val="BodyText"/>
                    <w:spacing w:before="66"/>
                    <w:ind w:left="20"/>
                  </w:pPr>
                  <w:r>
                    <w:rPr/>
                    <w:t>1989</w:t>
                  </w:r>
                </w:p>
                <w:p>
                  <w:pPr>
                    <w:pStyle w:val="BodyText"/>
                    <w:spacing w:before="66"/>
                    <w:ind w:left="20"/>
                  </w:pPr>
                  <w:r>
                    <w:rPr/>
                    <w:t>1992</w:t>
                  </w:r>
                </w:p>
                <w:p>
                  <w:pPr>
                    <w:pStyle w:val="BodyText"/>
                    <w:spacing w:before="66"/>
                    <w:ind w:left="20"/>
                  </w:pPr>
                  <w:r>
                    <w:rPr/>
                    <w:t>1995</w:t>
                  </w:r>
                </w:p>
                <w:p>
                  <w:pPr>
                    <w:pStyle w:val="BodyText"/>
                    <w:spacing w:before="66"/>
                    <w:ind w:left="20"/>
                  </w:pPr>
                  <w:r>
                    <w:rPr/>
                    <w:t>1998</w:t>
                  </w:r>
                </w:p>
                <w:p>
                  <w:pPr>
                    <w:pStyle w:val="BodyText"/>
                    <w:spacing w:before="66"/>
                    <w:ind w:left="20"/>
                  </w:pPr>
                  <w:r>
                    <w:rPr/>
                    <w:t>2001</w:t>
                  </w:r>
                </w:p>
                <w:p>
                  <w:pPr>
                    <w:pStyle w:val="BodyText"/>
                    <w:spacing w:before="66"/>
                    <w:ind w:left="20"/>
                  </w:pPr>
                  <w:r>
                    <w:rPr/>
                    <w:t>2004</w:t>
                  </w:r>
                </w:p>
                <w:p>
                  <w:pPr>
                    <w:pStyle w:val="BodyText"/>
                    <w:spacing w:before="67"/>
                    <w:ind w:left="20"/>
                  </w:pPr>
                  <w:r>
                    <w:rPr/>
                    <w:t>2007</w:t>
                  </w:r>
                </w:p>
                <w:p>
                  <w:pPr>
                    <w:pStyle w:val="BodyText"/>
                    <w:spacing w:before="66"/>
                    <w:ind w:left="20"/>
                  </w:pPr>
                  <w:r>
                    <w:rPr/>
                    <w:t>2010</w:t>
                  </w:r>
                </w:p>
                <w:p>
                  <w:pPr>
                    <w:pStyle w:val="BodyText"/>
                    <w:spacing w:before="66"/>
                    <w:ind w:left="20"/>
                  </w:pPr>
                  <w:r>
                    <w:rPr/>
                    <w:t>2013</w:t>
                  </w:r>
                </w:p>
                <w:p>
                  <w:pPr>
                    <w:pStyle w:val="BodyText"/>
                    <w:spacing w:before="66"/>
                    <w:ind w:left="20"/>
                  </w:pPr>
                  <w:r>
                    <w:rPr/>
                    <w:t>2016</w:t>
                  </w:r>
                </w:p>
              </w:txbxContent>
            </v:textbox>
            <w10:wrap type="none"/>
          </v:shape>
        </w:pict>
      </w:r>
    </w:p>
    <w:p>
      <w:pPr>
        <w:spacing w:before="93"/>
        <w:ind w:left="253" w:right="0" w:firstLine="0"/>
        <w:jc w:val="left"/>
        <w:rPr>
          <w:b/>
          <w:sz w:val="22"/>
        </w:rPr>
      </w:pPr>
      <w:r>
        <w:rPr/>
        <w:pict>
          <v:group style="position:absolute;margin-left:51pt;margin-top:23.847895pt;width:471.25pt;height:230.1pt;mso-position-horizontal-relative:page;mso-position-vertical-relative:paragraph;z-index:251872256" coordorigin="1020,477" coordsize="9425,4602">
            <v:line style="position:absolute" from="1030,784" to="5737,784" stroked="true" strokeweight=".48pt" strokecolor="#000000">
              <v:stroke dashstyle="solid"/>
            </v:line>
            <v:line style="position:absolute" from="5747,784" to="10435,784" stroked="true" strokeweight=".48pt" strokecolor="#000000">
              <v:stroke dashstyle="solid"/>
            </v:line>
            <v:line style="position:absolute" from="1025,477" to="1025,5078" stroked="true" strokeweight=".48pt" strokecolor="#000000">
              <v:stroke dashstyle="solid"/>
            </v:line>
            <v:line style="position:absolute" from="1030,5074" to="5737,5074" stroked="true" strokeweight=".48001pt" strokecolor="#000000">
              <v:stroke dashstyle="solid"/>
            </v:line>
            <v:line style="position:absolute" from="5742,477" to="5742,5078" stroked="true" strokeweight=".47998pt" strokecolor="#000000">
              <v:stroke dashstyle="solid"/>
            </v:line>
            <v:line style="position:absolute" from="5747,5074" to="10435,5074" stroked="true" strokeweight=".48001pt" strokecolor="#000000">
              <v:stroke dashstyle="solid"/>
            </v:line>
            <v:line style="position:absolute" from="10440,477" to="10440,5078" stroked="true" strokeweight=".47998pt" strokecolor="#000000">
              <v:stroke dashstyle="solid"/>
            </v:line>
            <v:shape style="position:absolute;left:1334;top:1652;width:3752;height:2511" coordorigin="1334,1653" coordsize="3752,2511" path="m5026,4103l5026,1653m5026,4103l5086,4103m5026,3613l5086,3613m5026,3124l5086,3124m5026,2632l5086,2632m5026,2142l5086,2142m5026,1653l5086,1653m1334,4103l5026,4103m1334,4103l1334,4163m1692,4103l1692,4163m2050,4103l2050,4163m2407,4103l2407,4163m2765,4103l2765,4163m3120,4103l3120,4163m3478,4103l3478,4163m3835,4103l3835,4163m4193,4103l4193,4163m4550,4103l4550,4163m4906,4103l4906,4163e" filled="false" stroked="true" strokeweight=".72pt" strokecolor="#858585">
              <v:path arrowok="t"/>
              <v:stroke dashstyle="solid"/>
            </v:shape>
            <v:shape style="position:absolute;left:1317;top:1866;width:3725;height:1817" type="#_x0000_t75" stroked="false">
              <v:imagedata r:id="rId59" o:title=""/>
            </v:shape>
            <v:line style="position:absolute" from="1584,1033" to="1968,1033" stroked="true" strokeweight="1.68pt" strokecolor="#000000">
              <v:stroke dashstyle="solid"/>
            </v:line>
            <v:line style="position:absolute" from="1584,1293" to="1968,1293" stroked="true" strokeweight="1.68pt" strokecolor="#00af50">
              <v:stroke dashstyle="solid"/>
            </v:line>
            <v:line style="position:absolute" from="1584,1552" to="1968,1552" stroked="true" strokeweight="1.68pt" strokecolor="#ff0000">
              <v:stroke dashstyle="solid"/>
            </v:line>
            <v:line style="position:absolute" from="1584,1811" to="1968,1811" stroked="true" strokeweight="1.68pt" strokecolor="#ffc000">
              <v:stroke dashstyle="solid"/>
            </v:line>
            <v:shape style="position:absolute;left:6048;top:1611;width:3713;height:2552" coordorigin="6048,1612" coordsize="3713,2552" path="m9701,4103l9701,1612m9701,4103l9761,4103m9701,3606l9761,3606m9701,3107l9761,3107m9701,2608l9761,2608m9701,2111l9761,2111m9701,1612l9761,1612m6048,4103l9701,4103m6048,4103l6048,4163m6398,4103l6398,4163m6749,4103l6749,4163m7102,4103l7102,4163m7452,4103l7452,4163m7802,4103l7802,4163m8153,4103l8153,4163m8503,4103l8503,4163m8854,4103l8854,4163m9204,4103l9204,4163m9554,4103l9554,4163e" filled="false" stroked="true" strokeweight=".72pt" strokecolor="#858585">
              <v:path arrowok="t"/>
              <v:stroke dashstyle="solid"/>
            </v:shape>
            <v:shape style="position:absolute;left:6048;top:2446;width:3653;height:1296" coordorigin="6048,2447" coordsize="3653,1296" path="m6048,3666l6077,3673,6108,3709,6137,3721,6166,3736,6194,3731,6223,3717,6252,3702,6283,3702,6312,3729,6341,3697,6370,3714,6398,3717,6430,3738,6458,3743,6487,3721,6516,3700,6545,3669,6574,3695,6605,3685,6634,3707,6662,3702,6691,3702,6720,3652,6751,3659,6780,3594,6809,3580,6838,3551,6866,3510,6895,3503,6924,3496,6955,3505,6984,3532,7013,3551,7042,3568,7070,3580,7102,3606,7130,3635,7159,3618,7188,3599,7217,3561,7246,3592,7274,3582,7306,3597,7334,3539,7363,3565,7392,3539,7423,3522,7452,3513,7481,3503,7510,3529,7538,3556,7567,3582,7598,3645,7627,3621,7656,3613,7685,3642,7714,3647,7742,3647,7774,3652,7802,3642,7831,3645,7860,3635,7889,3633,7920,3633,7949,3594,7978,3520,8006,3472,8035,3438,8064,3457,8093,3496,8124,3484,8153,3457,8182,3402,8210,3337,8239,3335,8270,3313,8299,3337,8328,3323,8357,3354,8386,3436,8414,3508,8446,3513,8474,3513,8503,3462,8532,3419,8561,3462,8592,3508,8621,3498,8650,3479,8678,3477,8707,3493,8736,3525,8767,3585,8796,3441,8825,3222,8854,2622,8882,2447,8911,2526,8942,2543,8971,2557,9000,2555,9029,2574,9058,2593,9089,2603,9118,2639,9146,2639,9175,2658,9204,2723,9233,2773,9264,2790,9293,2800,9322,2809,9350,2785,9379,2778,9408,2769,9439,2929,9468,3474,9497,3493,9526,3477,9554,3469,9583,3477,9614,3587,9643,3573,9672,3613,9701,3616e" filled="false" stroked="true" strokeweight="1.68pt" strokecolor="#000000">
              <v:path arrowok="t"/>
              <v:stroke dashstyle="solid"/>
            </v:shape>
            <v:shape style="position:absolute;left:6048;top:2259;width:3653;height:1320" coordorigin="6048,2260" coordsize="3653,1320" path="m6048,3472l6077,3496,6108,3510,6137,3575,6166,3527,6194,3580,6223,3481,6252,3532,6283,3537,6312,3539,6341,3520,6370,3532,6398,3479,6430,3522,6458,3517,6487,3450,6516,3400,6545,3354,6574,3443,6605,3431,6634,3438,6662,3472,6691,3453,6720,3438,6751,3457,6780,3445,6809,3436,6838,3373,6866,3390,6895,3371,6924,3289,6955,3258,6984,3229,7013,3095,7042,3090,7070,3126,7102,3162,7130,3225,7159,3208,7188,3215,7217,3203,7246,3265,7274,3225,7306,3201,7334,3145,7363,3069,7392,2999,7423,2949,7452,2922,7481,2917,7510,2989,7538,3052,7567,3148,7598,3508,7627,3570,7656,3568,7685,3573,7714,3469,7742,3467,7774,3414,7802,3337,7831,3337,7860,3349,7889,3390,7920,3421,7949,3484,7978,3321,8006,3249,8035,3167,8064,3160,8093,3169,8124,3119,8153,3126,8182,3011,8210,2985,8239,2989,8270,2970,8299,3035,8328,3021,8357,3076,8386,3155,8414,3273,8446,3323,8474,3364,8503,3390,8532,3275,8561,3261,8592,3289,8621,3215,8650,3177,8678,3189,8707,3249,8736,3328,8767,3433,8796,3225,8825,2977,8854,2476,8882,2260,8911,2310,8942,2334,8971,2339,9000,2363,9029,2389,9058,2385,9089,2399,9118,2464,9146,2464,9175,2466,9204,2500,9233,2538,9264,2565,9293,2553,9322,2557,9350,2545,9379,2519,9408,2519,9439,2598,9468,2934,9497,3009,9526,2997,9554,2999,9583,2975,9614,3102,9643,3097,9672,3097,9701,3011e" filled="false" stroked="true" strokeweight="1.68pt" strokecolor="#00af50">
              <v:path arrowok="t"/>
              <v:stroke dashstyle="solid"/>
            </v:shape>
            <v:shape style="position:absolute;left:6048;top:2566;width:3653;height:1131" coordorigin="6048,2567" coordsize="3653,1131" path="m6048,3436l6077,3431,6108,3539,6137,3568,6166,3558,6194,3570,6223,3546,6252,3527,6283,3541,6312,3553,6341,3541,6370,3652,6398,3683,6430,3697,6458,3681,6487,3661,6516,3652,6545,3642,6574,3637,6605,3654,6634,3671,6662,3657,6691,3621,6720,3505,6751,3522,6780,3443,6809,3429,6838,3414,6866,3359,6895,3357,6924,3371,6955,3443,6984,3460,7013,3397,7042,3421,7070,3388,7102,3376,7130,3364,7159,3393,7188,3395,7217,3385,7246,3414,7274,3409,7306,3479,7334,3436,7363,3570,7392,3640,7423,3633,7452,3606,7481,3604,7510,3551,7538,3539,7567,3549,7598,3553,7627,3515,7656,3522,7685,3549,7714,3570,7742,3561,7774,3558,7802,3541,7831,3529,7860,3534,7889,3527,7920,3513,7949,3465,7978,3436,8006,3395,8035,3397,8064,3414,8093,3462,8124,3474,8153,3450,8182,3419,8210,3323,8239,3273,8270,3232,8299,3232,8328,3213,8357,3232,8386,3311,8414,3342,8446,3304,8474,3270,8503,3270,8532,3309,8561,3316,8592,3347,8621,3337,8650,3316,8678,3313,8707,3292,8736,3289,8767,3316,8796,3184,8825,3097,8854,2617,8882,2567,8911,2644,8942,2646,8971,2675,9000,2653,9029,2673,9058,2723,9089,2730,9118,2754,9146,2737,9175,2773,9204,2809,9233,2819,9264,2826,9293,2855,9322,2857,9350,2838,9379,2843,9408,2826,9439,3109,9468,3592,9497,3575,9526,3522,9554,3484,9583,3580,9614,3606,9643,3546,9672,3604,9701,3561e" filled="false" stroked="true" strokeweight="1.68pt" strokecolor="#ff0000">
              <v:path arrowok="t"/>
              <v:stroke dashstyle="solid"/>
            </v:shape>
            <v:shape style="position:absolute;left:6048;top:2101;width:3653;height:1256" coordorigin="6048,2101" coordsize="3653,1256" path="m6048,3201l6077,3258,6108,3227,6137,3268,6166,3268,6194,3220,6223,3258,6252,3311,6283,3335,6312,3330,6341,3318,6370,3313,6398,3265,6430,3239,6458,3251,6487,3258,6516,3225,6545,3129,6574,3095,6605,3023,6634,3073,6662,3186,6691,3311,6720,3321,6751,3285,6780,3275,6809,3268,6838,3313,6866,3311,6895,3328,6924,3316,6955,3292,6984,3244,7013,3213,7042,3256,7070,3225,7102,3220,7130,3227,7159,3198,7188,3246,7217,3268,7246,3280,7274,3275,7306,3227,7334,3234,7363,3249,7392,3256,7423,3289,7452,3294,7481,3265,7510,3232,7538,3181,7567,3217,7598,3129,7627,3131,7656,3126,7685,3153,7714,3114,7742,3088,7774,3119,7802,3136,7831,3081,7860,2958,7889,2965,7920,2968,7949,3023,7978,2956,8006,2961,8035,2992,8064,2973,8093,2937,8124,2917,8153,2850,8182,2797,8210,2833,8239,3013,8270,3109,8299,3076,8328,2985,8357,3040,8386,3049,8414,3165,8446,3143,8474,3157,8503,3237,8532,3289,8561,3357,8592,3321,8621,3333,8650,3342,8678,3294,8707,3261,8736,3261,8767,3251,8796,3261,8825,3297,8854,2545,8882,2101,8911,2214,8942,2238,8971,2236,9000,2205,9029,2200,9058,2212,9089,2207,9118,2205,9146,2236,9175,2236,9204,2377,9233,2440,9264,2440,9293,2447,9322,2447,9350,2435,9379,2449,9408,2428,9439,2538,9468,3227,9497,3143,9526,3225,9554,3249,9583,3232,9614,3253,9643,3265,9672,3239,9701,3325e" filled="false" stroked="true" strokeweight="1.68pt" strokecolor="#ffc000">
              <v:path arrowok="t"/>
              <v:stroke dashstyle="solid"/>
            </v:shape>
            <v:line style="position:absolute" from="6178,1038" to="6562,1038" stroked="true" strokeweight="1.68pt" strokecolor="#000000">
              <v:stroke dashstyle="solid"/>
            </v:line>
            <v:line style="position:absolute" from="6178,1307" to="6562,1307" stroked="true" strokeweight="1.68pt" strokecolor="#00af50">
              <v:stroke dashstyle="solid"/>
            </v:line>
            <v:line style="position:absolute" from="6178,1573" to="6562,1573" stroked="true" strokeweight="1.68pt" strokecolor="#ff0000">
              <v:stroke dashstyle="solid"/>
            </v:line>
            <v:line style="position:absolute" from="6178,1842" to="6562,1842" stroked="true" strokeweight="1.68pt" strokecolor="#ffc000">
              <v:stroke dashstyle="solid"/>
            </v:line>
            <v:shape style="position:absolute;left:5850;top:4887;width:3687;height:180" type="#_x0000_t202" filled="false" stroked="false">
              <v:textbox inset="0,0,0,0">
                <w:txbxContent>
                  <w:p>
                    <w:pPr>
                      <w:spacing w:line="179" w:lineRule="exact" w:before="0"/>
                      <w:ind w:left="0" w:right="0" w:firstLine="0"/>
                      <w:jc w:val="left"/>
                      <w:rPr>
                        <w:sz w:val="16"/>
                      </w:rPr>
                    </w:pPr>
                    <w:r>
                      <w:rPr>
                        <w:sz w:val="16"/>
                      </w:rPr>
                      <w:t>Note: Country samples are the same as in Figure 9.</w:t>
                    </w:r>
                  </w:p>
                </w:txbxContent>
              </v:textbox>
              <w10:wrap type="none"/>
            </v:shape>
            <v:shape style="position:absolute;left:9877;top:1494;width:299;height:2714" type="#_x0000_t202" filled="false" stroked="false">
              <v:textbox inset="0,0,0,0">
                <w:txbxContent>
                  <w:p>
                    <w:pPr>
                      <w:spacing w:line="223" w:lineRule="exact" w:before="0"/>
                      <w:ind w:left="0" w:right="0" w:firstLine="0"/>
                      <w:jc w:val="left"/>
                      <w:rPr>
                        <w:sz w:val="20"/>
                      </w:rPr>
                    </w:pPr>
                    <w:r>
                      <w:rPr>
                        <w:w w:val="99"/>
                        <w:sz w:val="20"/>
                      </w:rPr>
                      <w:t>1</w:t>
                    </w:r>
                  </w:p>
                  <w:p>
                    <w:pPr>
                      <w:spacing w:line="240" w:lineRule="auto" w:before="3"/>
                      <w:rPr>
                        <w:sz w:val="23"/>
                      </w:rPr>
                    </w:pPr>
                  </w:p>
                  <w:p>
                    <w:pPr>
                      <w:spacing w:before="0"/>
                      <w:ind w:left="0" w:right="0" w:firstLine="0"/>
                      <w:jc w:val="left"/>
                      <w:rPr>
                        <w:sz w:val="20"/>
                      </w:rPr>
                    </w:pPr>
                    <w:r>
                      <w:rPr>
                        <w:sz w:val="20"/>
                      </w:rPr>
                      <w:t>0.8</w:t>
                    </w:r>
                  </w:p>
                  <w:p>
                    <w:pPr>
                      <w:spacing w:line="240" w:lineRule="auto" w:before="4"/>
                      <w:rPr>
                        <w:sz w:val="23"/>
                      </w:rPr>
                    </w:pPr>
                  </w:p>
                  <w:p>
                    <w:pPr>
                      <w:spacing w:before="0"/>
                      <w:ind w:left="0" w:right="0" w:firstLine="0"/>
                      <w:jc w:val="left"/>
                      <w:rPr>
                        <w:sz w:val="20"/>
                      </w:rPr>
                    </w:pPr>
                    <w:r>
                      <w:rPr>
                        <w:sz w:val="20"/>
                      </w:rPr>
                      <w:t>0.6</w:t>
                    </w:r>
                  </w:p>
                  <w:p>
                    <w:pPr>
                      <w:spacing w:line="240" w:lineRule="auto" w:before="3"/>
                      <w:rPr>
                        <w:sz w:val="23"/>
                      </w:rPr>
                    </w:pPr>
                  </w:p>
                  <w:p>
                    <w:pPr>
                      <w:spacing w:before="1"/>
                      <w:ind w:left="0" w:right="0" w:firstLine="0"/>
                      <w:jc w:val="left"/>
                      <w:rPr>
                        <w:sz w:val="20"/>
                      </w:rPr>
                    </w:pPr>
                    <w:r>
                      <w:rPr>
                        <w:sz w:val="20"/>
                      </w:rPr>
                      <w:t>0.4</w:t>
                    </w:r>
                  </w:p>
                  <w:p>
                    <w:pPr>
                      <w:spacing w:line="240" w:lineRule="auto" w:before="3"/>
                      <w:rPr>
                        <w:sz w:val="23"/>
                      </w:rPr>
                    </w:pPr>
                  </w:p>
                  <w:p>
                    <w:pPr>
                      <w:spacing w:before="0"/>
                      <w:ind w:left="0" w:right="0" w:firstLine="0"/>
                      <w:jc w:val="left"/>
                      <w:rPr>
                        <w:sz w:val="20"/>
                      </w:rPr>
                    </w:pPr>
                    <w:r>
                      <w:rPr>
                        <w:sz w:val="20"/>
                      </w:rPr>
                      <w:t>0.2</w:t>
                    </w:r>
                  </w:p>
                  <w:p>
                    <w:pPr>
                      <w:spacing w:line="240" w:lineRule="auto" w:before="4"/>
                      <w:rPr>
                        <w:sz w:val="23"/>
                      </w:rPr>
                    </w:pPr>
                  </w:p>
                  <w:p>
                    <w:pPr>
                      <w:spacing w:before="0"/>
                      <w:ind w:left="0" w:right="0" w:firstLine="0"/>
                      <w:jc w:val="left"/>
                      <w:rPr>
                        <w:sz w:val="20"/>
                      </w:rPr>
                    </w:pPr>
                    <w:r>
                      <w:rPr>
                        <w:w w:val="99"/>
                        <w:sz w:val="20"/>
                      </w:rPr>
                      <w:t>0</w:t>
                    </w:r>
                  </w:p>
                </w:txbxContent>
              </v:textbox>
              <w10:wrap type="none"/>
            </v:shape>
            <v:shape style="position:absolute;left:6604;top:919;width:1641;height:1028" type="#_x0000_t202" filled="false" stroked="false">
              <v:textbox inset="0,0,0,0">
                <w:txbxContent>
                  <w:p>
                    <w:pPr>
                      <w:spacing w:line="280" w:lineRule="auto" w:before="0"/>
                      <w:ind w:left="0" w:right="216" w:firstLine="0"/>
                      <w:jc w:val="left"/>
                      <w:rPr>
                        <w:sz w:val="20"/>
                      </w:rPr>
                    </w:pPr>
                    <w:r>
                      <w:rPr>
                        <w:sz w:val="20"/>
                      </w:rPr>
                      <w:t>Full sample Euro area Other</w:t>
                    </w:r>
                    <w:r>
                      <w:rPr>
                        <w:spacing w:val="-14"/>
                        <w:sz w:val="20"/>
                      </w:rPr>
                      <w:t> </w:t>
                    </w:r>
                    <w:r>
                      <w:rPr>
                        <w:sz w:val="20"/>
                      </w:rPr>
                      <w:t>advanced</w:t>
                    </w:r>
                  </w:p>
                  <w:p>
                    <w:pPr>
                      <w:spacing w:line="227" w:lineRule="exact" w:before="0"/>
                      <w:ind w:left="0" w:right="0" w:firstLine="0"/>
                      <w:jc w:val="left"/>
                      <w:rPr>
                        <w:sz w:val="20"/>
                      </w:rPr>
                    </w:pPr>
                    <w:r>
                      <w:rPr>
                        <w:sz w:val="20"/>
                      </w:rPr>
                      <w:t>Emerging markets</w:t>
                    </w:r>
                  </w:p>
                </w:txbxContent>
              </v:textbox>
              <w10:wrap type="none"/>
            </v:shape>
            <v:shape style="position:absolute;left:1133;top:4887;width:3684;height:180" type="#_x0000_t202" filled="false" stroked="false">
              <v:textbox inset="0,0,0,0">
                <w:txbxContent>
                  <w:p>
                    <w:pPr>
                      <w:spacing w:line="179" w:lineRule="exact" w:before="0"/>
                      <w:ind w:left="0" w:right="0" w:firstLine="0"/>
                      <w:jc w:val="left"/>
                      <w:rPr>
                        <w:sz w:val="16"/>
                      </w:rPr>
                    </w:pPr>
                    <w:r>
                      <w:rPr>
                        <w:sz w:val="16"/>
                      </w:rPr>
                      <w:t>Note: Country samples are the same as in Figure 9.</w:t>
                    </w:r>
                  </w:p>
                </w:txbxContent>
              </v:textbox>
              <w10:wrap type="none"/>
            </v:shape>
            <v:shape style="position:absolute;left:5199;top:1534;width:299;height:2674" type="#_x0000_t202" filled="false" stroked="false">
              <v:textbox inset="0,0,0,0">
                <w:txbxContent>
                  <w:p>
                    <w:pPr>
                      <w:spacing w:line="223" w:lineRule="exact" w:before="0"/>
                      <w:ind w:left="0" w:right="0" w:firstLine="0"/>
                      <w:jc w:val="left"/>
                      <w:rPr>
                        <w:sz w:val="20"/>
                      </w:rPr>
                    </w:pPr>
                    <w:r>
                      <w:rPr>
                        <w:w w:val="99"/>
                        <w:sz w:val="20"/>
                      </w:rPr>
                      <w:t>1</w:t>
                    </w:r>
                  </w:p>
                  <w:p>
                    <w:pPr>
                      <w:spacing w:line="240" w:lineRule="auto" w:before="7"/>
                      <w:rPr>
                        <w:sz w:val="22"/>
                      </w:rPr>
                    </w:pPr>
                  </w:p>
                  <w:p>
                    <w:pPr>
                      <w:spacing w:before="0"/>
                      <w:ind w:left="0" w:right="0" w:firstLine="0"/>
                      <w:jc w:val="left"/>
                      <w:rPr>
                        <w:sz w:val="20"/>
                      </w:rPr>
                    </w:pPr>
                    <w:r>
                      <w:rPr>
                        <w:sz w:val="20"/>
                      </w:rPr>
                      <w:t>0.8</w:t>
                    </w:r>
                  </w:p>
                  <w:p>
                    <w:pPr>
                      <w:spacing w:line="240" w:lineRule="auto" w:before="7"/>
                      <w:rPr>
                        <w:sz w:val="22"/>
                      </w:rPr>
                    </w:pPr>
                  </w:p>
                  <w:p>
                    <w:pPr>
                      <w:spacing w:before="0"/>
                      <w:ind w:left="0" w:right="0" w:firstLine="0"/>
                      <w:jc w:val="left"/>
                      <w:rPr>
                        <w:sz w:val="20"/>
                      </w:rPr>
                    </w:pPr>
                    <w:r>
                      <w:rPr>
                        <w:sz w:val="20"/>
                      </w:rPr>
                      <w:t>0.6</w:t>
                    </w:r>
                  </w:p>
                  <w:p>
                    <w:pPr>
                      <w:spacing w:line="240" w:lineRule="auto" w:before="7"/>
                      <w:rPr>
                        <w:sz w:val="22"/>
                      </w:rPr>
                    </w:pPr>
                  </w:p>
                  <w:p>
                    <w:pPr>
                      <w:spacing w:before="1"/>
                      <w:ind w:left="0" w:right="0" w:firstLine="0"/>
                      <w:jc w:val="left"/>
                      <w:rPr>
                        <w:sz w:val="20"/>
                      </w:rPr>
                    </w:pPr>
                    <w:r>
                      <w:rPr>
                        <w:sz w:val="20"/>
                      </w:rPr>
                      <w:t>0.4</w:t>
                    </w:r>
                  </w:p>
                  <w:p>
                    <w:pPr>
                      <w:spacing w:line="240" w:lineRule="auto" w:before="6"/>
                      <w:rPr>
                        <w:sz w:val="22"/>
                      </w:rPr>
                    </w:pPr>
                  </w:p>
                  <w:p>
                    <w:pPr>
                      <w:spacing w:before="1"/>
                      <w:ind w:left="0" w:right="0" w:firstLine="0"/>
                      <w:jc w:val="left"/>
                      <w:rPr>
                        <w:sz w:val="20"/>
                      </w:rPr>
                    </w:pPr>
                    <w:r>
                      <w:rPr>
                        <w:sz w:val="20"/>
                      </w:rPr>
                      <w:t>0.2</w:t>
                    </w:r>
                  </w:p>
                  <w:p>
                    <w:pPr>
                      <w:spacing w:line="240" w:lineRule="auto" w:before="7"/>
                      <w:rPr>
                        <w:sz w:val="22"/>
                      </w:rPr>
                    </w:pPr>
                  </w:p>
                  <w:p>
                    <w:pPr>
                      <w:spacing w:before="0"/>
                      <w:ind w:left="0" w:right="0" w:firstLine="0"/>
                      <w:jc w:val="left"/>
                      <w:rPr>
                        <w:sz w:val="20"/>
                      </w:rPr>
                    </w:pPr>
                    <w:r>
                      <w:rPr>
                        <w:w w:val="99"/>
                        <w:sz w:val="20"/>
                      </w:rPr>
                      <w:t>0</w:t>
                    </w:r>
                  </w:p>
                </w:txbxContent>
              </v:textbox>
              <w10:wrap type="none"/>
            </v:shape>
            <v:shape style="position:absolute;left:2009;top:915;width:1641;height:1000" type="#_x0000_t202" filled="false" stroked="false">
              <v:textbox inset="0,0,0,0">
                <w:txbxContent>
                  <w:p>
                    <w:pPr>
                      <w:spacing w:line="271" w:lineRule="auto" w:before="0"/>
                      <w:ind w:left="0" w:right="216" w:firstLine="0"/>
                      <w:jc w:val="left"/>
                      <w:rPr>
                        <w:sz w:val="20"/>
                      </w:rPr>
                    </w:pPr>
                    <w:r>
                      <w:rPr>
                        <w:sz w:val="20"/>
                      </w:rPr>
                      <w:t>Full sample Euro area Other</w:t>
                    </w:r>
                    <w:r>
                      <w:rPr>
                        <w:spacing w:val="-14"/>
                        <w:sz w:val="20"/>
                      </w:rPr>
                      <w:t> </w:t>
                    </w:r>
                    <w:r>
                      <w:rPr>
                        <w:sz w:val="20"/>
                      </w:rPr>
                      <w:t>advanced</w:t>
                    </w:r>
                  </w:p>
                  <w:p>
                    <w:pPr>
                      <w:spacing w:line="227" w:lineRule="exact" w:before="0"/>
                      <w:ind w:left="0" w:right="0" w:firstLine="0"/>
                      <w:jc w:val="left"/>
                      <w:rPr>
                        <w:sz w:val="20"/>
                      </w:rPr>
                    </w:pPr>
                    <w:r>
                      <w:rPr>
                        <w:sz w:val="20"/>
                      </w:rPr>
                      <w:t>Emerging markets</w:t>
                    </w:r>
                  </w:p>
                </w:txbxContent>
              </v:textbox>
              <w10:wrap type="none"/>
            </v:shape>
            <v:shape style="position:absolute;left:5742;top:481;width:4698;height:303" type="#_x0000_t202" filled="false" stroked="true" strokeweight=".47998pt" strokecolor="#000000">
              <v:textbox inset="0,0,0,0">
                <w:txbxContent>
                  <w:p>
                    <w:pPr>
                      <w:spacing w:before="0"/>
                      <w:ind w:left="463" w:right="0" w:firstLine="0"/>
                      <w:jc w:val="left"/>
                      <w:rPr>
                        <w:sz w:val="22"/>
                      </w:rPr>
                    </w:pPr>
                    <w:r>
                      <w:rPr>
                        <w:sz w:val="22"/>
                      </w:rPr>
                      <w:t>b.</w:t>
                    </w:r>
                    <w:r>
                      <w:rPr>
                        <w:spacing w:val="53"/>
                        <w:sz w:val="22"/>
                      </w:rPr>
                      <w:t> </w:t>
                    </w:r>
                    <w:r>
                      <w:rPr>
                        <w:sz w:val="22"/>
                      </w:rPr>
                      <w:t>GDP</w:t>
                    </w:r>
                  </w:p>
                </w:txbxContent>
              </v:textbox>
              <v:stroke dashstyle="solid"/>
              <w10:wrap type="none"/>
            </v:shape>
            <v:shape style="position:absolute;left:1024;top:481;width:4718;height:303" type="#_x0000_t202" filled="false" stroked="true" strokeweight=".47998pt" strokecolor="#000000">
              <v:textbox inset="0,0,0,0">
                <w:txbxContent>
                  <w:p>
                    <w:pPr>
                      <w:spacing w:before="0"/>
                      <w:ind w:left="461" w:right="0" w:firstLine="0"/>
                      <w:jc w:val="left"/>
                      <w:rPr>
                        <w:sz w:val="22"/>
                      </w:rPr>
                    </w:pPr>
                    <w:r>
                      <w:rPr>
                        <w:sz w:val="22"/>
                      </w:rPr>
                      <w:t>a. Equity</w:t>
                    </w:r>
                  </w:p>
                </w:txbxContent>
              </v:textbox>
              <v:stroke dashstyle="solid"/>
              <w10:wrap type="none"/>
            </v:shape>
            <w10:wrap type="none"/>
          </v:group>
        </w:pict>
      </w:r>
      <w:r>
        <w:rPr>
          <w:b/>
          <w:sz w:val="22"/>
        </w:rPr>
        <w:t>Figure 13. Share of variance explained by first principal component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3"/>
        </w:rPr>
      </w:pPr>
    </w:p>
    <w:p>
      <w:pPr>
        <w:spacing w:before="0"/>
        <w:ind w:left="253" w:right="0" w:firstLine="0"/>
        <w:jc w:val="left"/>
        <w:rPr>
          <w:b/>
          <w:sz w:val="22"/>
        </w:rPr>
      </w:pPr>
      <w:r>
        <w:rPr/>
        <w:pict>
          <v:line style="position:absolute;mso-position-horizontal-relative:page;mso-position-vertical-relative:paragraph;z-index:251873280" from="51.240002pt,19.197878pt" to="51.240002pt,261.887858pt" stroked="true" strokeweight=".48pt" strokecolor="#000000">
            <v:stroke dashstyle="solid"/>
            <w10:wrap type="none"/>
          </v:line>
        </w:pict>
      </w:r>
      <w:r>
        <w:rPr/>
        <w:pict>
          <v:line style="position:absolute;mso-position-horizontal-relative:page;mso-position-vertical-relative:paragraph;z-index:251874304" from="283.389984pt,19.197878pt" to="283.389984pt,261.887858pt" stroked="true" strokeweight=".47998pt" strokecolor="#000000">
            <v:stroke dashstyle="solid"/>
            <w10:wrap type="none"/>
          </v:line>
        </w:pict>
      </w:r>
      <w:r>
        <w:rPr/>
        <w:pict>
          <v:line style="position:absolute;mso-position-horizontal-relative:page;mso-position-vertical-relative:paragraph;z-index:251875328" from="514.679993pt,19.197878pt" to="514.679993pt,261.887858pt" stroked="true" strokeweight=".47998pt" strokecolor="#000000">
            <v:stroke dashstyle="solid"/>
            <w10:wrap type="none"/>
          </v:line>
        </w:pict>
      </w:r>
      <w:r>
        <w:rPr/>
        <w:pict>
          <v:group style="position:absolute;margin-left:51.000011pt;margin-top:19.197878pt;width:463.95pt;height:243.2pt;mso-position-horizontal-relative:page;mso-position-vertical-relative:paragraph;z-index:251879424" coordorigin="1020,384" coordsize="9279,4864">
            <v:shape style="position:absolute;left:1346;top:1004;width:3651;height:3480" coordorigin="1346,1005" coordsize="3651,3480" path="m4937,4485l4937,1005m4937,4485l4997,4485m4937,4137l4997,4137m4937,3789l4997,3789m4937,3441l4997,3441m4937,3093l4997,3093m4937,2745l4997,2745m4937,2397l4997,2397m4937,2049l4997,2049m4937,1701l4997,1701m4937,1353l4997,1353m4937,1005l4997,1005m1346,4485l4937,4485e" filled="false" stroked="true" strokeweight=".72pt" strokecolor="#858585">
              <v:path arrowok="t"/>
              <v:stroke dashstyle="solid"/>
            </v:shape>
            <v:shape style="position:absolute;left:1348;top:3891;width:416;height:593" coordorigin="1349,3892" coordsize="416,593" path="m1349,4410l1351,4410,1351,4485,1354,4485,1356,4485,1358,4485,1361,4485,1363,4336,1366,4264,1368,4041,1370,4485,1370,4410,1373,4485,1375,4485,1378,4410,1378,4485,1380,4485,1382,4336,1385,4485,1387,4485,1404,4485,1406,4410,1409,4485,1411,4485,1414,4485,1416,4485,1418,4485,1421,4410,1421,4485,1423,4410,1426,4485,1428,4485,1430,4410,1433,4410,1435,4485,1438,4410,1440,4264,1440,4041,1442,4485,1445,4485,1447,4410,1447,4485,1450,4485,1452,4336,1454,4485,1457,4485,1457,4410,1459,4485,1462,4485,1464,4410,1466,4485,1469,4485,1471,4410,1474,4410,1474,4485,1476,4485,1478,4336,1481,4410,1483,4336,1486,4410,1488,4336,1490,4410,1493,4410,1493,4485,1495,4410,1498,4264,1500,4485,1500,3892,1502,4410,1505,4485,1507,4264,1510,4336,1510,4041,1512,4264,1514,4336,1517,4115,1519,4115,1522,4485,1524,4189,1526,4410,1526,4485,1529,4485,1531,4485,1543,4485,1546,4336,1548,4264,1550,4410,1553,4410,1553,4485,1555,4189,1558,4410,1560,4485,1562,4189,1562,4410,1565,4410,1567,4336,1570,4485,1570,4410,1572,4410,1574,4485,1577,4485,1579,4485,1579,4410,1582,4410,1584,4485,1586,4410,1589,4485,1589,4041,1591,4485,1594,4410,1596,4264,1596,4410,1598,4410,1601,4336,1603,4410,1606,4264,1606,4410,1608,4485,1610,4410,1613,4485,1615,4336,1615,4410,1618,4264,1620,4485,1622,4485,1622,4410,1625,4264,1627,4485,1630,4485,1632,4485,1632,4264,1634,4410,1637,4485,1639,4485,1642,4485,1644,4485,1646,4485,1649,4410,1651,4410,1654,4485,1656,4485,1658,4336,1658,4410,1661,4485,1663,4485,1666,4410,1666,4485,1668,4485,1670,4410,1673,4485,1675,4485,1678,4410,1680,4336,1682,4485,1685,4410,1687,4485,1690,4485,1692,4410,1694,4485,1697,4485,1699,4410,1702,4485,1704,4485,1706,4410,1709,4485,1711,4485,1714,4410,1716,4410,1718,4336,1718,4410,1721,4485,1723,4485,1726,4410,1728,4410,1728,4485,1730,4485,1733,4485,1735,4485,1738,4410,1740,4485,1742,4485,1745,4485,1747,4485,1750,4410,1752,3966,1754,4485,1754,4410,1757,4410,1759,4485,1762,4410,1764,4410e" filled="false" stroked="true" strokeweight="1.44pt" strokecolor="#497dba">
              <v:path arrowok="t"/>
              <v:stroke dashstyle="solid"/>
            </v:shape>
            <v:shape style="position:absolute;left:1764;top:1671;width:2002;height:2813" coordorigin="1764,1672" coordsize="2002,2813" path="m1764,4410l1766,4410,1769,4410,1771,4485,1774,4485,1776,4336,1778,4410,1781,3745,1781,4485,1783,4485,1786,4336,1788,4410,1790,4485,1790,4336,1793,4189,1795,4264,1798,4485,1798,4410,1800,4485,1802,4485,1805,4485,1807,4485,1810,4485,1812,4410,1814,4485,1814,4410,1817,4410,1819,4410,1822,4485,1824,4485,1824,4410,1826,4485,1829,4485,1831,4485,1834,4336,1834,4485,1836,4485,1838,4485,1841,4410,1841,4485,1843,4485,1846,4485,1848,4485,1850,4485,1850,4410,1853,4485,1855,4485,1858,4485,1860,4485,1862,4485,1865,4485,1867,4485,1870,4410,1872,4485,1874,4485,1877,4485,1879,4485,1882,4485,1884,4336,1886,4485,1889,4410,1891,4410,1894,4485,1894,4410,1896,4410,1898,4485,1901,4410,1903,4410,1903,4485,1906,4336,1908,4485,1910,4485,1913,4336,1915,4410,1918,4410,1920,4410,1920,4264,1922,4485,1925,4485,1927,4485,1930,4410,1930,4264,1932,4485,1934,4264,1937,4485,1937,4336,1939,4410,1942,4336,1944,4264,1946,4410,1949,4485,1951,4336,1954,4410,1956,4336,1958,4410,1961,4485,1963,4410,1963,4485,1966,4410,1968,4410,1970,4336,1973,4485,1973,4189,1975,4189,1978,4336,1980,4336,1982,4485,1982,4336,1985,4410,1987,4336,1990,4336,1990,4485,1992,4336,1994,4336,1997,4485,1999,4410,1999,4485,2002,4410,2004,4485,2006,4115,2009,4410,2011,4264,2014,4410,2016,4264,2016,4336,2018,4410,2021,4485,2023,4410,2026,4336,2026,4485,2028,4410,2030,4485,2033,4485,2035,4485,2038,4336,2040,4410,2042,4410,2042,4264,2045,4410,2047,4115,2050,4485,2052,4410,2052,4189,2054,4410,2057,4485,2059,4410,2062,4410,2062,4336,2064,4410,2066,4485,2069,4336,2071,4336,2074,4264,2076,4410,2078,4336,2078,4410,2081,4485,2083,4410,2086,4336,2086,4485,2088,4485,2090,4410,2093,4264,2095,4410,2095,4264,2098,4336,2100,4336,2102,4264,2105,4336,2105,4410,2107,4336,2110,4485,2112,4189,2112,3597,2114,2116,2117,2560,2119,3153,2122,3892,2122,3966,2124,4336,2126,3004,2129,4336,2131,4336,2134,4410,2136,4410,2138,3966,2138,4410,2141,4264,2143,4115,2146,4336,2148,4410,2148,4336,2150,4485,2153,4410,2155,4410,2158,4189,2158,4485,2160,4336,2162,4336,2165,4336,2165,4485m2971,4485l2971,4189,2974,4336,2976,4115,2978,4485,2981,4485,2983,4485,2986,4485,2988,4410,2988,4485,2990,4485,2993,4410,2995,4485,2998,4336,2998,4485,3000,4410,3002,4410,3005,4485,3007,4410,3010,4485,3012,4336,3014,4410,3014,4336,3017,4410,3019,4410,3022,4410,3022,4485,3024,4336,3026,4410,3029,4410,3031,4485,3031,4410,3034,4336,3036,4410,3038,4189,3041,4336,3041,4485,3043,4041,3046,4485,3048,4485,3050,4410,3053,4410,3055,4264,3058,4410,3060,4410,3062,4485,3065,4336,3067,4410,3070,4410,3072,4410,3074,4485,3077,4264,3079,3966,3082,4189,3084,3522,3084,4485,3086,4115,3089,4410,3091,4410,3094,4410,3094,4336,3096,4264,3098,3745,3101,2560,3101,4410,3103,3522,3106,4115,3108,4189,3110,4485,3110,3892,3113,4485,3115,4336,3118,4410,3120,3227,3120,4264,3122,4336,3125,4410,3127,4410,3127,4041,3130,4485,3132,4485,3134,4189,3137,4410,3137,4485,3139,4410,3142,4041,3144,4410,3146,4189,3146,4264,3149,4336,3151,4264,3154,3966,3154,4264,3156,3373,3158,4264,3161,3448,3163,4264,3166,4336,3168,4189,3170,4485,3170,3892,3173,4410,3175,3004,3178,2929,3180,3745,3180,1895,3182,3745,3185,3671,3187,3966,3190,4336,3190,2783,3192,3745,3194,4485,3197,4336,3197,4485,3199,4485,3202,4041,3204,4485,3206,4336,3206,3301,3209,4336,3211,4264,3214,4485,3216,4485,3216,4410,3218,3004,3221,4336,3223,4410,3223,4336,3226,4485,3228,4264,3230,4336,3233,4336,3233,4485,3235,4410,3238,4410,3240,4410,3242,4336,3242,4410,3245,4410,3247,4485,3250,4410,3250,4336,3252,4264,3254,4189,3257,4485,3259,4410,3262,4410,3264,4485,3266,4485,3269,4410,3269,3671,3271,4264,3274,4189,3276,4264,3276,4485,3278,4336,3281,4336,3283,4485,3286,4264,3286,3892,3288,4410,3290,4485,3293,3745,3293,4410,3295,4410,3298,4410,3300,4485,3302,4410,3305,4485,3307,4410,3310,4410,3312,4410,3312,4485,3314,3745,3317,4410,3319,4189,3322,4410,3324,4336,3326,4041,3329,4115,3329,4336,3331,4410,3334,4115,3336,4485,3338,3820,3338,4485,3341,3448,3343,4041,3346,4410,3346,4485,3348,3966,3350,4189,3353,3745,3355,4410,3358,4189,3360,4485,3362,4410,3365,4485,3367,4264,3370,4041m3370,4041l3372,4485,3374,4410,3377,4410,3379,4410,3382,4336,3382,4264,3384,3078,3386,4336,3389,4336,3391,3301,3391,4485,3394,4264,3396,4485,3398,4041,3398,4410,3401,4336,3403,4041,3406,4485,3408,4041,3408,3966,3410,4485,3413,4410,3415,4410,3418,4410,3418,4485,3420,4410,3422,4115,3425,4336,3425,3522,3427,4264,3430,4410,3432,3004,3434,3892,3434,4410,3437,4410,3439,4410,3442,4410,3442,4485,3444,4485,3446,4485,3449,4485,3451,4485,3451,4410,3454,4410,3456,3966,3458,4336,3461,4485,3461,3966,3463,4189,3466,4410,3468,4485,3470,4189,3473,4336,3475,4410,3478,4189,3478,3448,3480,1672,3482,2411,3485,4410,3487,4410,3487,4336,3490,4336,3492,4485,3494,4264,3494,4485,3497,4485,3499,4485,3502,4485,3504,4485,3504,3745,3506,4410,3509,4410,3511,4485,3514,4264,3516,4485,3518,4485,3521,4115,3521,4410,3523,4041,3526,4485,3528,4485,3530,4410,3530,4485,3533,4410,3535,4485,3538,4410,3540,4410,3540,3966,3542,4410,3545,4410,3547,4410,3547,4336,3550,4410,3552,3820,3554,4041,3557,4041,3557,4336,3559,4410,3562,3671,3564,3597,3564,2560,3566,4410,3569,4410,3571,4485,3574,4410,3574,4336,3576,4189,3578,4410,3581,3301,3583,4115,3583,3820,3586,4189,3588,4485,3590,4485,3593,4410,3595,4485,3598,4410,3600,4485,3600,3966,3602,4115,3605,4336,3607,4264,3610,4485,3610,4336,3612,4410,3614,3892,3617,3892,3617,4115,3619,4485,3622,4485,3624,4264,3626,3820,3626,4410,3629,4410,3631,3820,3634,4485,3636,4410,3636,4485,3638,4115,3641,4485,3643,4485,3646,4336,3648,4485,3650,4410,3653,4485,3655,4410,3658,4485,3660,4410,3662,4410,3665,4485,3667,4485,3670,4485,3672,4485,3674,4485,3677,4485,3679,4410,3679,3820,3682,4485,3684,4485,3686,4485,3689,4336,3689,4410,3691,4410,3694,4485,3696,4189,3696,4485,3698,4485,3701,4485,3703,4485,3706,4485,3708,4485,3710,4410,3713,4485,3713,4410,3715,4410,3718,4485,3720,4485,3722,4485,3725,4264,3727,4485,3730,4410,3732,4485,3732,4410,3734,4410,3737,4485,3739,3966,3739,4264,3742,3820,3744,4410,3746,4410,3749,4410,3749,4485,3751,4485,3754,4485,3756,4485,3758,4485,3758,4410,3761,4485,3763,4485,3766,4410e" filled="false" stroked="true" strokeweight="1.44pt" strokecolor="#497dba">
              <v:path arrowok="t"/>
              <v:stroke dashstyle="solid"/>
            </v:shape>
            <v:shape style="position:absolute;left:3765;top:2264;width:408;height:2220" coordorigin="3766,2265" coordsize="408,2220" path="m3766,4410l3768,4410,3770,4485,3773,4485,3775,4485,3778,4485,3780,4485,3782,4485,3785,4410,3785,4485,3787,4485,3790,4485,3792,4485,3794,4485,3797,4410,3799,4485,3802,4485,3804,4485,3818,4485,3821,4336,3823,4410,3826,4336,3828,4410,3828,4485,3830,4485,3833,4115,3835,4336,3838,4336,3838,4485,3840,4410,3842,4485,3845,4336,3845,4485,3862,4485,3862,4410,3864,4485,3866,4410,3869,4336,3871,4485,3874,4485,3876,4485,3878,4485,3881,4189,3881,4264,3883,4264,3886,4485,3888,4485,3888,4410,3890,4485,3893,4485,3895,4485,3898,4410,3900,4485,3902,4485,3905,4485,3907,4485,3907,4410,3910,4485,3912,4410,3914,4264,3914,4485,3917,4485,3919,4410,3922,4189,3924,4485,3924,4410,3926,4485,3929,4485,3931,4410,3934,4410,3936,4336,3938,4410,3941,2265,3941,4410,3943,4485,3946,2709,3948,4336,3950,4485,3953,4410,3955,4189,3958,4410,3960,4485,3962,4485,3965,4485,3967,4410,3967,4485,3970,4410,3972,4485,3974,4336,3977,4485,3979,4410,3982,4485,3984,4485,3984,4410,3986,4485,3989,4485,3991,4485,3994,4410,3994,4485,3996,4485,3998,4264,4001,4485,4003,4410,4003,4264,4006,4485,4008,4410,4010,4410,4010,4485,4013,4485,4015,4336,4018,2485,4020,4485,4022,4485,4025,4410,4027,4485,4030,4410,4030,4485,4032,4336,4034,4410,4037,4485,4037,4410,4039,4485,4042,4485,4044,4041,4046,4410,4046,4485,4049,4485,4051,4485,4054,4485,4056,4410,4056,3004,4058,4410,4061,4264,4063,3078,4063,4485,4066,4485,4068,4410,4070,4410,4073,4485,4075,4485,4078,4410,4080,4264,4082,4485,4085,3522,4087,4264,4090,4115,4090,4485,4092,4485,4094,4115,4097,4410,4099,4485,4099,4041,4102,3522,4104,2411,4106,4189,4109,4336,4109,3820,4111,4485,4114,4485,4116,4485,4116,3892,4118,4115,4121,4189,4123,4485,4126,4336,4128,4410,4130,4410,4133,4485,4133,4410,4135,4485,4138,4264,4140,4410,4142,4264,4142,3820,4145,3892,4147,3966,4150,3448,4152,4336,4152,4041,4154,4410,4157,4336,4159,4189,4159,4336,4162,4410,4164,4410,4166,2485,4169,4264,4169,3892,4171,3671,4174,2857e" filled="false" stroked="true" strokeweight="1.44pt" strokecolor="#497dba">
              <v:path arrowok="t"/>
              <v:stroke dashstyle="solid"/>
            </v:shape>
            <v:shape style="position:absolute;left:4173;top:1376;width:425;height:3108" coordorigin="4174,1377" coordsize="425,3108" path="m4174,2857l4176,1377,4178,3671,4178,1895,4181,4410,4183,4264,4186,2485,4186,1449,4188,4485,4190,3004,4193,4485,4195,4336,4195,4115,4198,4410,4200,4264,4202,2560,4205,3301,4205,4485,4207,4410,4210,4115,4212,2041,4212,3892,4214,2857,4217,4485,4219,4485,4222,4485,4224,4410,4226,4485,4229,4410,4231,4485,4234,3522,4236,4485,4238,4336,4238,4410,4241,4485,4243,3373,4246,4336,4248,4485,4248,3597,4250,4485,4253,4485,4255,4485,4258,4485,4260,4264,4262,4485,4265,4485,4267,4485,4270,4336,4272,4410,4274,4485,4277,4410,4279,3078,4282,4485,4284,4410,4286,4410,4289,4485,4291,4336,4291,4485,4294,4485,4296,4485,4298,4485,4301,4410,4301,4189,4303,4264,4306,3892,4308,4485,4310,4410,4313,4485,4315,4485,4318,4485,4320,4485,4322,4485,4325,4410,4327,4410,4327,4336,4330,2041,4332,4485,4334,3153,4334,4485,4337,4336,4339,4485,4342,4485,4344,4115,4344,3522,4346,4485,4349,4485,4351,4485,4354,4485,4356,4410,4358,4485,4361,4485,4363,4485,4380,4485,4380,4336,4382,4485,4385,4264,4387,4485,4390,4485,4392,4485,4394,4485,4397,4485,4399,4410,4402,4410,4404,4485,4404,4410,4406,4410,4409,4264,4411,4485,4414,4115,4414,4189,4416,4485,4418,4485,4421,4485,4423,4410,4423,4485,4426,4485,4428,4485,4430,4485,4433,4485,4435,4485,4438,4336,4440,4485,4442,4485,4445,4410,4447,4115,4450,4485,4450,3820,4452,1523,4454,3820,4457,3597,4457,4410,4459,4485,4462,3745,4464,4485,4466,2041,4466,4485,4469,4410,4471,4485,4474,4485,4476,4485,4476,3820,4478,4485,4481,4264,4483,3078,4483,4485,4486,4485,4488,4189,4490,4485,4493,4485,4505,4485,4507,4410,4510,4485,4512,4485,4514,4485,4517,4485,4519,4336,4522,4485,4524,4485,4526,4485,4526,4189,4529,2857,4531,4410,4534,4264,4536,4485,4538,4485,4541,4485,4543,4410,4546,4485,4546,4410,4548,4410,4550,4485,4553,4485,4555,4485,4558,4485,4560,4485,4562,4485,4565,4336,4567,4485,4570,4410,4572,4485,4574,4336,4577,4485,4579,4485,4596,4485,4598,4485e" filled="false" stroked="true" strokeweight="1.44pt" strokecolor="#497dba">
              <v:path arrowok="t"/>
              <v:stroke dashstyle="solid"/>
            </v:shape>
            <v:shape style="position:absolute;left:1024;top:652;width:4643;height:4590" type="#_x0000_t202" filled="false" stroked="true" strokeweight=".47998pt" strokecolor="#000000">
              <v:textbox inset="0,0,0,0">
                <w:txbxContent>
                  <w:p>
                    <w:pPr>
                      <w:spacing w:line="240" w:lineRule="auto" w:before="4"/>
                      <w:rPr>
                        <w:b/>
                        <w:sz w:val="19"/>
                      </w:rPr>
                    </w:pPr>
                  </w:p>
                  <w:p>
                    <w:pPr>
                      <w:spacing w:before="0"/>
                      <w:ind w:left="4082" w:right="0" w:firstLine="0"/>
                      <w:jc w:val="left"/>
                      <w:rPr>
                        <w:sz w:val="20"/>
                      </w:rPr>
                    </w:pPr>
                    <w:r>
                      <w:rPr>
                        <w:sz w:val="20"/>
                      </w:rPr>
                      <w:t>100</w:t>
                    </w:r>
                  </w:p>
                  <w:p>
                    <w:pPr>
                      <w:spacing w:before="118"/>
                      <w:ind w:left="4082" w:right="0" w:firstLine="0"/>
                      <w:jc w:val="left"/>
                      <w:rPr>
                        <w:sz w:val="20"/>
                      </w:rPr>
                    </w:pPr>
                    <w:r>
                      <w:rPr>
                        <w:sz w:val="20"/>
                      </w:rPr>
                      <w:t>90</w:t>
                    </w:r>
                  </w:p>
                  <w:p>
                    <w:pPr>
                      <w:spacing w:before="118"/>
                      <w:ind w:left="4082" w:right="0" w:firstLine="0"/>
                      <w:jc w:val="left"/>
                      <w:rPr>
                        <w:sz w:val="20"/>
                      </w:rPr>
                    </w:pPr>
                    <w:r>
                      <w:rPr>
                        <w:sz w:val="20"/>
                      </w:rPr>
                      <w:t>80</w:t>
                    </w:r>
                  </w:p>
                  <w:p>
                    <w:pPr>
                      <w:spacing w:before="118"/>
                      <w:ind w:left="4082" w:right="0" w:firstLine="0"/>
                      <w:jc w:val="left"/>
                      <w:rPr>
                        <w:sz w:val="20"/>
                      </w:rPr>
                    </w:pPr>
                    <w:r>
                      <w:rPr>
                        <w:sz w:val="20"/>
                      </w:rPr>
                      <w:t>70</w:t>
                    </w:r>
                  </w:p>
                  <w:p>
                    <w:pPr>
                      <w:spacing w:before="118"/>
                      <w:ind w:left="4082" w:right="0" w:firstLine="0"/>
                      <w:jc w:val="left"/>
                      <w:rPr>
                        <w:sz w:val="20"/>
                      </w:rPr>
                    </w:pPr>
                    <w:r>
                      <w:rPr>
                        <w:sz w:val="20"/>
                      </w:rPr>
                      <w:t>60</w:t>
                    </w:r>
                  </w:p>
                  <w:p>
                    <w:pPr>
                      <w:spacing w:before="118"/>
                      <w:ind w:left="4082" w:right="0" w:firstLine="0"/>
                      <w:jc w:val="left"/>
                      <w:rPr>
                        <w:sz w:val="20"/>
                      </w:rPr>
                    </w:pPr>
                    <w:r>
                      <w:rPr>
                        <w:sz w:val="20"/>
                      </w:rPr>
                      <w:t>50</w:t>
                    </w:r>
                  </w:p>
                  <w:p>
                    <w:pPr>
                      <w:spacing w:before="118"/>
                      <w:ind w:left="4082" w:right="0" w:firstLine="0"/>
                      <w:jc w:val="left"/>
                      <w:rPr>
                        <w:sz w:val="20"/>
                      </w:rPr>
                    </w:pPr>
                    <w:r>
                      <w:rPr>
                        <w:sz w:val="20"/>
                      </w:rPr>
                      <w:t>40</w:t>
                    </w:r>
                  </w:p>
                  <w:p>
                    <w:pPr>
                      <w:spacing w:before="118"/>
                      <w:ind w:left="4082" w:right="0" w:firstLine="0"/>
                      <w:jc w:val="left"/>
                      <w:rPr>
                        <w:sz w:val="20"/>
                      </w:rPr>
                    </w:pPr>
                    <w:r>
                      <w:rPr>
                        <w:sz w:val="20"/>
                      </w:rPr>
                      <w:t>30</w:t>
                    </w:r>
                  </w:p>
                  <w:p>
                    <w:pPr>
                      <w:spacing w:before="118"/>
                      <w:ind w:left="4082" w:right="0" w:firstLine="0"/>
                      <w:jc w:val="left"/>
                      <w:rPr>
                        <w:sz w:val="20"/>
                      </w:rPr>
                    </w:pPr>
                    <w:r>
                      <w:rPr>
                        <w:sz w:val="20"/>
                      </w:rPr>
                      <w:t>20</w:t>
                    </w:r>
                  </w:p>
                  <w:p>
                    <w:pPr>
                      <w:spacing w:before="118"/>
                      <w:ind w:left="4082" w:right="0" w:firstLine="0"/>
                      <w:jc w:val="left"/>
                      <w:rPr>
                        <w:sz w:val="20"/>
                      </w:rPr>
                    </w:pPr>
                    <w:r>
                      <w:rPr>
                        <w:sz w:val="20"/>
                      </w:rPr>
                      <w:t>10</w:t>
                    </w:r>
                  </w:p>
                  <w:p>
                    <w:pPr>
                      <w:spacing w:before="118"/>
                      <w:ind w:left="4082" w:right="0" w:firstLine="0"/>
                      <w:jc w:val="left"/>
                      <w:rPr>
                        <w:sz w:val="20"/>
                      </w:rPr>
                    </w:pPr>
                    <w:r>
                      <w:rPr>
                        <w:w w:val="99"/>
                        <w:sz w:val="20"/>
                      </w:rPr>
                      <w:t>0</w:t>
                    </w:r>
                  </w:p>
                </w:txbxContent>
              </v:textbox>
              <v:stroke dashstyle="solid"/>
              <w10:wrap type="none"/>
            </v:shape>
            <v:shape style="position:absolute;left:5667;top:388;width:4626;height:264" type="#_x0000_t202" filled="false" stroked="true" strokeweight=".47998pt" strokecolor="#000000">
              <v:textbox inset="0,0,0,0">
                <w:txbxContent>
                  <w:p>
                    <w:pPr>
                      <w:spacing w:line="251" w:lineRule="exact" w:before="0"/>
                      <w:ind w:left="460" w:right="0" w:firstLine="0"/>
                      <w:jc w:val="left"/>
                      <w:rPr>
                        <w:sz w:val="22"/>
                      </w:rPr>
                    </w:pPr>
                    <w:r>
                      <w:rPr>
                        <w:sz w:val="22"/>
                      </w:rPr>
                      <w:t>b. GDP growth</w:t>
                    </w:r>
                  </w:p>
                </w:txbxContent>
              </v:textbox>
              <v:stroke dashstyle="solid"/>
              <w10:wrap type="none"/>
            </v:shape>
            <v:shape style="position:absolute;left:1024;top:388;width:4643;height:264" type="#_x0000_t202" filled="false" stroked="true" strokeweight=".47998pt" strokecolor="#000000">
              <v:textbox inset="0,0,0,0">
                <w:txbxContent>
                  <w:p>
                    <w:pPr>
                      <w:spacing w:line="251" w:lineRule="exact" w:before="0"/>
                      <w:ind w:left="461" w:right="0" w:firstLine="0"/>
                      <w:jc w:val="left"/>
                      <w:rPr>
                        <w:sz w:val="22"/>
                      </w:rPr>
                    </w:pPr>
                    <w:r>
                      <w:rPr>
                        <w:sz w:val="22"/>
                      </w:rPr>
                      <w:t>a. Equity returns</w:t>
                    </w:r>
                  </w:p>
                </w:txbxContent>
              </v:textbox>
              <v:stroke dashstyle="solid"/>
              <w10:wrap type="none"/>
            </v:shape>
            <w10:wrap type="none"/>
          </v:group>
        </w:pict>
      </w:r>
      <w:r>
        <w:rPr/>
        <w:pict>
          <v:group style="position:absolute;margin-left:283.149994pt;margin-top:32.397861pt;width:231.8pt;height:230pt;mso-position-horizontal-relative:page;mso-position-vertical-relative:paragraph;z-index:251881472" coordorigin="5663,648" coordsize="4636,4600">
            <v:rect style="position:absolute;left:5988;top:4410;width:24;height:80" filled="true" fillcolor="#4f81bc" stroked="false">
              <v:fill type="solid"/>
            </v:rect>
            <v:line style="position:absolute" from="6025,3695" to="6025,4489" stroked="true" strokeweight="1.32pt" strokecolor="#4f81bc">
              <v:stroke dashstyle="solid"/>
            </v:line>
            <v:line style="position:absolute" from="6062,4170" to="6062,4489" stroked="true" strokeweight="2.4pt" strokecolor="#4f81bc">
              <v:stroke dashstyle="solid"/>
            </v:line>
            <v:line style="position:absolute" from="6100,4331" to="6100,4489" stroked="true" strokeweight="1.32pt" strokecolor="#4f81bc">
              <v:stroke dashstyle="solid"/>
            </v:line>
            <v:rect style="position:absolute;left:6112;top:4410;width:48;height:80" filled="true" fillcolor="#4f81bc" stroked="false">
              <v:fill type="solid"/>
            </v:rect>
            <v:line style="position:absolute" from="6173,4331" to="6173,4489" stroked="true" strokeweight="1.2pt" strokecolor="#4f81bc">
              <v:stroke dashstyle="solid"/>
            </v:line>
            <v:line style="position:absolute" from="6198,4091" to="6198,4489" stroked="true" strokeweight="1.32pt" strokecolor="#4f81bc">
              <v:stroke dashstyle="solid"/>
            </v:line>
            <v:shape style="position:absolute;left:6223;top:3932;width:24;height:557" coordorigin="6223,3933" coordsize="24,557" path="m6223,3933l6223,4489m6247,4252l6247,4489e" filled="false" stroked="true" strokeweight="1.2pt" strokecolor="#4f81bc">
              <v:path arrowok="t"/>
              <v:stroke dashstyle="solid"/>
            </v:shape>
            <v:line style="position:absolute" from="6272,4012" to="6272,4489" stroked="true" strokeweight="1.32pt" strokecolor="#4f81bc">
              <v:stroke dashstyle="solid"/>
            </v:line>
            <v:line style="position:absolute" from="6298,4252" to="6298,4489" stroked="true" strokeweight="1.2pt" strokecolor="#4f81bc">
              <v:stroke dashstyle="solid"/>
            </v:line>
            <v:line style="position:absolute" from="6322,4331" to="6322,4489" stroked="true" strokeweight="1.2pt" strokecolor="#4f81bc">
              <v:stroke dashstyle="solid"/>
            </v:line>
            <v:shape style="position:absolute;left:6333;top:4410;width:75;height:80" coordorigin="6334,4410" coordsize="75,80" path="m6358,4410l6334,4410,6334,4489,6358,4489,6358,4410m6408,4410l6384,4410,6384,4489,6408,4489,6408,4410e" filled="true" fillcolor="#4f81bc" stroked="false">
              <v:path arrowok="t"/>
              <v:fill type="solid"/>
            </v:shape>
            <v:line style="position:absolute" from="6420,4170" to="6420,4489" stroked="true" strokeweight="1.2pt" strokecolor="#4f81bc">
              <v:stroke dashstyle="solid"/>
            </v:line>
            <v:line style="position:absolute" from="6457,4331" to="6457,4489" stroked="true" strokeweight="2.52pt" strokecolor="#4f81bc">
              <v:stroke dashstyle="solid"/>
            </v:line>
            <v:rect style="position:absolute;left:6482;top:4410;width:24;height:80" filled="true" fillcolor="#4f81bc" stroked="false">
              <v:fill type="solid"/>
            </v:rect>
            <v:line style="position:absolute" from="6532,4331" to="6532,4489" stroked="true" strokeweight="2.52pt" strokecolor="#4f81bc">
              <v:stroke dashstyle="solid"/>
            </v:line>
            <v:line style="position:absolute" from="6593,4170" to="6593,4489" stroked="true" strokeweight="1.2pt" strokecolor="#4f81bc">
              <v:stroke dashstyle="solid"/>
            </v:line>
            <v:rect style="position:absolute;left:6604;top:4410;width:24;height:80" filled="true" fillcolor="#4f81bc" stroked="false">
              <v:fill type="solid"/>
            </v:rect>
            <v:line style="position:absolute" from="6642,4331" to="6642,4489" stroked="true" strokeweight="1.32pt" strokecolor="#4f81bc">
              <v:stroke dashstyle="solid"/>
            </v:line>
            <v:line style="position:absolute" from="6679,4170" to="6679,4489" stroked="true" strokeweight="2.4pt" strokecolor="#4f81bc">
              <v:stroke dashstyle="solid"/>
            </v:line>
            <v:rect style="position:absolute;left:6729;top:4410;width:48;height:80" filled="true" fillcolor="#4f81bc" stroked="false">
              <v:fill type="solid"/>
            </v:rect>
            <v:line style="position:absolute" from="6803,4252" to="6803,4489" stroked="true" strokeweight="2.52pt" strokecolor="#4f81bc">
              <v:stroke dashstyle="solid"/>
            </v:line>
            <v:rect style="position:absolute;left:6828;top:4410;width:24;height:80" filled="true" fillcolor="#4f81bc" stroked="false">
              <v:fill type="solid"/>
            </v:rect>
            <v:shape style="position:absolute;left:6914;top:4170;width:123;height:320" coordorigin="6914,4170" coordsize="123,320" path="m6914,4252l6914,4489m6938,4331l6938,4489m7037,4170l7037,4489e" filled="false" stroked="true" strokeweight="1.2pt" strokecolor="#4f81bc">
              <v:path arrowok="t"/>
              <v:stroke dashstyle="solid"/>
            </v:shape>
            <v:line style="position:absolute" from="7062,4331" to="7062,4489" stroked="true" strokeweight="1.32pt" strokecolor="#4f81bc">
              <v:stroke dashstyle="solid"/>
            </v:line>
            <v:line style="position:absolute" from="7087,3774" to="7087,4489" stroked="true" strokeweight="1.2pt" strokecolor="#4f81bc">
              <v:stroke dashstyle="solid"/>
            </v:line>
            <v:rect style="position:absolute;left:7123;top:4410;width:51;height:80" filled="true" fillcolor="#4f81bc" stroked="false">
              <v:fill type="solid"/>
            </v:rect>
            <v:shape style="position:absolute;left:7209;top:4170;width:24;height:320" coordorigin="7210,4170" coordsize="24,320" path="m7210,4252l7210,4489m7234,4170l7234,4489e" filled="false" stroked="true" strokeweight="1.2pt" strokecolor="#4f81bc">
              <v:path arrowok="t"/>
              <v:stroke dashstyle="solid"/>
            </v:shape>
            <v:line style="position:absolute" from="7259,4091" to="7259,4489" stroked="true" strokeweight="1.32pt" strokecolor="#4f81bc">
              <v:stroke dashstyle="solid"/>
            </v:line>
            <v:line style="position:absolute" from="7284,4252" to="7284,4489" stroked="true" strokeweight="1.2pt" strokecolor="#4f81bc">
              <v:stroke dashstyle="solid"/>
            </v:line>
            <v:shape style="position:absolute;left:7320;top:4410;width:200;height:80" coordorigin="7320,4410" coordsize="200,80" path="m7346,4410l7320,4410,7320,4489,7346,4489,7346,4410m7418,4410l7394,4410,7394,4489,7418,4489,7418,4410m7519,4410l7469,4410,7469,4489,7519,4489,7519,4410e" filled="true" fillcolor="#4f81bc" stroked="false">
              <v:path arrowok="t"/>
              <v:fill type="solid"/>
            </v:shape>
            <v:line style="position:absolute" from="7567,4331" to="7567,4489" stroked="true" strokeweight="2.4pt" strokecolor="#4f81bc">
              <v:stroke dashstyle="solid"/>
            </v:line>
            <v:line style="position:absolute" from="7654,4331" to="7654,4489" stroked="true" strokeweight="1.2pt" strokecolor="#4f81bc">
              <v:stroke dashstyle="solid"/>
            </v:line>
            <v:line style="position:absolute" from="7678,4252" to="7678,4489" stroked="true" strokeweight="1.2pt" strokecolor="#4f81bc">
              <v:stroke dashstyle="solid"/>
            </v:line>
            <v:rect style="position:absolute;left:7716;top:4410;width:24;height:80" filled="true" fillcolor="#4f81bc" stroked="false">
              <v:fill type="solid"/>
            </v:rect>
            <v:line style="position:absolute" from="7752,4170" to="7752,4489" stroked="true" strokeweight="1.2pt" strokecolor="#4f81bc">
              <v:stroke dashstyle="solid"/>
            </v:line>
            <v:line style="position:absolute" from="7777,3774" to="7777,4489" stroked="true" strokeweight="1.32pt" strokecolor="#4f81bc">
              <v:stroke dashstyle="solid"/>
            </v:line>
            <v:line style="position:absolute" from="7802,4012" to="7802,4489" stroked="true" strokeweight="1.2pt" strokecolor="#4f81bc">
              <v:stroke dashstyle="solid"/>
            </v:line>
            <v:line style="position:absolute" from="7838,4170" to="7838,4489" stroked="true" strokeweight="2.4pt" strokecolor="#4f81bc">
              <v:stroke dashstyle="solid"/>
            </v:line>
            <v:shape style="position:absolute;left:7862;top:4410;width:101;height:80" coordorigin="7862,4410" coordsize="101,80" path="m7889,4410l7862,4410,7862,4489,7889,4489,7889,4410m7963,4410l7937,4410,7937,4489,7963,4489,7963,4410e" filled="true" fillcolor="#4f81bc" stroked="false">
              <v:path arrowok="t"/>
              <v:fill type="solid"/>
            </v:shape>
            <v:line style="position:absolute" from="8048,4252" to="8048,4489" stroked="true" strokeweight="1.32pt" strokecolor="#4f81bc">
              <v:stroke dashstyle="solid"/>
            </v:line>
            <v:line style="position:absolute" from="8074,4170" to="8074,4489" stroked="true" strokeweight="1.2pt" strokecolor="#4f81bc">
              <v:stroke dashstyle="solid"/>
            </v:line>
            <v:line style="position:absolute" from="8098,4091" to="8098,4489" stroked="true" strokeweight="1.2pt" strokecolor="#4f81bc">
              <v:stroke dashstyle="solid"/>
            </v:line>
            <v:line style="position:absolute" from="8123,4252" to="8123,4489" stroked="true" strokeweight="1.32pt" strokecolor="#4f81bc">
              <v:stroke dashstyle="solid"/>
            </v:line>
            <v:rect style="position:absolute;left:8136;top:4410;width:24;height:80" filled="true" fillcolor="#4f81bc" stroked="false">
              <v:fill type="solid"/>
            </v:rect>
            <v:line style="position:absolute" from="8172,4331" to="8172,4489" stroked="true" strokeweight="1.2pt" strokecolor="#4f81bc">
              <v:stroke dashstyle="solid"/>
            </v:line>
            <v:rect style="position:absolute;left:8184;top:4410;width:24;height:80" filled="true" fillcolor="#4f81bc" stroked="false">
              <v:fill type="solid"/>
            </v:rect>
            <v:line style="position:absolute" from="8221,4252" to="8221,4489" stroked="true" strokeweight="1.32pt" strokecolor="#4f81bc">
              <v:stroke dashstyle="solid"/>
            </v:line>
            <v:shape style="position:absolute;left:8246;top:4170;width:24;height:320" coordorigin="8246,4170" coordsize="24,320" path="m8246,4331l8246,4489m8270,4170l8270,4489e" filled="false" stroked="true" strokeweight="1.2pt" strokecolor="#4f81bc">
              <v:path arrowok="t"/>
              <v:stroke dashstyle="solid"/>
            </v:shape>
            <v:shape style="position:absolute;left:8282;top:4410;width:444;height:80" coordorigin="8282,4410" coordsize="444,80" path="m8306,4410l8282,4410,8282,4489,8306,4489,8306,4410m8381,4410l8357,4410,8357,4489,8381,4489,8381,4410m8431,4410l8407,4410,8407,4489,8431,4489,8431,4410m8530,4410l8506,4410,8506,4489,8530,4489,8530,4410m8628,4410l8604,4410,8604,4489,8628,4489,8628,4410m8678,4410l8652,4410,8652,4489,8678,4489,8678,4410m8726,4410l8702,4410,8702,4489,8726,4489,8726,4410e" filled="true" fillcolor="#4f81bc" stroked="false">
              <v:path arrowok="t"/>
              <v:fill type="solid"/>
            </v:shape>
            <v:line style="position:absolute" from="8765,4252" to="8765,4489" stroked="true" strokeweight="1.2pt" strokecolor="#4f81bc">
              <v:stroke dashstyle="solid"/>
            </v:line>
            <v:line style="position:absolute" from="8801,4091" to="8801,4489" stroked="true" strokeweight="2.4pt" strokecolor="#4f81bc">
              <v:stroke dashstyle="solid"/>
            </v:line>
            <v:line style="position:absolute" from="8838,2027" to="8838,4489" stroked="true" strokeweight="1.32pt" strokecolor="#4f81bc">
              <v:stroke dashstyle="solid"/>
            </v:line>
            <v:shape style="position:absolute;left:8863;top:1947;width:24;height:2542" coordorigin="8863,1948" coordsize="24,2542" path="m8863,1948l8863,4489m8887,4091l8887,4489e" filled="false" stroked="true" strokeweight="1.2pt" strokecolor="#4f81bc">
              <v:path arrowok="t"/>
              <v:stroke dashstyle="solid"/>
            </v:shape>
            <v:rect style="position:absolute;left:8949;top:4410;width:24;height:80" filled="true" fillcolor="#4f81bc" stroked="false">
              <v:fill type="solid"/>
            </v:rect>
            <v:line style="position:absolute" from="9011,4331" to="9011,4489" stroked="true" strokeweight="1.32pt" strokecolor="#4f81bc">
              <v:stroke dashstyle="solid"/>
            </v:line>
            <v:rect style="position:absolute;left:9048;top:4410;width:24;height:80" filled="true" fillcolor="#4f81bc" stroked="false">
              <v:fill type="solid"/>
            </v:rect>
            <v:line style="position:absolute" from="9084,4331" to="9084,4489" stroked="true" strokeweight="1.2pt" strokecolor="#4f81bc">
              <v:stroke dashstyle="solid"/>
            </v:line>
            <v:rect style="position:absolute;left:9096;top:4410;width:27;height:80" filled="true" fillcolor="#4f81bc" stroked="false">
              <v:fill type="solid"/>
            </v:rect>
            <v:shape style="position:absolute;left:9134;top:3932;width:24;height:557" coordorigin="9134,3933" coordsize="24,557" path="m9134,3933l9134,4489m9158,4170l9158,4489e" filled="false" stroked="true" strokeweight="1.2pt" strokecolor="#4f81bc">
              <v:path arrowok="t"/>
              <v:stroke dashstyle="solid"/>
            </v:shape>
            <v:line style="position:absolute" from="9184,4252" to="9184,4489" stroked="true" strokeweight="1.32pt" strokecolor="#4f81bc">
              <v:stroke dashstyle="solid"/>
            </v:line>
            <v:line style="position:absolute" from="9245,4331" to="9245,4489" stroked="true" strokeweight="2.4pt" strokecolor="#4f81bc">
              <v:stroke dashstyle="solid"/>
            </v:line>
            <v:shape style="position:absolute;left:9319;top:4410;width:75;height:80" coordorigin="9319,4410" coordsize="75,80" path="m9343,4410l9319,4410,9319,4489,9343,4489,9343,4410m9394,4410l9370,4410,9370,4489,9394,4489,9394,4410e" filled="true" fillcolor="#4f81bc" stroked="false">
              <v:path arrowok="t"/>
              <v:fill type="solid"/>
            </v:shape>
            <v:line style="position:absolute" from="9480,4331" to="9480,4489" stroked="true" strokeweight="1.2pt" strokecolor="#4f81bc">
              <v:stroke dashstyle="solid"/>
            </v:line>
            <v:line style="position:absolute" from="9553,4331" to="9553,4489" stroked="true" strokeweight="1.32pt" strokecolor="#4f81bc">
              <v:stroke dashstyle="solid"/>
            </v:line>
            <v:shape style="position:absolute;left:5988;top:992;width:3639;height:3557" coordorigin="5988,993" coordsize="3639,3557" path="m9566,4489l9566,993m9566,4489l9626,4489m9566,4139l9626,4139m9566,3791l9626,3791m9566,3441l9626,3441m9566,3090l9626,3090m9566,2742l9626,2742m9566,2392l9626,2392m9566,2041l9626,2041m9566,1693l9626,1693m9566,1343l9626,1343m9566,993l9626,993m5988,4489l9566,4489m5988,4489l5988,4549m6286,4489l6286,4549m6581,4489l6581,4549m6876,4489l6876,4549m7174,4489l7174,4549m7469,4489l7469,4549m7764,4489l7764,4549m8062,4489l8062,4549m8357,4489l8357,4549m8652,4489l8652,4549m8950,4489l8950,4549m9245,4489l9245,4549m9540,4489l9540,4549e" filled="false" stroked="true" strokeweight=".72pt" strokecolor="#858585">
              <v:path arrowok="t"/>
              <v:stroke dashstyle="solid"/>
            </v:shape>
            <v:shape style="position:absolute;left:5667;top:652;width:4626;height:4590" type="#_x0000_t202" filled="false" stroked="true" strokeweight=".47998pt" strokecolor="#000000">
              <v:textbox inset="0,0,0,0">
                <w:txbxContent>
                  <w:p>
                    <w:pPr>
                      <w:spacing w:line="240" w:lineRule="auto" w:before="3"/>
                      <w:rPr>
                        <w:b/>
                        <w:sz w:val="18"/>
                      </w:rPr>
                    </w:pPr>
                  </w:p>
                  <w:p>
                    <w:pPr>
                      <w:spacing w:before="1"/>
                      <w:ind w:left="4068" w:right="0" w:firstLine="0"/>
                      <w:jc w:val="left"/>
                      <w:rPr>
                        <w:sz w:val="20"/>
                      </w:rPr>
                    </w:pPr>
                    <w:r>
                      <w:rPr>
                        <w:sz w:val="20"/>
                      </w:rPr>
                      <w:t>100</w:t>
                    </w:r>
                  </w:p>
                  <w:p>
                    <w:pPr>
                      <w:spacing w:before="119"/>
                      <w:ind w:left="4068" w:right="0" w:firstLine="0"/>
                      <w:jc w:val="left"/>
                      <w:rPr>
                        <w:sz w:val="20"/>
                      </w:rPr>
                    </w:pPr>
                    <w:r>
                      <w:rPr>
                        <w:sz w:val="20"/>
                      </w:rPr>
                      <w:t>90</w:t>
                    </w:r>
                  </w:p>
                  <w:p>
                    <w:pPr>
                      <w:spacing w:before="120"/>
                      <w:ind w:left="4068" w:right="0" w:firstLine="0"/>
                      <w:jc w:val="left"/>
                      <w:rPr>
                        <w:sz w:val="20"/>
                      </w:rPr>
                    </w:pPr>
                    <w:r>
                      <w:rPr>
                        <w:sz w:val="20"/>
                      </w:rPr>
                      <w:t>80</w:t>
                    </w:r>
                  </w:p>
                  <w:p>
                    <w:pPr>
                      <w:spacing w:before="119"/>
                      <w:ind w:left="4068" w:right="0" w:firstLine="0"/>
                      <w:jc w:val="left"/>
                      <w:rPr>
                        <w:sz w:val="20"/>
                      </w:rPr>
                    </w:pPr>
                    <w:r>
                      <w:rPr>
                        <w:sz w:val="20"/>
                      </w:rPr>
                      <w:t>70</w:t>
                    </w:r>
                  </w:p>
                  <w:p>
                    <w:pPr>
                      <w:spacing w:before="120"/>
                      <w:ind w:left="4068" w:right="0" w:firstLine="0"/>
                      <w:jc w:val="left"/>
                      <w:rPr>
                        <w:sz w:val="20"/>
                      </w:rPr>
                    </w:pPr>
                    <w:r>
                      <w:rPr>
                        <w:sz w:val="20"/>
                      </w:rPr>
                      <w:t>60</w:t>
                    </w:r>
                  </w:p>
                  <w:p>
                    <w:pPr>
                      <w:spacing w:before="120"/>
                      <w:ind w:left="4068" w:right="0" w:firstLine="0"/>
                      <w:jc w:val="left"/>
                      <w:rPr>
                        <w:sz w:val="20"/>
                      </w:rPr>
                    </w:pPr>
                    <w:r>
                      <w:rPr>
                        <w:sz w:val="20"/>
                      </w:rPr>
                      <w:t>50</w:t>
                    </w:r>
                  </w:p>
                  <w:p>
                    <w:pPr>
                      <w:spacing w:before="119"/>
                      <w:ind w:left="4068" w:right="0" w:firstLine="0"/>
                      <w:jc w:val="left"/>
                      <w:rPr>
                        <w:sz w:val="20"/>
                      </w:rPr>
                    </w:pPr>
                    <w:r>
                      <w:rPr>
                        <w:sz w:val="20"/>
                      </w:rPr>
                      <w:t>40</w:t>
                    </w:r>
                  </w:p>
                  <w:p>
                    <w:pPr>
                      <w:spacing w:before="120"/>
                      <w:ind w:left="4068" w:right="0" w:firstLine="0"/>
                      <w:jc w:val="left"/>
                      <w:rPr>
                        <w:sz w:val="20"/>
                      </w:rPr>
                    </w:pPr>
                    <w:r>
                      <w:rPr>
                        <w:sz w:val="20"/>
                      </w:rPr>
                      <w:t>30</w:t>
                    </w:r>
                  </w:p>
                  <w:p>
                    <w:pPr>
                      <w:spacing w:before="120"/>
                      <w:ind w:left="4068" w:right="0" w:firstLine="0"/>
                      <w:jc w:val="left"/>
                      <w:rPr>
                        <w:sz w:val="20"/>
                      </w:rPr>
                    </w:pPr>
                    <w:r>
                      <w:rPr>
                        <w:sz w:val="20"/>
                      </w:rPr>
                      <w:t>20</w:t>
                    </w:r>
                  </w:p>
                  <w:p>
                    <w:pPr>
                      <w:spacing w:before="119"/>
                      <w:ind w:left="4068" w:right="0" w:firstLine="0"/>
                      <w:jc w:val="left"/>
                      <w:rPr>
                        <w:sz w:val="20"/>
                      </w:rPr>
                    </w:pPr>
                    <w:r>
                      <w:rPr>
                        <w:sz w:val="20"/>
                      </w:rPr>
                      <w:t>10</w:t>
                    </w:r>
                  </w:p>
                  <w:p>
                    <w:pPr>
                      <w:spacing w:before="120"/>
                      <w:ind w:left="4068" w:right="0" w:firstLine="0"/>
                      <w:jc w:val="left"/>
                      <w:rPr>
                        <w:sz w:val="20"/>
                      </w:rPr>
                    </w:pPr>
                    <w:r>
                      <w:rPr>
                        <w:w w:val="99"/>
                        <w:sz w:val="20"/>
                      </w:rPr>
                      <w:t>0</w:t>
                    </w:r>
                  </w:p>
                </w:txbxContent>
              </v:textbox>
              <v:stroke dashstyle="solid"/>
              <w10:wrap type="none"/>
            </v:shape>
            <w10:wrap type="none"/>
          </v:group>
        </w:pict>
      </w:r>
      <w:r>
        <w:rPr/>
        <w:pict>
          <v:shape style="position:absolute;margin-left:60.209751pt;margin-top:-96.496529pt;width:48.9pt;height:24.25pt;mso-position-horizontal-relative:page;mso-position-vertical-relative:paragraph;z-index:251882496" type="#_x0000_t202" filled="false" stroked="false">
            <v:textbox inset="0,0,0,0" style="layout-flow:vertical;mso-layout-flow-alt:bottom-to-top">
              <w:txbxContent>
                <w:p>
                  <w:pPr>
                    <w:pStyle w:val="BodyText"/>
                    <w:spacing w:before="13"/>
                    <w:ind w:left="20"/>
                  </w:pPr>
                  <w:r>
                    <w:rPr/>
                    <w:t>1985</w:t>
                  </w:r>
                </w:p>
                <w:p>
                  <w:pPr>
                    <w:pStyle w:val="BodyText"/>
                    <w:spacing w:before="127"/>
                    <w:ind w:left="20"/>
                  </w:pPr>
                  <w:r>
                    <w:rPr/>
                    <w:t>1988</w:t>
                  </w:r>
                </w:p>
                <w:p>
                  <w:pPr>
                    <w:pStyle w:val="BodyText"/>
                    <w:spacing w:before="127"/>
                    <w:ind w:left="20"/>
                  </w:pPr>
                  <w:r>
                    <w:rPr/>
                    <w:t>1991</w:t>
                  </w:r>
                </w:p>
              </w:txbxContent>
            </v:textbox>
            <w10:wrap type="none"/>
          </v:shape>
        </w:pict>
      </w:r>
      <w:r>
        <w:rPr/>
        <w:pict>
          <v:shape style="position:absolute;margin-left:113.803474pt;margin-top:-96.492905pt;width:138.2pt;height:24.25pt;mso-position-horizontal-relative:page;mso-position-vertical-relative:paragraph;z-index:251884544" type="#_x0000_t202" filled="false" stroked="false">
            <v:textbox inset="0,0,0,0" style="layout-flow:vertical;mso-layout-flow-alt:bottom-to-top">
              <w:txbxContent>
                <w:p>
                  <w:pPr>
                    <w:pStyle w:val="BodyText"/>
                    <w:spacing w:before="12"/>
                    <w:ind w:left="20"/>
                  </w:pPr>
                  <w:r>
                    <w:rPr/>
                    <w:t>1994</w:t>
                  </w:r>
                </w:p>
                <w:p>
                  <w:pPr>
                    <w:pStyle w:val="BodyText"/>
                    <w:spacing w:before="128"/>
                    <w:ind w:left="20"/>
                  </w:pPr>
                  <w:r>
                    <w:rPr/>
                    <w:t>1997</w:t>
                  </w:r>
                </w:p>
                <w:p>
                  <w:pPr>
                    <w:pStyle w:val="BodyText"/>
                    <w:spacing w:before="127"/>
                    <w:ind w:left="20"/>
                  </w:pPr>
                  <w:r>
                    <w:rPr/>
                    <w:t>2000</w:t>
                  </w:r>
                </w:p>
                <w:p>
                  <w:pPr>
                    <w:pStyle w:val="BodyText"/>
                    <w:spacing w:before="127"/>
                    <w:ind w:left="20"/>
                  </w:pPr>
                  <w:r>
                    <w:rPr/>
                    <w:t>2003</w:t>
                  </w:r>
                </w:p>
                <w:p>
                  <w:pPr>
                    <w:pStyle w:val="BodyText"/>
                    <w:spacing w:before="128"/>
                    <w:ind w:left="20"/>
                  </w:pPr>
                  <w:r>
                    <w:rPr/>
                    <w:t>2006</w:t>
                  </w:r>
                </w:p>
                <w:p>
                  <w:pPr>
                    <w:pStyle w:val="BodyText"/>
                    <w:spacing w:before="127"/>
                    <w:ind w:left="20"/>
                  </w:pPr>
                  <w:r>
                    <w:rPr/>
                    <w:t>2009</w:t>
                  </w:r>
                </w:p>
                <w:p>
                  <w:pPr>
                    <w:pStyle w:val="BodyText"/>
                    <w:spacing w:before="128"/>
                    <w:ind w:left="20"/>
                  </w:pPr>
                  <w:r>
                    <w:rPr/>
                    <w:t>2012</w:t>
                  </w:r>
                </w:p>
                <w:p>
                  <w:pPr>
                    <w:pStyle w:val="BodyText"/>
                    <w:spacing w:before="127"/>
                    <w:ind w:left="20"/>
                  </w:pPr>
                  <w:r>
                    <w:rPr/>
                    <w:t>2015</w:t>
                  </w:r>
                </w:p>
              </w:txbxContent>
            </v:textbox>
            <w10:wrap type="none"/>
          </v:shape>
        </w:pict>
      </w:r>
      <w:r>
        <w:rPr/>
        <w:pict>
          <v:shape style="position:absolute;margin-left:295.963470pt;margin-top:-96.496529pt;width:188.5pt;height:24.25pt;mso-position-horizontal-relative:page;mso-position-vertical-relative:paragraph;z-index:251888640" type="#_x0000_t202" filled="false" stroked="false">
            <v:textbox inset="0,0,0,0" style="layout-flow:vertical;mso-layout-flow-alt:bottom-to-top">
              <w:txbxContent>
                <w:p>
                  <w:pPr>
                    <w:pStyle w:val="BodyText"/>
                    <w:spacing w:before="12"/>
                    <w:ind w:left="20"/>
                  </w:pPr>
                  <w:r>
                    <w:rPr/>
                    <w:t>1984</w:t>
                  </w:r>
                </w:p>
                <w:p>
                  <w:pPr>
                    <w:pStyle w:val="BodyText"/>
                    <w:spacing w:before="121"/>
                    <w:ind w:left="20"/>
                  </w:pPr>
                  <w:r>
                    <w:rPr/>
                    <w:t>1987</w:t>
                  </w:r>
                </w:p>
                <w:p>
                  <w:pPr>
                    <w:pStyle w:val="BodyText"/>
                    <w:spacing w:before="121"/>
                    <w:ind w:left="20"/>
                  </w:pPr>
                  <w:r>
                    <w:rPr/>
                    <w:t>1990</w:t>
                  </w:r>
                </w:p>
                <w:p>
                  <w:pPr>
                    <w:pStyle w:val="BodyText"/>
                    <w:spacing w:before="120"/>
                    <w:ind w:left="20"/>
                  </w:pPr>
                  <w:r>
                    <w:rPr/>
                    <w:t>1993</w:t>
                  </w:r>
                </w:p>
                <w:p>
                  <w:pPr>
                    <w:pStyle w:val="BodyText"/>
                    <w:spacing w:before="122"/>
                    <w:ind w:left="20"/>
                  </w:pPr>
                  <w:r>
                    <w:rPr/>
                    <w:t>1996</w:t>
                  </w:r>
                </w:p>
                <w:p>
                  <w:pPr>
                    <w:pStyle w:val="BodyText"/>
                    <w:spacing w:before="120"/>
                    <w:ind w:left="20"/>
                  </w:pPr>
                  <w:r>
                    <w:rPr/>
                    <w:t>1999</w:t>
                  </w:r>
                </w:p>
                <w:p>
                  <w:pPr>
                    <w:pStyle w:val="BodyText"/>
                    <w:spacing w:before="121"/>
                    <w:ind w:left="20"/>
                  </w:pPr>
                  <w:r>
                    <w:rPr/>
                    <w:t>2002</w:t>
                  </w:r>
                </w:p>
                <w:p>
                  <w:pPr>
                    <w:pStyle w:val="BodyText"/>
                    <w:spacing w:before="121"/>
                    <w:ind w:left="20"/>
                  </w:pPr>
                  <w:r>
                    <w:rPr/>
                    <w:t>2005</w:t>
                  </w:r>
                </w:p>
                <w:p>
                  <w:pPr>
                    <w:pStyle w:val="BodyText"/>
                    <w:spacing w:before="121"/>
                    <w:ind w:left="20"/>
                  </w:pPr>
                  <w:r>
                    <w:rPr/>
                    <w:t>2008</w:t>
                  </w:r>
                </w:p>
                <w:p>
                  <w:pPr>
                    <w:pStyle w:val="BodyText"/>
                    <w:spacing w:before="120"/>
                    <w:ind w:left="20"/>
                  </w:pPr>
                  <w:r>
                    <w:rPr/>
                    <w:t>2011</w:t>
                  </w:r>
                </w:p>
                <w:p>
                  <w:pPr>
                    <w:pStyle w:val="BodyText"/>
                    <w:spacing w:before="121"/>
                    <w:ind w:left="20"/>
                  </w:pPr>
                  <w:r>
                    <w:rPr/>
                    <w:t>2014</w:t>
                  </w:r>
                </w:p>
              </w:txbxContent>
            </v:textbox>
            <w10:wrap type="none"/>
          </v:shape>
        </w:pict>
      </w:r>
      <w:r>
        <w:rPr>
          <w:b/>
          <w:sz w:val="22"/>
        </w:rPr>
        <w:t>Figure 14. Extreme Negative Returns for equities GDP growth</w:t>
      </w:r>
    </w:p>
    <w:p>
      <w:pPr>
        <w:spacing w:after="0"/>
        <w:jc w:val="left"/>
        <w:rPr>
          <w:sz w:val="22"/>
        </w:rPr>
        <w:sectPr>
          <w:pgSz w:w="11910" w:h="16840"/>
          <w:pgMar w:header="0" w:footer="1676" w:top="1580" w:bottom="1860" w:left="880" w:right="0"/>
        </w:sectPr>
      </w:pPr>
    </w:p>
    <w:p>
      <w:pPr>
        <w:pStyle w:val="BodyText"/>
        <w:spacing w:before="9"/>
        <w:rPr>
          <w:b/>
          <w:sz w:val="22"/>
        </w:rPr>
      </w:pPr>
    </w:p>
    <w:p>
      <w:pPr>
        <w:spacing w:before="93"/>
        <w:ind w:left="253" w:right="0" w:firstLine="0"/>
        <w:jc w:val="left"/>
        <w:rPr>
          <w:b/>
          <w:sz w:val="22"/>
        </w:rPr>
      </w:pPr>
      <w:r>
        <w:rPr/>
        <w:pict>
          <v:group style="position:absolute;margin-left:51pt;margin-top:23.847895pt;width:476.65pt;height:229.35pt;mso-position-horizontal-relative:page;mso-position-vertical-relative:paragraph;z-index:251902976" coordorigin="1020,477" coordsize="9533,4587">
            <v:line style="position:absolute" from="1030,784" to="5901,784" stroked="true" strokeweight=".48pt" strokecolor="#000000">
              <v:stroke dashstyle="solid"/>
            </v:line>
            <v:line style="position:absolute" from="5910,784" to="10543,784" stroked="true" strokeweight=".48pt" strokecolor="#000000">
              <v:stroke dashstyle="solid"/>
            </v:line>
            <v:line style="position:absolute" from="1025,477" to="1025,5064" stroked="true" strokeweight=".48pt" strokecolor="#000000">
              <v:stroke dashstyle="solid"/>
            </v:line>
            <v:line style="position:absolute" from="1030,5059" to="5901,5059" stroked="true" strokeweight=".48001pt" strokecolor="#000000">
              <v:stroke dashstyle="solid"/>
            </v:line>
            <v:line style="position:absolute" from="5905,477" to="5905,5064" stroked="true" strokeweight=".47998pt" strokecolor="#000000">
              <v:stroke dashstyle="solid"/>
            </v:line>
            <v:line style="position:absolute" from="5910,5059" to="10543,5059" stroked="true" strokeweight=".48001pt" strokecolor="#000000">
              <v:stroke dashstyle="solid"/>
            </v:line>
            <v:line style="position:absolute" from="10548,477" to="10548,5064" stroked="true" strokeweight=".47998pt" strokecolor="#000000">
              <v:stroke dashstyle="solid"/>
            </v:line>
            <v:shape style="position:absolute;left:1346;top:1138;width:3836;height:3166" coordorigin="1346,1139" coordsize="3836,3166" path="m5122,4245l5122,1139m5122,4245l5182,4245m5122,3726l5182,3726m5122,3208l5182,3208m5122,2692l5182,2692m5122,2173l5182,2173m5122,1655l5182,1655m5122,1139l5182,1139m1346,4245l5122,4245m2165,4245l2165,4305m2438,4245l2438,4305m2710,4245l2710,4305m2983,4245l2983,4305m3257,4245l3257,4305m3528,4245l3528,4305m3802,4245l3802,4305m4073,4245l4073,4305m4346,4245l4346,4305m4620,4245l4620,4305m4891,4245l4891,4305e" filled="false" stroked="true" strokeweight=".72pt" strokecolor="#858585">
              <v:path arrowok="t"/>
              <v:stroke dashstyle="solid"/>
            </v:shape>
            <v:shape style="position:absolute;left:1329;top:1318;width:3809;height:2986" type="#_x0000_t75" stroked="false">
              <v:imagedata r:id="rId60" o:title=""/>
            </v:shape>
            <v:line style="position:absolute" from="1493,1069" to="1877,1069" stroked="true" strokeweight="1.68pt" strokecolor="#000000">
              <v:stroke dashstyle="solid"/>
            </v:line>
            <v:shape style="position:absolute;left:6204;top:1146;width:3845;height:3183" coordorigin="6204,1146" coordsize="3845,3183" path="m9986,4269l9986,1146m9986,4269l10049,4269m9986,3489l10049,3489m9986,2706l10049,2706m9986,1926l10049,1926m9986,1146l10049,1146m6204,4269l9986,4269m6204,4269l6204,4329m6564,4269l6564,4329m6924,4269l6924,4329m7284,4269l7284,4329m7644,4269l7644,4329m8004,4269l8004,4329m8366,4269l8366,4329m8726,4269l8726,4329m9086,4269l9086,4329m9446,4269l9446,4329m9806,4269l9806,4329e" filled="false" stroked="true" strokeweight=".72pt" strokecolor="#858585">
              <v:path arrowok="t"/>
              <v:stroke dashstyle="solid"/>
            </v:shape>
            <v:shape style="position:absolute;left:6218;top:2458;width:3754;height:1632" coordorigin="6218,2459" coordsize="3754,1632" path="m6218,3148l6247,3186,6278,3328,6307,3364,6338,3436,6367,3400,6398,3400,6427,3381,6458,3347,6487,3364,6518,3489,6547,3525,6578,3613,6607,3613,6638,3594,6670,3594,6698,3594,6730,3613,6758,3630,6790,3630,6818,3666,6850,3683,6878,3719,6910,3683,6938,3647,6970,3577,6998,3594,7030,3613,7058,3666,7090,3736,7118,3683,7150,3630,7178,3558,7210,3558,7238,3613,7270,3613,7298,3613,7330,3613,7358,3647,7390,3683,7418,3683,7450,3666,7478,3630,7510,3702,7538,3702,7570,3808,7598,3808,7630,3825,7658,3808,7690,3772,7721,3825,7750,3880,7781,3913,7810,3825,7841,3736,7870,3683,7901,3613,7930,3594,7961,3613,7990,3613,8021,3594,8050,3613,8081,3647,8110,3647,8141,3630,8170,3594,8201,3505,8230,3436,8261,3436,8290,3417,8321,3400,8350,3364,8381,3381,8410,3453,8441,3525,8470,3594,8501,3666,8530,3666,8561,3666,8590,3647,8621,3666,8650,3666,8681,3666,8710,3647,8741,3702,8772,3772,8801,3861,8832,3913,8861,3949,8892,3985,8921,4002,8952,4038,8981,4074,9012,4091,9041,4021,9072,3949,9101,3400,9132,2867,9161,2778,9192,2795,9221,2795,9252,2761,9281,2761,9312,2742,9341,2742,9372,2725,9401,2706,9432,2706,9461,2601,9492,2548,9521,2476,9552,2495,9581,2459,9612,2476,9641,2565,9672,2637,9701,3169,9732,3719,9763,3791,9792,3791,9823,3791,9852,3825,9883,3791,9912,3825,9943,3825,9972,3808e" filled="false" stroked="true" strokeweight="1.68pt" strokecolor="#000000">
              <v:path arrowok="t"/>
              <v:stroke dashstyle="solid"/>
            </v:shape>
            <v:shape style="position:absolute;left:6218;top:1731;width:3754;height:2343" coordorigin="6218,1732" coordsize="3754,2343" path="m6218,3174l6247,3227,6278,3489,6307,3553,6338,3618,6367,3618,6398,3618,6427,3618,6458,3424,6487,3227,6518,3424,6547,3489,6578,3553,6607,3424,6638,3359,6670,3424,6698,3424,6730,3489,6938,3489,6970,3359,6998,3359,7030,3292,7058,3424,7090,3618,7118,3424,7150,3424,7178,3292,7210,3227,7238,3292,7270,3292,7298,3292,7330,3292,7358,3359,7390,3359,7418,3359,7450,3359,7478,3359,7510,3424,7538,3424,7570,3489,7598,3489,7630,3553,7658,3618,7690,3618,7721,3813,7750,3748,7781,3880,7810,4074,7841,4074,7870,4074,7901,4009,7930,4009,7961,4009,7990,4009,8021,3945,8050,3945,8081,3945,8110,3945,8141,3880,8170,4009,8201,3945,8230,3945,8381,3945,8410,3880,8441,3880,8470,3880,8501,3945,8530,3880,8561,3880,8590,3880,8621,3945,8650,3945,8681,3945,8710,3880,8741,3945,8772,3945,8801,4009,8832,4009,8861,4009,9012,4009,9041,3880,9072,3748,9101,3162,9132,2577,9161,2447,9192,2447,9221,2447,9252,2382,9281,2382,9312,2447,9341,2447,9372,2447,9401,2447,9432,2447,9461,2253,9492,2056,9521,1797,9552,1861,9581,1732,9612,1732,9641,1861,9672,1991,9701,2512,9732,3162,9763,3292,9792,3292,9823,3292,9852,3359,9883,3359,9912,3359,9943,3359,9972,3292e" filled="false" stroked="true" strokeweight="1.68pt" strokecolor="#00af50">
              <v:path arrowok="t"/>
              <v:stroke dashstyle="solid"/>
            </v:shape>
            <v:shape style="position:absolute;left:6218;top:2511;width:3754;height:1611" coordorigin="6218,2512" coordsize="3754,1611" path="m6218,2521l6247,2610,6278,2805,6307,2853,6338,2999,6367,2999,6398,3049,6427,3097,6458,3145,6487,3244,6518,3390,6547,3438,6578,3585,6607,3683,6638,3585,6670,3537,6698,3537,6730,3537,6758,3585,6790,3537,6818,3585,6850,3585,6878,3683,6910,3635,6938,3537,6970,3390,6998,3390,7030,3390,7058,3438,7090,3489,7118,3489,7150,3390,7178,3292,7210,3292,7238,3390,7270,3438,7298,3438,7330,3438,7358,3537,7390,3635,7418,3635,7450,3635,7478,3635,7510,3733,7538,3781,7570,3976,7598,3976,7630,3976,7658,3928,7690,3928,7721,3928,7750,4074,7781,4074,7810,3928,7841,3880,7870,3829,7901,3829,7930,3781,8141,3781,8170,3733,8201,3635,8230,3489,8261,3489,8290,3489,8321,3489,8350,3438,8381,3537,8410,3635,8441,3635,8470,3683,8501,3683,8530,3733,8710,3733,8741,3781,8772,3829,8801,3928,8832,4026,8861,4074,8892,4074,8921,4074,8952,4122,8981,4122,9012,4122,9041,4026,9072,3928,9101,3342,9132,2853,9161,2706,9192,2706,9221,2706,9252,2706,9281,2706,9312,2610,9341,2610,9372,2560,9401,2560,9432,2610,9461,2512,9492,2512,9521,2512,9552,2512,9581,2512,9612,2512,9641,2658,9672,2757,9701,3342,9732,3829,9763,3928,9792,3928,9823,3928,9852,3928,9883,3880,9912,3976,9943,3976,9972,4026e" filled="false" stroked="true" strokeweight="1.68pt" strokecolor="#ff0000">
              <v:path arrowok="t"/>
              <v:stroke dashstyle="solid"/>
            </v:shape>
            <v:shape style="position:absolute;left:6218;top:2804;width:3754;height:1318" coordorigin="6218,2805" coordsize="3754,1318" path="m6218,3755l6247,3733,6278,3733,6307,3733,6338,3733,6367,3635,6398,3585,6427,3489,6458,3489,6487,3585,6518,3635,6547,3635,6578,3683,6607,3683,6638,3781,6670,3781,6698,3781,6730,3781,6758,3781,6790,3829,6818,3880,6850,3928,6878,3928,6910,3880,6938,3880,6970,3928,6998,3976,7030,4074,7058,4074,7090,4074,7118,4074,7150,4026,7178,4026,7210,4074,7238,4074,7270,4026,7298,4026,7330,4026,7358,3976,7390,3976,7418,3976,7450,3928,7478,3829,7510,3880,7538,3829,7570,3880,7598,3880,7630,3880,7658,3829,7690,3733,7721,3733,7750,3781,7781,3781,7810,3537,7841,3342,7870,3244,7901,3097,7930,3097,7961,3145,7990,3145,8021,3145,8050,3196,8081,3292,8110,3292,8141,3292,8170,3145,8201,3049,8230,2999,8261,2999,8290,2951,8321,2903,8350,2853,8381,2805,8410,2951,8441,3145,8470,3292,8501,3438,8530,3438,8561,3438,8590,3390,8621,3390,8650,3390,8681,3390,8710,3390,8741,3438,8772,3585,8801,3683,8832,3733,8861,3781,8892,3880,8921,3928,8952,3976,8981,4074,9012,4122,9041,4122,9072,4122,9101,3635,9132,3097,9161,3097,9192,3145,9221,3145,9252,3097,9281,3097,9312,3097,9341,3097,9372,3097,9401,3049,9432,2999,9461,2951,9492,2951,9521,2951,9552,2951,9581,2951,9612,2999,9641,2999,9672,2999,9701,3489,9732,4026,9763,4026,9792,4026,9823,4026,9852,4074,9883,4026,9912,4026,9943,4026,9972,3976e" filled="false" stroked="true" strokeweight="1.68pt" strokecolor="#ffc000">
              <v:path arrowok="t"/>
              <v:stroke dashstyle="solid"/>
            </v:shape>
            <v:line style="position:absolute" from="6324,1132" to="6708,1132" stroked="true" strokeweight="1.68pt" strokecolor="#000000">
              <v:stroke dashstyle="solid"/>
            </v:line>
            <v:shape style="position:absolute;left:10162;top:4151;width:131;height:223" type="#_x0000_t202" filled="false" stroked="false">
              <v:textbox inset="0,0,0,0">
                <w:txbxContent>
                  <w:p>
                    <w:pPr>
                      <w:spacing w:line="223" w:lineRule="exact" w:before="0"/>
                      <w:ind w:left="0" w:right="0" w:firstLine="0"/>
                      <w:jc w:val="left"/>
                      <w:rPr>
                        <w:sz w:val="20"/>
                      </w:rPr>
                    </w:pPr>
                    <w:r>
                      <w:rPr>
                        <w:w w:val="99"/>
                        <w:sz w:val="20"/>
                      </w:rPr>
                      <w:t>0</w:t>
                    </w:r>
                  </w:p>
                </w:txbxContent>
              </v:textbox>
              <w10:wrap type="none"/>
            </v:shape>
            <v:shape style="position:absolute;left:10162;top:3370;width:131;height:223" type="#_x0000_t202" filled="false" stroked="false">
              <v:textbox inset="0,0,0,0">
                <w:txbxContent>
                  <w:p>
                    <w:pPr>
                      <w:spacing w:line="223" w:lineRule="exact" w:before="0"/>
                      <w:ind w:left="0" w:right="0" w:firstLine="0"/>
                      <w:jc w:val="left"/>
                      <w:rPr>
                        <w:sz w:val="20"/>
                      </w:rPr>
                    </w:pPr>
                    <w:r>
                      <w:rPr>
                        <w:w w:val="99"/>
                        <w:sz w:val="20"/>
                      </w:rPr>
                      <w:t>5</w:t>
                    </w:r>
                  </w:p>
                </w:txbxContent>
              </v:textbox>
              <w10:wrap type="none"/>
            </v:shape>
            <v:shape style="position:absolute;left:10162;top:2589;width:241;height:223" type="#_x0000_t202" filled="false" stroked="false">
              <v:textbox inset="0,0,0,0">
                <w:txbxContent>
                  <w:p>
                    <w:pPr>
                      <w:spacing w:line="223" w:lineRule="exact" w:before="0"/>
                      <w:ind w:left="0" w:right="0" w:firstLine="0"/>
                      <w:jc w:val="left"/>
                      <w:rPr>
                        <w:sz w:val="20"/>
                      </w:rPr>
                    </w:pPr>
                    <w:r>
                      <w:rPr>
                        <w:sz w:val="20"/>
                      </w:rPr>
                      <w:t>10</w:t>
                    </w:r>
                  </w:p>
                </w:txbxContent>
              </v:textbox>
              <w10:wrap type="none"/>
            </v:shape>
            <v:shape style="position:absolute;left:10162;top:1808;width:241;height:223" type="#_x0000_t202" filled="false" stroked="false">
              <v:textbox inset="0,0,0,0">
                <w:txbxContent>
                  <w:p>
                    <w:pPr>
                      <w:spacing w:line="223" w:lineRule="exact" w:before="0"/>
                      <w:ind w:left="0" w:right="0" w:firstLine="0"/>
                      <w:jc w:val="left"/>
                      <w:rPr>
                        <w:sz w:val="20"/>
                      </w:rPr>
                    </w:pPr>
                    <w:r>
                      <w:rPr>
                        <w:sz w:val="20"/>
                      </w:rPr>
                      <w:t>15</w:t>
                    </w:r>
                  </w:p>
                </w:txbxContent>
              </v:textbox>
              <w10:wrap type="none"/>
            </v:shape>
            <v:shape style="position:absolute;left:6324;top:1952;width:2068;height:286" type="#_x0000_t202" filled="false" stroked="false">
              <v:textbox inset="0,0,0,0">
                <w:txbxContent>
                  <w:p>
                    <w:pPr>
                      <w:tabs>
                        <w:tab w:pos="427" w:val="left" w:leader="none"/>
                      </w:tabs>
                      <w:spacing w:before="56"/>
                      <w:ind w:left="0" w:right="0" w:firstLine="0"/>
                      <w:jc w:val="left"/>
                      <w:rPr>
                        <w:sz w:val="20"/>
                      </w:rPr>
                    </w:pPr>
                    <w:r>
                      <w:rPr>
                        <w:w w:val="99"/>
                        <w:position w:val="6"/>
                        <w:sz w:val="20"/>
                        <w:u w:val="thick" w:color="FFC000"/>
                      </w:rPr>
                      <w:t> </w:t>
                    </w:r>
                    <w:r>
                      <w:rPr>
                        <w:position w:val="6"/>
                        <w:sz w:val="20"/>
                        <w:u w:val="thick" w:color="FFC000"/>
                      </w:rPr>
                      <w:tab/>
                    </w:r>
                    <w:r>
                      <w:rPr>
                        <w:sz w:val="20"/>
                      </w:rPr>
                      <w:t>Emerging</w:t>
                    </w:r>
                    <w:r>
                      <w:rPr>
                        <w:spacing w:val="-4"/>
                        <w:sz w:val="20"/>
                      </w:rPr>
                      <w:t> </w:t>
                    </w:r>
                    <w:r>
                      <w:rPr>
                        <w:sz w:val="20"/>
                      </w:rPr>
                      <w:t>markets</w:t>
                    </w:r>
                  </w:p>
                </w:txbxContent>
              </v:textbox>
              <w10:wrap type="none"/>
            </v:shape>
            <v:shape style="position:absolute;left:6751;top:1681;width:1443;height:223" type="#_x0000_t202" filled="false" stroked="false">
              <v:textbox inset="0,0,0,0">
                <w:txbxContent>
                  <w:p>
                    <w:pPr>
                      <w:spacing w:line="223" w:lineRule="exact" w:before="0"/>
                      <w:ind w:left="0" w:right="0" w:firstLine="0"/>
                      <w:jc w:val="left"/>
                      <w:rPr>
                        <w:sz w:val="20"/>
                      </w:rPr>
                    </w:pPr>
                    <w:r>
                      <w:rPr>
                        <w:sz w:val="20"/>
                      </w:rPr>
                      <w:t>Other advanced</w:t>
                    </w:r>
                  </w:p>
                </w:txbxContent>
              </v:textbox>
              <w10:wrap type="none"/>
            </v:shape>
            <v:shape style="position:absolute;left:10162;top:1027;width:241;height:223" type="#_x0000_t202" filled="false" stroked="false">
              <v:textbox inset="0,0,0,0">
                <w:txbxContent>
                  <w:p>
                    <w:pPr>
                      <w:spacing w:line="223" w:lineRule="exact" w:before="0"/>
                      <w:ind w:left="0" w:right="0" w:firstLine="0"/>
                      <w:jc w:val="left"/>
                      <w:rPr>
                        <w:sz w:val="20"/>
                      </w:rPr>
                    </w:pPr>
                    <w:r>
                      <w:rPr>
                        <w:sz w:val="20"/>
                      </w:rPr>
                      <w:t>20</w:t>
                    </w:r>
                  </w:p>
                </w:txbxContent>
              </v:textbox>
              <w10:wrap type="none"/>
            </v:shape>
            <v:shape style="position:absolute;left:6324;top:1012;width:1469;height:748" type="#_x0000_t202" filled="false" stroked="false">
              <v:textbox inset="0,0,0,0">
                <w:txbxContent>
                  <w:p>
                    <w:pPr>
                      <w:spacing w:line="223" w:lineRule="exact" w:before="0"/>
                      <w:ind w:left="427" w:right="0" w:firstLine="0"/>
                      <w:jc w:val="left"/>
                      <w:rPr>
                        <w:sz w:val="20"/>
                      </w:rPr>
                    </w:pPr>
                    <w:r>
                      <w:rPr>
                        <w:sz w:val="20"/>
                      </w:rPr>
                      <w:t>Full sample</w:t>
                    </w:r>
                  </w:p>
                  <w:p>
                    <w:pPr>
                      <w:tabs>
                        <w:tab w:pos="427" w:val="left" w:leader="none"/>
                      </w:tabs>
                      <w:spacing w:line="210" w:lineRule="exact" w:before="104"/>
                      <w:ind w:left="0" w:right="0" w:firstLine="0"/>
                      <w:jc w:val="left"/>
                      <w:rPr>
                        <w:sz w:val="20"/>
                      </w:rPr>
                    </w:pPr>
                    <w:r>
                      <w:rPr>
                        <w:w w:val="99"/>
                        <w:position w:val="6"/>
                        <w:sz w:val="20"/>
                        <w:u w:val="thick" w:color="00AF50"/>
                      </w:rPr>
                      <w:t> </w:t>
                    </w:r>
                    <w:r>
                      <w:rPr>
                        <w:position w:val="6"/>
                        <w:sz w:val="20"/>
                        <w:u w:val="thick" w:color="00AF50"/>
                      </w:rPr>
                      <w:tab/>
                    </w:r>
                    <w:r>
                      <w:rPr>
                        <w:sz w:val="20"/>
                      </w:rPr>
                      <w:t>Euro</w:t>
                    </w:r>
                    <w:r>
                      <w:rPr>
                        <w:spacing w:val="-2"/>
                        <w:sz w:val="20"/>
                      </w:rPr>
                      <w:t> </w:t>
                    </w:r>
                    <w:r>
                      <w:rPr>
                        <w:sz w:val="20"/>
                      </w:rPr>
                      <w:t>Area</w:t>
                    </w:r>
                  </w:p>
                  <w:p>
                    <w:pPr>
                      <w:tabs>
                        <w:tab w:pos="433" w:val="left" w:leader="none"/>
                      </w:tabs>
                      <w:spacing w:line="210" w:lineRule="exact" w:before="0"/>
                      <w:ind w:left="0" w:right="0" w:firstLine="0"/>
                      <w:jc w:val="left"/>
                      <w:rPr>
                        <w:sz w:val="20"/>
                      </w:rPr>
                    </w:pPr>
                    <w:r>
                      <w:rPr>
                        <w:w w:val="99"/>
                        <w:sz w:val="20"/>
                        <w:u w:val="thick" w:color="FF0000"/>
                      </w:rPr>
                      <w:t> </w:t>
                    </w:r>
                    <w:r>
                      <w:rPr>
                        <w:sz w:val="20"/>
                        <w:u w:val="thick" w:color="FF0000"/>
                      </w:rPr>
                      <w:tab/>
                    </w:r>
                  </w:p>
                </w:txbxContent>
              </v:textbox>
              <w10:wrap type="none"/>
            </v:shape>
            <v:shape style="position:absolute;left:5296;top:4126;width:131;height:223" type="#_x0000_t202" filled="false" stroked="false">
              <v:textbox inset="0,0,0,0">
                <w:txbxContent>
                  <w:p>
                    <w:pPr>
                      <w:spacing w:line="223" w:lineRule="exact" w:before="0"/>
                      <w:ind w:left="0" w:right="0" w:firstLine="0"/>
                      <w:jc w:val="left"/>
                      <w:rPr>
                        <w:sz w:val="20"/>
                      </w:rPr>
                    </w:pPr>
                    <w:r>
                      <w:rPr>
                        <w:w w:val="99"/>
                        <w:sz w:val="20"/>
                      </w:rPr>
                      <w:t>0</w:t>
                    </w:r>
                  </w:p>
                </w:txbxContent>
              </v:textbox>
              <w10:wrap type="none"/>
            </v:shape>
            <v:shape style="position:absolute;left:5296;top:1020;width:241;height:2811" type="#_x0000_t202" filled="false" stroked="false">
              <v:textbox inset="0,0,0,0">
                <w:txbxContent>
                  <w:p>
                    <w:pPr>
                      <w:spacing w:line="223" w:lineRule="exact" w:before="0"/>
                      <w:ind w:left="0" w:right="0" w:firstLine="0"/>
                      <w:jc w:val="left"/>
                      <w:rPr>
                        <w:sz w:val="20"/>
                      </w:rPr>
                    </w:pPr>
                    <w:r>
                      <w:rPr>
                        <w:sz w:val="20"/>
                      </w:rPr>
                      <w:t>12</w:t>
                    </w:r>
                  </w:p>
                  <w:p>
                    <w:pPr>
                      <w:spacing w:line="240" w:lineRule="auto" w:before="11"/>
                      <w:rPr>
                        <w:sz w:val="24"/>
                      </w:rPr>
                    </w:pPr>
                  </w:p>
                  <w:p>
                    <w:pPr>
                      <w:spacing w:before="0"/>
                      <w:ind w:left="0" w:right="0" w:firstLine="0"/>
                      <w:jc w:val="left"/>
                      <w:rPr>
                        <w:sz w:val="20"/>
                      </w:rPr>
                    </w:pPr>
                    <w:r>
                      <w:rPr>
                        <w:sz w:val="20"/>
                      </w:rPr>
                      <w:t>10</w:t>
                    </w:r>
                  </w:p>
                  <w:p>
                    <w:pPr>
                      <w:spacing w:line="240" w:lineRule="auto" w:before="0"/>
                      <w:rPr>
                        <w:sz w:val="25"/>
                      </w:rPr>
                    </w:pPr>
                  </w:p>
                  <w:p>
                    <w:pPr>
                      <w:spacing w:before="0"/>
                      <w:ind w:left="0" w:right="0" w:firstLine="0"/>
                      <w:jc w:val="left"/>
                      <w:rPr>
                        <w:sz w:val="20"/>
                      </w:rPr>
                    </w:pPr>
                    <w:r>
                      <w:rPr>
                        <w:w w:val="99"/>
                        <w:sz w:val="20"/>
                      </w:rPr>
                      <w:t>8</w:t>
                    </w:r>
                  </w:p>
                  <w:p>
                    <w:pPr>
                      <w:spacing w:line="240" w:lineRule="auto" w:before="0"/>
                      <w:rPr>
                        <w:sz w:val="25"/>
                      </w:rPr>
                    </w:pPr>
                  </w:p>
                  <w:p>
                    <w:pPr>
                      <w:spacing w:before="1"/>
                      <w:ind w:left="0" w:right="0" w:firstLine="0"/>
                      <w:jc w:val="left"/>
                      <w:rPr>
                        <w:sz w:val="20"/>
                      </w:rPr>
                    </w:pPr>
                    <w:r>
                      <w:rPr>
                        <w:w w:val="99"/>
                        <w:sz w:val="20"/>
                      </w:rPr>
                      <w:t>6</w:t>
                    </w:r>
                  </w:p>
                  <w:p>
                    <w:pPr>
                      <w:spacing w:line="240" w:lineRule="auto" w:before="0"/>
                      <w:rPr>
                        <w:sz w:val="25"/>
                      </w:rPr>
                    </w:pPr>
                  </w:p>
                  <w:p>
                    <w:pPr>
                      <w:spacing w:before="0"/>
                      <w:ind w:left="0" w:right="0" w:firstLine="0"/>
                      <w:jc w:val="left"/>
                      <w:rPr>
                        <w:sz w:val="20"/>
                      </w:rPr>
                    </w:pPr>
                    <w:r>
                      <w:rPr>
                        <w:w w:val="99"/>
                        <w:sz w:val="20"/>
                      </w:rPr>
                      <w:t>4</w:t>
                    </w:r>
                  </w:p>
                  <w:p>
                    <w:pPr>
                      <w:spacing w:line="240" w:lineRule="auto" w:before="0"/>
                      <w:rPr>
                        <w:sz w:val="25"/>
                      </w:rPr>
                    </w:pPr>
                  </w:p>
                  <w:p>
                    <w:pPr>
                      <w:spacing w:before="0"/>
                      <w:ind w:left="0" w:right="0" w:firstLine="0"/>
                      <w:jc w:val="left"/>
                      <w:rPr>
                        <w:sz w:val="20"/>
                      </w:rPr>
                    </w:pPr>
                    <w:r>
                      <w:rPr>
                        <w:w w:val="99"/>
                        <w:sz w:val="20"/>
                      </w:rPr>
                      <w:t>2</w:t>
                    </w:r>
                  </w:p>
                </w:txbxContent>
              </v:textbox>
              <w10:wrap type="none"/>
            </v:shape>
            <v:shape style="position:absolute;left:1920;top:952;width:1641;height:1223" type="#_x0000_t202" filled="false" stroked="false">
              <v:textbox inset="0,0,0,0">
                <w:txbxContent>
                  <w:p>
                    <w:pPr>
                      <w:spacing w:line="348" w:lineRule="auto" w:before="0"/>
                      <w:ind w:left="0" w:right="216" w:firstLine="0"/>
                      <w:jc w:val="left"/>
                      <w:rPr>
                        <w:sz w:val="20"/>
                      </w:rPr>
                    </w:pPr>
                    <w:r>
                      <w:rPr>
                        <w:sz w:val="20"/>
                      </w:rPr>
                      <w:t>Full sample Euro area Other</w:t>
                    </w:r>
                    <w:r>
                      <w:rPr>
                        <w:spacing w:val="-14"/>
                        <w:sz w:val="20"/>
                      </w:rPr>
                      <w:t> </w:t>
                    </w:r>
                    <w:r>
                      <w:rPr>
                        <w:sz w:val="20"/>
                      </w:rPr>
                      <w:t>advanced</w:t>
                    </w:r>
                  </w:p>
                  <w:p>
                    <w:pPr>
                      <w:spacing w:line="230" w:lineRule="exact" w:before="0"/>
                      <w:ind w:left="0" w:right="0" w:firstLine="0"/>
                      <w:jc w:val="left"/>
                      <w:rPr>
                        <w:sz w:val="20"/>
                      </w:rPr>
                    </w:pPr>
                    <w:r>
                      <w:rPr>
                        <w:sz w:val="20"/>
                      </w:rPr>
                      <w:t>Emerging markets</w:t>
                    </w:r>
                  </w:p>
                </w:txbxContent>
              </v:textbox>
              <w10:wrap type="none"/>
            </v:shape>
            <v:shape style="position:absolute;left:5905;top:481;width:4643;height:303" type="#_x0000_t202" filled="false" stroked="true" strokeweight=".47998pt" strokecolor="#000000">
              <v:textbox inset="0,0,0,0">
                <w:txbxContent>
                  <w:p>
                    <w:pPr>
                      <w:spacing w:before="0"/>
                      <w:ind w:left="460" w:right="0" w:firstLine="0"/>
                      <w:jc w:val="left"/>
                      <w:rPr>
                        <w:sz w:val="22"/>
                      </w:rPr>
                    </w:pPr>
                    <w:r>
                      <w:rPr>
                        <w:sz w:val="22"/>
                      </w:rPr>
                      <w:t>b. GDP ENR (5-year rolling averages)</w:t>
                    </w:r>
                  </w:p>
                </w:txbxContent>
              </v:textbox>
              <v:stroke dashstyle="solid"/>
              <w10:wrap type="none"/>
            </v:shape>
            <v:shape style="position:absolute;left:1024;top:481;width:4881;height:303" type="#_x0000_t202" filled="false" stroked="true" strokeweight=".47998pt" strokecolor="#000000">
              <v:textbox inset="0,0,0,0">
                <w:txbxContent>
                  <w:p>
                    <w:pPr>
                      <w:spacing w:before="0"/>
                      <w:ind w:left="461" w:right="0" w:firstLine="0"/>
                      <w:jc w:val="left"/>
                      <w:rPr>
                        <w:sz w:val="22"/>
                      </w:rPr>
                    </w:pPr>
                    <w:r>
                      <w:rPr>
                        <w:sz w:val="22"/>
                      </w:rPr>
                      <w:t>a. Equity ENR (5-year rolling averages)</w:t>
                    </w:r>
                  </w:p>
                </w:txbxContent>
              </v:textbox>
              <v:stroke dashstyle="solid"/>
              <w10:wrap type="none"/>
            </v:shape>
            <w10:wrap type="none"/>
          </v:group>
        </w:pict>
      </w:r>
      <w:r>
        <w:rPr>
          <w:b/>
          <w:sz w:val="22"/>
        </w:rPr>
        <w:t>Figure 15. Average % of sample with Extreme Negative Return (ENR) in equity and growth</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18"/>
        </w:rPr>
      </w:pPr>
    </w:p>
    <w:p>
      <w:pPr>
        <w:spacing w:before="94"/>
        <w:ind w:left="111" w:right="0" w:firstLine="0"/>
        <w:jc w:val="left"/>
        <w:rPr>
          <w:b/>
          <w:sz w:val="22"/>
        </w:rPr>
      </w:pPr>
      <w:r>
        <w:rPr/>
        <w:pict>
          <v:shape style="position:absolute;margin-left:60.831478pt;margin-top:-52.34288pt;width:190.4pt;height:24.25pt;mso-position-horizontal-relative:page;mso-position-vertical-relative:paragraph;z-index:251904000" type="#_x0000_t202" filled="false" stroked="false">
            <v:textbox inset="0,0,0,0" style="layout-flow:vertical;mso-layout-flow-alt:bottom-to-top">
              <w:txbxContent>
                <w:p>
                  <w:pPr>
                    <w:pStyle w:val="BodyText"/>
                    <w:spacing w:before="12"/>
                    <w:ind w:left="20"/>
                  </w:pPr>
                  <w:r>
                    <w:rPr/>
                    <w:t>1974</w:t>
                  </w:r>
                </w:p>
                <w:p>
                  <w:pPr>
                    <w:pStyle w:val="BodyText"/>
                    <w:spacing w:before="43"/>
                    <w:ind w:left="20"/>
                  </w:pPr>
                  <w:r>
                    <w:rPr/>
                    <w:t>1977</w:t>
                  </w:r>
                </w:p>
                <w:p>
                  <w:pPr>
                    <w:pStyle w:val="BodyText"/>
                    <w:spacing w:before="43"/>
                    <w:ind w:left="20"/>
                  </w:pPr>
                  <w:r>
                    <w:rPr/>
                    <w:t>1980</w:t>
                  </w:r>
                </w:p>
                <w:p>
                  <w:pPr>
                    <w:pStyle w:val="BodyText"/>
                    <w:spacing w:before="42"/>
                    <w:ind w:left="20"/>
                  </w:pPr>
                  <w:r>
                    <w:rPr/>
                    <w:t>1983</w:t>
                  </w:r>
                </w:p>
                <w:p>
                  <w:pPr>
                    <w:pStyle w:val="BodyText"/>
                    <w:spacing w:before="44"/>
                    <w:ind w:left="20"/>
                  </w:pPr>
                  <w:r>
                    <w:rPr/>
                    <w:t>1986</w:t>
                  </w:r>
                </w:p>
                <w:p>
                  <w:pPr>
                    <w:pStyle w:val="BodyText"/>
                    <w:spacing w:before="42"/>
                    <w:ind w:left="20"/>
                  </w:pPr>
                  <w:r>
                    <w:rPr/>
                    <w:t>1989</w:t>
                  </w:r>
                </w:p>
                <w:p>
                  <w:pPr>
                    <w:pStyle w:val="BodyText"/>
                    <w:spacing w:before="43"/>
                    <w:ind w:left="20"/>
                  </w:pPr>
                  <w:r>
                    <w:rPr/>
                    <w:t>1992</w:t>
                  </w:r>
                </w:p>
                <w:p>
                  <w:pPr>
                    <w:pStyle w:val="BodyText"/>
                    <w:spacing w:before="43"/>
                    <w:ind w:left="20"/>
                  </w:pPr>
                  <w:r>
                    <w:rPr/>
                    <w:t>1995</w:t>
                  </w:r>
                </w:p>
                <w:p>
                  <w:pPr>
                    <w:pStyle w:val="BodyText"/>
                    <w:spacing w:before="42"/>
                    <w:ind w:left="20"/>
                  </w:pPr>
                  <w:r>
                    <w:rPr/>
                    <w:t>1998</w:t>
                  </w:r>
                </w:p>
                <w:p>
                  <w:pPr>
                    <w:pStyle w:val="BodyText"/>
                    <w:spacing w:before="43"/>
                    <w:ind w:left="20"/>
                  </w:pPr>
                  <w:r>
                    <w:rPr/>
                    <w:t>2001</w:t>
                  </w:r>
                </w:p>
                <w:p>
                  <w:pPr>
                    <w:pStyle w:val="BodyText"/>
                    <w:spacing w:before="43"/>
                    <w:ind w:left="20"/>
                  </w:pPr>
                  <w:r>
                    <w:rPr/>
                    <w:t>2004</w:t>
                  </w:r>
                </w:p>
                <w:p>
                  <w:pPr>
                    <w:pStyle w:val="BodyText"/>
                    <w:spacing w:before="43"/>
                    <w:ind w:left="20"/>
                  </w:pPr>
                  <w:r>
                    <w:rPr/>
                    <w:t>2007</w:t>
                  </w:r>
                </w:p>
                <w:p>
                  <w:pPr>
                    <w:pStyle w:val="BodyText"/>
                    <w:spacing w:before="42"/>
                    <w:ind w:left="20"/>
                  </w:pPr>
                  <w:r>
                    <w:rPr/>
                    <w:t>2010</w:t>
                  </w:r>
                </w:p>
                <w:p>
                  <w:pPr>
                    <w:pStyle w:val="BodyText"/>
                    <w:spacing w:before="43"/>
                    <w:ind w:left="20"/>
                  </w:pPr>
                  <w:r>
                    <w:rPr/>
                    <w:t>2013</w:t>
                  </w:r>
                </w:p>
              </w:txbxContent>
            </v:textbox>
            <w10:wrap type="none"/>
          </v:shape>
        </w:pict>
      </w:r>
      <w:r>
        <w:rPr/>
        <w:pict>
          <v:shape style="position:absolute;margin-left:304.403473pt;margin-top:-51.09288pt;width:193.4pt;height:24.25pt;mso-position-horizontal-relative:page;mso-position-vertical-relative:paragraph;z-index:251905024" type="#_x0000_t202" filled="false" stroked="false">
            <v:textbox inset="0,0,0,0" style="layout-flow:vertical;mso-layout-flow-alt:bottom-to-top">
              <w:txbxContent>
                <w:p>
                  <w:pPr>
                    <w:pStyle w:val="BodyText"/>
                    <w:spacing w:before="12"/>
                    <w:ind w:left="20"/>
                  </w:pPr>
                  <w:r>
                    <w:rPr/>
                    <w:t>1984</w:t>
                  </w:r>
                </w:p>
                <w:p>
                  <w:pPr>
                    <w:pStyle w:val="BodyText"/>
                    <w:spacing w:before="131"/>
                    <w:ind w:left="20"/>
                  </w:pPr>
                  <w:r>
                    <w:rPr/>
                    <w:t>1987</w:t>
                  </w:r>
                </w:p>
                <w:p>
                  <w:pPr>
                    <w:pStyle w:val="BodyText"/>
                    <w:spacing w:before="130"/>
                    <w:ind w:left="20"/>
                  </w:pPr>
                  <w:r>
                    <w:rPr/>
                    <w:t>1990</w:t>
                  </w:r>
                </w:p>
                <w:p>
                  <w:pPr>
                    <w:pStyle w:val="BodyText"/>
                    <w:spacing w:before="131"/>
                    <w:ind w:left="20"/>
                  </w:pPr>
                  <w:r>
                    <w:rPr/>
                    <w:t>1993</w:t>
                  </w:r>
                </w:p>
                <w:p>
                  <w:pPr>
                    <w:pStyle w:val="BodyText"/>
                    <w:spacing w:before="131"/>
                    <w:ind w:left="20"/>
                  </w:pPr>
                  <w:r>
                    <w:rPr/>
                    <w:t>1996</w:t>
                  </w:r>
                </w:p>
                <w:p>
                  <w:pPr>
                    <w:pStyle w:val="BodyText"/>
                    <w:spacing w:before="130"/>
                    <w:ind w:left="20"/>
                  </w:pPr>
                  <w:r>
                    <w:rPr/>
                    <w:t>1999</w:t>
                  </w:r>
                </w:p>
                <w:p>
                  <w:pPr>
                    <w:pStyle w:val="BodyText"/>
                    <w:spacing w:before="131"/>
                    <w:ind w:left="20"/>
                  </w:pPr>
                  <w:r>
                    <w:rPr/>
                    <w:t>2002</w:t>
                  </w:r>
                </w:p>
                <w:p>
                  <w:pPr>
                    <w:pStyle w:val="BodyText"/>
                    <w:spacing w:before="130"/>
                    <w:ind w:left="20"/>
                  </w:pPr>
                  <w:r>
                    <w:rPr/>
                    <w:t>2005</w:t>
                  </w:r>
                </w:p>
                <w:p>
                  <w:pPr>
                    <w:pStyle w:val="BodyText"/>
                    <w:spacing w:before="131"/>
                    <w:ind w:left="20"/>
                  </w:pPr>
                  <w:r>
                    <w:rPr/>
                    <w:t>2008</w:t>
                  </w:r>
                </w:p>
                <w:p>
                  <w:pPr>
                    <w:pStyle w:val="BodyText"/>
                    <w:spacing w:before="130"/>
                    <w:ind w:left="20"/>
                  </w:pPr>
                  <w:r>
                    <w:rPr/>
                    <w:t>2011</w:t>
                  </w:r>
                </w:p>
                <w:p>
                  <w:pPr>
                    <w:pStyle w:val="BodyText"/>
                    <w:spacing w:before="130"/>
                    <w:ind w:left="20"/>
                  </w:pPr>
                  <w:r>
                    <w:rPr/>
                    <w:t>2014</w:t>
                  </w:r>
                </w:p>
              </w:txbxContent>
            </v:textbox>
            <w10:wrap type="none"/>
          </v:shape>
        </w:pict>
      </w:r>
      <w:r>
        <w:rPr>
          <w:b/>
          <w:sz w:val="22"/>
        </w:rPr>
        <w:t>Figure 16. Extreme Negative Return (ENR) regressions for equity with openness interactions</w:t>
      </w:r>
    </w:p>
    <w:p>
      <w:pPr>
        <w:pStyle w:val="BodyText"/>
        <w:spacing w:before="10"/>
        <w:rPr>
          <w:b/>
          <w:sz w:val="7"/>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6"/>
        <w:gridCol w:w="1163"/>
        <w:gridCol w:w="1481"/>
        <w:gridCol w:w="1541"/>
        <w:gridCol w:w="1535"/>
        <w:gridCol w:w="1536"/>
        <w:gridCol w:w="1343"/>
      </w:tblGrid>
      <w:tr>
        <w:trPr>
          <w:trHeight w:val="268" w:hRule="atLeast"/>
        </w:trPr>
        <w:tc>
          <w:tcPr>
            <w:tcW w:w="3160" w:type="dxa"/>
            <w:gridSpan w:val="3"/>
            <w:tcBorders>
              <w:top w:val="dashed" w:sz="6" w:space="0" w:color="000000"/>
            </w:tcBorders>
          </w:tcPr>
          <w:p>
            <w:pPr>
              <w:pStyle w:val="TableParagraph"/>
              <w:spacing w:line="162" w:lineRule="exact" w:before="87"/>
              <w:ind w:right="469"/>
              <w:jc w:val="right"/>
              <w:rPr>
                <w:b/>
                <w:sz w:val="16"/>
              </w:rPr>
            </w:pPr>
            <w:r>
              <w:rPr>
                <w:b/>
                <w:sz w:val="16"/>
              </w:rPr>
              <w:t>(1)</w:t>
            </w:r>
          </w:p>
        </w:tc>
        <w:tc>
          <w:tcPr>
            <w:tcW w:w="1541" w:type="dxa"/>
            <w:tcBorders>
              <w:top w:val="dashed" w:sz="6" w:space="0" w:color="000000"/>
            </w:tcBorders>
          </w:tcPr>
          <w:p>
            <w:pPr>
              <w:pStyle w:val="TableParagraph"/>
              <w:spacing w:line="162" w:lineRule="exact" w:before="87"/>
              <w:ind w:left="776"/>
              <w:rPr>
                <w:b/>
                <w:sz w:val="16"/>
              </w:rPr>
            </w:pPr>
            <w:r>
              <w:rPr>
                <w:b/>
                <w:sz w:val="16"/>
              </w:rPr>
              <w:t>(2)</w:t>
            </w:r>
          </w:p>
        </w:tc>
        <w:tc>
          <w:tcPr>
            <w:tcW w:w="1535" w:type="dxa"/>
            <w:tcBorders>
              <w:top w:val="dashed" w:sz="6" w:space="0" w:color="000000"/>
            </w:tcBorders>
          </w:tcPr>
          <w:p>
            <w:pPr>
              <w:pStyle w:val="TableParagraph"/>
              <w:spacing w:line="162" w:lineRule="exact" w:before="87"/>
              <w:ind w:left="771"/>
              <w:rPr>
                <w:b/>
                <w:sz w:val="16"/>
              </w:rPr>
            </w:pPr>
            <w:r>
              <w:rPr>
                <w:b/>
                <w:sz w:val="16"/>
              </w:rPr>
              <w:t>(3)</w:t>
            </w:r>
          </w:p>
        </w:tc>
        <w:tc>
          <w:tcPr>
            <w:tcW w:w="1536" w:type="dxa"/>
            <w:tcBorders>
              <w:top w:val="dashed" w:sz="6" w:space="0" w:color="000000"/>
            </w:tcBorders>
          </w:tcPr>
          <w:p>
            <w:pPr>
              <w:pStyle w:val="TableParagraph"/>
              <w:spacing w:line="162" w:lineRule="exact" w:before="87"/>
              <w:ind w:right="473"/>
              <w:jc w:val="right"/>
              <w:rPr>
                <w:b/>
                <w:sz w:val="16"/>
              </w:rPr>
            </w:pPr>
            <w:r>
              <w:rPr>
                <w:b/>
                <w:sz w:val="16"/>
              </w:rPr>
              <w:t>(4)</w:t>
            </w:r>
          </w:p>
        </w:tc>
        <w:tc>
          <w:tcPr>
            <w:tcW w:w="1343" w:type="dxa"/>
            <w:tcBorders>
              <w:top w:val="dashed" w:sz="6" w:space="0" w:color="000000"/>
            </w:tcBorders>
          </w:tcPr>
          <w:p>
            <w:pPr>
              <w:pStyle w:val="TableParagraph"/>
              <w:spacing w:line="162" w:lineRule="exact" w:before="87"/>
              <w:ind w:right="280"/>
              <w:jc w:val="right"/>
              <w:rPr>
                <w:b/>
                <w:sz w:val="16"/>
              </w:rPr>
            </w:pPr>
            <w:r>
              <w:rPr>
                <w:b/>
                <w:sz w:val="16"/>
              </w:rPr>
              <w:t>(5)</w:t>
            </w:r>
          </w:p>
        </w:tc>
      </w:tr>
      <w:tr>
        <w:trPr>
          <w:trHeight w:val="260" w:hRule="atLeast"/>
        </w:trPr>
        <w:tc>
          <w:tcPr>
            <w:tcW w:w="3160" w:type="dxa"/>
            <w:gridSpan w:val="3"/>
            <w:tcBorders>
              <w:bottom w:val="dashed" w:sz="6" w:space="0" w:color="000000"/>
            </w:tcBorders>
          </w:tcPr>
          <w:p>
            <w:pPr>
              <w:pStyle w:val="TableParagraph"/>
              <w:ind w:right="469"/>
              <w:jc w:val="right"/>
              <w:rPr>
                <w:b/>
                <w:sz w:val="16"/>
              </w:rPr>
            </w:pPr>
            <w:r>
              <w:rPr>
                <w:b/>
                <w:sz w:val="16"/>
              </w:rPr>
              <w:t>ENR</w:t>
            </w:r>
          </w:p>
        </w:tc>
        <w:tc>
          <w:tcPr>
            <w:tcW w:w="1541" w:type="dxa"/>
            <w:tcBorders>
              <w:bottom w:val="dashed" w:sz="6" w:space="0" w:color="000000"/>
            </w:tcBorders>
          </w:tcPr>
          <w:p>
            <w:pPr>
              <w:pStyle w:val="TableParagraph"/>
              <w:ind w:left="776"/>
              <w:rPr>
                <w:b/>
                <w:sz w:val="16"/>
              </w:rPr>
            </w:pPr>
            <w:r>
              <w:rPr>
                <w:b/>
                <w:sz w:val="16"/>
              </w:rPr>
              <w:t>ENR</w:t>
            </w:r>
          </w:p>
        </w:tc>
        <w:tc>
          <w:tcPr>
            <w:tcW w:w="1535" w:type="dxa"/>
            <w:tcBorders>
              <w:bottom w:val="dashed" w:sz="6" w:space="0" w:color="000000"/>
            </w:tcBorders>
          </w:tcPr>
          <w:p>
            <w:pPr>
              <w:pStyle w:val="TableParagraph"/>
              <w:ind w:left="771"/>
              <w:rPr>
                <w:b/>
                <w:sz w:val="16"/>
              </w:rPr>
            </w:pPr>
            <w:r>
              <w:rPr>
                <w:b/>
                <w:sz w:val="16"/>
              </w:rPr>
              <w:t>ENR</w:t>
            </w:r>
          </w:p>
        </w:tc>
        <w:tc>
          <w:tcPr>
            <w:tcW w:w="1536" w:type="dxa"/>
            <w:tcBorders>
              <w:bottom w:val="dashed" w:sz="6" w:space="0" w:color="000000"/>
            </w:tcBorders>
          </w:tcPr>
          <w:p>
            <w:pPr>
              <w:pStyle w:val="TableParagraph"/>
              <w:ind w:right="473"/>
              <w:jc w:val="right"/>
              <w:rPr>
                <w:b/>
                <w:sz w:val="16"/>
              </w:rPr>
            </w:pPr>
            <w:r>
              <w:rPr>
                <w:b/>
                <w:sz w:val="16"/>
              </w:rPr>
              <w:t>ENR</w:t>
            </w:r>
          </w:p>
        </w:tc>
        <w:tc>
          <w:tcPr>
            <w:tcW w:w="1343" w:type="dxa"/>
            <w:tcBorders>
              <w:bottom w:val="dashed" w:sz="6" w:space="0" w:color="000000"/>
            </w:tcBorders>
          </w:tcPr>
          <w:p>
            <w:pPr>
              <w:pStyle w:val="TableParagraph"/>
              <w:ind w:right="280"/>
              <w:jc w:val="right"/>
              <w:rPr>
                <w:b/>
                <w:sz w:val="16"/>
              </w:rPr>
            </w:pPr>
            <w:r>
              <w:rPr>
                <w:b/>
                <w:sz w:val="16"/>
              </w:rPr>
              <w:t>ENR</w:t>
            </w:r>
          </w:p>
        </w:tc>
      </w:tr>
      <w:tr>
        <w:trPr>
          <w:trHeight w:val="267" w:hRule="atLeast"/>
        </w:trPr>
        <w:tc>
          <w:tcPr>
            <w:tcW w:w="1679" w:type="dxa"/>
            <w:gridSpan w:val="2"/>
            <w:tcBorders>
              <w:top w:val="dashed" w:sz="6" w:space="0" w:color="000000"/>
            </w:tcBorders>
          </w:tcPr>
          <w:p>
            <w:pPr>
              <w:pStyle w:val="TableParagraph"/>
              <w:spacing w:line="160" w:lineRule="exact" w:before="87"/>
              <w:rPr>
                <w:b/>
                <w:sz w:val="16"/>
              </w:rPr>
            </w:pPr>
            <w:r>
              <w:rPr>
                <w:b/>
                <w:sz w:val="16"/>
              </w:rPr>
              <w:t>Commodity prices</w:t>
            </w:r>
          </w:p>
        </w:tc>
        <w:tc>
          <w:tcPr>
            <w:tcW w:w="1481" w:type="dxa"/>
            <w:tcBorders>
              <w:top w:val="dashed" w:sz="6" w:space="0" w:color="000000"/>
            </w:tcBorders>
          </w:tcPr>
          <w:p>
            <w:pPr>
              <w:pStyle w:val="TableParagraph"/>
              <w:spacing w:line="160" w:lineRule="exact" w:before="87"/>
              <w:ind w:left="433"/>
              <w:rPr>
                <w:b/>
                <w:sz w:val="16"/>
              </w:rPr>
            </w:pPr>
            <w:r>
              <w:rPr>
                <w:b/>
                <w:sz w:val="16"/>
              </w:rPr>
              <w:t>0.0158**</w:t>
            </w:r>
          </w:p>
        </w:tc>
        <w:tc>
          <w:tcPr>
            <w:tcW w:w="1541" w:type="dxa"/>
            <w:tcBorders>
              <w:top w:val="dashed" w:sz="6" w:space="0" w:color="000000"/>
            </w:tcBorders>
          </w:tcPr>
          <w:p>
            <w:pPr>
              <w:pStyle w:val="TableParagraph"/>
              <w:spacing w:line="160" w:lineRule="exact" w:before="87"/>
              <w:ind w:left="488"/>
              <w:rPr>
                <w:b/>
                <w:sz w:val="16"/>
              </w:rPr>
            </w:pPr>
            <w:r>
              <w:rPr>
                <w:b/>
                <w:sz w:val="16"/>
              </w:rPr>
              <w:t>0.0295***</w:t>
            </w:r>
          </w:p>
        </w:tc>
        <w:tc>
          <w:tcPr>
            <w:tcW w:w="1535" w:type="dxa"/>
            <w:tcBorders>
              <w:top w:val="dashed" w:sz="6" w:space="0" w:color="000000"/>
            </w:tcBorders>
          </w:tcPr>
          <w:p>
            <w:pPr>
              <w:pStyle w:val="TableParagraph"/>
              <w:spacing w:line="160" w:lineRule="exact" w:before="87"/>
              <w:ind w:left="483"/>
              <w:rPr>
                <w:b/>
                <w:sz w:val="16"/>
              </w:rPr>
            </w:pPr>
            <w:r>
              <w:rPr>
                <w:b/>
                <w:sz w:val="16"/>
              </w:rPr>
              <w:t>0.0280***</w:t>
            </w:r>
          </w:p>
        </w:tc>
        <w:tc>
          <w:tcPr>
            <w:tcW w:w="1536" w:type="dxa"/>
            <w:tcBorders>
              <w:top w:val="dashed" w:sz="6" w:space="0" w:color="000000"/>
            </w:tcBorders>
          </w:tcPr>
          <w:p>
            <w:pPr>
              <w:pStyle w:val="TableParagraph"/>
              <w:spacing w:line="160" w:lineRule="exact" w:before="87"/>
              <w:ind w:right="474"/>
              <w:jc w:val="right"/>
              <w:rPr>
                <w:b/>
                <w:sz w:val="16"/>
              </w:rPr>
            </w:pPr>
            <w:r>
              <w:rPr>
                <w:b/>
                <w:sz w:val="16"/>
              </w:rPr>
              <w:t>0.0136</w:t>
            </w:r>
          </w:p>
        </w:tc>
        <w:tc>
          <w:tcPr>
            <w:tcW w:w="1343" w:type="dxa"/>
            <w:tcBorders>
              <w:top w:val="dashed" w:sz="6" w:space="0" w:color="000000"/>
            </w:tcBorders>
          </w:tcPr>
          <w:p>
            <w:pPr>
              <w:pStyle w:val="TableParagraph"/>
              <w:spacing w:line="160" w:lineRule="exact" w:before="87"/>
              <w:ind w:right="185"/>
              <w:jc w:val="right"/>
              <w:rPr>
                <w:b/>
                <w:sz w:val="16"/>
              </w:rPr>
            </w:pPr>
            <w:r>
              <w:rPr>
                <w:b/>
                <w:sz w:val="16"/>
              </w:rPr>
              <w:t>0.0184*</w:t>
            </w:r>
          </w:p>
        </w:tc>
      </w:tr>
      <w:tr>
        <w:trPr>
          <w:trHeight w:val="271" w:hRule="atLeast"/>
        </w:trPr>
        <w:tc>
          <w:tcPr>
            <w:tcW w:w="1679" w:type="dxa"/>
            <w:gridSpan w:val="2"/>
          </w:tcPr>
          <w:p>
            <w:pPr>
              <w:pStyle w:val="TableParagraph"/>
              <w:rPr>
                <w:rFonts w:ascii="Times New Roman"/>
                <w:sz w:val="16"/>
              </w:rPr>
            </w:pPr>
          </w:p>
        </w:tc>
        <w:tc>
          <w:tcPr>
            <w:tcW w:w="1481" w:type="dxa"/>
          </w:tcPr>
          <w:p>
            <w:pPr>
              <w:pStyle w:val="TableParagraph"/>
              <w:spacing w:line="181" w:lineRule="exact"/>
              <w:ind w:left="145"/>
              <w:rPr>
                <w:b/>
                <w:sz w:val="16"/>
              </w:rPr>
            </w:pPr>
            <w:r>
              <w:rPr>
                <w:b/>
                <w:sz w:val="16"/>
              </w:rPr>
              <w:t>(0.00770)</w:t>
            </w:r>
          </w:p>
        </w:tc>
        <w:tc>
          <w:tcPr>
            <w:tcW w:w="1541" w:type="dxa"/>
          </w:tcPr>
          <w:p>
            <w:pPr>
              <w:pStyle w:val="TableParagraph"/>
              <w:spacing w:line="181" w:lineRule="exact"/>
              <w:ind w:left="200"/>
              <w:rPr>
                <w:b/>
                <w:sz w:val="16"/>
              </w:rPr>
            </w:pPr>
            <w:r>
              <w:rPr>
                <w:b/>
                <w:sz w:val="16"/>
              </w:rPr>
              <w:t>(0.00774)</w:t>
            </w:r>
          </w:p>
        </w:tc>
        <w:tc>
          <w:tcPr>
            <w:tcW w:w="1535" w:type="dxa"/>
          </w:tcPr>
          <w:p>
            <w:pPr>
              <w:pStyle w:val="TableParagraph"/>
              <w:spacing w:line="181" w:lineRule="exact"/>
              <w:ind w:left="195"/>
              <w:rPr>
                <w:b/>
                <w:sz w:val="16"/>
              </w:rPr>
            </w:pPr>
            <w:r>
              <w:rPr>
                <w:b/>
                <w:sz w:val="16"/>
              </w:rPr>
              <w:t>(0.00681)</w:t>
            </w:r>
          </w:p>
        </w:tc>
        <w:tc>
          <w:tcPr>
            <w:tcW w:w="1536" w:type="dxa"/>
          </w:tcPr>
          <w:p>
            <w:pPr>
              <w:pStyle w:val="TableParagraph"/>
              <w:spacing w:line="181" w:lineRule="exact"/>
              <w:ind w:right="474"/>
              <w:jc w:val="right"/>
              <w:rPr>
                <w:b/>
                <w:sz w:val="16"/>
              </w:rPr>
            </w:pPr>
            <w:r>
              <w:rPr>
                <w:b/>
                <w:sz w:val="16"/>
              </w:rPr>
              <w:t>(0.00905)</w:t>
            </w:r>
          </w:p>
        </w:tc>
        <w:tc>
          <w:tcPr>
            <w:tcW w:w="1343" w:type="dxa"/>
          </w:tcPr>
          <w:p>
            <w:pPr>
              <w:pStyle w:val="TableParagraph"/>
              <w:spacing w:line="181" w:lineRule="exact"/>
              <w:ind w:left="291"/>
              <w:rPr>
                <w:b/>
                <w:sz w:val="16"/>
              </w:rPr>
            </w:pPr>
            <w:r>
              <w:rPr>
                <w:b/>
                <w:sz w:val="16"/>
              </w:rPr>
              <w:t>(0.0107)</w:t>
            </w:r>
          </w:p>
        </w:tc>
      </w:tr>
      <w:tr>
        <w:trPr>
          <w:trHeight w:val="545" w:hRule="atLeast"/>
        </w:trPr>
        <w:tc>
          <w:tcPr>
            <w:tcW w:w="1679" w:type="dxa"/>
            <w:gridSpan w:val="2"/>
          </w:tcPr>
          <w:p>
            <w:pPr>
              <w:pStyle w:val="TableParagraph"/>
              <w:spacing w:before="90"/>
              <w:rPr>
                <w:b/>
                <w:sz w:val="16"/>
              </w:rPr>
            </w:pPr>
            <w:r>
              <w:rPr>
                <w:b/>
                <w:sz w:val="16"/>
              </w:rPr>
              <w:t>VIX</w:t>
            </w:r>
          </w:p>
        </w:tc>
        <w:tc>
          <w:tcPr>
            <w:tcW w:w="1481" w:type="dxa"/>
          </w:tcPr>
          <w:p>
            <w:pPr>
              <w:pStyle w:val="TableParagraph"/>
              <w:spacing w:before="90"/>
              <w:ind w:left="145" w:right="259" w:firstLine="192"/>
              <w:rPr>
                <w:b/>
                <w:sz w:val="16"/>
              </w:rPr>
            </w:pPr>
            <w:r>
              <w:rPr>
                <w:b/>
                <w:sz w:val="16"/>
              </w:rPr>
              <w:t>0.00594** (0.00286)</w:t>
            </w:r>
          </w:p>
        </w:tc>
        <w:tc>
          <w:tcPr>
            <w:tcW w:w="1541" w:type="dxa"/>
          </w:tcPr>
          <w:p>
            <w:pPr>
              <w:pStyle w:val="TableParagraph"/>
              <w:spacing w:before="90"/>
              <w:ind w:left="200" w:right="168" w:firstLine="288"/>
              <w:rPr>
                <w:b/>
                <w:sz w:val="16"/>
              </w:rPr>
            </w:pPr>
            <w:r>
              <w:rPr>
                <w:b/>
                <w:sz w:val="16"/>
              </w:rPr>
              <w:t>0.0158*** (0.00203)</w:t>
            </w:r>
          </w:p>
        </w:tc>
        <w:tc>
          <w:tcPr>
            <w:tcW w:w="1535" w:type="dxa"/>
          </w:tcPr>
          <w:p>
            <w:pPr>
              <w:pStyle w:val="TableParagraph"/>
              <w:spacing w:before="90"/>
              <w:ind w:left="195" w:right="167" w:firstLine="288"/>
              <w:rPr>
                <w:b/>
                <w:sz w:val="16"/>
              </w:rPr>
            </w:pPr>
            <w:r>
              <w:rPr>
                <w:b/>
                <w:sz w:val="16"/>
              </w:rPr>
              <w:t>0.0219*** (0.00162)</w:t>
            </w:r>
          </w:p>
        </w:tc>
        <w:tc>
          <w:tcPr>
            <w:tcW w:w="1536" w:type="dxa"/>
          </w:tcPr>
          <w:p>
            <w:pPr>
              <w:pStyle w:val="TableParagraph"/>
              <w:spacing w:before="90"/>
              <w:ind w:left="195" w:right="167" w:firstLine="193"/>
              <w:rPr>
                <w:b/>
                <w:sz w:val="16"/>
              </w:rPr>
            </w:pPr>
            <w:r>
              <w:rPr>
                <w:b/>
                <w:sz w:val="16"/>
              </w:rPr>
              <w:t>0.00874*** (0.00278)</w:t>
            </w:r>
          </w:p>
        </w:tc>
        <w:tc>
          <w:tcPr>
            <w:tcW w:w="1343" w:type="dxa"/>
          </w:tcPr>
          <w:p>
            <w:pPr>
              <w:pStyle w:val="TableParagraph"/>
              <w:spacing w:before="90"/>
              <w:ind w:left="195" w:right="-26" w:firstLine="289"/>
              <w:rPr>
                <w:b/>
                <w:sz w:val="16"/>
              </w:rPr>
            </w:pPr>
            <w:r>
              <w:rPr>
                <w:b/>
                <w:sz w:val="16"/>
              </w:rPr>
              <w:t>0.0107*** (0.00297)</w:t>
            </w:r>
          </w:p>
        </w:tc>
      </w:tr>
      <w:tr>
        <w:trPr>
          <w:trHeight w:val="532" w:hRule="atLeast"/>
        </w:trPr>
        <w:tc>
          <w:tcPr>
            <w:tcW w:w="1679" w:type="dxa"/>
            <w:gridSpan w:val="2"/>
          </w:tcPr>
          <w:p>
            <w:pPr>
              <w:pStyle w:val="TableParagraph"/>
              <w:spacing w:before="91"/>
              <w:rPr>
                <w:b/>
                <w:sz w:val="16"/>
              </w:rPr>
            </w:pPr>
            <w:r>
              <w:rPr>
                <w:b/>
                <w:sz w:val="16"/>
              </w:rPr>
              <w:t>US interest rate</w:t>
            </w:r>
          </w:p>
        </w:tc>
        <w:tc>
          <w:tcPr>
            <w:tcW w:w="1481" w:type="dxa"/>
          </w:tcPr>
          <w:p>
            <w:pPr>
              <w:pStyle w:val="TableParagraph"/>
              <w:spacing w:before="91"/>
              <w:ind w:left="337" w:right="259" w:firstLine="192"/>
              <w:rPr>
                <w:b/>
                <w:sz w:val="16"/>
              </w:rPr>
            </w:pPr>
            <w:r>
              <w:rPr>
                <w:b/>
                <w:sz w:val="16"/>
              </w:rPr>
              <w:t>0.396** (0.163)</w:t>
            </w:r>
          </w:p>
        </w:tc>
        <w:tc>
          <w:tcPr>
            <w:tcW w:w="1541" w:type="dxa"/>
          </w:tcPr>
          <w:p>
            <w:pPr>
              <w:pStyle w:val="TableParagraph"/>
              <w:spacing w:before="91"/>
              <w:ind w:left="393" w:right="264" w:firstLine="191"/>
              <w:rPr>
                <w:b/>
                <w:sz w:val="16"/>
              </w:rPr>
            </w:pPr>
            <w:r>
              <w:rPr>
                <w:b/>
                <w:sz w:val="16"/>
              </w:rPr>
              <w:t>0.309** (0.150)</w:t>
            </w:r>
          </w:p>
        </w:tc>
        <w:tc>
          <w:tcPr>
            <w:tcW w:w="1535" w:type="dxa"/>
          </w:tcPr>
          <w:p>
            <w:pPr>
              <w:pStyle w:val="TableParagraph"/>
              <w:spacing w:before="91"/>
              <w:ind w:left="387" w:right="168" w:firstLine="191"/>
              <w:rPr>
                <w:b/>
                <w:sz w:val="16"/>
              </w:rPr>
            </w:pPr>
            <w:r>
              <w:rPr>
                <w:b/>
                <w:sz w:val="16"/>
              </w:rPr>
              <w:t>0.561*** (0.136)</w:t>
            </w:r>
          </w:p>
        </w:tc>
        <w:tc>
          <w:tcPr>
            <w:tcW w:w="1536" w:type="dxa"/>
          </w:tcPr>
          <w:p>
            <w:pPr>
              <w:pStyle w:val="TableParagraph"/>
              <w:spacing w:before="91"/>
              <w:ind w:left="388" w:right="168" w:firstLine="191"/>
              <w:rPr>
                <w:b/>
                <w:sz w:val="16"/>
              </w:rPr>
            </w:pPr>
            <w:r>
              <w:rPr>
                <w:b/>
                <w:sz w:val="16"/>
              </w:rPr>
              <w:t>0.547*** (0.165)</w:t>
            </w:r>
          </w:p>
        </w:tc>
        <w:tc>
          <w:tcPr>
            <w:tcW w:w="1343" w:type="dxa"/>
          </w:tcPr>
          <w:p>
            <w:pPr>
              <w:pStyle w:val="TableParagraph"/>
              <w:spacing w:before="91"/>
              <w:ind w:left="388" w:right="-25" w:firstLine="191"/>
              <w:rPr>
                <w:b/>
                <w:sz w:val="16"/>
              </w:rPr>
            </w:pPr>
            <w:r>
              <w:rPr>
                <w:b/>
                <w:sz w:val="16"/>
              </w:rPr>
              <w:t>0.632*** (0.200)</w:t>
            </w:r>
          </w:p>
        </w:tc>
      </w:tr>
      <w:tr>
        <w:trPr>
          <w:trHeight w:val="544" w:hRule="atLeast"/>
        </w:trPr>
        <w:tc>
          <w:tcPr>
            <w:tcW w:w="1679" w:type="dxa"/>
            <w:gridSpan w:val="2"/>
          </w:tcPr>
          <w:p>
            <w:pPr>
              <w:pStyle w:val="TableParagraph"/>
              <w:spacing w:before="81"/>
              <w:rPr>
                <w:b/>
                <w:i/>
                <w:sz w:val="10"/>
              </w:rPr>
            </w:pPr>
            <w:r>
              <w:rPr>
                <w:b/>
                <w:position w:val="-6"/>
                <w:sz w:val="16"/>
              </w:rPr>
              <w:t>ENR</w:t>
            </w:r>
            <w:r>
              <w:rPr>
                <w:b/>
                <w:i/>
                <w:sz w:val="10"/>
              </w:rPr>
              <w:t>All</w:t>
            </w:r>
          </w:p>
        </w:tc>
        <w:tc>
          <w:tcPr>
            <w:tcW w:w="1481" w:type="dxa"/>
          </w:tcPr>
          <w:p>
            <w:pPr>
              <w:pStyle w:val="TableParagraph"/>
              <w:spacing w:before="100"/>
              <w:ind w:left="145" w:right="175" w:firstLine="276"/>
              <w:rPr>
                <w:b/>
                <w:sz w:val="16"/>
              </w:rPr>
            </w:pPr>
            <w:r>
              <w:rPr>
                <w:b/>
                <w:sz w:val="16"/>
              </w:rPr>
              <w:t>0.0582*** (0.00225)</w:t>
            </w:r>
          </w:p>
        </w:tc>
        <w:tc>
          <w:tcPr>
            <w:tcW w:w="1541" w:type="dxa"/>
          </w:tcPr>
          <w:p>
            <w:pPr>
              <w:pStyle w:val="TableParagraph"/>
              <w:rPr>
                <w:rFonts w:ascii="Times New Roman"/>
                <w:sz w:val="16"/>
              </w:rPr>
            </w:pPr>
          </w:p>
        </w:tc>
        <w:tc>
          <w:tcPr>
            <w:tcW w:w="1535" w:type="dxa"/>
          </w:tcPr>
          <w:p>
            <w:pPr>
              <w:pStyle w:val="TableParagraph"/>
              <w:rPr>
                <w:rFonts w:ascii="Times New Roman"/>
                <w:sz w:val="16"/>
              </w:rPr>
            </w:pPr>
          </w:p>
        </w:tc>
        <w:tc>
          <w:tcPr>
            <w:tcW w:w="1536" w:type="dxa"/>
          </w:tcPr>
          <w:p>
            <w:pPr>
              <w:pStyle w:val="TableParagraph"/>
              <w:rPr>
                <w:rFonts w:ascii="Times New Roman"/>
                <w:sz w:val="16"/>
              </w:rPr>
            </w:pPr>
          </w:p>
        </w:tc>
        <w:tc>
          <w:tcPr>
            <w:tcW w:w="1343" w:type="dxa"/>
          </w:tcPr>
          <w:p>
            <w:pPr>
              <w:pStyle w:val="TableParagraph"/>
              <w:rPr>
                <w:rFonts w:ascii="Times New Roman"/>
                <w:sz w:val="16"/>
              </w:rPr>
            </w:pPr>
          </w:p>
        </w:tc>
      </w:tr>
      <w:tr>
        <w:trPr>
          <w:trHeight w:val="512" w:hRule="atLeast"/>
        </w:trPr>
        <w:tc>
          <w:tcPr>
            <w:tcW w:w="516" w:type="dxa"/>
          </w:tcPr>
          <w:p>
            <w:pPr>
              <w:pStyle w:val="TableParagraph"/>
              <w:spacing w:before="81"/>
              <w:rPr>
                <w:b/>
                <w:i/>
                <w:sz w:val="10"/>
              </w:rPr>
            </w:pPr>
            <w:r>
              <w:rPr>
                <w:b/>
                <w:position w:val="-6"/>
                <w:sz w:val="16"/>
              </w:rPr>
              <w:t>ENR</w:t>
            </w:r>
            <w:r>
              <w:rPr>
                <w:b/>
                <w:i/>
                <w:sz w:val="10"/>
              </w:rPr>
              <w:t>All</w:t>
            </w:r>
          </w:p>
        </w:tc>
        <w:tc>
          <w:tcPr>
            <w:tcW w:w="1163" w:type="dxa"/>
          </w:tcPr>
          <w:p>
            <w:pPr>
              <w:pStyle w:val="TableParagraph"/>
              <w:spacing w:before="100"/>
              <w:ind w:left="48"/>
              <w:rPr>
                <w:b/>
                <w:sz w:val="16"/>
              </w:rPr>
            </w:pPr>
            <w:r>
              <w:rPr>
                <w:b/>
                <w:sz w:val="16"/>
              </w:rPr>
              <w:t>_Leverage</w:t>
            </w:r>
          </w:p>
        </w:tc>
        <w:tc>
          <w:tcPr>
            <w:tcW w:w="3022" w:type="dxa"/>
            <w:gridSpan w:val="2"/>
          </w:tcPr>
          <w:p>
            <w:pPr>
              <w:pStyle w:val="TableParagraph"/>
              <w:spacing w:before="100"/>
              <w:ind w:left="1682" w:right="179" w:firstLine="276"/>
              <w:rPr>
                <w:b/>
                <w:sz w:val="16"/>
              </w:rPr>
            </w:pPr>
            <w:r>
              <w:rPr>
                <w:b/>
                <w:sz w:val="16"/>
              </w:rPr>
              <w:t>0.0248*** (0.00345)</w:t>
            </w:r>
          </w:p>
        </w:tc>
        <w:tc>
          <w:tcPr>
            <w:tcW w:w="4414" w:type="dxa"/>
            <w:gridSpan w:val="3"/>
          </w:tcPr>
          <w:p>
            <w:pPr>
              <w:pStyle w:val="TableParagraph"/>
              <w:spacing w:before="100"/>
              <w:ind w:left="3267" w:right="-14" w:firstLine="276"/>
              <w:rPr>
                <w:b/>
                <w:sz w:val="16"/>
              </w:rPr>
            </w:pPr>
            <w:r>
              <w:rPr>
                <w:b/>
                <w:sz w:val="16"/>
              </w:rPr>
              <w:t>0.0129*** (0.00315)</w:t>
            </w:r>
          </w:p>
        </w:tc>
      </w:tr>
    </w:tbl>
    <w:p>
      <w:pPr>
        <w:spacing w:line="696" w:lineRule="auto" w:before="111"/>
        <w:ind w:left="111" w:right="10430" w:firstLine="0"/>
        <w:jc w:val="left"/>
        <w:rPr>
          <w:rFonts w:ascii="Courier New"/>
          <w:b/>
          <w:i/>
          <w:sz w:val="10"/>
        </w:rPr>
      </w:pPr>
      <w:r>
        <w:rPr/>
        <w:pict>
          <v:shape style="position:absolute;margin-left:75.283997pt;margin-top:3.999136pt;width:432.25pt;height:50.35pt;mso-position-horizontal-relative:page;mso-position-vertical-relative:paragraph;z-index:2519060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8"/>
                    <w:gridCol w:w="3072"/>
                    <w:gridCol w:w="1439"/>
                    <w:gridCol w:w="1484"/>
                  </w:tblGrid>
                  <w:tr>
                    <w:trPr>
                      <w:trHeight w:val="504" w:hRule="atLeast"/>
                    </w:trPr>
                    <w:tc>
                      <w:tcPr>
                        <w:tcW w:w="2648" w:type="dxa"/>
                      </w:tcPr>
                      <w:p>
                        <w:pPr>
                          <w:pStyle w:val="TableParagraph"/>
                          <w:spacing w:before="50"/>
                          <w:ind w:left="50"/>
                          <w:rPr>
                            <w:b/>
                            <w:sz w:val="16"/>
                          </w:rPr>
                        </w:pPr>
                        <w:r>
                          <w:rPr>
                            <w:b/>
                            <w:sz w:val="16"/>
                          </w:rPr>
                          <w:t>_Trade</w:t>
                        </w:r>
                      </w:p>
                    </w:tc>
                    <w:tc>
                      <w:tcPr>
                        <w:tcW w:w="3072" w:type="dxa"/>
                      </w:tcPr>
                      <w:p>
                        <w:pPr>
                          <w:pStyle w:val="TableParagraph"/>
                          <w:spacing w:before="50"/>
                          <w:ind w:left="1542" w:right="178" w:firstLine="275"/>
                          <w:rPr>
                            <w:b/>
                            <w:sz w:val="16"/>
                          </w:rPr>
                        </w:pPr>
                        <w:r>
                          <w:rPr>
                            <w:b/>
                            <w:sz w:val="16"/>
                          </w:rPr>
                          <w:t>0.000603*** (0.0000892)</w:t>
                        </w:r>
                      </w:p>
                    </w:tc>
                    <w:tc>
                      <w:tcPr>
                        <w:tcW w:w="2923" w:type="dxa"/>
                        <w:gridSpan w:val="2"/>
                      </w:tcPr>
                      <w:p>
                        <w:pPr>
                          <w:pStyle w:val="TableParagraph"/>
                          <w:spacing w:before="50"/>
                          <w:ind w:left="1542" w:right="28" w:firstLine="276"/>
                          <w:rPr>
                            <w:b/>
                            <w:sz w:val="16"/>
                          </w:rPr>
                        </w:pPr>
                        <w:r>
                          <w:rPr>
                            <w:b/>
                            <w:sz w:val="16"/>
                          </w:rPr>
                          <w:t>0.000456*** (0.0000388)</w:t>
                        </w:r>
                      </w:p>
                    </w:tc>
                  </w:tr>
                  <w:tr>
                    <w:trPr>
                      <w:trHeight w:val="502" w:hRule="atLeast"/>
                    </w:trPr>
                    <w:tc>
                      <w:tcPr>
                        <w:tcW w:w="2648" w:type="dxa"/>
                      </w:tcPr>
                      <w:p>
                        <w:pPr>
                          <w:pStyle w:val="TableParagraph"/>
                          <w:spacing w:before="90"/>
                          <w:ind w:left="50"/>
                          <w:rPr>
                            <w:b/>
                            <w:sz w:val="16"/>
                          </w:rPr>
                        </w:pPr>
                        <w:r>
                          <w:rPr>
                            <w:b/>
                            <w:sz w:val="16"/>
                          </w:rPr>
                          <w:t>_FinOpennes</w:t>
                        </w:r>
                      </w:p>
                    </w:tc>
                    <w:tc>
                      <w:tcPr>
                        <w:tcW w:w="4511" w:type="dxa"/>
                        <w:gridSpan w:val="2"/>
                      </w:tcPr>
                      <w:p>
                        <w:pPr>
                          <w:pStyle w:val="TableParagraph"/>
                          <w:spacing w:before="90"/>
                          <w:ind w:left="3270" w:right="80" w:firstLine="276"/>
                          <w:rPr>
                            <w:b/>
                            <w:sz w:val="16"/>
                          </w:rPr>
                        </w:pPr>
                        <w:r>
                          <w:rPr>
                            <w:b/>
                            <w:sz w:val="16"/>
                          </w:rPr>
                          <w:t>0.0648*** (0.00284)</w:t>
                        </w:r>
                      </w:p>
                    </w:tc>
                    <w:tc>
                      <w:tcPr>
                        <w:tcW w:w="1484" w:type="dxa"/>
                      </w:tcPr>
                      <w:p>
                        <w:pPr>
                          <w:pStyle w:val="TableParagraph"/>
                          <w:spacing w:before="90"/>
                          <w:ind w:left="295" w:right="28" w:firstLine="276"/>
                          <w:rPr>
                            <w:b/>
                            <w:sz w:val="16"/>
                          </w:rPr>
                        </w:pPr>
                        <w:r>
                          <w:rPr>
                            <w:b/>
                            <w:sz w:val="16"/>
                          </w:rPr>
                          <w:t>0.0473*** (0.00500)</w:t>
                        </w:r>
                      </w:p>
                    </w:tc>
                  </w:tr>
                </w:tbl>
                <w:p>
                  <w:pPr>
                    <w:pStyle w:val="BodyText"/>
                  </w:pPr>
                </w:p>
              </w:txbxContent>
            </v:textbox>
            <w10:wrap type="none"/>
          </v:shape>
        </w:pict>
      </w:r>
      <w:r>
        <w:rPr>
          <w:rFonts w:ascii="Courier New"/>
          <w:b/>
          <w:position w:val="-6"/>
          <w:sz w:val="16"/>
        </w:rPr>
        <w:t>ENR</w:t>
      </w:r>
      <w:r>
        <w:rPr>
          <w:rFonts w:ascii="Courier New"/>
          <w:b/>
          <w:i/>
          <w:sz w:val="10"/>
        </w:rPr>
        <w:t>All </w:t>
      </w:r>
      <w:r>
        <w:rPr>
          <w:rFonts w:ascii="Courier New"/>
          <w:b/>
          <w:position w:val="-6"/>
          <w:sz w:val="16"/>
        </w:rPr>
        <w:t>ENR</w:t>
      </w:r>
      <w:r>
        <w:rPr>
          <w:rFonts w:ascii="Courier New"/>
          <w:b/>
          <w:i/>
          <w:sz w:val="10"/>
        </w:rPr>
        <w:t>All</w:t>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0"/>
        <w:gridCol w:w="2016"/>
        <w:gridCol w:w="1536"/>
        <w:gridCol w:w="1536"/>
        <w:gridCol w:w="1536"/>
        <w:gridCol w:w="1296"/>
      </w:tblGrid>
      <w:tr>
        <w:trPr>
          <w:trHeight w:val="493" w:hRule="atLeast"/>
        </w:trPr>
        <w:tc>
          <w:tcPr>
            <w:tcW w:w="1200" w:type="dxa"/>
            <w:tcBorders>
              <w:bottom w:val="dashed" w:sz="6" w:space="0" w:color="000000"/>
            </w:tcBorders>
          </w:tcPr>
          <w:p>
            <w:pPr>
              <w:pStyle w:val="TableParagraph"/>
              <w:spacing w:before="18"/>
              <w:rPr>
                <w:b/>
                <w:sz w:val="16"/>
              </w:rPr>
            </w:pPr>
            <w:r>
              <w:rPr>
                <w:b/>
                <w:sz w:val="16"/>
              </w:rPr>
              <w:t>_cons</w:t>
            </w:r>
          </w:p>
        </w:tc>
        <w:tc>
          <w:tcPr>
            <w:tcW w:w="2016" w:type="dxa"/>
            <w:tcBorders>
              <w:bottom w:val="dashed" w:sz="6" w:space="0" w:color="000000"/>
            </w:tcBorders>
          </w:tcPr>
          <w:p>
            <w:pPr>
              <w:pStyle w:val="TableParagraph"/>
              <w:spacing w:before="18"/>
              <w:ind w:left="720" w:right="219" w:firstLine="192"/>
              <w:rPr>
                <w:b/>
                <w:sz w:val="16"/>
              </w:rPr>
            </w:pPr>
            <w:r>
              <w:rPr>
                <w:b/>
                <w:sz w:val="16"/>
              </w:rPr>
              <w:t>-3.726*** (0.0709)</w:t>
            </w:r>
          </w:p>
        </w:tc>
        <w:tc>
          <w:tcPr>
            <w:tcW w:w="1536" w:type="dxa"/>
            <w:tcBorders>
              <w:bottom w:val="dashed" w:sz="6" w:space="0" w:color="000000"/>
            </w:tcBorders>
          </w:tcPr>
          <w:p>
            <w:pPr>
              <w:pStyle w:val="TableParagraph"/>
              <w:spacing w:before="18"/>
              <w:ind w:left="240" w:right="219" w:firstLine="192"/>
              <w:rPr>
                <w:b/>
                <w:sz w:val="16"/>
              </w:rPr>
            </w:pPr>
            <w:r>
              <w:rPr>
                <w:b/>
                <w:sz w:val="16"/>
              </w:rPr>
              <w:t>-3.533*** (0.0630)</w:t>
            </w:r>
          </w:p>
        </w:tc>
        <w:tc>
          <w:tcPr>
            <w:tcW w:w="1536" w:type="dxa"/>
            <w:tcBorders>
              <w:bottom w:val="dashed" w:sz="6" w:space="0" w:color="000000"/>
            </w:tcBorders>
          </w:tcPr>
          <w:p>
            <w:pPr>
              <w:pStyle w:val="TableParagraph"/>
              <w:spacing w:before="18"/>
              <w:ind w:left="240" w:right="218" w:firstLine="193"/>
              <w:rPr>
                <w:b/>
                <w:sz w:val="16"/>
              </w:rPr>
            </w:pPr>
            <w:r>
              <w:rPr>
                <w:b/>
                <w:sz w:val="16"/>
              </w:rPr>
              <w:t>-3.402*** (0.0429)</w:t>
            </w:r>
          </w:p>
        </w:tc>
        <w:tc>
          <w:tcPr>
            <w:tcW w:w="1536" w:type="dxa"/>
            <w:tcBorders>
              <w:bottom w:val="dashed" w:sz="6" w:space="0" w:color="000000"/>
            </w:tcBorders>
          </w:tcPr>
          <w:p>
            <w:pPr>
              <w:pStyle w:val="TableParagraph"/>
              <w:spacing w:before="18"/>
              <w:ind w:left="240" w:right="218" w:firstLine="193"/>
              <w:rPr>
                <w:b/>
                <w:sz w:val="16"/>
              </w:rPr>
            </w:pPr>
            <w:r>
              <w:rPr>
                <w:b/>
                <w:sz w:val="16"/>
              </w:rPr>
              <w:t>-3.644*** (0.0699)</w:t>
            </w:r>
          </w:p>
        </w:tc>
        <w:tc>
          <w:tcPr>
            <w:tcW w:w="1296" w:type="dxa"/>
            <w:tcBorders>
              <w:bottom w:val="dashed" w:sz="6" w:space="0" w:color="000000"/>
            </w:tcBorders>
          </w:tcPr>
          <w:p>
            <w:pPr>
              <w:pStyle w:val="TableParagraph"/>
              <w:spacing w:before="18"/>
              <w:ind w:left="239" w:right="-22" w:firstLine="194"/>
              <w:rPr>
                <w:b/>
                <w:sz w:val="16"/>
              </w:rPr>
            </w:pPr>
            <w:r>
              <w:rPr>
                <w:b/>
                <w:sz w:val="16"/>
              </w:rPr>
              <w:t>-3.692*** (0.0755)</w:t>
            </w:r>
          </w:p>
        </w:tc>
      </w:tr>
      <w:tr>
        <w:trPr>
          <w:trHeight w:val="347" w:hRule="atLeast"/>
        </w:trPr>
        <w:tc>
          <w:tcPr>
            <w:tcW w:w="1200" w:type="dxa"/>
            <w:tcBorders>
              <w:top w:val="dashed" w:sz="6" w:space="0" w:color="000000"/>
              <w:bottom w:val="dashed" w:sz="6" w:space="0" w:color="000000"/>
            </w:tcBorders>
          </w:tcPr>
          <w:p>
            <w:pPr>
              <w:pStyle w:val="TableParagraph"/>
              <w:spacing w:before="52"/>
              <w:rPr>
                <w:b/>
                <w:sz w:val="16"/>
              </w:rPr>
            </w:pPr>
            <w:r>
              <w:rPr>
                <w:b/>
                <w:w w:val="100"/>
                <w:sz w:val="16"/>
              </w:rPr>
              <w:t>N</w:t>
            </w:r>
          </w:p>
        </w:tc>
        <w:tc>
          <w:tcPr>
            <w:tcW w:w="2016" w:type="dxa"/>
            <w:tcBorders>
              <w:top w:val="dashed" w:sz="6" w:space="0" w:color="000000"/>
              <w:bottom w:val="dashed" w:sz="6" w:space="0" w:color="000000"/>
            </w:tcBorders>
          </w:tcPr>
          <w:p>
            <w:pPr>
              <w:pStyle w:val="TableParagraph"/>
              <w:spacing w:before="52"/>
              <w:ind w:left="1007"/>
              <w:rPr>
                <w:b/>
                <w:sz w:val="16"/>
              </w:rPr>
            </w:pPr>
            <w:r>
              <w:rPr>
                <w:b/>
                <w:sz w:val="16"/>
              </w:rPr>
              <w:t>71534</w:t>
            </w:r>
          </w:p>
        </w:tc>
        <w:tc>
          <w:tcPr>
            <w:tcW w:w="1536" w:type="dxa"/>
            <w:tcBorders>
              <w:top w:val="dashed" w:sz="6" w:space="0" w:color="000000"/>
              <w:bottom w:val="dashed" w:sz="6" w:space="0" w:color="000000"/>
            </w:tcBorders>
          </w:tcPr>
          <w:p>
            <w:pPr>
              <w:pStyle w:val="TableParagraph"/>
              <w:spacing w:before="52"/>
              <w:ind w:left="507" w:right="507"/>
              <w:jc w:val="center"/>
              <w:rPr>
                <w:b/>
                <w:sz w:val="16"/>
              </w:rPr>
            </w:pPr>
            <w:r>
              <w:rPr>
                <w:b/>
                <w:sz w:val="16"/>
              </w:rPr>
              <w:t>59000</w:t>
            </w:r>
          </w:p>
        </w:tc>
        <w:tc>
          <w:tcPr>
            <w:tcW w:w="1536" w:type="dxa"/>
            <w:tcBorders>
              <w:top w:val="dashed" w:sz="6" w:space="0" w:color="000000"/>
              <w:bottom w:val="dashed" w:sz="6" w:space="0" w:color="000000"/>
            </w:tcBorders>
          </w:tcPr>
          <w:p>
            <w:pPr>
              <w:pStyle w:val="TableParagraph"/>
              <w:spacing w:before="52"/>
              <w:ind w:left="507" w:right="507"/>
              <w:jc w:val="center"/>
              <w:rPr>
                <w:b/>
                <w:sz w:val="16"/>
              </w:rPr>
            </w:pPr>
            <w:r>
              <w:rPr>
                <w:b/>
                <w:sz w:val="16"/>
              </w:rPr>
              <w:t>55216</w:t>
            </w:r>
          </w:p>
        </w:tc>
        <w:tc>
          <w:tcPr>
            <w:tcW w:w="1536" w:type="dxa"/>
            <w:tcBorders>
              <w:top w:val="dashed" w:sz="6" w:space="0" w:color="000000"/>
              <w:bottom w:val="dashed" w:sz="6" w:space="0" w:color="000000"/>
            </w:tcBorders>
          </w:tcPr>
          <w:p>
            <w:pPr>
              <w:pStyle w:val="TableParagraph"/>
              <w:spacing w:before="52"/>
              <w:ind w:left="507" w:right="507"/>
              <w:jc w:val="center"/>
              <w:rPr>
                <w:b/>
                <w:sz w:val="16"/>
              </w:rPr>
            </w:pPr>
            <w:r>
              <w:rPr>
                <w:b/>
                <w:sz w:val="16"/>
              </w:rPr>
              <w:t>67023</w:t>
            </w:r>
          </w:p>
        </w:tc>
        <w:tc>
          <w:tcPr>
            <w:tcW w:w="1296" w:type="dxa"/>
            <w:tcBorders>
              <w:top w:val="dashed" w:sz="6" w:space="0" w:color="000000"/>
              <w:bottom w:val="dashed" w:sz="6" w:space="0" w:color="000000"/>
            </w:tcBorders>
          </w:tcPr>
          <w:p>
            <w:pPr>
              <w:pStyle w:val="TableParagraph"/>
              <w:spacing w:before="52"/>
              <w:ind w:left="527"/>
              <w:rPr>
                <w:b/>
                <w:sz w:val="16"/>
              </w:rPr>
            </w:pPr>
            <w:r>
              <w:rPr>
                <w:b/>
                <w:sz w:val="16"/>
              </w:rPr>
              <w:t>47278</w:t>
            </w:r>
          </w:p>
        </w:tc>
      </w:tr>
    </w:tbl>
    <w:p>
      <w:pPr>
        <w:spacing w:before="45"/>
        <w:ind w:left="111" w:right="0" w:firstLine="0"/>
        <w:jc w:val="left"/>
        <w:rPr>
          <w:rFonts w:ascii="Courier New"/>
          <w:b/>
          <w:sz w:val="16"/>
        </w:rPr>
      </w:pPr>
      <w:r>
        <w:rPr>
          <w:rFonts w:ascii="Courier New"/>
          <w:b/>
          <w:sz w:val="16"/>
        </w:rPr>
        <w:t>Standard errors in parentheses</w:t>
      </w:r>
    </w:p>
    <w:p>
      <w:pPr>
        <w:spacing w:before="2"/>
        <w:ind w:left="111" w:right="0" w:firstLine="0"/>
        <w:jc w:val="left"/>
        <w:rPr>
          <w:rFonts w:ascii="Courier New"/>
          <w:b/>
          <w:sz w:val="16"/>
        </w:rPr>
      </w:pPr>
      <w:r>
        <w:rPr>
          <w:rFonts w:ascii="Courier New"/>
          <w:b/>
          <w:sz w:val="16"/>
        </w:rPr>
        <w:t>* p&lt;0.10, ** p&lt;0.05, *** p&lt;0.01</w:t>
      </w:r>
    </w:p>
    <w:p>
      <w:pPr>
        <w:pStyle w:val="BodyText"/>
        <w:spacing w:before="2"/>
        <w:rPr>
          <w:rFonts w:ascii="Courier New"/>
          <w:b/>
          <w:sz w:val="16"/>
        </w:rPr>
      </w:pPr>
    </w:p>
    <w:p>
      <w:pPr>
        <w:spacing w:line="187" w:lineRule="exact" w:before="1"/>
        <w:ind w:left="111" w:right="0" w:firstLine="0"/>
        <w:jc w:val="left"/>
        <w:rPr>
          <w:sz w:val="16"/>
        </w:rPr>
      </w:pPr>
      <w:r>
        <w:rPr>
          <w:sz w:val="16"/>
        </w:rPr>
        <w:t>Notes: See the notes to Figure 12 for a description of the first three global variables. </w:t>
      </w:r>
      <w:r>
        <w:rPr>
          <w:rFonts w:ascii="Cambria Math" w:eastAsia="Cambria Math"/>
          <w:sz w:val="16"/>
        </w:rPr>
        <w:t>𝑇𝑟𝑎𝑑𝑒 </w:t>
      </w:r>
      <w:r>
        <w:rPr>
          <w:sz w:val="16"/>
        </w:rPr>
        <w:t>is measured as (exports+imports)/GDP.</w:t>
      </w:r>
    </w:p>
    <w:p>
      <w:pPr>
        <w:spacing w:line="237" w:lineRule="auto" w:before="1"/>
        <w:ind w:left="111" w:right="1196" w:firstLine="0"/>
        <w:jc w:val="left"/>
        <w:rPr>
          <w:sz w:val="16"/>
        </w:rPr>
      </w:pPr>
      <w:r>
        <w:rPr>
          <w:rFonts w:ascii="Cambria Math" w:hAnsi="Cambria Math" w:eastAsia="Cambria Math"/>
          <w:sz w:val="16"/>
        </w:rPr>
        <w:t>𝐹𝑖𝑛𝑂𝑝𝑒𝑛𝑛𝑒𝑠𝑠 </w:t>
      </w:r>
      <w:r>
        <w:rPr>
          <w:sz w:val="16"/>
        </w:rPr>
        <w:t>is measured using the normalized Chinn-Ito measure of capital account openness. </w:t>
      </w:r>
      <w:r>
        <w:rPr>
          <w:rFonts w:ascii="Cambria Math" w:hAnsi="Cambria Math" w:eastAsia="Cambria Math"/>
          <w:sz w:val="16"/>
        </w:rPr>
        <w:t>𝐵𝑎𝑛𝑘𝐿𝑒𝑣𝑒𝑟𝑎𝑔𝑒 </w:t>
      </w:r>
      <w:r>
        <w:rPr>
          <w:sz w:val="16"/>
        </w:rPr>
        <w:t>is measured using the ratio of domestic banks’ claims on the private sector to the value of demand, time, savings and foreign currency deposits, using data from the IMF International Financial Statistics database.</w:t>
      </w:r>
    </w:p>
    <w:p>
      <w:pPr>
        <w:spacing w:after="0" w:line="237" w:lineRule="auto"/>
        <w:jc w:val="left"/>
        <w:rPr>
          <w:sz w:val="16"/>
        </w:rPr>
        <w:sectPr>
          <w:pgSz w:w="11910" w:h="16840"/>
          <w:pgMar w:header="0" w:footer="1676" w:top="1580" w:bottom="1860" w:left="880" w:right="0"/>
        </w:sectPr>
      </w:pPr>
    </w:p>
    <w:p>
      <w:pPr>
        <w:pStyle w:val="BodyText"/>
        <w:spacing w:before="9"/>
        <w:rPr>
          <w:sz w:val="22"/>
        </w:rPr>
      </w:pPr>
    </w:p>
    <w:p>
      <w:pPr>
        <w:pStyle w:val="Heading1"/>
      </w:pPr>
      <w:r>
        <w:rPr/>
        <w:t>Figure 17a. Under Mannen Bridge at Fukagawa by Katsushika Hokusai</w:t>
      </w:r>
    </w:p>
    <w:p>
      <w:pPr>
        <w:pStyle w:val="BodyText"/>
        <w:spacing w:before="1"/>
        <w:rPr>
          <w:b/>
          <w:sz w:val="28"/>
        </w:rPr>
      </w:pPr>
      <w:r>
        <w:rPr/>
        <w:drawing>
          <wp:anchor distT="0" distB="0" distL="0" distR="0" allowOverlap="1" layoutInCell="1" locked="0" behindDoc="0" simplePos="0" relativeHeight="243">
            <wp:simplePos x="0" y="0"/>
            <wp:positionH relativeFrom="page">
              <wp:posOffset>720090</wp:posOffset>
            </wp:positionH>
            <wp:positionV relativeFrom="paragraph">
              <wp:posOffset>229897</wp:posOffset>
            </wp:positionV>
            <wp:extent cx="4371357" cy="2908554"/>
            <wp:effectExtent l="0" t="0" r="0" b="0"/>
            <wp:wrapTopAndBottom/>
            <wp:docPr id="23" name="image36.jpeg" descr="https://upload.wikimedia.org/wikipedia/commons/8/80/Fuji_seen_through_the_Mannen_bridge_at_Fukagawa.jpg"/>
            <wp:cNvGraphicFramePr>
              <a:graphicFrameLocks noChangeAspect="1"/>
            </wp:cNvGraphicFramePr>
            <a:graphic>
              <a:graphicData uri="http://schemas.openxmlformats.org/drawingml/2006/picture">
                <pic:pic>
                  <pic:nvPicPr>
                    <pic:cNvPr id="24" name="image36.jpeg"/>
                    <pic:cNvPicPr/>
                  </pic:nvPicPr>
                  <pic:blipFill>
                    <a:blip r:embed="rId61" cstate="print"/>
                    <a:stretch>
                      <a:fillRect/>
                    </a:stretch>
                  </pic:blipFill>
                  <pic:spPr>
                    <a:xfrm>
                      <a:off x="0" y="0"/>
                      <a:ext cx="4371357" cy="2908554"/>
                    </a:xfrm>
                    <a:prstGeom prst="rect">
                      <a:avLst/>
                    </a:prstGeom>
                  </pic:spPr>
                </pic:pic>
              </a:graphicData>
            </a:graphic>
          </wp:anchor>
        </w:drawing>
      </w:r>
    </w:p>
    <w:p>
      <w:pPr>
        <w:pStyle w:val="BodyText"/>
        <w:spacing w:before="4"/>
        <w:rPr>
          <w:b/>
          <w:sz w:val="35"/>
        </w:rPr>
      </w:pPr>
    </w:p>
    <w:p>
      <w:pPr>
        <w:spacing w:before="0"/>
        <w:ind w:left="253" w:right="0" w:firstLine="0"/>
        <w:jc w:val="left"/>
        <w:rPr>
          <w:b/>
          <w:sz w:val="22"/>
        </w:rPr>
      </w:pPr>
      <w:r>
        <w:rPr>
          <w:b/>
          <w:sz w:val="22"/>
        </w:rPr>
        <w:t>Figure 17b. Shore of Tago Bay by Katsushika Hokusai</w:t>
      </w:r>
    </w:p>
    <w:p>
      <w:pPr>
        <w:pStyle w:val="BodyText"/>
        <w:spacing w:before="11"/>
        <w:rPr>
          <w:b/>
          <w:sz w:val="16"/>
        </w:rPr>
      </w:pPr>
      <w:r>
        <w:rPr/>
        <w:drawing>
          <wp:anchor distT="0" distB="0" distL="0" distR="0" allowOverlap="1" layoutInCell="1" locked="0" behindDoc="0" simplePos="0" relativeHeight="244">
            <wp:simplePos x="0" y="0"/>
            <wp:positionH relativeFrom="page">
              <wp:posOffset>720090</wp:posOffset>
            </wp:positionH>
            <wp:positionV relativeFrom="paragraph">
              <wp:posOffset>148688</wp:posOffset>
            </wp:positionV>
            <wp:extent cx="4351772" cy="2867025"/>
            <wp:effectExtent l="0" t="0" r="0" b="0"/>
            <wp:wrapTopAndBottom/>
            <wp:docPr id="25" name="image37.jpeg" descr="https://upload.wikimedia.org/wikipedia/commons/5/5a/Shore_of_Tago_Bay%2C_Ejiri_at_Tokaido.jpg"/>
            <wp:cNvGraphicFramePr>
              <a:graphicFrameLocks noChangeAspect="1"/>
            </wp:cNvGraphicFramePr>
            <a:graphic>
              <a:graphicData uri="http://schemas.openxmlformats.org/drawingml/2006/picture">
                <pic:pic>
                  <pic:nvPicPr>
                    <pic:cNvPr id="26" name="image37.jpeg"/>
                    <pic:cNvPicPr/>
                  </pic:nvPicPr>
                  <pic:blipFill>
                    <a:blip r:embed="rId62" cstate="print"/>
                    <a:stretch>
                      <a:fillRect/>
                    </a:stretch>
                  </pic:blipFill>
                  <pic:spPr>
                    <a:xfrm>
                      <a:off x="0" y="0"/>
                      <a:ext cx="4351772" cy="2867025"/>
                    </a:xfrm>
                    <a:prstGeom prst="rect">
                      <a:avLst/>
                    </a:prstGeom>
                  </pic:spPr>
                </pic:pic>
              </a:graphicData>
            </a:graphic>
          </wp:anchor>
        </w:drawing>
      </w:r>
    </w:p>
    <w:p>
      <w:pPr>
        <w:spacing w:after="0"/>
        <w:rPr>
          <w:sz w:val="16"/>
        </w:rPr>
        <w:sectPr>
          <w:pgSz w:w="11910" w:h="16840"/>
          <w:pgMar w:header="0" w:footer="1676" w:top="1580" w:bottom="1860" w:left="880" w:right="0"/>
        </w:sectPr>
      </w:pPr>
    </w:p>
    <w:p>
      <w:pPr>
        <w:pStyle w:val="BodyText"/>
        <w:rPr>
          <w:b/>
        </w:rPr>
      </w:pPr>
      <w:r>
        <w:rPr/>
        <w:pict>
          <v:shape style="position:absolute;margin-left:54.783478pt;margin-top:591.199219pt;width:187.2pt;height:24.25pt;mso-position-horizontal-relative:page;mso-position-vertical-relative:page;z-index:251926528" type="#_x0000_t202" filled="false" stroked="false">
            <v:textbox inset="0,0,0,0" style="layout-flow:vertical;mso-layout-flow-alt:bottom-to-top">
              <w:txbxContent>
                <w:p>
                  <w:pPr>
                    <w:pStyle w:val="BodyText"/>
                    <w:spacing w:before="12"/>
                    <w:ind w:left="20"/>
                  </w:pPr>
                  <w:r>
                    <w:rPr/>
                    <w:t>1985</w:t>
                  </w:r>
                </w:p>
                <w:p>
                  <w:pPr>
                    <w:pStyle w:val="BodyText"/>
                    <w:spacing w:before="2"/>
                    <w:ind w:left="20"/>
                  </w:pPr>
                  <w:r>
                    <w:rPr/>
                    <w:t>1987</w:t>
                  </w:r>
                </w:p>
                <w:p>
                  <w:pPr>
                    <w:pStyle w:val="BodyText"/>
                    <w:spacing w:before="3"/>
                    <w:ind w:left="20"/>
                  </w:pPr>
                  <w:r>
                    <w:rPr/>
                    <w:t>1989</w:t>
                  </w:r>
                </w:p>
                <w:p>
                  <w:pPr>
                    <w:pStyle w:val="BodyText"/>
                    <w:spacing w:before="1"/>
                    <w:ind w:left="20"/>
                  </w:pPr>
                  <w:r>
                    <w:rPr/>
                    <w:t>1991</w:t>
                  </w:r>
                </w:p>
                <w:p>
                  <w:pPr>
                    <w:pStyle w:val="BodyText"/>
                    <w:spacing w:before="3"/>
                    <w:ind w:left="20"/>
                  </w:pPr>
                  <w:r>
                    <w:rPr/>
                    <w:t>1993</w:t>
                  </w:r>
                </w:p>
                <w:p>
                  <w:pPr>
                    <w:pStyle w:val="BodyText"/>
                    <w:spacing w:before="2"/>
                    <w:ind w:left="20"/>
                  </w:pPr>
                  <w:r>
                    <w:rPr/>
                    <w:t>1995</w:t>
                  </w:r>
                </w:p>
                <w:p>
                  <w:pPr>
                    <w:pStyle w:val="BodyText"/>
                    <w:spacing w:before="2"/>
                    <w:ind w:left="20"/>
                  </w:pPr>
                  <w:r>
                    <w:rPr/>
                    <w:t>1997</w:t>
                  </w:r>
                </w:p>
                <w:p>
                  <w:pPr>
                    <w:pStyle w:val="BodyText"/>
                    <w:spacing w:before="2"/>
                    <w:ind w:left="20"/>
                  </w:pPr>
                  <w:r>
                    <w:rPr/>
                    <w:t>1999</w:t>
                  </w:r>
                </w:p>
                <w:p>
                  <w:pPr>
                    <w:pStyle w:val="BodyText"/>
                    <w:spacing w:before="2"/>
                    <w:ind w:left="20"/>
                  </w:pPr>
                  <w:r>
                    <w:rPr/>
                    <w:t>2001</w:t>
                  </w:r>
                </w:p>
                <w:p>
                  <w:pPr>
                    <w:pStyle w:val="BodyText"/>
                    <w:spacing w:before="2"/>
                    <w:ind w:left="20"/>
                  </w:pPr>
                  <w:r>
                    <w:rPr/>
                    <w:t>2003</w:t>
                  </w:r>
                </w:p>
                <w:p>
                  <w:pPr>
                    <w:pStyle w:val="BodyText"/>
                    <w:spacing w:before="2"/>
                    <w:ind w:left="20"/>
                  </w:pPr>
                  <w:r>
                    <w:rPr/>
                    <w:t>2005</w:t>
                  </w:r>
                </w:p>
                <w:p>
                  <w:pPr>
                    <w:pStyle w:val="BodyText"/>
                    <w:spacing w:before="2"/>
                    <w:ind w:left="20"/>
                  </w:pPr>
                  <w:r>
                    <w:rPr/>
                    <w:t>2007</w:t>
                  </w:r>
                </w:p>
                <w:p>
                  <w:pPr>
                    <w:pStyle w:val="BodyText"/>
                    <w:spacing w:before="3"/>
                    <w:ind w:left="20"/>
                  </w:pPr>
                  <w:r>
                    <w:rPr/>
                    <w:t>2009</w:t>
                  </w:r>
                </w:p>
                <w:p>
                  <w:pPr>
                    <w:pStyle w:val="BodyText"/>
                    <w:spacing w:before="1"/>
                    <w:ind w:left="20"/>
                  </w:pPr>
                  <w:r>
                    <w:rPr/>
                    <w:t>2011</w:t>
                  </w:r>
                </w:p>
                <w:p>
                  <w:pPr>
                    <w:pStyle w:val="BodyText"/>
                    <w:spacing w:before="3"/>
                    <w:ind w:left="20"/>
                  </w:pPr>
                  <w:r>
                    <w:rPr/>
                    <w:t>2013</w:t>
                  </w:r>
                </w:p>
                <w:p>
                  <w:pPr>
                    <w:pStyle w:val="BodyText"/>
                    <w:spacing w:before="2"/>
                    <w:ind w:left="20"/>
                  </w:pPr>
                  <w:r>
                    <w:rPr/>
                    <w:t>2015</w:t>
                  </w:r>
                </w:p>
              </w:txbxContent>
            </v:textbox>
            <w10:wrap type="none"/>
          </v:shape>
        </w:pict>
      </w:r>
      <w:r>
        <w:rPr/>
        <w:pict>
          <v:shape style="position:absolute;margin-left:54.375477pt;margin-top:343.155609pt;width:192.95pt;height:24.25pt;mso-position-horizontal-relative:page;mso-position-vertical-relative:page;z-index:251927552" type="#_x0000_t202" filled="false" stroked="false">
            <v:textbox inset="0,0,0,0" style="layout-flow:vertical;mso-layout-flow-alt:bottom-to-top">
              <w:txbxContent>
                <w:p>
                  <w:pPr>
                    <w:pStyle w:val="BodyText"/>
                    <w:spacing w:before="12"/>
                    <w:ind w:left="20"/>
                  </w:pPr>
                  <w:r>
                    <w:rPr/>
                    <w:t>1984</w:t>
                  </w:r>
                </w:p>
                <w:p>
                  <w:pPr>
                    <w:pStyle w:val="BodyText"/>
                    <w:spacing w:before="10"/>
                    <w:ind w:left="20"/>
                  </w:pPr>
                  <w:r>
                    <w:rPr/>
                    <w:t>1986</w:t>
                  </w:r>
                </w:p>
                <w:p>
                  <w:pPr>
                    <w:pStyle w:val="BodyText"/>
                    <w:spacing w:before="10"/>
                    <w:ind w:left="20"/>
                  </w:pPr>
                  <w:r>
                    <w:rPr/>
                    <w:t>1988</w:t>
                  </w:r>
                </w:p>
                <w:p>
                  <w:pPr>
                    <w:pStyle w:val="BodyText"/>
                    <w:spacing w:before="9"/>
                    <w:ind w:left="20"/>
                  </w:pPr>
                  <w:r>
                    <w:rPr/>
                    <w:t>1990</w:t>
                  </w:r>
                </w:p>
                <w:p>
                  <w:pPr>
                    <w:pStyle w:val="BodyText"/>
                    <w:spacing w:before="10"/>
                    <w:ind w:left="20"/>
                  </w:pPr>
                  <w:r>
                    <w:rPr/>
                    <w:t>1992</w:t>
                  </w:r>
                </w:p>
                <w:p>
                  <w:pPr>
                    <w:pStyle w:val="BodyText"/>
                    <w:spacing w:before="10"/>
                    <w:ind w:left="20"/>
                  </w:pPr>
                  <w:r>
                    <w:rPr/>
                    <w:t>1994</w:t>
                  </w:r>
                </w:p>
                <w:p>
                  <w:pPr>
                    <w:pStyle w:val="BodyText"/>
                    <w:spacing w:before="10"/>
                    <w:ind w:left="20"/>
                  </w:pPr>
                  <w:r>
                    <w:rPr/>
                    <w:t>1996</w:t>
                  </w:r>
                </w:p>
                <w:p>
                  <w:pPr>
                    <w:pStyle w:val="BodyText"/>
                    <w:spacing w:before="10"/>
                    <w:ind w:left="20"/>
                  </w:pPr>
                  <w:r>
                    <w:rPr/>
                    <w:t>1998</w:t>
                  </w:r>
                </w:p>
                <w:p>
                  <w:pPr>
                    <w:pStyle w:val="BodyText"/>
                    <w:spacing w:before="10"/>
                    <w:ind w:left="20"/>
                  </w:pPr>
                  <w:r>
                    <w:rPr/>
                    <w:t>2000</w:t>
                  </w:r>
                </w:p>
                <w:p>
                  <w:pPr>
                    <w:pStyle w:val="BodyText"/>
                    <w:spacing w:before="9"/>
                    <w:ind w:left="20"/>
                  </w:pPr>
                  <w:r>
                    <w:rPr/>
                    <w:t>2002</w:t>
                  </w:r>
                </w:p>
                <w:p>
                  <w:pPr>
                    <w:pStyle w:val="BodyText"/>
                    <w:spacing w:before="10"/>
                    <w:ind w:left="20"/>
                  </w:pPr>
                  <w:r>
                    <w:rPr/>
                    <w:t>2004</w:t>
                  </w:r>
                </w:p>
                <w:p>
                  <w:pPr>
                    <w:pStyle w:val="BodyText"/>
                    <w:spacing w:before="10"/>
                    <w:ind w:left="20"/>
                  </w:pPr>
                  <w:r>
                    <w:rPr/>
                    <w:t>2006</w:t>
                  </w:r>
                </w:p>
                <w:p>
                  <w:pPr>
                    <w:pStyle w:val="BodyText"/>
                    <w:spacing w:before="10"/>
                    <w:ind w:left="20"/>
                  </w:pPr>
                  <w:r>
                    <w:rPr/>
                    <w:t>2008</w:t>
                  </w:r>
                </w:p>
                <w:p>
                  <w:pPr>
                    <w:pStyle w:val="BodyText"/>
                    <w:spacing w:before="9"/>
                    <w:ind w:left="20"/>
                  </w:pPr>
                  <w:r>
                    <w:rPr/>
                    <w:t>2010</w:t>
                  </w:r>
                </w:p>
                <w:p>
                  <w:pPr>
                    <w:pStyle w:val="BodyText"/>
                    <w:spacing w:before="10"/>
                    <w:ind w:left="20"/>
                  </w:pPr>
                  <w:r>
                    <w:rPr/>
                    <w:t>2012</w:t>
                  </w:r>
                </w:p>
                <w:p>
                  <w:pPr>
                    <w:pStyle w:val="BodyText"/>
                    <w:spacing w:before="9"/>
                    <w:ind w:left="20"/>
                  </w:pPr>
                  <w:r>
                    <w:rPr/>
                    <w:t>2014</w:t>
                  </w:r>
                </w:p>
              </w:txbxContent>
            </v:textbox>
            <w10:wrap type="none"/>
          </v:shape>
        </w:pict>
      </w:r>
      <w:r>
        <w:rPr/>
        <w:pict>
          <v:shape style="position:absolute;margin-left:288.523468pt;margin-top:591.345581pt;width:186pt;height:24.25pt;mso-position-horizontal-relative:page;mso-position-vertical-relative:page;z-index:251928576" type="#_x0000_t202" filled="false" stroked="false">
            <v:textbox inset="0,0,0,0" style="layout-flow:vertical;mso-layout-flow-alt:bottom-to-top">
              <w:txbxContent>
                <w:p>
                  <w:pPr>
                    <w:pStyle w:val="BodyText"/>
                    <w:spacing w:before="12"/>
                    <w:ind w:left="20"/>
                  </w:pPr>
                  <w:r>
                    <w:rPr/>
                    <w:t>1984</w:t>
                  </w:r>
                </w:p>
                <w:p>
                  <w:pPr>
                    <w:pStyle w:val="BodyText"/>
                    <w:spacing w:before="1"/>
                    <w:ind w:left="20"/>
                  </w:pPr>
                  <w:r>
                    <w:rPr/>
                    <w:t>1986</w:t>
                  </w:r>
                </w:p>
                <w:p>
                  <w:pPr>
                    <w:pStyle w:val="BodyText"/>
                    <w:spacing w:before="1"/>
                    <w:ind w:left="20"/>
                  </w:pPr>
                  <w:r>
                    <w:rPr/>
                    <w:t>1988</w:t>
                  </w:r>
                </w:p>
                <w:p>
                  <w:pPr>
                    <w:pStyle w:val="BodyText"/>
                    <w:ind w:left="20"/>
                  </w:pPr>
                  <w:r>
                    <w:rPr/>
                    <w:t>1990</w:t>
                  </w:r>
                </w:p>
                <w:p>
                  <w:pPr>
                    <w:pStyle w:val="BodyText"/>
                    <w:spacing w:before="1"/>
                    <w:ind w:left="20"/>
                  </w:pPr>
                  <w:r>
                    <w:rPr/>
                    <w:t>1992</w:t>
                  </w:r>
                </w:p>
                <w:p>
                  <w:pPr>
                    <w:pStyle w:val="BodyText"/>
                    <w:ind w:left="20"/>
                  </w:pPr>
                  <w:r>
                    <w:rPr/>
                    <w:t>1994</w:t>
                  </w:r>
                </w:p>
                <w:p>
                  <w:pPr>
                    <w:pStyle w:val="BodyText"/>
                    <w:ind w:left="20"/>
                  </w:pPr>
                  <w:r>
                    <w:rPr/>
                    <w:t>1996</w:t>
                  </w:r>
                </w:p>
                <w:p>
                  <w:pPr>
                    <w:pStyle w:val="BodyText"/>
                    <w:spacing w:before="1"/>
                    <w:ind w:left="20"/>
                  </w:pPr>
                  <w:r>
                    <w:rPr/>
                    <w:t>1998</w:t>
                  </w:r>
                </w:p>
                <w:p>
                  <w:pPr>
                    <w:pStyle w:val="BodyText"/>
                    <w:spacing w:before="1"/>
                    <w:ind w:left="20"/>
                  </w:pPr>
                  <w:r>
                    <w:rPr/>
                    <w:t>2000</w:t>
                  </w:r>
                </w:p>
                <w:p>
                  <w:pPr>
                    <w:pStyle w:val="BodyText"/>
                    <w:ind w:left="20"/>
                  </w:pPr>
                  <w:r>
                    <w:rPr/>
                    <w:t>2002</w:t>
                  </w:r>
                </w:p>
                <w:p>
                  <w:pPr>
                    <w:pStyle w:val="BodyText"/>
                    <w:ind w:left="20"/>
                  </w:pPr>
                  <w:r>
                    <w:rPr/>
                    <w:t>2004</w:t>
                  </w:r>
                </w:p>
                <w:p>
                  <w:pPr>
                    <w:pStyle w:val="BodyText"/>
                    <w:spacing w:before="1"/>
                    <w:ind w:left="20"/>
                  </w:pPr>
                  <w:r>
                    <w:rPr/>
                    <w:t>2006</w:t>
                  </w:r>
                </w:p>
                <w:p>
                  <w:pPr>
                    <w:pStyle w:val="BodyText"/>
                    <w:ind w:left="20"/>
                  </w:pPr>
                  <w:r>
                    <w:rPr/>
                    <w:t>2008</w:t>
                  </w:r>
                </w:p>
                <w:p>
                  <w:pPr>
                    <w:pStyle w:val="BodyText"/>
                    <w:spacing w:before="1"/>
                    <w:ind w:left="20"/>
                  </w:pPr>
                  <w:r>
                    <w:rPr/>
                    <w:t>2010</w:t>
                  </w:r>
                </w:p>
                <w:p>
                  <w:pPr>
                    <w:pStyle w:val="BodyText"/>
                    <w:spacing w:before="1"/>
                    <w:ind w:left="20"/>
                  </w:pPr>
                  <w:r>
                    <w:rPr/>
                    <w:t>2012</w:t>
                  </w:r>
                </w:p>
                <w:p>
                  <w:pPr>
                    <w:pStyle w:val="BodyText"/>
                    <w:ind w:left="20"/>
                  </w:pPr>
                  <w:r>
                    <w:rPr/>
                    <w:t>2014</w:t>
                  </w:r>
                </w:p>
              </w:txbxContent>
            </v:textbox>
            <w10:wrap type="none"/>
          </v:shape>
        </w:pict>
      </w:r>
      <w:r>
        <w:rPr/>
        <w:pict>
          <v:shape style="position:absolute;margin-left:291.783478pt;margin-top:343.119232pt;width:199.45pt;height:24.25pt;mso-position-horizontal-relative:page;mso-position-vertical-relative:page;z-index:251929600" type="#_x0000_t202" filled="false" stroked="false">
            <v:textbox inset="0,0,0,0" style="layout-flow:vertical;mso-layout-flow-alt:bottom-to-top">
              <w:txbxContent>
                <w:p>
                  <w:pPr>
                    <w:pStyle w:val="BodyText"/>
                    <w:spacing w:before="12"/>
                    <w:ind w:left="20"/>
                  </w:pPr>
                  <w:r>
                    <w:rPr/>
                    <w:t>1984</w:t>
                  </w:r>
                </w:p>
                <w:p>
                  <w:pPr>
                    <w:pStyle w:val="BodyText"/>
                    <w:spacing w:before="19"/>
                    <w:ind w:left="20"/>
                  </w:pPr>
                  <w:r>
                    <w:rPr/>
                    <w:t>1986</w:t>
                  </w:r>
                </w:p>
                <w:p>
                  <w:pPr>
                    <w:pStyle w:val="BodyText"/>
                    <w:spacing w:before="18"/>
                    <w:ind w:left="20"/>
                  </w:pPr>
                  <w:r>
                    <w:rPr/>
                    <w:t>1988</w:t>
                  </w:r>
                </w:p>
                <w:p>
                  <w:pPr>
                    <w:pStyle w:val="BodyText"/>
                    <w:spacing w:before="18"/>
                    <w:ind w:left="20"/>
                  </w:pPr>
                  <w:r>
                    <w:rPr/>
                    <w:t>1990</w:t>
                  </w:r>
                </w:p>
                <w:p>
                  <w:pPr>
                    <w:pStyle w:val="BodyText"/>
                    <w:spacing w:before="19"/>
                    <w:ind w:left="20"/>
                  </w:pPr>
                  <w:r>
                    <w:rPr/>
                    <w:t>1992</w:t>
                  </w:r>
                </w:p>
                <w:p>
                  <w:pPr>
                    <w:pStyle w:val="BodyText"/>
                    <w:spacing w:before="18"/>
                    <w:ind w:left="20"/>
                  </w:pPr>
                  <w:r>
                    <w:rPr/>
                    <w:t>1994</w:t>
                  </w:r>
                </w:p>
                <w:p>
                  <w:pPr>
                    <w:pStyle w:val="BodyText"/>
                    <w:spacing w:before="19"/>
                    <w:ind w:left="20"/>
                  </w:pPr>
                  <w:r>
                    <w:rPr/>
                    <w:t>1996</w:t>
                  </w:r>
                </w:p>
                <w:p>
                  <w:pPr>
                    <w:pStyle w:val="BodyText"/>
                    <w:spacing w:before="18"/>
                    <w:ind w:left="20"/>
                  </w:pPr>
                  <w:r>
                    <w:rPr/>
                    <w:t>1998</w:t>
                  </w:r>
                </w:p>
                <w:p>
                  <w:pPr>
                    <w:pStyle w:val="BodyText"/>
                    <w:spacing w:before="19"/>
                    <w:ind w:left="20"/>
                  </w:pPr>
                  <w:r>
                    <w:rPr/>
                    <w:t>2000</w:t>
                  </w:r>
                </w:p>
                <w:p>
                  <w:pPr>
                    <w:pStyle w:val="BodyText"/>
                    <w:spacing w:before="18"/>
                    <w:ind w:left="20"/>
                  </w:pPr>
                  <w:r>
                    <w:rPr/>
                    <w:t>2002</w:t>
                  </w:r>
                </w:p>
                <w:p>
                  <w:pPr>
                    <w:pStyle w:val="BodyText"/>
                    <w:spacing w:before="18"/>
                    <w:ind w:left="20"/>
                  </w:pPr>
                  <w:r>
                    <w:rPr/>
                    <w:t>2004</w:t>
                  </w:r>
                </w:p>
                <w:p>
                  <w:pPr>
                    <w:pStyle w:val="BodyText"/>
                    <w:spacing w:before="19"/>
                    <w:ind w:left="20"/>
                  </w:pPr>
                  <w:r>
                    <w:rPr/>
                    <w:t>2006</w:t>
                  </w:r>
                </w:p>
                <w:p>
                  <w:pPr>
                    <w:pStyle w:val="BodyText"/>
                    <w:spacing w:before="18"/>
                    <w:ind w:left="20"/>
                  </w:pPr>
                  <w:r>
                    <w:rPr/>
                    <w:t>2008</w:t>
                  </w:r>
                </w:p>
                <w:p>
                  <w:pPr>
                    <w:pStyle w:val="BodyText"/>
                    <w:spacing w:before="19"/>
                    <w:ind w:left="20"/>
                  </w:pPr>
                  <w:r>
                    <w:rPr/>
                    <w:t>2010</w:t>
                  </w:r>
                </w:p>
                <w:p>
                  <w:pPr>
                    <w:pStyle w:val="BodyText"/>
                    <w:spacing w:before="18"/>
                    <w:ind w:left="20"/>
                  </w:pPr>
                  <w:r>
                    <w:rPr/>
                    <w:t>2012</w:t>
                  </w:r>
                </w:p>
                <w:p>
                  <w:pPr>
                    <w:pStyle w:val="BodyText"/>
                    <w:spacing w:before="19"/>
                    <w:ind w:left="20"/>
                  </w:pPr>
                  <w:r>
                    <w:rPr/>
                    <w:t>2014</w:t>
                  </w:r>
                </w:p>
              </w:txbxContent>
            </v:textbox>
            <w10:wrap type="none"/>
          </v:shape>
        </w:pict>
      </w:r>
    </w:p>
    <w:p>
      <w:pPr>
        <w:spacing w:before="212"/>
        <w:ind w:left="253" w:right="0" w:firstLine="0"/>
        <w:jc w:val="left"/>
        <w:rPr>
          <w:b/>
          <w:sz w:val="22"/>
        </w:rPr>
      </w:pPr>
      <w:r>
        <w:rPr>
          <w:b/>
          <w:sz w:val="22"/>
        </w:rPr>
        <w:t>Appendix</w:t>
      </w:r>
    </w:p>
    <w:p>
      <w:pPr>
        <w:pStyle w:val="Heading2"/>
        <w:spacing w:line="324" w:lineRule="auto" w:before="90"/>
        <w:ind w:right="1780" w:firstLine="0"/>
      </w:pPr>
      <w:r>
        <w:rPr/>
        <w:pict>
          <v:group style="position:absolute;margin-left:50.999996pt;margin-top:51.297848pt;width:472.2pt;height:494.75pt;mso-position-horizontal-relative:page;mso-position-vertical-relative:paragraph;z-index:251925504" coordorigin="1020,1026" coordsize="9444,9895">
            <v:line style="position:absolute" from="1030,1292" to="5665,1292" stroked="true" strokeweight=".48001pt" strokecolor="#000000">
              <v:stroke dashstyle="solid"/>
            </v:line>
            <v:line style="position:absolute" from="5675,1292" to="10454,1292" stroked="true" strokeweight=".48001pt" strokecolor="#000000">
              <v:stroke dashstyle="solid"/>
            </v:line>
            <v:line style="position:absolute" from="1030,6208" to="5665,6208" stroked="true" strokeweight=".48001pt" strokecolor="#000000">
              <v:stroke dashstyle="solid"/>
            </v:line>
            <v:line style="position:absolute" from="5675,6208" to="10454,6208" stroked="true" strokeweight=".48001pt" strokecolor="#000000">
              <v:stroke dashstyle="solid"/>
            </v:line>
            <v:line style="position:absolute" from="1025,1026" to="1025,10910" stroked="true" strokeweight=".48pt" strokecolor="#000000">
              <v:stroke dashstyle="solid"/>
            </v:line>
            <v:rect style="position:absolute;left:1020;top:10910;width:10;height:11" filled="true" fillcolor="#000000" stroked="false">
              <v:fill type="solid"/>
            </v:rect>
            <v:line style="position:absolute" from="1030,10915" to="5665,10915" stroked="true" strokeweight=".50397pt" strokecolor="#000000">
              <v:stroke dashstyle="solid"/>
            </v:line>
            <v:line style="position:absolute" from="5670,1026" to="5670,10910" stroked="true" strokeweight=".48001pt" strokecolor="#000000">
              <v:stroke dashstyle="solid"/>
            </v:line>
            <v:rect style="position:absolute;left:5665;top:10910;width:10;height:11" filled="true" fillcolor="#000000" stroked="false">
              <v:fill type="solid"/>
            </v:rect>
            <v:line style="position:absolute" from="5675,10915" to="10454,10915" stroked="true" strokeweight=".50397pt" strokecolor="#000000">
              <v:stroke dashstyle="solid"/>
            </v:line>
            <v:line style="position:absolute" from="10459,1026" to="10459,10910" stroked="true" strokeweight=".47998pt" strokecolor="#000000">
              <v:stroke dashstyle="solid"/>
            </v:line>
            <v:rect style="position:absolute;left:10454;top:10910;width:10;height:11" filled="true" fillcolor="#000000" stroked="false">
              <v:fill type="solid"/>
            </v:rect>
            <v:shape style="position:absolute;left:1219;top:2002;width:3838;height:2528" coordorigin="1219,2002" coordsize="3838,2528" path="m4997,4470l4997,2002m4997,4470l5057,4470m4997,4222l5057,4222m4997,3975l5057,3975m4997,3728l5057,3728m4997,3483l5057,3483m4997,3236l5057,3236m4997,2989l5057,2989m4997,2744l5057,2744m4997,2497l5057,2497m4997,2250l5057,2250m4997,2002l5057,2002m1219,4470l4997,4470m1219,4470l1219,4530m1457,4470l1457,4530m1697,4470l1697,4530m1937,4470l1937,4530m2177,4470l2177,4530m2417,4470l2417,4530m2657,4470l2657,4530m2897,4470l2897,4530m3134,4470l3134,4530m3374,4470l3374,4530m3614,4470l3614,4530m3854,4470l3854,4530m4094,4470l4094,4530m4334,4470l4334,4530m4574,4470l4574,4530m4812,4470l4812,4530e" filled="false" stroked="true" strokeweight=".72pt" strokecolor="#858585">
              <v:path arrowok="t"/>
              <v:stroke dashstyle="solid"/>
            </v:shape>
            <v:shape style="position:absolute;left:1219;top:2285;width:471;height:274" coordorigin="1219,2286" coordsize="471,274" path="m1219,2559l1222,2554,1224,2516,1224,2492,1226,2492,1229,2482,1231,2490,1234,2480,1236,2482,1238,2480,1241,2494,1243,2497,1246,2502,1248,2497,1250,2497,1253,2499,1255,2499,1258,2502,1260,2499,1262,2497,1265,2494,1267,2499,1270,2504,1272,2511,1274,2511,1277,2511,1279,2494,1282,2502,1284,2504,1286,2497,1289,2499,1291,2494,1294,2490,1296,2490,1298,2497,1301,2497,1303,2497,1306,2497,1308,2506,1310,2499,1313,2504,1315,2494,1318,2485,1320,2492,1322,2482,1325,2494,1327,2478,1330,2485,1332,2482,1334,2480,1337,2478,1339,2473,1342,2475,1344,2449,1346,2442,1349,2439,1351,2434,1354,2432,1356,2432,1358,2456,1361,2446,1363,2394,1366,2389,1368,2384,1370,2384,1373,2384,1375,2379,1378,2377,1380,2384,1382,2386,1385,2377,1385,2391,1387,2389,1390,2367,1392,2362,1394,2372,1397,2391,1399,2389,1402,2391,1404,2360,1406,2353,1409,2355,1411,2350,1414,2341,1416,2338,1418,2336,1421,2336,1423,2326,1426,2324,1428,2326,1430,2326,1433,2329,1435,2331,1438,2334,1440,2331,1442,2322,1445,2322,1447,2319,1450,2322,1452,2324,1454,2326,1457,2326,1459,2331,1462,2336,1464,2334,1466,2334,1469,2336,1471,2334,1474,2331,1476,2336,1478,2338,1481,2346,1483,2343,1486,2341,1488,2348,1490,2348,1490,2350,1493,2348,1495,2348,1498,2346,1500,2350,1502,2374,1505,2374,1507,2372,1510,2367,1512,2374,1514,2377,1517,2382,1519,2389,1522,2389,1524,2389,1526,2382,1529,2379,1531,2386,1534,2394,1536,2384,1538,2384,1541,2386,1543,2386,1546,2389,1548,2389,1550,2396,1553,2374,1555,2314,1558,2288,1560,2298,1562,2298,1565,2295,1567,2293,1570,2290,1572,2293,1574,2290,1577,2290,1579,2288,1582,2288,1584,2286,1586,2288,1589,2288,1591,2288,1594,2288,1596,2288,1598,2288,1598,2290,1601,2290,1603,2288,1606,2290,1608,2288,1610,2288,1613,2288,1685,2288,1687,2286,1690,2288e" filled="false" stroked="true" strokeweight="1.44pt" strokecolor="#000000">
              <v:path arrowok="t"/>
              <v:stroke dashstyle="solid"/>
            </v:shape>
            <v:shape style="position:absolute;left:1689;top:2263;width:1440;height:24" coordorigin="1690,2264" coordsize="1440,24" path="m1690,2288l1692,2288,1694,2286,1697,2288,1699,2288,1702,2288,1704,2288,1706,2288,1709,2286,1711,2286,1714,2286,1716,2286,1718,2286,1721,2286,1723,2286,1726,2286,1728,2286,1730,2286,1733,2286,1735,2286,1738,2286,1740,2286,1742,2286,1745,2286,1747,2286,1750,2286,1752,2286,1754,2286,1757,2286,1759,2286,1762,2286,1764,2286,1766,2286,1769,2286,1771,2286,1774,2286,1776,2286,1778,2286,1781,2286,1783,2286,1786,2286,1788,2286,1790,2286,1793,2286,1795,2286,1798,2286,1800,2286,1802,2286,1805,2286,1807,2286,1810,2286,1812,2286,1814,2286,1817,2286,1819,2286,1822,2286,1824,2286,1826,2286,1829,2286,1831,2286,1834,2286,1836,2286,1838,2286,1841,2286,1843,2286,1846,2286,1848,2286,1850,2286,1853,2286,1855,2286,1858,2286,1860,2286,1862,2286,1865,2286,1867,2286,1870,2286,1872,2283,1874,2283,1877,2286,1879,2283,1882,2283,1884,2283,1886,2283,1889,2283,1891,2281,1894,2281,1896,2278,1898,2276,1901,2274,1903,2276,1906,2274,1908,2274,1910,2274,1913,2274,1915,2274,1918,2271,1920,2271,1922,2274,1925,2274,1927,2274,1930,2271,1932,2271,1934,2271,1937,2271,1939,2271,1942,2271,1944,2271,1946,2271,1949,2271,1951,2271,1954,2271,1956,2271,1958,2271,1961,2271,1963,2271,1966,2271,1968,2271,1970,2271,1973,2274,1975,2271,1978,2274,1980,2274,1982,2274,1985,2269,1987,2269,1990,2269,1992,2269,1994,2269,1997,2269,1999,2269,2002,2269,2004,2269,2006,2269,2009,2269,2011,2269,2014,2269,2016,2269,2018,2269,2021,2269,2023,2269,2026,2269,2028,2269,2030,2269,2033,2269,2035,2269,2038,2269,2040,2269,2042,2266,2045,2266,2047,2266,2050,2266,2052,2266,2054,2266,2057,2266,2059,2266,2062,2266,2064,2266,2066,2266,2069,2266,2071,2266,2074,2266,2076,2266,2078,2266,2081,2266,2083,2266,2086,2266,2088,2266,2090,2266,2093,2266,2095,2266,2098,2266,2100,2266,2102,2266,2105,2266,2107,2266,2110,2266,2112,2266,2114,2266,2117,2266,2119,2266,2122,2266,2124,2266,2126,2264,2129,2264,2131,2264,2134,2264,2136,2264,2138,2266,2141,2266,2143,2266,2146,2266,2148,2266,2150,2266,2153,2266,2155,2266,2158,2269,2160,2269,2162,2266,2165,2266,2167,2266,2170,2266m2170,2266l2172,2266,2174,2266,2177,2266,2179,2266,2182,2266,2184,2266,2186,2266,2189,2266,2191,2266,2194,2266,2196,2266,2198,2266,2201,2266,2203,2266,2206,2266,2208,2266,2210,2269,2213,2269,2215,2269,2218,2269,2220,2269,2222,2269,2225,2269,2227,2269,2230,2269,2232,2269,2234,2269,2237,2271,2239,2269,2242,2269,2244,2269,2246,2269,2249,2269,2251,2269,2254,2269,2256,2269,2258,2269,2261,2269,2263,2269,2266,2269,2268,2269,2270,2269,2273,2269,2275,2269,2278,2269,2280,2269,2282,2269,2285,2269,2287,2269,2290,2269,2292,2269,2294,2269,2297,2269,2299,2269,2302,2269,2304,2269,2306,2269,2309,2269,2311,2269,2314,2269,2316,2269,2318,2269,2321,2269,2323,2269,2326,2269,2328,2269,2330,2269,2333,2269,2335,2269,2338,2269,2340,2269,2342,2269,2345,2269,2347,2269,2350,2269,2352,2269,2354,2269,2357,2269,2359,2269,2362,2269,2364,2269,2366,2269,2369,2269,2371,2269,2374,2269,2376,2269,2378,2269,2381,2269,2383,2269,2386,2269,2388,2269,2390,2269,2393,2269,2395,2269,2398,2269,2400,2269,2402,2269,2405,2269,2407,2269,2410,2269,2412,2269,2414,2269,2417,2269,2419,2269,2422,2269,2424,2269,2426,2269,2429,2269,2431,2269,2434,2269,2436,2269,2438,2269,2441,2269,2443,2269,2446,2269,2448,2269,2450,2269,2453,2269,2455,2269,2458,2269,2460,2269,2462,2269,2465,2269,2467,2269,2470,2269,2472,2269,2474,2269,2477,2269,2479,2269,2482,2269,2484,2269,2486,2269,2489,2269,2491,2271,2494,2271,2496,2271,2498,2271,2501,2271,2503,2274,2506,2274,2508,2271,2510,2271,2513,2271,2515,2274,2518,2274,2520,2274,2522,2274,2525,2274,2527,2274,2530,2274,2532,2276,2534,2274,2537,2274,2539,2276,2542,2276,2544,2276,2546,2276,2549,2276,2551,2278,2554,2278,2556,2278,2558,2278,2561,2278,2563,2278,2566,2278,2568,2278,2570,2278,2573,2278,2575,2278,2578,2278,2580,2278,2582,2278,2585,2281,2587,2281,2590,2281,2592,2281,2594,2281,2597,2281,2599,2281,2602,2281,2604,2281,2606,2278,2609,2278,2611,2278,2614,2278,2616,2278,2618,2278,2621,2278,2623,2278,2626,2278,2628,2278,2630,2278,2633,2278,2635,2278,2638,2278,2640,2278,2642,2278,2645,2278,2647,2278,2650,2278m2650,2278l2652,2278,2654,2278,2657,2278,2659,2278,2662,2278,2664,2276,2666,2276,2669,2276,2671,2276,2674,2276,2676,2278,2678,2278,2681,2278,2683,2278,2686,2278,2688,2278,2690,2278,2693,2278,2695,2278,2698,2278,2700,2278,2702,2278,2705,2278,2707,2278,2710,2278,2712,2278,2714,2278,2717,2278,2719,2278,2722,2281,2724,2281,2726,2281,2729,2281,2731,2281,2734,2281,2736,2278,2738,2278,2741,2278,2743,2278,2746,2276,2748,2276,2750,2276,2753,2278,2755,2276,2758,2276,2760,2276,2762,2276,2765,2276,2767,2276,2770,2276,2772,2276,2774,2276,2777,2276,2779,2276,2782,2276,2784,2276,2786,2276,2789,2276,2791,2276,2794,2276,2796,2276,2798,2276,2801,2276,2803,2276,2806,2276,2808,2274,2810,2274,2813,2274,2815,2274,2818,2274,2820,2274,2822,2274,2825,2274,2827,2274,2830,2271,2832,2271,2834,2274,2837,2274,2839,2274,2842,2274,2844,2274,2846,2274,2849,2271,2851,2274,2854,2274,2856,2271,2858,2271,2861,2271,2863,2271,2866,2271,2868,2271,2870,2271,2873,2269,2875,2269,2878,2271,2880,2271,2882,2271,2885,2269,2887,2269,2890,2269,2892,2269,2894,2269,2897,2269,2899,2269,2902,2269,2904,2269,2906,2269,2909,2269,2911,2269,2914,2269,2916,2269,2918,2269,2921,2269,2923,2269,2926,2266,2928,2266,2930,2266,2933,2266,2935,2266,2938,2266,2940,2266,2942,2266,2945,2266,2947,2266,2950,2266,2952,2266,2954,2266,2957,2266,2959,2266,2962,2266,2964,2266,2966,2266,2969,2266,2971,2266,2974,2266,2976,2266,2978,2266,2981,2266,2983,2266,2986,2266,2988,2266,2990,2266,2993,2266,2995,2266,2998,2266,3000,2266,3002,2266,3005,2266,3007,2266,3010,2266,3012,2266,3014,2266,3017,2266,3019,2266,3022,2266,3024,2266,3026,2266,3029,2266,3031,2266,3034,2266,3036,2266,3038,2266,3041,2266,3043,2266,3046,2266,3048,2266,3050,2266,3053,2266,3055,2266,3058,2266,3060,2266,3062,2266,3065,2266,3067,2266,3070,2266,3072,2266,3074,2266,3077,2266,3079,2266,3082,2266,3084,2266,3086,2266,3089,2266,3091,2266,3094,2266,3096,2266,3098,2266,3101,2266,3103,2266,3106,2266,3108,2266,3110,2266,3113,2266,3115,2266,3118,2266,3120,2266,3122,2266,3125,2266,3127,2266,3130,2266e" filled="false" stroked="true" strokeweight="1.44pt" strokecolor="#000000">
              <v:path arrowok="t"/>
              <v:stroke dashstyle="solid"/>
            </v:shape>
            <v:line style="position:absolute" from="3115,2265" to="3624,2265" stroked="true" strokeweight="1.56pt" strokecolor="#000000">
              <v:stroke dashstyle="solid"/>
            </v:line>
            <v:shape style="position:absolute;left:3595;top:2263;width:996;height:2" coordorigin="3595,2264" coordsize="996,0" path="m3595,2264l4111,2264m4082,2264l4591,2264e" filled="false" stroked="true" strokeweight="1.44pt" strokecolor="#000000">
              <v:path arrowok="t"/>
              <v:stroke dashstyle="solid"/>
            </v:shape>
            <v:line style="position:absolute" from="4562,2264" to="5011,2264" stroked="true" strokeweight="1.44pt" strokecolor="#000000">
              <v:stroke dashstyle="solid"/>
            </v:line>
            <v:shape style="position:absolute;left:1219;top:3233;width:466;height:881" coordorigin="1219,3234" coordsize="466,881" path="m1219,3234l1222,3246,1224,3322,1224,3375,1226,3378,1229,3399,1231,3380,1234,3402,1236,3399,1238,3402,1241,3370,1243,3366,1246,3354,1248,3366,1250,3368,1253,3361,1255,3356,1258,3354,1260,3358,1262,3363,1265,3368,1267,3358,1270,3346,1272,3334,1274,3332,1277,3334,1277,3332,1279,3370,1282,3354,1284,3351,1286,3363,1289,3361,1291,3373,1294,3380,1296,3382,1298,3363,1301,3368,1303,3363,1306,3366,1308,3344,1310,3361,1313,3349,1315,3368,1318,3394,1320,3378,1322,3399,1325,3373,1327,3411,1330,3394,1332,3397,1332,3394,1334,3402,1337,3409,1339,3421,1342,3414,1344,3481,1346,3498,1349,3505,1351,3519,1354,3524,1356,3522,1358,3459,1361,3486,1363,3637,1366,3649,1368,3668,1370,3663,1373,3666,1375,3682,1378,3692,1380,3666,1382,3658,1385,3690,1385,3642,1387,3649,1390,3726,1392,3740,1394,3706,1397,3639,1399,3646,1402,3639,1404,3745,1406,3776,1409,3766,1411,3783,1414,3822,1416,3829,1418,3841,1421,3838,1423,3886,1426,3894,1428,3889,1430,3884,1433,3877,1435,3867,1438,3850,1440,3867,1442,3903,1445,3903,1447,3918,1450,3906,1452,3896,1454,3884,1457,3884,1459,3860,1462,3846,1464,3855,1466,3850,1469,3843,1471,3853,1474,3867,1476,3838,1478,3831,1481,3798,1483,3814,1486,3819,1488,3793,1490,3790,1490,3786,1493,3798,1495,3798,1498,3805,1500,3783,1502,3699,1505,3694,1507,3706,1510,3718,1512,3694,1514,3690,1517,3670,1519,3649,1522,3646,1524,3649,1526,3670,1529,3678,1531,3654,1534,3634,1536,3668,1538,3663,1541,3656,1543,3654,1546,3646,1548,3651,1550,3630,1553,3699,1555,3937,1558,4095,1560,4038,1562,4038,1565,4047,1567,4062,1570,4076,1572,4074,1574,4090,1577,4090,1579,4098,1582,4105,1584,4114,1586,4107,1589,4110,1591,4100,1594,4095,1596,4095,1598,4093,1601,4090,1603,4098,1606,4090,1608,4095,1610,4102,1613,4093,1615,4098,1618,4100,1620,4100,1622,4102,1625,4100,1627,4098,1630,4105,1632,4100,1634,4105,1637,4102,1639,4102,1642,4098,1644,4098,1646,4100,1649,4098,1651,4095,1651,4098,1654,4095,1656,4095,1658,4100,1661,4100,1663,4098,1666,4095,1668,4098,1670,4100,1673,4098,1675,4100,1678,4100,1680,4102,1682,4102,1685,4110e" filled="false" stroked="true" strokeweight="1.44pt" strokecolor="#ff0000">
              <v:path arrowok="t"/>
              <v:stroke dashstyle="solid"/>
            </v:shape>
            <v:shape style="position:absolute;left:1684;top:4102;width:2832;height:322" coordorigin="1685,4102" coordsize="2832,322" path="m1685,4110l1687,4112,1690,4110,1692,4107,1694,4114,1697,4110,1699,4110,1702,4102,1704,4102,1706,4102,1709,4124,1711,4126,1714,4126,1716,4124,1718,4122,1721,4124,1723,4124,1726,4124,1728,4124,1730,4126,1733,4126,1735,4126,1738,4129,1740,4129,1742,4126,1745,4124,1747,4119,1750,4122,1752,4124,1754,4122,1757,4122,1759,4122,1759,4124,1762,4126,1764,4124,1766,4117,1769,4119,1771,4119,1774,4117,1776,4119,1778,4124,1781,4119,1783,4119,1786,4117,1788,4119,1790,4119,1793,4117,1795,4119,1798,4124,1800,4122,1802,4124,1805,4122,1807,4122,1810,4122,1812,4122,1814,4119,1817,4117,1819,4112,1822,4114,1824,4114,1826,4117,1829,4124,1831,4119,1834,4122,1836,4122,1838,4122,1841,4119,1843,4117,1846,4119,1848,4119,1850,4122,1853,4122,1855,4119,1858,4119,1860,4119,1862,4124,1865,4124,1865,4126,1867,4126,1870,4129,1872,4131,1874,4134,1877,4129,1879,4134,1882,4134,1884,4134,1886,4136,1889,4146,1891,4158,1894,4170,1896,4186,1898,4206,1901,4220,1903,4218,1906,4230,1908,4232,1910,4237,1913,4242,1915,4244,1918,4249,1920,4249,1922,4246,1925,4244,1927,4246,1930,4254,1932,4256,1934,4266,1937,4268,1939,4268,1942,4266,1944,4266,1946,4263,1949,4266,1951,4263,1954,4263,1956,4273,1958,4278,1961,4263,1963,4258,1966,4258,1968,4263,1970,4258,1970,4256,1973,4242,1975,4251,1978,4244,1980,4244,1982,4244,1985,4282,1987,4282,1990,4285,1992,4297,1994,4309,1997,4304,1999,4309,2002,4309,2004,4309,2006,4309,2009,4304,2011,4304,2014,4304,2016,4304,2018,4306,2021,4304,2023,4304,2026,4306,2028,4306,2030,4309,2033,4311,2035,4314,2038,4314,2040,4311,2042,4321,2045,4318,2047,4318,2050,4321,2052,4321,2054,4323,2057,4328,2059,4328,2062,4330,2064,4330,2066,4333,2069,4330,2071,4330,2074,4340,2076,4338,2078,4345,2078,4342,2081,4342,2083,4347,2086,4347,2088,4347,2090,4345,2093,4345,2095,4347,2098,4352,2100,4364,2102,4362,2105,4362,2107,4359,2110,4362,2112,4359,2114,4364,2117,4366,2119,4371,2122,4369,2124,4369,2126,4374,2129,4374,2131,4376,2131,4378,2134,4376,2136,4374,2138,4359,2141,4362,2143,4364,2146,4366,2148,4366,2150,4359,2153,4333m2153,4333l2155,4321,2158,4316,2160,4311,2162,4323,2165,4321,2167,4323,2170,4323,2172,4323,2174,4328,2177,4328,2179,4323,2182,4323,2184,4321,2184,4318,2186,4335,2189,4342,2191,4338,2194,4338,2196,4335,2198,4335,2201,4326,2203,4321,2206,4323,2208,4321,2210,4304,2213,4304,2215,4299,2218,4302,2220,4292,2222,4292,2225,4285,2227,4285,2230,4287,2232,4285,2234,4282,2237,4278,2239,4282,2239,4280,2242,4282,2244,4280,2246,4287,2249,4292,2251,4292,2254,4292,2256,4292,2258,4292,2261,4299,2263,4302,2266,4299,2268,4299,2270,4294,2273,4292,2275,4297,2278,4297,2280,4302,2282,4302,2285,4299,2287,4302,2290,4302,2292,4302,2292,4299,2294,4299,2297,4299,2299,4297,2302,4294,2304,4297,2306,4299,2309,4297,2311,4299,2314,4302,2316,4306,2318,4309,2321,4309,2323,4309,2326,4306,2328,4282,2330,4285,2333,4285,2335,4285,2338,4285,2340,4285,2342,4285,2345,4285,2345,4290,2347,4287,2350,4290,2352,4299,2354,4297,2357,4297,2359,4297,2362,4299,2364,4299,2366,4292,2369,4290,2371,4294,2374,4292,2376,4294,2378,4304,2381,4309,2383,4304,2386,4302,2388,4299,2390,4304,2393,4294,2395,4294,2398,4297,2398,4294,2400,4294,2402,4294,2405,4299,2407,4302,2410,4304,2412,4304,2414,4302,2417,4302,2419,4302,2422,4302,2424,4294,2426,4297,2429,4294,2431,4294,2434,4297,2436,4297,2438,4299,2441,4302,2443,4299,2446,4302,2448,4297,2450,4294,2450,4290,2453,4290,2455,4290,2458,4290,2460,4287,2462,4287,2465,4282,2467,4285,2470,4285,2472,4287,2474,4287,2477,4287,2479,4287,2482,4287,2484,4287,2486,4282,2489,4280,2491,4275,2494,4270,2496,4261,2498,4254,2501,4258,2503,4244,2506,4246,2506,4244,2508,4249,2510,4249,2513,4254,2515,4246,2518,4242,2520,4244,2522,4246,2525,4242,2527,4232,2530,4232,2532,4218,2534,4220,2537,4220,2539,4213,2542,4213,2544,4218,2546,4215,2549,4208,2551,4194,2554,4179,2556,4174,2558,4177,2558,4179,2561,4179,2563,4177,2566,4174,2568,4174,2570,4174,2573,4172,2575,4174,2578,4174,2580,4174,2582,4172,2585,4170,2587,4170,2590,4170,2592,4165,2594,4165,2597,4162,2599,4162,2602,4162,2604,4167,2606,4172,2609,4172,2611,4174,2614,4174m2614,4174l2616,4174,2618,4174,2621,4177,2623,4177,2626,4179,2628,4174,2630,4174,2633,4172,2635,4172,2638,4174,2640,4179,2642,4184,2645,4189,2647,4179,2650,4179,2652,4184,2654,4194,2657,4191,2659,4184,2662,4186,2664,4198,2666,4198,2669,4201,2671,4194,2674,4196,2676,4191,2678,4189,2681,4191,2683,4189,2686,4189,2688,4182,2690,4182,2693,4184,2695,4184,2698,4184,2700,4182,2702,4182,2705,4179,2707,4182,2710,4174,2712,4174,2714,4174,2717,4174,2719,4174,2719,4179,2722,4160,2724,4162,2726,4165,2729,4158,2731,4165,2734,4165,2736,4179,2738,4184,2741,4182,2743,4179,2746,4194,2748,4194,2750,4203,2753,4194,2755,4206,2758,4218,2760,4215,2762,4215,2765,4213,2767,4218,2770,4218,2772,4215,2772,4213,2774,4213,2777,4218,2779,4208,2782,4210,2784,4213,2786,4210,2789,4213,2791,4213,2794,4206,2796,4203,2798,4208,2801,4213,2803,4213,2806,4218,2808,4234,2810,4234,2813,4234,2815,4239,2818,4239,2820,4234,2822,4239,2825,4244,2827,4244,2830,4249,2832,4249,2834,4242,2837,4244,2839,4244,2842,4246,2844,4244,2846,4244,2849,4246,2851,4246,2854,4244,2856,4261,2858,4258,2861,4266,2863,4263,2866,4266,2868,4258,2870,4258,2873,4280,2875,4280,2878,4270,2878,4275,2880,4275,2882,4275,2885,4280,2887,4282,2890,4285,2892,4287,2894,4287,2897,4290,2899,4294,2902,4304,2904,4302,2906,4306,2909,4309,2911,4306,2914,4306,2916,4306,2918,4309,2921,4309,2923,4309,2926,4328,2928,4328,2930,4328,2933,4330,2935,4330,2938,4330,2940,4333,2942,4330,2945,4330,2947,4333,2950,4330,2952,4330,2954,4330,2957,4328,2959,4328,2962,4328,2964,4333,2966,4335,2969,4335,2971,4335,2974,4335,2976,4335,2978,4335,2981,4340,2983,4338,2986,4338,2988,4340,2990,4340,2993,4340,2995,4340,2998,4338,3000,4338,3002,4338,3005,4338,3007,4340,3010,4338,3012,4340,3014,4345,3017,4345,3019,4350,3022,4357,3024,4352,3026,4352,3029,4354,3031,4354,3034,4357,3036,4357,3038,4357,3041,4357,3043,4354,3046,4357,3048,4359,3050,4359,3053,4359,3055,4359,3058,4359,3060,4359,3062,4362,3065,4362,3067,4362,3070,4362,3072,4362,3074,4362,3077,4362,3079,4362,3082,4362,3084,4362,3086,4362m3086,4362l3089,4364,3091,4364,3094,4364,3096,4364,3098,4364,3101,4364,3103,4366,3106,4366,3108,4366,3110,4366,3113,4369,3115,4369,3118,4371,3120,4369,3122,4369,3125,4369,3127,4369,3130,4369,3132,4371,3134,4371,3137,4374,3139,4374,3142,4374,3144,4374,3146,4376,3149,4381,3151,4383,3154,4383,3156,4381,3158,4381,3161,4383,3163,4383,3166,4386,3168,4386,3170,4383,3173,4386,3175,4386,3178,4386,3180,4386,3182,4386,3185,4386,3187,4386,3190,4386,3192,4386,3194,4388,3197,4388,3199,4386,3202,4386,3204,4383,3206,4383,3209,4383,3211,4383,3214,4381,3216,4381,3218,4383,3221,4388,3223,4388,3226,4398,3228,4398,3230,4398,3233,4400,3235,4398,3238,4398,3240,4398,3242,4398,3245,4400,3247,4400,3250,4400,3252,4400,3254,4400,3257,4402,3259,4402,3262,4402,3264,4402,3266,4402,3269,4405,3271,4405,3274,4407,3276,4407,3278,4407,3281,4407,3283,4407,3286,4410,3288,4410,3290,4410,3293,4410,3295,4410,3298,4410,3300,4410,3302,4410,3305,4407,3305,4410,3307,4410,3310,4410,3312,4407,3314,4407,3317,4407,3319,4410,3322,4410,3324,4410,3326,4410,3329,4407,3331,4407,3334,4410,3336,4410,3338,4410,3341,4410,3343,4410,3346,4414,3348,4412,3350,4414,3353,4414,3355,4414,3358,4414,3360,4414,3362,4414,3365,4414,3367,4414,3370,4414,3372,4417,3374,4414,3377,4414,3379,4414,3382,4414,3384,4414,3386,4412,3389,4412,3391,4412,3394,4412,3396,4412,3398,4412,3401,4412,3403,4414,3406,4414,3408,4417,3410,4417,3413,4417,3415,4422,3418,4419,3420,4422,3422,4419,3425,4419,3427,4419,3430,4419,3432,4422,3434,4422,3437,4422,3439,4422,3442,4419,3444,4419,3446,4419,3449,4419,3451,4419,3454,4419,3456,4419,3458,4419,3461,4419,3463,4422,3466,4422,3466,4424,3468,4419,3470,4419,3473,4422,3475,4422,3478,4422,3480,4419,3482,4419,3485,4419,3487,4419,3490,4419,3492,4417,3494,4417,3497,4414,3499,4414,3502,4412,3504,4412,3506,4412,3509,4412,3511,4412,3514,4410,3516,4410,3518,4410,3521,4410,3523,4410,3526,4410,3528,4410,3530,4410,3533,4410,3535,4410,3538,4410,3540,4410,3542,4410,3545,4410,3547,4410,3550,4410,3552,4410,3554,4410,3557,4412,3559,4412,3562,4410m3562,4410l3564,4410,3566,4410,3569,4410,3571,4410,3574,4410,3576,4410,3578,4410,3581,4410,3583,4410,3586,4410,3588,4410,3590,4410,3593,4410,3595,4412,3598,4412,3600,4412,3602,4410,3605,4410,3607,4410,3610,4410,3612,4410,3614,4412,3617,4412,3619,4410,3622,4412,3624,4412,3626,4410,3629,4410,3631,4410,3634,4410,3636,4410,3638,4410,3641,4410,3643,4410,3646,4410,3648,4410,3650,4410,3653,4410,3655,4410,3658,4410,3660,4410,3662,4410,3665,4407,3667,4407,3670,4410,3672,4407,3674,4407,3677,4407,3679,4407,3682,4407,3684,4407,3686,4407,3689,4407,3691,4407,3694,4407,3696,4407,3698,4410,3701,4407,3703,4407,3706,4407,3708,4407,3710,4410,3713,4410,3715,4410,3718,4412,3720,4412,3722,4412,3725,4412,3727,4412,3730,4410,3732,4410,3734,4414,3737,4414,3739,4414,3742,4414,3744,4414,3746,4414,3749,4414,3751,4414,3754,4417,3756,4417,3758,4414,3761,4414,3763,4414,3766,4414,3768,4414,3770,4414,3773,4414,3775,4414,3778,4414,3780,4414,3782,4417,3785,4417,3785,4414,3787,4414,3790,4417,3792,4417,3794,4417,3797,4417,3799,4417,3802,4419,3804,4419,3806,4419,3809,4419,3811,4419,3814,4419,3816,4417,3818,4414,3821,4419,3823,4412,3826,4414,3828,4414,3830,4414,3833,4414,3835,4414,3838,4414,3840,4414,3842,4412,3845,4412,3847,4410,3850,4412,3852,4412,3854,4412,3857,4412,3859,4412,3862,4412,3864,4412,3866,4410,3869,4410,3871,4410,3874,4407,3876,4410,3878,4407,3881,4410,3883,4410,3886,4410,3888,4410,3890,4410,3893,4410,3893,4407,3895,4407,3898,4405,3900,4407,3902,4405,3905,4402,3907,4405,3910,4407,3912,4407,3914,4407,3917,4405,3919,4405,3922,4405,3924,4407,3926,4407,3929,4407,3931,4407,3934,4405,3936,4405,3938,4407,3941,4402,3943,4400,3946,4400,3946,4402,3948,4400,3950,4398,3953,4398,3955,4400,3958,4398,3960,4395,3962,4395,3965,4395,3967,4393,3970,4395,3972,4395,3974,4395,3977,4395,3979,4398,3982,4398,3984,4402,3994,4407,3996,4405,3998,4407,4001,4400,4003,4400,4006,4395,4008,4393,4010,4390,4013,4390,4015,4390,4018,4390,4020,4390,4022,4393,4025,4393,4027,4393,4030,4388,4032,4390,4034,4390,4037,4393,4039,4393,4042,4390m4042,4390l4044,4386,4046,4388,4049,4388,4051,4388,4054,4388,4056,4388,4058,4388,4061,4388,4063,4388,4066,4381,4068,4414,4070,4414,4073,4414,4075,4417,4078,4414,4080,4414,4082,4417,4085,4414,4087,4414,4090,4417,4092,4414,4094,4417,4097,4417,4099,4417,4102,4417,4104,4417,4106,4419,4106,4417,4109,4417,4111,4419,4114,4419,4116,4419,4118,4419,4121,4419,4123,4417,4126,4417,4128,4417,4130,4417,4133,4414,4135,4414,4138,4417,4140,4417,4142,4417,4145,4417,4147,4417,4150,4417,4152,4417,4154,4417,4157,4417,4159,4417,4159,4419,4162,4419,4164,4419,4166,4419,4169,4417,4171,4417,4174,4417,4176,4417,4178,4417,4181,4417,4183,4417,4186,4417,4188,4417,4190,4417,4193,4417,4195,4417,4198,4417,4200,4417,4202,4417,4205,4417,4207,4417,4210,4417,4212,4417,4214,4417,4217,4417,4219,4417,4222,4417,4224,4417,4226,4417,4229,4417,4231,4417,4234,4417,4236,4417,4238,4417,4241,4417,4243,4417,4246,4417,4248,4417,4250,4417,4253,4417,4255,4417,4258,4419,4260,4419,4262,4417,4265,4417,4267,4414,4270,4414,4272,4414,4274,4414,4277,4417,4279,4417,4282,4417,4284,4414,4286,4414,4289,4417,4291,4417,4294,4414,4296,4417,4298,4417,4301,4417,4303,4417,4306,4414,4308,4414,4310,4414,4313,4414,4315,4414,4318,4414,4320,4414,4322,4414,4325,4414,4327,4414,4330,4414,4332,4414,4334,4414,4337,4412,4339,4410,4342,4410,4344,4410,4346,4410,4349,4410,4351,4410,4354,4410,4356,4410,4358,4410,4361,4410,4363,4410,4366,4410,4368,4410,4370,4410,4373,4410,4375,4410,4378,4410,4380,4410,4382,4410,4385,4410,4387,4410,4390,4410,4392,4410,4394,4410,4397,4410,4399,4410,4402,4410,4404,4410,4406,4410,4409,4410,4411,4412,4414,4412,4416,4412,4418,4412,4421,4412,4423,4412,4426,4414,4428,4414,4430,4414,4433,4414,4435,4414,4438,4414,4440,4414,4442,4414,4445,4417,4447,4417,4450,4417,4452,4417,4454,4417,4457,4417,4459,4417,4462,4417,4464,4417,4466,4417,4469,4417,4471,4417,4474,4417,4476,4417,4478,4417,4481,4417,4483,4414,4486,4414,4488,4414,4490,4414,4493,4414,4495,4414,4498,4417,4500,4417,4502,4417,4505,4417,4507,4414,4510,4414,4512,4414,4514,4414,4517,4414e" filled="false" stroked="true" strokeweight="1.44pt" strokecolor="#ff0000">
              <v:path arrowok="t"/>
              <v:stroke dashstyle="solid"/>
            </v:shape>
            <v:shape style="position:absolute;left:4516;top:4387;width:480;height:27" coordorigin="4517,4388" coordsize="480,27" path="m4517,4414l4519,4414,4522,4412,4524,4410,4526,4410,4560,4410,4562,4412,4565,4412,4567,4414,4570,4412,4586,4412,4586,4410,4589,4410,4591,4412,4594,4410,4596,4412,4598,4412,4601,4412,4639,4412,4642,4410,4661,4410,4663,4412,4666,4405,4668,4405,4670,4402,4673,4400,4675,4402,4678,4400,4680,4400,4682,4395,4685,4398,4687,4398,4690,4398,4692,4398,4694,4398,4697,4395,4699,4395,4702,4395,4704,4398,4706,4395,4709,4393,4711,4395,4714,4393,4716,4390,4718,4390,4733,4390,4735,4388,4738,4388,4740,4388,4742,4388,4745,4388,4747,4390,4759,4390,4762,4388,4764,4390,4766,4390,4769,4390,4771,4390,4774,4390,4776,4393,4790,4393,4793,4395,4795,4393,4798,4393,4800,4393,4802,4395,4805,4395,4807,4395,4810,4395,4822,4398,4824,4395,4836,4395,4838,4393,4841,4393,4843,4393,4846,4393,4848,4390,4850,4393,4853,4393,4855,4393,4858,4393,4860,4393,4862,4388,4865,4388,4867,4393,4870,4393,4872,4395,4874,4398,4877,4398,4879,4398,4882,4398,4884,4398,4886,4398,4889,4395,4891,4398,4894,4398,4896,4398,4898,4395,4901,4395,4903,4395,4906,4395,4906,4398,4908,4398,4910,4395,4913,4395,4915,4395,4918,4398,4920,4398,4922,4400,4925,4400,4927,4400,4930,4400,4932,4402,4934,4402,4937,4402,4939,4402,4942,4402,4944,4405,4946,4407,4949,4410,4951,4410,4954,4410,4956,4412,4958,4410,4961,4410,4963,4412,4966,4412,4987,4412,4990,4414,4992,4412,4994,4412,4997,4412e" filled="false" stroked="true" strokeweight="1.44pt" strokecolor="#ff0000">
              <v:path arrowok="t"/>
              <v:stroke dashstyle="solid"/>
            </v:shape>
            <v:line style="position:absolute" from="1622,1647" to="2006,1647" stroked="true" strokeweight="1.44pt" strokecolor="#000000">
              <v:stroke dashstyle="solid"/>
            </v:line>
            <v:line style="position:absolute" from="1622,1909" to="2006,1909" stroked="true" strokeweight="1.44pt" strokecolor="#ff0000">
              <v:stroke dashstyle="solid"/>
            </v:line>
            <v:shape style="position:absolute;left:5959;top:2002;width:3953;height:2525" coordorigin="5959,2002" coordsize="3953,2525" path="m9850,4467l9850,2002m9850,4467l9912,4467m9850,4057l9912,4057m9850,3646l9912,3646m9850,3236l9912,3236m9850,2826l9912,2826m9850,2413l9912,2413m9850,2002l9912,2002m5959,4467l9850,4467m5959,4467l5959,4527m6209,4467l6209,4527m6456,4467l6456,4527m6706,4467l6706,4527m6953,4467l6953,4527m7202,4467l7202,4527m7450,4467l7450,4527m7699,4467l7699,4527m7946,4467l7946,4527m8196,4467l8196,4527m8443,4467l8443,4527m8693,4467l8693,4527m8940,4467l8940,4527m9187,4467l9187,4527m9437,4467l9437,4527m9684,4467l9684,4527e" filled="false" stroked="true" strokeweight=".72pt" strokecolor="#858585">
              <v:path arrowok="t"/>
              <v:stroke dashstyle="solid"/>
            </v:shape>
            <v:shape style="position:absolute;left:5966;top:2191;width:3879;height:365" coordorigin="5966,2192" coordsize="3879,365" path="m5966,2322l5995,2324,6026,2334,6058,2451,6089,2391,6120,2298,6151,2271,6182,2353,6214,2432,6245,2442,6276,2418,6307,2382,6338,2401,6370,2365,6401,2324,6432,2326,6461,2379,6492,2334,6523,2379,6554,2382,6586,2362,6617,2437,6648,2410,6679,2425,6710,2430,6742,2497,6773,2492,6804,2557,6835,2461,6866,2346,6898,2437,6926,2367,6958,2348,6989,2274,7020,2271,7051,2317,7082,2329,7114,2353,7145,2360,7176,2382,7207,2372,7238,2449,7270,2444,7301,2449,7332,2401,7363,2322,7392,2250,7423,2238,7454,2247,7486,2286,7517,2317,7548,2334,7579,2302,7610,2326,7642,2341,7673,2326,7704,2307,7735,2324,7766,2305,7798,2362,7829,2302,7858,2300,7889,2396,7920,2439,7951,2509,7982,2490,8014,2422,8045,2396,8076,2389,8107,2350,8138,2367,8170,2307,8201,2266,8232,2271,8263,2266,8294,2307,8323,2324,8354,2310,8386,2314,8417,2305,8448,2286,8479,2499,8510,2454,8542,2506,8573,2518,8604,2410,8635,2480,8666,2451,8698,2439,8729,2458,8760,2437,8789,2425,8820,2487,8851,2331,8882,2211,8914,2214,8945,2199,8976,2199,9007,2192,9038,2197,9070,2194,9101,2204,9132,2218,9163,2216,9194,2228,9226,2233,9254,2242,9286,2252,9317,2242,9348,2252,9379,2269,9410,2271,9442,2302,9473,2281,9504,2269,9535,2250,9566,2343,9598,2305,9629,2331,9660,2336,9691,2305,9720,2319,9751,2286,9782,2247,9814,2211,9845,2245e" filled="false" stroked="true" strokeweight="1.44pt" strokecolor="#000000">
              <v:path arrowok="t"/>
              <v:stroke dashstyle="solid"/>
            </v:shape>
            <v:shape style="position:absolute;left:5966;top:2467;width:3879;height:1349" coordorigin="5966,2468" coordsize="3879,1349" path="m5966,2636l5995,2631,6026,2509,6058,2629,6089,2578,6120,2480,6151,2494,6182,2595,6214,2607,6245,2526,6276,2734,6307,2806,6338,2888,6370,2864,6401,2890,6432,2943,6461,2974,6492,3085,6523,2967,6554,2936,6586,2847,6617,2720,6648,2677,6679,2730,6710,2629,6742,2581,6773,2576,6804,2622,6835,2581,6866,2468,6898,2850,6926,2977,6958,3097,6989,3258,7020,3291,7051,3212,7082,3130,7114,3001,7145,2958,7176,2900,7207,2852,7238,2763,7270,2727,7301,2756,7332,2874,7363,3123,7392,3212,7423,3217,7454,3241,7486,3291,7517,3315,7548,3246,7579,3222,7610,2869,7642,2910,7673,2883,7704,2890,7735,2965,7766,3018,7798,3001,7829,3066,7858,3135,7889,3013,7920,2900,7951,2828,7982,2612,8014,3025,8045,3051,8076,3106,8107,3166,8138,3082,8170,3147,8201,3186,8232,3145,8263,3090,8294,3121,8323,3166,8354,3085,8386,3085,8417,3087,8448,3092,8479,2840,8510,2833,8542,2694,8573,2720,8604,2982,8635,2862,8666,2898,8698,2948,8729,3003,8760,3025,8789,2996,8820,2902,8851,2545,8882,3277,8914,3426,8945,3762,8976,3817,9007,3790,9038,3778,9070,3781,9101,3769,9132,3723,9163,3721,9194,3702,9226,3627,9254,3610,9286,3589,9317,3550,9348,3495,9379,3430,9410,3452,9442,3356,9473,3392,9504,3440,9535,3502,9566,3337,9598,2967,9629,2986,9660,2996,9691,2962,9720,2994,9751,3046,9782,3109,9814,3193,9845,3354e" filled="false" stroked="true" strokeweight="1.44pt" strokecolor="#ff0000">
              <v:path arrowok="t"/>
              <v:stroke dashstyle="solid"/>
            </v:shape>
            <v:line style="position:absolute" from="6288,1652" to="6672,1652" stroked="true" strokeweight="1.44pt" strokecolor="#000000">
              <v:stroke dashstyle="solid"/>
            </v:line>
            <v:line style="position:absolute" from="6288,1921" to="6672,1921" stroked="true" strokeweight="1.44pt" strokecolor="#ff0000">
              <v:stroke dashstyle="solid"/>
            </v:line>
            <v:shape style="position:absolute;left:1226;top:6924;width:3682;height:2564" coordorigin="1226,6925" coordsize="3682,2564" path="m4848,9428l4848,6925m4848,9428l4908,9428m4848,9010l4908,9010m4848,8593l4908,8593m4848,8178l4908,8178m4848,7760l4908,7760m4848,7342l4908,7342m4848,6925l4908,6925m1226,9428l4848,9428m1226,9428l1226,9488m1457,9428l1457,9488m1690,9428l1690,9488m1922,9428l1922,9488m2155,9428l2155,9488m2386,9428l2386,9488m2618,9428l2618,9488m2851,9428l2851,9488m3082,9428l3082,9488m3314,9428l3314,9488m3547,9428l3547,9488m3778,9428l3778,9488m4010,9428l4010,9488m4243,9428l4243,9488m4474,9428l4474,9488m4706,9428l4706,9488e" filled="false" stroked="true" strokeweight=".72pt" strokecolor="#858585">
              <v:path arrowok="t"/>
              <v:stroke dashstyle="solid"/>
            </v:shape>
            <v:shape style="position:absolute;left:1212;top:7121;width:3651;height:284" type="#_x0000_t75" stroked="false">
              <v:imagedata r:id="rId63" o:title=""/>
            </v:shape>
            <v:shape style="position:absolute;left:1212;top:8052;width:3651;height:1025" type="#_x0000_t75" stroked="false">
              <v:imagedata r:id="rId64" o:title=""/>
            </v:shape>
            <v:line style="position:absolute" from="1675,6560" to="2059,6560" stroked="true" strokeweight="1.44pt" strokecolor="#000000">
              <v:stroke dashstyle="solid"/>
            </v:line>
            <v:line style="position:absolute" from="1675,6814" to="2059,6814" stroked="true" strokeweight="1.44pt" strokecolor="#ff0000">
              <v:stroke dashstyle="solid"/>
            </v:line>
            <v:shape style="position:absolute;left:5894;top:6924;width:3672;height:2566" coordorigin="5894,6925" coordsize="3672,2566" path="m9506,9430l9506,6925m9506,9430l9566,9430m9506,9073l9566,9073m9506,8715l9566,8715m9506,8358l9566,8358m9506,7998l9566,7998m9506,7640l9566,7640m9506,7282l9566,7282m9506,6925l9566,6925m5894,9430l9506,9430m5894,9430l5894,9490m6125,9430l6125,9490m6355,9430l6355,9490m6586,9430l6586,9490m6816,9430l6816,9490m7046,9430l7046,9490m7277,9430l7277,9490m7507,9430l7507,9490m7740,9430l7740,9490m7970,9430l7970,9490m8201,9430l8201,9490m8431,9430l8431,9490m8662,9430l8662,9490m8892,9430l8892,9490m9122,9430l9122,9490m9353,9430l9353,9490e" filled="false" stroked="true" strokeweight=".72pt" strokecolor="#858585">
              <v:path arrowok="t"/>
              <v:stroke dashstyle="solid"/>
            </v:shape>
            <v:shape style="position:absolute;left:5899;top:7642;width:3603;height:406" coordorigin="5899,7642" coordsize="3603,406" path="m5899,7834l5928,7825,5957,7942,5986,8012,6014,7916,6043,7861,6072,7851,6101,7755,6130,7688,6158,7791,6187,7849,6216,7870,6245,7861,6274,7693,6302,7736,6331,7813,6360,7818,6389,7681,6418,7846,6446,7803,6475,7863,6504,7868,6533,7755,6562,7690,6590,7854,6619,7914,6648,8002,6677,8048,6706,8014,6734,7983,6763,7971,6792,7947,6821,7849,6850,7837,6878,7878,6907,7796,6936,7822,6965,7827,6994,7988,7022,8017,7051,7950,7080,7983,7109,7978,7138,7909,7166,7808,7195,7880,7224,7921,7253,7933,7282,8048,7310,8038,7339,7846,7368,7767,7397,7798,7426,7789,7454,7870,7483,7887,7512,7950,7541,7914,7570,7837,7601,7825,7630,7866,7658,7885,7687,7743,7716,7863,7745,7825,7774,7772,7802,7815,7831,7791,7860,7779,7889,7770,7918,7854,7946,7779,7975,7779,8004,7837,8033,7772,8062,7801,8090,7873,8119,7815,8148,7738,8177,7698,8206,7755,8234,7736,8263,7762,8292,7839,8321,7741,8350,7738,8378,7844,8407,7866,8436,7755,8465,7760,8494,7786,8522,7789,8551,7724,8580,7813,8609,7666,8638,7851,8666,7693,8695,7693,8724,7647,8753,7642,8782,7688,8810,7674,8839,7726,8868,7700,8897,7738,8926,7755,8954,7717,8983,7719,9012,7698,9041,7722,9070,7719,9098,7698,9127,7693,9156,7702,9185,7693,9214,7695,9242,7686,9271,7726,9300,7681,9329,7693,9358,7743,9386,7878,9415,7894,9444,7813,9473,7866,9502,7825e" filled="false" stroked="true" strokeweight="1.44pt" strokecolor="#000000">
              <v:path arrowok="t"/>
              <v:stroke dashstyle="solid"/>
            </v:shape>
            <v:shape style="position:absolute;left:5899;top:7335;width:3603;height:1227" coordorigin="5899,7335" coordsize="3603,1227" path="m5899,7777l5928,7875,5957,7686,5986,7813,6014,7791,6043,7741,6072,7729,6101,7707,6130,7618,6158,7750,6187,7897,6216,7782,6245,7664,6274,7724,6302,7659,6331,7671,6360,7662,6389,7575,6418,7633,6446,7599,6475,7578,6504,7510,6533,7501,6562,7542,6590,7614,6619,7671,6648,7734,6677,7786,6706,7758,6734,7789,6763,7666,6792,7815,6821,7628,6850,7623,6878,7688,6907,7628,6936,7652,6965,7724,6994,7755,7022,7782,7051,7652,7080,7671,7109,7810,7138,7678,7166,7515,7195,7604,7224,7558,7253,7532,7282,7678,7310,7676,7339,7635,7368,7568,7397,7472,7426,7561,7454,7604,7483,7642,7512,7609,7541,7542,7570,7465,7601,7472,7630,7587,7658,7604,7687,7587,7716,7686,7745,7719,7774,7789,7802,7808,7831,7882,7860,7892,7889,7916,7918,7782,7946,7818,7975,7825,8004,7875,8033,7707,8062,7832,8090,8019,8119,8065,8148,8043,8177,8038,8206,7983,8234,7849,8263,7904,8292,7942,8321,7995,8350,7950,8378,7837,8407,7724,8436,7662,8465,7724,8494,7710,8522,7758,8551,7623,8580,7674,8609,7782,8638,7873,8666,8562,8695,8494,8724,8408,8753,8384,8782,8442,8810,8396,8839,8437,8868,8346,8897,8386,8926,8389,8954,8420,8983,8403,9012,8358,9041,8362,9070,8353,9098,8300,9127,8310,9156,8288,9185,8245,9214,8257,9242,7770,9271,7414,9300,7467,9329,7470,9358,7518,9386,7390,9415,7587,9444,7390,9473,7419,9502,7335e" filled="false" stroked="true" strokeweight="1.44pt" strokecolor="#ff0000">
              <v:path arrowok="t"/>
              <v:stroke dashstyle="solid"/>
            </v:shape>
            <v:line style="position:absolute" from="6185,6570" to="6569,6570" stroked="true" strokeweight="1.44pt" strokecolor="#000000">
              <v:stroke dashstyle="solid"/>
            </v:line>
            <v:line style="position:absolute" from="6185,6841" to="6569,6841" stroked="true" strokeweight="1.44pt" strokecolor="#ff0000">
              <v:stroke dashstyle="solid"/>
            </v:line>
            <v:shape style="position:absolute;left:5778;top:10176;width:4369;height:730" type="#_x0000_t202" filled="false" stroked="false">
              <v:textbox inset="0,0,0,0">
                <w:txbxContent>
                  <w:p>
                    <w:pPr>
                      <w:spacing w:line="240" w:lineRule="auto" w:before="0"/>
                      <w:ind w:left="0" w:right="-1" w:firstLine="0"/>
                      <w:jc w:val="left"/>
                      <w:rPr>
                        <w:sz w:val="16"/>
                      </w:rPr>
                    </w:pPr>
                    <w:r>
                      <w:rPr>
                        <w:sz w:val="16"/>
                      </w:rPr>
                      <w:t>Weighted loadings on first 5 components; sample includes 13 countries with data from 1980 (Australia, Canada, Denmark, Hong Kong, Japan, South Korea, New Zealand, Norway, Singapore, Sweden, Switzerland, Taiwan, UK and US).</w:t>
                    </w:r>
                  </w:p>
                </w:txbxContent>
              </v:textbox>
              <w10:wrap type="none"/>
            </v:shape>
            <v:shape style="position:absolute;left:9680;top:6808;width:410;height:2729" type="#_x0000_t202" filled="false" stroked="false">
              <v:textbox inset="0,0,0,0">
                <w:txbxContent>
                  <w:p>
                    <w:pPr>
                      <w:spacing w:line="223" w:lineRule="exact" w:before="0"/>
                      <w:ind w:left="0" w:right="0" w:firstLine="0"/>
                      <w:jc w:val="left"/>
                      <w:rPr>
                        <w:sz w:val="20"/>
                      </w:rPr>
                    </w:pPr>
                    <w:r>
                      <w:rPr>
                        <w:sz w:val="20"/>
                      </w:rPr>
                      <w:t>0.35</w:t>
                    </w:r>
                  </w:p>
                  <w:p>
                    <w:pPr>
                      <w:spacing w:before="128"/>
                      <w:ind w:left="0" w:right="0" w:firstLine="0"/>
                      <w:jc w:val="left"/>
                      <w:rPr>
                        <w:sz w:val="20"/>
                      </w:rPr>
                    </w:pPr>
                    <w:r>
                      <w:rPr>
                        <w:sz w:val="20"/>
                      </w:rPr>
                      <w:t>0.30</w:t>
                    </w:r>
                  </w:p>
                  <w:p>
                    <w:pPr>
                      <w:spacing w:before="128"/>
                      <w:ind w:left="0" w:right="0" w:firstLine="0"/>
                      <w:jc w:val="left"/>
                      <w:rPr>
                        <w:sz w:val="20"/>
                      </w:rPr>
                    </w:pPr>
                    <w:r>
                      <w:rPr>
                        <w:sz w:val="20"/>
                      </w:rPr>
                      <w:t>0.25</w:t>
                    </w:r>
                  </w:p>
                  <w:p>
                    <w:pPr>
                      <w:spacing w:before="128"/>
                      <w:ind w:left="0" w:right="0" w:firstLine="0"/>
                      <w:jc w:val="left"/>
                      <w:rPr>
                        <w:sz w:val="20"/>
                      </w:rPr>
                    </w:pPr>
                    <w:r>
                      <w:rPr>
                        <w:sz w:val="20"/>
                      </w:rPr>
                      <w:t>0.20</w:t>
                    </w:r>
                  </w:p>
                  <w:p>
                    <w:pPr>
                      <w:spacing w:before="128"/>
                      <w:ind w:left="0" w:right="0" w:firstLine="0"/>
                      <w:jc w:val="left"/>
                      <w:rPr>
                        <w:sz w:val="20"/>
                      </w:rPr>
                    </w:pPr>
                    <w:r>
                      <w:rPr>
                        <w:sz w:val="20"/>
                      </w:rPr>
                      <w:t>0.15</w:t>
                    </w:r>
                  </w:p>
                  <w:p>
                    <w:pPr>
                      <w:spacing w:before="128"/>
                      <w:ind w:left="0" w:right="0" w:firstLine="0"/>
                      <w:jc w:val="left"/>
                      <w:rPr>
                        <w:sz w:val="20"/>
                      </w:rPr>
                    </w:pPr>
                    <w:r>
                      <w:rPr>
                        <w:sz w:val="20"/>
                      </w:rPr>
                      <w:t>0.10</w:t>
                    </w:r>
                  </w:p>
                  <w:p>
                    <w:pPr>
                      <w:spacing w:before="128"/>
                      <w:ind w:left="0" w:right="0" w:firstLine="0"/>
                      <w:jc w:val="left"/>
                      <w:rPr>
                        <w:sz w:val="20"/>
                      </w:rPr>
                    </w:pPr>
                    <w:r>
                      <w:rPr>
                        <w:sz w:val="20"/>
                      </w:rPr>
                      <w:t>0.05</w:t>
                    </w:r>
                  </w:p>
                  <w:p>
                    <w:pPr>
                      <w:spacing w:before="127"/>
                      <w:ind w:left="0" w:right="0" w:firstLine="0"/>
                      <w:jc w:val="left"/>
                      <w:rPr>
                        <w:sz w:val="20"/>
                      </w:rPr>
                    </w:pPr>
                    <w:r>
                      <w:rPr>
                        <w:sz w:val="20"/>
                      </w:rPr>
                      <w:t>0.00</w:t>
                    </w:r>
                  </w:p>
                </w:txbxContent>
              </v:textbox>
              <w10:wrap type="none"/>
            </v:shape>
            <v:shape style="position:absolute;left:6612;top:6452;width:1443;height:496" type="#_x0000_t202" filled="false" stroked="false">
              <v:textbox inset="0,0,0,0">
                <w:txbxContent>
                  <w:p>
                    <w:pPr>
                      <w:spacing w:line="223" w:lineRule="exact" w:before="0"/>
                      <w:ind w:left="0" w:right="0" w:firstLine="0"/>
                      <w:jc w:val="left"/>
                      <w:rPr>
                        <w:sz w:val="20"/>
                      </w:rPr>
                    </w:pPr>
                    <w:r>
                      <w:rPr>
                        <w:sz w:val="20"/>
                      </w:rPr>
                      <w:t>Avg abs loading</w:t>
                    </w:r>
                  </w:p>
                  <w:p>
                    <w:pPr>
                      <w:spacing w:before="43"/>
                      <w:ind w:left="0" w:right="0" w:firstLine="0"/>
                      <w:jc w:val="left"/>
                      <w:rPr>
                        <w:sz w:val="20"/>
                      </w:rPr>
                    </w:pPr>
                    <w:r>
                      <w:rPr>
                        <w:sz w:val="20"/>
                      </w:rPr>
                      <w:t>Stdev loading</w:t>
                    </w:r>
                  </w:p>
                </w:txbxContent>
              </v:textbox>
              <w10:wrap type="none"/>
            </v:shape>
            <v:shape style="position:absolute;left:1133;top:10176;width:4369;height:730" type="#_x0000_t202" filled="false" stroked="false">
              <v:textbox inset="0,0,0,0">
                <w:txbxContent>
                  <w:p>
                    <w:pPr>
                      <w:spacing w:line="240" w:lineRule="auto" w:before="0"/>
                      <w:ind w:left="0" w:right="-1" w:firstLine="0"/>
                      <w:jc w:val="left"/>
                      <w:rPr>
                        <w:sz w:val="16"/>
                      </w:rPr>
                    </w:pPr>
                    <w:r>
                      <w:rPr>
                        <w:sz w:val="16"/>
                      </w:rPr>
                      <w:t>Weighted loadings on first 2 components; sample includes 14 countries with data from 1980 (Australia, Canada, Denmark, Hong Kong, Japan, South Korea, New Zealand, Singapore, Sweden, Switzerland, Taiwan, UK and US).</w:t>
                    </w:r>
                  </w:p>
                </w:txbxContent>
              </v:textbox>
              <w10:wrap type="none"/>
            </v:shape>
            <v:shape style="position:absolute;left:5022;top:6808;width:410;height:2726" type="#_x0000_t202" filled="false" stroked="false">
              <v:textbox inset="0,0,0,0">
                <w:txbxContent>
                  <w:p>
                    <w:pPr>
                      <w:spacing w:line="223" w:lineRule="exact" w:before="0"/>
                      <w:ind w:left="0" w:right="0" w:firstLine="0"/>
                      <w:jc w:val="left"/>
                      <w:rPr>
                        <w:sz w:val="20"/>
                      </w:rPr>
                    </w:pPr>
                    <w:r>
                      <w:rPr>
                        <w:sz w:val="20"/>
                      </w:rPr>
                      <w:t>0.30</w:t>
                    </w:r>
                  </w:p>
                  <w:p>
                    <w:pPr>
                      <w:spacing w:before="187"/>
                      <w:ind w:left="0" w:right="0" w:firstLine="0"/>
                      <w:jc w:val="left"/>
                      <w:rPr>
                        <w:sz w:val="20"/>
                      </w:rPr>
                    </w:pPr>
                    <w:r>
                      <w:rPr>
                        <w:sz w:val="20"/>
                      </w:rPr>
                      <w:t>0.25</w:t>
                    </w:r>
                  </w:p>
                  <w:p>
                    <w:pPr>
                      <w:spacing w:before="187"/>
                      <w:ind w:left="0" w:right="0" w:firstLine="0"/>
                      <w:jc w:val="left"/>
                      <w:rPr>
                        <w:sz w:val="20"/>
                      </w:rPr>
                    </w:pPr>
                    <w:r>
                      <w:rPr>
                        <w:sz w:val="20"/>
                      </w:rPr>
                      <w:t>0.20</w:t>
                    </w:r>
                  </w:p>
                  <w:p>
                    <w:pPr>
                      <w:spacing w:before="187"/>
                      <w:ind w:left="0" w:right="0" w:firstLine="0"/>
                      <w:jc w:val="left"/>
                      <w:rPr>
                        <w:sz w:val="20"/>
                      </w:rPr>
                    </w:pPr>
                    <w:r>
                      <w:rPr>
                        <w:sz w:val="20"/>
                      </w:rPr>
                      <w:t>0.15</w:t>
                    </w:r>
                  </w:p>
                  <w:p>
                    <w:pPr>
                      <w:spacing w:before="188"/>
                      <w:ind w:left="0" w:right="0" w:firstLine="0"/>
                      <w:jc w:val="left"/>
                      <w:rPr>
                        <w:sz w:val="20"/>
                      </w:rPr>
                    </w:pPr>
                    <w:r>
                      <w:rPr>
                        <w:sz w:val="20"/>
                      </w:rPr>
                      <w:t>0.10</w:t>
                    </w:r>
                  </w:p>
                  <w:p>
                    <w:pPr>
                      <w:spacing w:before="187"/>
                      <w:ind w:left="0" w:right="0" w:firstLine="0"/>
                      <w:jc w:val="left"/>
                      <w:rPr>
                        <w:sz w:val="20"/>
                      </w:rPr>
                    </w:pPr>
                    <w:r>
                      <w:rPr>
                        <w:sz w:val="20"/>
                      </w:rPr>
                      <w:t>0.05</w:t>
                    </w:r>
                  </w:p>
                  <w:p>
                    <w:pPr>
                      <w:spacing w:before="187"/>
                      <w:ind w:left="0" w:right="0" w:firstLine="0"/>
                      <w:jc w:val="left"/>
                      <w:rPr>
                        <w:sz w:val="20"/>
                      </w:rPr>
                    </w:pPr>
                    <w:r>
                      <w:rPr>
                        <w:sz w:val="20"/>
                      </w:rPr>
                      <w:t>0.00</w:t>
                    </w:r>
                  </w:p>
                </w:txbxContent>
              </v:textbox>
              <w10:wrap type="none"/>
            </v:shape>
            <v:shape style="position:absolute;left:2102;top:6443;width:1443;height:478" type="#_x0000_t202" filled="false" stroked="false">
              <v:textbox inset="0,0,0,0">
                <w:txbxContent>
                  <w:p>
                    <w:pPr>
                      <w:spacing w:line="266" w:lineRule="auto" w:before="0"/>
                      <w:ind w:left="0" w:right="-1" w:firstLine="0"/>
                      <w:jc w:val="left"/>
                      <w:rPr>
                        <w:sz w:val="20"/>
                      </w:rPr>
                    </w:pPr>
                    <w:r>
                      <w:rPr>
                        <w:sz w:val="20"/>
                      </w:rPr>
                      <w:t>Avg abs loading Stdev loading</w:t>
                    </w:r>
                  </w:p>
                </w:txbxContent>
              </v:textbox>
              <w10:wrap type="none"/>
            </v:shape>
            <v:shape style="position:absolute;left:5670;top:5944;width:4789;height:264" type="#_x0000_t202" filled="false" stroked="true" strokeweight=".47998pt" strokecolor="#000000">
              <v:textbox inset="0,0,0,0">
                <w:txbxContent>
                  <w:p>
                    <w:pPr>
                      <w:spacing w:before="0"/>
                      <w:ind w:left="463" w:right="0" w:firstLine="0"/>
                      <w:jc w:val="left"/>
                      <w:rPr>
                        <w:sz w:val="22"/>
                      </w:rPr>
                    </w:pPr>
                    <w:r>
                      <w:rPr>
                        <w:sz w:val="22"/>
                      </w:rPr>
                      <w:t>d. GDP, Other advanced economies</w:t>
                    </w:r>
                  </w:p>
                </w:txbxContent>
              </v:textbox>
              <v:stroke dashstyle="solid"/>
              <w10:wrap type="none"/>
            </v:shape>
            <v:shape style="position:absolute;left:1024;top:5944;width:4646;height:264" type="#_x0000_t202" filled="false" stroked="true" strokeweight=".48001pt" strokecolor="#000000">
              <v:textbox inset="0,0,0,0">
                <w:txbxContent>
                  <w:p>
                    <w:pPr>
                      <w:spacing w:before="0"/>
                      <w:ind w:left="463" w:right="0" w:firstLine="0"/>
                      <w:jc w:val="left"/>
                      <w:rPr>
                        <w:sz w:val="22"/>
                      </w:rPr>
                    </w:pPr>
                    <w:r>
                      <w:rPr>
                        <w:sz w:val="22"/>
                      </w:rPr>
                      <w:t>c. Equities, Other advanced economies</w:t>
                    </w:r>
                  </w:p>
                </w:txbxContent>
              </v:textbox>
              <v:stroke dashstyle="solid"/>
              <w10:wrap type="none"/>
            </v:shape>
            <v:shape style="position:absolute;left:5778;top:5205;width:4369;height:732" type="#_x0000_t202" filled="false" stroked="false">
              <v:textbox inset="0,0,0,0">
                <w:txbxContent>
                  <w:p>
                    <w:pPr>
                      <w:spacing w:line="240" w:lineRule="auto" w:before="0"/>
                      <w:ind w:left="0" w:right="-1" w:firstLine="0"/>
                      <w:jc w:val="left"/>
                      <w:rPr>
                        <w:sz w:val="16"/>
                      </w:rPr>
                    </w:pPr>
                    <w:r>
                      <w:rPr>
                        <w:sz w:val="16"/>
                      </w:rPr>
                      <w:t>Weighted loadings on first 2 components; sample includes 12 countries with data from 1980 (Austria, Belgium, Finland, France, Germany, Greece, Ireland, Italy, Luxemburg, Netherlands, Portugal and Spain).</w:t>
                    </w:r>
                  </w:p>
                </w:txbxContent>
              </v:textbox>
              <w10:wrap type="none"/>
            </v:shape>
            <v:shape style="position:absolute;left:10025;top:1884;width:410;height:2688" type="#_x0000_t202" filled="false" stroked="false">
              <v:textbox inset="0,0,0,0">
                <w:txbxContent>
                  <w:p>
                    <w:pPr>
                      <w:spacing w:line="223" w:lineRule="exact" w:before="0"/>
                      <w:ind w:left="0" w:right="0" w:firstLine="0"/>
                      <w:jc w:val="left"/>
                      <w:rPr>
                        <w:sz w:val="20"/>
                      </w:rPr>
                    </w:pPr>
                    <w:r>
                      <w:rPr>
                        <w:sz w:val="20"/>
                      </w:rPr>
                      <w:t>0.30</w:t>
                    </w:r>
                  </w:p>
                  <w:p>
                    <w:pPr>
                      <w:spacing w:before="181"/>
                      <w:ind w:left="0" w:right="0" w:firstLine="0"/>
                      <w:jc w:val="left"/>
                      <w:rPr>
                        <w:sz w:val="20"/>
                      </w:rPr>
                    </w:pPr>
                    <w:r>
                      <w:rPr>
                        <w:sz w:val="20"/>
                      </w:rPr>
                      <w:t>0.25</w:t>
                    </w:r>
                  </w:p>
                  <w:p>
                    <w:pPr>
                      <w:spacing w:before="180"/>
                      <w:ind w:left="0" w:right="0" w:firstLine="0"/>
                      <w:jc w:val="left"/>
                      <w:rPr>
                        <w:sz w:val="20"/>
                      </w:rPr>
                    </w:pPr>
                    <w:r>
                      <w:rPr>
                        <w:sz w:val="20"/>
                      </w:rPr>
                      <w:t>0.20</w:t>
                    </w:r>
                  </w:p>
                  <w:p>
                    <w:pPr>
                      <w:spacing w:before="181"/>
                      <w:ind w:left="0" w:right="0" w:firstLine="0"/>
                      <w:jc w:val="left"/>
                      <w:rPr>
                        <w:sz w:val="20"/>
                      </w:rPr>
                    </w:pPr>
                    <w:r>
                      <w:rPr>
                        <w:sz w:val="20"/>
                      </w:rPr>
                      <w:t>0.15</w:t>
                    </w:r>
                  </w:p>
                  <w:p>
                    <w:pPr>
                      <w:spacing w:before="181"/>
                      <w:ind w:left="0" w:right="0" w:firstLine="0"/>
                      <w:jc w:val="left"/>
                      <w:rPr>
                        <w:sz w:val="20"/>
                      </w:rPr>
                    </w:pPr>
                    <w:r>
                      <w:rPr>
                        <w:sz w:val="20"/>
                      </w:rPr>
                      <w:t>0.10</w:t>
                    </w:r>
                  </w:p>
                  <w:p>
                    <w:pPr>
                      <w:spacing w:before="181"/>
                      <w:ind w:left="0" w:right="0" w:firstLine="0"/>
                      <w:jc w:val="left"/>
                      <w:rPr>
                        <w:sz w:val="20"/>
                      </w:rPr>
                    </w:pPr>
                    <w:r>
                      <w:rPr>
                        <w:sz w:val="20"/>
                      </w:rPr>
                      <w:t>0.05</w:t>
                    </w:r>
                  </w:p>
                  <w:p>
                    <w:pPr>
                      <w:spacing w:before="181"/>
                      <w:ind w:left="0" w:right="0" w:firstLine="0"/>
                      <w:jc w:val="left"/>
                      <w:rPr>
                        <w:sz w:val="20"/>
                      </w:rPr>
                    </w:pPr>
                    <w:r>
                      <w:rPr>
                        <w:sz w:val="20"/>
                      </w:rPr>
                      <w:t>0.00</w:t>
                    </w:r>
                  </w:p>
                </w:txbxContent>
              </v:textbox>
              <w10:wrap type="none"/>
            </v:shape>
            <v:shape style="position:absolute;left:6714;top:1534;width:1443;height:491" type="#_x0000_t202" filled="false" stroked="false">
              <v:textbox inset="0,0,0,0">
                <w:txbxContent>
                  <w:p>
                    <w:pPr>
                      <w:spacing w:line="223" w:lineRule="exact" w:before="0"/>
                      <w:ind w:left="0" w:right="0" w:firstLine="0"/>
                      <w:jc w:val="left"/>
                      <w:rPr>
                        <w:sz w:val="20"/>
                      </w:rPr>
                    </w:pPr>
                    <w:r>
                      <w:rPr>
                        <w:sz w:val="20"/>
                      </w:rPr>
                      <w:t>Avg abs loading</w:t>
                    </w:r>
                  </w:p>
                  <w:p>
                    <w:pPr>
                      <w:spacing w:before="38"/>
                      <w:ind w:left="0" w:right="0" w:firstLine="0"/>
                      <w:jc w:val="left"/>
                      <w:rPr>
                        <w:sz w:val="20"/>
                      </w:rPr>
                    </w:pPr>
                    <w:r>
                      <w:rPr>
                        <w:sz w:val="20"/>
                      </w:rPr>
                      <w:t>Stdev loading</w:t>
                    </w:r>
                  </w:p>
                </w:txbxContent>
              </v:textbox>
              <w10:wrap type="none"/>
            </v:shape>
            <v:shape style="position:absolute;left:1133;top:5203;width:4202;height:550" type="#_x0000_t202" filled="false" stroked="false">
              <v:textbox inset="0,0,0,0">
                <w:txbxContent>
                  <w:p>
                    <w:pPr>
                      <w:spacing w:line="240" w:lineRule="auto" w:before="0"/>
                      <w:ind w:left="0" w:right="1" w:firstLine="0"/>
                      <w:jc w:val="left"/>
                      <w:rPr>
                        <w:sz w:val="16"/>
                      </w:rPr>
                    </w:pPr>
                    <w:r>
                      <w:rPr>
                        <w:sz w:val="16"/>
                      </w:rPr>
                      <w:t>Weighted loadings on first 1 component; sample includes </w:t>
                    </w:r>
                    <w:r>
                      <w:rPr>
                        <w:b/>
                        <w:sz w:val="16"/>
                        <w:u w:val="single"/>
                      </w:rPr>
                      <w:t>5</w:t>
                    </w:r>
                    <w:r>
                      <w:rPr>
                        <w:b/>
                        <w:sz w:val="16"/>
                      </w:rPr>
                      <w:t> </w:t>
                    </w:r>
                    <w:r>
                      <w:rPr>
                        <w:sz w:val="16"/>
                      </w:rPr>
                      <w:t>countries with data from 1980 (France, Germany, Italy, Netherlands and Spain).</w:t>
                    </w:r>
                  </w:p>
                </w:txbxContent>
              </v:textbox>
              <w10:wrap type="none"/>
            </v:shape>
            <v:shape style="position:absolute;left:5171;top:1884;width:410;height:2688" type="#_x0000_t202" filled="false" stroked="false">
              <v:textbox inset="0,0,0,0">
                <w:txbxContent>
                  <w:p>
                    <w:pPr>
                      <w:spacing w:line="223" w:lineRule="exact" w:before="0"/>
                      <w:ind w:left="0" w:right="0" w:firstLine="0"/>
                      <w:jc w:val="left"/>
                      <w:rPr>
                        <w:sz w:val="20"/>
                      </w:rPr>
                    </w:pPr>
                    <w:r>
                      <w:rPr>
                        <w:sz w:val="20"/>
                      </w:rPr>
                      <w:t>0.50</w:t>
                    </w:r>
                  </w:p>
                  <w:p>
                    <w:pPr>
                      <w:spacing w:before="16"/>
                      <w:ind w:left="0" w:right="0" w:firstLine="0"/>
                      <w:jc w:val="left"/>
                      <w:rPr>
                        <w:sz w:val="20"/>
                      </w:rPr>
                    </w:pPr>
                    <w:r>
                      <w:rPr>
                        <w:sz w:val="20"/>
                      </w:rPr>
                      <w:t>0.45</w:t>
                    </w:r>
                  </w:p>
                  <w:p>
                    <w:pPr>
                      <w:spacing w:before="17"/>
                      <w:ind w:left="0" w:right="0" w:firstLine="0"/>
                      <w:jc w:val="left"/>
                      <w:rPr>
                        <w:sz w:val="20"/>
                      </w:rPr>
                    </w:pPr>
                    <w:r>
                      <w:rPr>
                        <w:sz w:val="20"/>
                      </w:rPr>
                      <w:t>0.40</w:t>
                    </w:r>
                  </w:p>
                  <w:p>
                    <w:pPr>
                      <w:spacing w:before="17"/>
                      <w:ind w:left="0" w:right="0" w:firstLine="0"/>
                      <w:jc w:val="left"/>
                      <w:rPr>
                        <w:sz w:val="20"/>
                      </w:rPr>
                    </w:pPr>
                    <w:r>
                      <w:rPr>
                        <w:sz w:val="20"/>
                      </w:rPr>
                      <w:t>0.35</w:t>
                    </w:r>
                  </w:p>
                  <w:p>
                    <w:pPr>
                      <w:spacing w:before="16"/>
                      <w:ind w:left="0" w:right="0" w:firstLine="0"/>
                      <w:jc w:val="left"/>
                      <w:rPr>
                        <w:sz w:val="20"/>
                      </w:rPr>
                    </w:pPr>
                    <w:r>
                      <w:rPr>
                        <w:sz w:val="20"/>
                      </w:rPr>
                      <w:t>0.30</w:t>
                    </w:r>
                  </w:p>
                  <w:p>
                    <w:pPr>
                      <w:spacing w:before="17"/>
                      <w:ind w:left="0" w:right="0" w:firstLine="0"/>
                      <w:jc w:val="left"/>
                      <w:rPr>
                        <w:sz w:val="20"/>
                      </w:rPr>
                    </w:pPr>
                    <w:r>
                      <w:rPr>
                        <w:sz w:val="20"/>
                      </w:rPr>
                      <w:t>0.25</w:t>
                    </w:r>
                  </w:p>
                  <w:p>
                    <w:pPr>
                      <w:spacing w:before="16"/>
                      <w:ind w:left="0" w:right="0" w:firstLine="0"/>
                      <w:jc w:val="left"/>
                      <w:rPr>
                        <w:sz w:val="20"/>
                      </w:rPr>
                    </w:pPr>
                    <w:r>
                      <w:rPr>
                        <w:sz w:val="20"/>
                      </w:rPr>
                      <w:t>0.20</w:t>
                    </w:r>
                  </w:p>
                  <w:p>
                    <w:pPr>
                      <w:spacing w:before="16"/>
                      <w:ind w:left="0" w:right="0" w:firstLine="0"/>
                      <w:jc w:val="left"/>
                      <w:rPr>
                        <w:sz w:val="20"/>
                      </w:rPr>
                    </w:pPr>
                    <w:r>
                      <w:rPr>
                        <w:sz w:val="20"/>
                      </w:rPr>
                      <w:t>0.15</w:t>
                    </w:r>
                  </w:p>
                  <w:p>
                    <w:pPr>
                      <w:spacing w:before="17"/>
                      <w:ind w:left="0" w:right="0" w:firstLine="0"/>
                      <w:jc w:val="left"/>
                      <w:rPr>
                        <w:sz w:val="20"/>
                      </w:rPr>
                    </w:pPr>
                    <w:r>
                      <w:rPr>
                        <w:sz w:val="20"/>
                      </w:rPr>
                      <w:t>0.10</w:t>
                    </w:r>
                  </w:p>
                  <w:p>
                    <w:pPr>
                      <w:spacing w:before="17"/>
                      <w:ind w:left="0" w:right="0" w:firstLine="0"/>
                      <w:jc w:val="left"/>
                      <w:rPr>
                        <w:sz w:val="20"/>
                      </w:rPr>
                    </w:pPr>
                    <w:r>
                      <w:rPr>
                        <w:sz w:val="20"/>
                      </w:rPr>
                      <w:t>0.05</w:t>
                    </w:r>
                  </w:p>
                  <w:p>
                    <w:pPr>
                      <w:spacing w:before="16"/>
                      <w:ind w:left="0" w:right="0" w:firstLine="0"/>
                      <w:jc w:val="left"/>
                      <w:rPr>
                        <w:sz w:val="20"/>
                      </w:rPr>
                    </w:pPr>
                    <w:r>
                      <w:rPr>
                        <w:sz w:val="20"/>
                      </w:rPr>
                      <w:t>0.00</w:t>
                    </w:r>
                  </w:p>
                </w:txbxContent>
              </v:textbox>
              <w10:wrap type="none"/>
            </v:shape>
            <v:shape style="position:absolute;left:2048;top:1529;width:1443;height:483" type="#_x0000_t202" filled="false" stroked="false">
              <v:textbox inset="0,0,0,0">
                <w:txbxContent>
                  <w:p>
                    <w:pPr>
                      <w:spacing w:line="223" w:lineRule="exact" w:before="0"/>
                      <w:ind w:left="0" w:right="0" w:firstLine="0"/>
                      <w:jc w:val="left"/>
                      <w:rPr>
                        <w:sz w:val="20"/>
                      </w:rPr>
                    </w:pPr>
                    <w:r>
                      <w:rPr>
                        <w:sz w:val="20"/>
                      </w:rPr>
                      <w:t>Avg abs loading</w:t>
                    </w:r>
                  </w:p>
                  <w:p>
                    <w:pPr>
                      <w:spacing w:before="30"/>
                      <w:ind w:left="0" w:right="0" w:firstLine="0"/>
                      <w:jc w:val="left"/>
                      <w:rPr>
                        <w:sz w:val="20"/>
                      </w:rPr>
                    </w:pPr>
                    <w:r>
                      <w:rPr>
                        <w:sz w:val="20"/>
                      </w:rPr>
                      <w:t>Stdev loading</w:t>
                    </w:r>
                  </w:p>
                </w:txbxContent>
              </v:textbox>
              <w10:wrap type="none"/>
            </v:shape>
            <v:shape style="position:absolute;left:5670;top:1030;width:4789;height:262" type="#_x0000_t202" filled="false" stroked="true" strokeweight=".47998pt" strokecolor="#000000">
              <v:textbox inset="0,0,0,0">
                <w:txbxContent>
                  <w:p>
                    <w:pPr>
                      <w:spacing w:line="251" w:lineRule="exact" w:before="0"/>
                      <w:ind w:left="463" w:right="0" w:firstLine="0"/>
                      <w:jc w:val="left"/>
                      <w:rPr>
                        <w:sz w:val="22"/>
                      </w:rPr>
                    </w:pPr>
                    <w:r>
                      <w:rPr>
                        <w:sz w:val="22"/>
                      </w:rPr>
                      <w:t>b. GDP, Euro area countries</w:t>
                    </w:r>
                  </w:p>
                </w:txbxContent>
              </v:textbox>
              <v:stroke dashstyle="solid"/>
              <w10:wrap type="none"/>
            </v:shape>
            <v:shape style="position:absolute;left:1024;top:1030;width:4646;height:262" type="#_x0000_t202" filled="false" stroked="true" strokeweight=".48001pt" strokecolor="#000000">
              <v:textbox inset="0,0,0,0">
                <w:txbxContent>
                  <w:p>
                    <w:pPr>
                      <w:spacing w:line="251" w:lineRule="exact" w:before="0"/>
                      <w:ind w:left="463" w:right="0" w:firstLine="0"/>
                      <w:jc w:val="left"/>
                      <w:rPr>
                        <w:sz w:val="22"/>
                      </w:rPr>
                    </w:pPr>
                    <w:r>
                      <w:rPr>
                        <w:sz w:val="22"/>
                      </w:rPr>
                      <w:t>a. Equities, Euro area countries</w:t>
                    </w:r>
                  </w:p>
                </w:txbxContent>
              </v:textbox>
              <v:stroke dashstyle="solid"/>
              <w10:wrap type="none"/>
            </v:shape>
            <w10:wrap type="none"/>
          </v:group>
        </w:pict>
      </w:r>
      <w:r>
        <w:rPr/>
        <w:t>Average absolute loading and standard deviation of loadings on common factors from rolling principal component analysis (with 5-year rolling window)</w:t>
      </w:r>
    </w:p>
    <w:p>
      <w:pPr>
        <w:spacing w:after="0" w:line="324" w:lineRule="auto"/>
        <w:sectPr>
          <w:pgSz w:w="11910" w:h="16840"/>
          <w:pgMar w:header="0" w:footer="1676" w:top="1580" w:bottom="1860" w:left="880" w:right="0"/>
        </w:sectPr>
      </w:pPr>
    </w:p>
    <w:p>
      <w:pPr>
        <w:pStyle w:val="BodyText"/>
        <w:spacing w:before="4"/>
        <w:rPr>
          <w:sz w:val="17"/>
        </w:rPr>
      </w:pPr>
      <w:r>
        <w:rPr/>
        <w:pict>
          <v:group style="position:absolute;margin-left:50.999996pt;margin-top:97.93998pt;width:472.2pt;height:247.35pt;mso-position-horizontal-relative:page;mso-position-vertical-relative:page;z-index:251938816" coordorigin="1020,1959" coordsize="9444,4947">
            <v:line style="position:absolute" from="1030,2228" to="5665,2228" stroked="true" strokeweight=".48pt" strokecolor="#000000">
              <v:stroke dashstyle="solid"/>
            </v:line>
            <v:line style="position:absolute" from="5675,2228" to="10454,2228" stroked="true" strokeweight=".48pt" strokecolor="#000000">
              <v:stroke dashstyle="solid"/>
            </v:line>
            <v:line style="position:absolute" from="1025,1959" to="1025,6896" stroked="true" strokeweight=".48pt" strokecolor="#000000">
              <v:stroke dashstyle="solid"/>
            </v:line>
            <v:rect style="position:absolute;left:1020;top:6896;width:10;height:10" filled="true" fillcolor="#000000" stroked="false">
              <v:fill type="solid"/>
            </v:rect>
            <v:line style="position:absolute" from="1030,6901" to="5665,6901" stroked="true" strokeweight=".47998pt" strokecolor="#000000">
              <v:stroke dashstyle="solid"/>
            </v:line>
            <v:line style="position:absolute" from="5670,1959" to="5670,6896" stroked="true" strokeweight=".48001pt" strokecolor="#000000">
              <v:stroke dashstyle="solid"/>
            </v:line>
            <v:rect style="position:absolute;left:5665;top:6896;width:10;height:10" filled="true" fillcolor="#000000" stroked="false">
              <v:fill type="solid"/>
            </v:rect>
            <v:line style="position:absolute" from="5675,6901" to="10454,6901" stroked="true" strokeweight=".47998pt" strokecolor="#000000">
              <v:stroke dashstyle="solid"/>
            </v:line>
            <v:line style="position:absolute" from="10459,1959" to="10459,6896" stroked="true" strokeweight=".47998pt" strokecolor="#000000">
              <v:stroke dashstyle="solid"/>
            </v:line>
            <v:rect style="position:absolute;left:10454;top:6896;width:10;height:10" filled="true" fillcolor="#000000" stroked="false">
              <v:fill type="solid"/>
            </v:rect>
            <v:shape style="position:absolute;left:1264;top:2968;width:3608;height:2643" coordorigin="1265,2969" coordsize="3608,2643" path="m4810,5551l4810,2969m4810,5551l4872,5551m4810,5122l4872,5122m4810,4690l4872,4690m4810,4260l4872,4260m4810,3830l4872,3830m4810,3398l4872,3398m4810,2969l4872,2969m1265,5551l4810,5551m1265,5551l1265,5611m1493,5551l1493,5611m1721,5551l1721,5611m1949,5551l1949,5611m2174,5551l2174,5611m2402,5551l2402,5611m2630,5551l2630,5611m2858,5551l2858,5611m3086,5551l3086,5611m3314,5551l3314,5611m3542,5551l3542,5611m3768,5551l3768,5611m3996,5551l3996,5611m4224,5551l4224,5611m4452,5551l4452,5611m4680,5551l4680,5611e" filled="false" stroked="true" strokeweight=".72pt" strokecolor="#858585">
              <v:path arrowok="t"/>
              <v:stroke dashstyle="solid"/>
            </v:shape>
            <v:shape style="position:absolute;left:1264;top:3679;width:456;height:490" coordorigin="1265,3679" coordsize="456,490" path="m1265,3806l1267,3878,1270,3886,1272,3905,1274,3840,1277,3835,1279,3778,1279,3804,1282,3778,1284,3782,1286,3814,1289,3905,1291,3814,1294,3768,1296,3756,1298,3734,1301,3756,1303,3756,1306,3754,1308,3751,1310,3742,1313,3730,1315,3725,1318,3718,1320,3720,1322,3725,1325,3701,1327,3713,1327,3794,1330,3802,1332,3821,1334,3818,1337,3790,1339,3737,1342,3742,1344,3703,1346,3706,1349,3698,1351,3679,1351,3686,1354,3686,1356,3835,1358,4169,1361,4138,1363,4039,1366,4010,1368,3898,1370,3797,1373,3838,1375,3986,1375,4099,1378,3809,1380,4032,1382,3701,1385,3682,1387,3684,1390,3715,1392,3742,1394,3751,1397,3790,1399,3794,1399,3953,1402,3972,1404,3996,1406,4010,1409,4032,1411,3919,1414,3742,1416,3756,1418,3761,1421,3744,1423,3770,1423,3725,1426,3821,1428,3840,1430,3799,1433,3770,1435,3761,1438,3768,1440,3787,1442,3828,1445,3792,1447,3785,1450,3785,1452,3770,1454,3773,1457,3778,1459,3773,1462,3775,1464,3766,1466,3775,1469,3785,1471,3835,1471,3823,1474,3838,1476,3821,1478,3818,1481,3854,1483,3830,1486,3845,1488,3835,1490,3878,1493,3862,1495,3847,1495,3828,1498,3826,1500,3823,1502,3816,1505,3778,1507,3878,1510,3850,1512,3857,1514,3862,1517,3866,1519,3876,1519,3898,1522,3869,1524,3871,1526,3826,1529,3799,1531,3785,1534,3768,1536,3809,1538,3809,1541,3809,1543,4027,1543,4015,1546,4082,1548,4090,1550,4037,1553,4042,1555,4054,1558,4042,1560,4001,1562,3989,1567,3994,1570,3998,1572,3996,1574,3989,1577,3994,1579,3989,1582,3991,1584,3984,1586,3984,1589,3986,1591,3974,1594,3979,1596,3977,1598,3998,1601,3989,1603,3994,1606,3994,1608,3994,1610,3994,1613,3950,1615,3948,1615,3941,1618,3948,1620,3955,1622,3953,1625,3936,1627,3941,1630,3943,1632,3931,1634,3931,1637,3938,1639,3936,1642,3938,1644,3943,1646,3943,1649,3943,1651,3941,1654,3919,1656,3907,1658,3898,1661,3900,1663,3905,1666,3910,1668,3910,1670,3905,1673,3905,1675,3905,1682,3895,1685,3895,1687,3898,1687,3895,1690,3895,1692,3902,1694,3898,1697,3910,1699,3898,1702,3895,1704,3893,1706,3881,1709,3878,1711,3859,1711,3854,1714,3850,1716,3852,1718,3854,1721,3857e" filled="false" stroked="true" strokeweight="1.44pt" strokecolor="#000000">
              <v:path arrowok="t"/>
              <v:stroke dashstyle="solid"/>
            </v:shape>
            <v:shape style="position:absolute;left:1720;top:3626;width:2355;height:372" coordorigin="1721,3626" coordsize="2355,372" path="m1721,3857l1728,3876,1730,3862,1733,3864,1735,3847,1735,3850,1738,3852,1740,3850,1742,3847,1745,3850,1747,3847,1750,3847,1752,3850,1754,3854,1757,3857,1759,3859,1762,3857,1764,3862,1766,3869,1769,3878,1771,3878,1774,3876,1776,3881,1783,3890,1783,3883,1786,3862,1788,3864,1798,3859,1800,3857,1802,3845,1805,3850,1807,3830,1807,3838,1810,3828,1812,3823,1814,3821,1817,3830,1819,3826,1822,3828,1824,3828,1826,3833,1829,3830,1831,3828,1831,3830,1834,3833,1836,3840,1838,3840,1841,3842,1843,3835,1846,3840,1848,3840,1850,3835,1853,3840,1855,3838,1858,3842,1860,3840,1862,3838,1865,3864,1867,3878,1870,3874,1872,3864,1874,3900,1877,3900,1879,3902,1879,3890,1882,3888,1884,3883,1886,3893,1889,3888,1891,3890,1894,3890,1896,3876,1898,3881,1901,3878,1903,3869,1906,3869,1908,3871,1910,3874,1913,3881,1915,3845,1918,3852,1920,3838,1922,3835,1925,3840,1927,3847,1927,3845,1930,3854,1932,3859,1934,3862,1937,3862,1939,3862,1942,3859,1944,3859,1946,3854,1949,3850,1951,3842,1951,3838,1954,3835,1956,3835,1958,3835,1961,3835,1963,3840,1966,3845,1968,3845,1970,3838,1973,3840,1975,3862,1975,3869,1978,3871,1980,3874,1982,3866,1985,3864,1987,3864,1990,3862,1992,3876,1994,3878,1997,3878,1999,3878,1999,3881,2002,3881,2004,3871,2006,3869,2009,3869,2011,3869,2014,3871,2016,3866,2018,3859,2021,3859,2023,3859,2023,3869,2026,3871,2028,3874,2030,3876,2033,3866,2035,3866,2038,3888,2040,3888,2042,3890,2045,3898,2047,3898,2047,3907,2050,3900,2052,3902,2054,3902,2057,3895,2059,3893,2062,3888,2064,3888,2066,3874,2069,3874,2071,3874,2083,3854,2086,3852,2088,3847,2090,3852,2093,3854,2095,3850,2098,3850,2100,3850,2102,3854,2105,3850,2107,3850,2110,3847,2112,3854,2114,3857,2117,3862,2119,3852,2119,3847,2122,3847,2124,3847,2126,3845,2129,3847,2131,3842,2138,3847,2141,3845,2143,3842,2146,3845,2148,3881,2150,3893,2153,3890,2155,3895,2158,3902,2160,3900,2162,3919,2165,3924,2167,3931,2167,3948,2170,3946,2172,3941,2174,3938,2177,3955,2179,3948,2182,3950,2184,3946,2186,3948,2189,3943,2191,3934,2191,3931,2194,3926,2196,3926,2198,3924m2198,3924l2201,3914,2203,3926,2206,3914,2208,3912,2210,3917,2213,3914,2215,3936,2218,3941,2220,3936,2222,3936,2225,3950,2227,3982,2230,3974,2232,3962,2234,3960,2237,3979,2239,3979,2239,3965,2242,3960,2244,3955,2251,3970,2254,3986,2256,3972,2258,3974,2261,3977,2263,3989,2263,3998,2266,3962,2268,3960,2270,3950,2273,3938,2275,3934,2278,3936,2280,3946,2282,3946,2285,3948,2287,3938,2287,3936,2290,3934,2292,3934,2294,3941,2297,3943,2299,3941,2302,3931,2304,3924,2306,3924,2309,3931,2311,3926,2311,3943,2314,3938,2316,3936,2318,3934,2321,3934,2323,3936,2326,3922,2328,3929,2330,3924,2333,3914,2335,3919,2335,3917,2338,3914,2340,3912,2342,3907,2345,3900,2347,3898,2350,3886,2352,3883,2354,3874,2357,3874,2359,3878,2364,3886,2366,3881,2369,3869,2371,3862,2374,3871,2376,3869,2378,3866,2381,3850,2383,3842,2383,3864,2386,3864,2388,3869,2390,3878,2393,3881,2395,3883,2398,3886,2400,3869,2402,3874,2405,3878,2407,3883,2407,3876,2410,3866,2412,3859,2414,3857,2417,3854,2419,3857,2422,3854,2424,3852,2426,3850,2429,3845,2431,3840,2434,3840,2436,3840,2438,3840,2441,3840,2443,3838,2446,3842,2448,3842,2450,3838,2453,3840,2455,3840,2455,3804,2458,3785,2460,3785,2462,3792,2465,3744,2467,3751,2470,3749,2472,3751,2479,3751,2479,3746,2482,3739,2484,3737,2486,3739,2489,3737,2496,3744,2498,3725,2501,3725,2503,3727,2506,3727,2508,3718,2510,3715,2513,3713,2515,3744,2518,3725,2520,3730,2522,3737,2525,3749,2527,3737,2527,3739,2530,3734,2532,3734,2534,3732,2537,3732,2539,3718,2542,3715,2544,3715,2546,3713,2549,3713,2551,3718,2554,3720,2556,3720,2558,3715,2561,3713,2563,3710,2566,3706,2568,3708,2570,3715,2573,3718,2575,3718,2578,3722,2580,3720,2582,3720,2585,3718,2587,3720,2590,3720,2592,3713,2594,3713,2597,3713,2599,3713,2602,3715,2604,3720,2606,3722,2609,3727,2611,3725,2614,3722,2616,3722,2618,3720,2621,3720,2623,3722,2623,3725,2626,3725,2628,3722,2630,3718,2633,3727,2635,3730,2638,3708,2640,3715,2642,3710,2645,3706,2647,3706,2647,3701,2650,3696,2652,3696,2654,3698,2657,3696,2659,3694,2662,3689,2664,3684,2666,3689m2666,3689l2669,3686,2671,3684,2671,3686,2674,3689,2676,3689,2678,3682,2681,3670,2683,3667,2686,3670,2688,3667,2690,3667,2693,3667,2695,3667,2695,3665,2698,3667,2700,3665,2702,3660,2705,3658,2707,3665,2710,3667,2712,3670,2714,3667,2717,3667,2719,3667,2719,3670,2722,3672,2724,3674,2726,3674,2729,3674,2731,3679,2734,3682,2736,3682,2738,3686,2741,3684,2743,3686,2743,3684,2746,3684,2748,3679,2750,3677,2753,3674,2755,3672,2758,3672,2760,3677,2762,3679,2765,3679,2767,3672,2767,3674,2770,3665,2772,3665,2774,3662,2777,3665,2779,3662,2782,3662,2784,3665,2786,3665,2789,3662,2791,3667,2791,3672,2794,3672,2796,3672,2798,3672,2801,3674,2803,3674,2806,3677,2808,3682,2810,3682,2813,3682,2815,3682,2815,3684,2818,3682,2820,3672,2822,3672,2825,3674,2827,3674,2830,3667,2832,3665,2834,3665,2837,3672,2839,3667,2842,3665,2844,3658,2846,3670,2849,3674,2851,3672,2854,3677,2856,3670,2858,3667,2861,3665,2863,3665,2863,3662,2866,3665,2868,3662,2870,3662,2873,3660,2875,3660,2878,3662,2880,3662,2882,3662,2885,3662,2887,3665,2890,3662,2892,3662,2894,3665,2897,3662,2899,3665,2902,3665,2904,3665,2906,3665,2909,3665,2911,3667,2914,3667,2916,3667,2918,3667,2921,3667,2923,3665,2926,3670,2928,3667,2930,3667,2933,3672,2935,3672,2938,3672,2940,3674,2942,3672,2945,3672,2947,3672,2950,3670,2952,3672,2954,3672,2957,3670,2959,3670,2959,3662,2962,3662,2964,3660,2966,3660,2969,3660,2971,3658,2974,3658,2976,3658,2978,3653,2981,3653,2983,3653,2986,3655,2988,3655,2990,3655,2993,3653,2995,3650,2998,3650,3000,3648,3002,3648,3005,3650,3007,3650,3010,3650,3012,3650,3014,3650,3017,3650,3019,3650,3022,3650,3024,3650,3026,3650,3029,3650,3031,3650,3034,3653,3036,3650,3038,3650,3041,3650,3043,3650,3046,3650,3048,3653,3050,3650,3053,3650,3055,3650,3055,3653,3058,3650,3060,3650,3062,3650,3065,3650,3067,3650,3070,3648,3072,3650,3074,3648,3077,3653,3079,3653,3079,3655,3082,3655,3084,3655,3086,3655,3089,3655,3091,3655,3094,3655,3096,3655,3098,3655,3101,3655,3103,3655,3106,3658,3108,3658,3110,3658,3113,3658,3115,3658,3118,3658,3120,3660m3120,3660l3122,3658,3125,3653,3127,3650,3130,3650,3132,3650,3134,3648,3137,3648,3139,3648,3142,3648,3144,3648,3146,3648,3149,3648,3151,3646,3151,3643,3154,3643,3156,3643,3158,3643,3166,3643,3168,3643,3170,3643,3173,3641,3175,3641,3178,3641,3180,3641,3182,3641,3185,3641,3187,3641,3190,3641,3192,3641,3199,3641,3202,3641,3204,3641,3206,3641,3209,3641,3211,3641,3214,3641,3216,3641,3218,3641,3221,3641,3223,3641,3226,3643,3228,3643,3230,3643,3233,3643,3235,3643,3238,3643,3240,3643,3242,3643,3245,3643,3247,3646,3250,3646,3252,3646,3254,3646,3257,3646,3259,3646,3262,3646,3264,3648,3266,3648,3269,3648,3271,3646,3271,3648,3274,3648,3276,3648,3278,3646,3281,3648,3283,3648,3286,3648,3288,3648,3290,3650,3293,3650,3295,3650,3298,3650,3300,3650,3302,3653,3305,3653,3307,3650,3310,3650,3312,3650,3314,3650,3317,3648,3319,3648,3322,3648,3324,3648,3326,3650,3329,3650,3331,3653,3334,3650,3336,3650,3338,3646,3341,3646,3343,3648,3346,3650,3348,3653,3350,3650,3353,3650,3355,3646,3358,3646,3360,3646,3362,3646,3365,3648,3367,3650,3367,3648,3370,3646,3372,3648,3374,3641,3377,3643,3379,3643,3382,3641,3384,3643,3386,3641,3389,3641,3391,3641,3394,3641,3396,3646,3398,3643,3401,3643,3403,3643,3406,3641,3408,3643,3410,3643,3413,3643,3415,3646,3418,3646,3420,3646,3422,3643,3425,3643,3427,3641,3430,3643,3432,3646,3434,3641,3437,3641,3439,3641,3442,3638,3444,3638,3446,3638,3449,3638,3451,3638,3454,3638,3456,3638,3458,3638,3461,3638,3463,3638,3466,3638,3468,3638,3470,3638,3473,3638,3475,3638,3478,3641,3480,3643,3482,3643,3485,3643,3487,3643,3487,3646,3490,3646,3492,3646,3494,3646,3497,3646,3499,3646,3502,3646,3504,3643,3506,3643,3509,3643,3511,3643,3514,3646,3516,3646,3518,3650,3521,3650,3523,3650,3526,3648,3528,3648,3530,3648,3533,3648,3535,3648,3538,3650,3540,3648,3542,3648,3545,3650,3547,3648,3550,3648,3552,3646,3554,3646,3557,3646,3559,3646,3562,3646,3564,3646,3566,3646,3569,3648,3571,3648,3574,3646,3576,3646,3578,3646,3581,3646,3583,3646,3586,3646,3588,3643,3590,3643,3593,3643,3595,3646,3598,3646,3600,3646m3600,3646l3602,3646,3605,3646,3607,3646,3610,3646,3612,3646,3614,3646,3617,3646,3619,3646,3622,3648,3624,3650,3626,3650,3629,3648,3631,3648,3634,3648,3636,3650,3638,3648,3641,3648,3643,3650,3646,3650,3648,3650,3650,3648,3653,3650,3655,3648,3655,3646,3658,3646,3660,3646,3662,3643,3665,3643,3667,3643,3670,3643,3672,3643,3674,3643,3677,3641,3679,3641,3682,3643,3684,3643,3686,3643,3689,3643,3691,3641,3694,3641,3696,3641,3698,3641,3701,3641,3703,3641,3706,3643,3708,3643,3710,3643,3713,3643,3715,3643,3718,3643,3720,3641,3722,3641,3725,3641,3727,3643,3727,3641,3730,3636,3732,3636,3734,3636,3737,3636,3739,3638,3742,3638,3744,3631,3746,3631,3749,3631,3751,3629,3751,3631,3754,3629,3756,3629,3758,3629,3761,3629,3763,3631,3766,3629,3768,3629,3770,3631,3773,3631,3775,3631,3778,3631,3780,3631,3782,3629,3785,3631,3787,3631,3790,3631,3792,3629,3794,3629,3797,3629,3799,3629,3802,3629,3804,3629,3806,3629,3809,3629,3811,3629,3814,3629,3816,3629,3818,3629,3821,3629,3823,3629,3826,3629,3828,3629,3830,3629,3833,3629,3835,3629,3838,3629,3840,3629,3842,3629,3845,3629,3847,3629,3857,3629,3859,3629,3862,3629,3864,3629,3866,3629,3869,3629,3871,3629,3874,3629,3876,3629,3878,3629,3881,3629,3883,3629,3886,3629,3888,3629,3890,3629,3893,3631,3895,3631,3898,3629,3900,3629,3902,3631,3905,3629,3907,3629,3910,3629,3912,3629,3914,3629,3917,3629,3919,3629,3922,3629,3924,3629,3926,3629,3929,3626,3931,3629,3934,3629,3936,3629,3938,3629,3941,3629,3943,3629,3943,3626,3946,3626,3948,3629,3950,3629,3953,3629,3955,3626,3958,3626,3960,3626,3962,3626,3965,3626,3967,3626,3970,3629,3972,3629,3974,3626,3977,3626,3979,3626,3982,3629,3984,3629,3986,3626,3989,3626,3991,3626,3994,3626,3996,3626,3998,3626,4001,3626,4003,3626,4006,3626,4008,3626,4010,3626,4013,3626,4015,3626,4018,3626,4020,3626,4022,3626,4025,3626,4027,3626,4030,3626,4032,3626,4034,3626,4037,3626,4039,3626,4042,3626,4044,3626,4046,3626,4049,3626,4051,3626,4054,3629,4056,3629,4058,3629,4061,3626,4061,3629,4063,3629,4066,3629,4068,3629,4070,3629,4073,3629,4075,3629e" filled="false" stroked="true" strokeweight="1.44pt" strokecolor="#000000">
              <v:path arrowok="t"/>
              <v:stroke dashstyle="solid"/>
            </v:shape>
            <v:line style="position:absolute" from="4061,3628" to="4570,3628" stroked="true" strokeweight="1.56pt" strokecolor="#000000">
              <v:stroke dashstyle="solid"/>
            </v:line>
            <v:shape style="position:absolute;left:4555;top:3626;width:255;height:10" coordorigin="4555,3626" coordsize="255,10" path="m4555,3626l4558,3626,4560,3626,4562,3626,4565,3626,4567,3629,4613,3629,4613,3631,4730,3631,4733,3634,4750,3634,4752,3636,4754,3636,4757,3636,4757,3634,4769,3634,4771,3636,4774,3636,4776,3634,4778,3634,4807,3634,4810,3634e" filled="false" stroked="true" strokeweight="1.44pt" strokecolor="#000000">
              <v:path arrowok="t"/>
              <v:stroke dashstyle="solid"/>
            </v:shape>
            <v:shape style="position:absolute;left:1264;top:3432;width:449;height:1114" coordorigin="1265,3432" coordsize="449,1114" path="m1265,4260l1267,4325,1270,4315,1272,4231,1274,3689,1277,3636,1279,3456,1279,3490,1282,3466,1284,4020,1286,4070,1289,4140,1291,3859,1294,3893,1296,3866,1298,3857,1301,3907,1303,3917,1303,3931,1306,3931,1308,3898,1310,3895,1313,3886,1315,3859,1318,3847,1320,3854,1322,3859,1325,3854,1327,3890,1327,3958,1330,3960,1332,4030,1334,4034,1337,4034,1339,4015,1342,4044,1344,3974,1346,4006,1349,3994,1351,3979,1351,3974,1354,3979,1356,3991,1358,3996,1361,4092,1363,4111,1366,4097,1368,4049,1370,3970,1373,4010,1375,4068,1375,4092,1378,3998,1380,4114,1382,3871,1385,3852,1387,3763,1390,3682,1392,3674,1394,3631,1397,3586,1399,3578,1399,3458,1402,3454,1404,3444,1406,3439,1409,3432,1411,3470,1414,3590,1416,3576,1418,3574,1421,3600,1423,3583,1423,3737,1426,3802,1428,3730,1430,3744,1433,3686,1435,3650,1438,3677,1440,3658,1442,3622,1445,3641,1447,3634,1447,3641,1450,3641,1452,3696,1454,3686,1457,3682,1459,3677,1462,3674,1464,3658,1466,3638,1469,3660,1471,3626,1471,3629,1474,3614,1476,3598,1478,3598,1481,3588,1483,3574,1486,3576,1488,3569,1490,3564,1493,3542,1495,3535,1495,3526,1498,3528,1500,3523,1502,3523,1505,3514,1507,3557,1510,3605,1512,3607,1514,3619,1517,3600,1519,3614,1519,3600,1522,3578,1524,3578,1526,3559,1529,3554,1531,3545,1534,3538,1536,3538,1538,3540,1541,3516,1543,4003,1543,4073,1546,4075,1548,4104,1550,4106,1553,4118,1555,4195,1558,4217,1560,4246,1562,4272,1567,4286,1570,4279,1572,4282,1574,4296,1577,4289,1579,4286,1582,4274,1584,4274,1586,4277,1589,4260,1591,4258,1591,4253,1594,4255,1596,4258,1598,4243,1601,4272,1603,4272,1606,4270,1608,4289,1610,4286,1613,4356,1615,4361,1615,4373,1618,4361,1620,4351,1622,4351,1625,4382,1627,4370,1630,4368,1632,4390,1634,4390,1637,4378,1639,4380,1642,4378,1644,4368,1646,4368,1649,4368,1651,4373,1654,4411,1656,4433,1658,4450,1661,4447,1663,4435,1663,4438,1666,4430,1668,4428,1670,4438,1673,4435,1675,4438,1682,4452,1685,4457,1687,4452,1690,4454,1692,4442,1694,4447,1697,4428,1699,4450,1702,4452,1704,4459,1706,4483,1709,4488,1711,4526,1711,4534,1714,4546e" filled="false" stroked="true" strokeweight="1.44pt" strokecolor="#ff0000">
              <v:path arrowok="t"/>
              <v:stroke dashstyle="solid"/>
            </v:shape>
            <v:shape style="position:absolute;left:1713;top:4279;width:2746;height:1232" coordorigin="1714,4279" coordsize="2746,1232" path="m1714,4546l1716,4541,1718,4536,1721,4531,1728,4490,1730,4519,1733,4517,1735,4550,1735,4546,1738,4543,1740,4548,1742,4550,1745,4546,1747,4550,1750,4550,1752,4543,1754,4536,1757,4529,1759,4524,1762,4534,1764,4522,1766,4507,1769,4488,1771,4486,1774,4490,1776,4481,1783,4464,1783,4478,1786,4522,1788,4514,1798,4524,1800,4531,1802,4555,1805,4548,1807,4589,1807,4572,1810,4591,1812,4603,1814,4606,1817,4584,1819,4601,1822,4596,1824,4591,1826,4582,1829,4589,1831,4591,1831,4584,1834,4579,1836,4567,1838,4565,1841,4560,1843,4577,1846,4565,1848,4567,1850,4579,1853,4565,1855,4572,1858,4560,1860,4567,1862,4572,1865,4514,1867,4488,1870,4495,1872,4517,1874,4445,1877,4445,1879,4440,1879,4462,1882,4469,1884,4476,1886,4457,1889,4469,1891,4464,1894,4464,1896,4490,1898,4481,1901,4486,1903,4505,1903,4507,1906,4507,1908,4502,1910,4495,1913,4481,1915,4558,1918,4543,1920,4572,1922,4577,1925,4567,1927,4548,1927,4555,1930,4538,1932,4524,1934,4522,1937,4519,1939,4519,1942,4529,1944,4529,1946,4534,1949,4546,1951,4562,1951,4572,1954,4577,1956,4577,1958,4574,1961,4579,1963,4565,1966,4555,1968,4558,1970,4572,1973,4565,1975,4519,1975,4505,1978,4500,1980,4498,1982,4510,1985,4517,1987,4517,1990,4519,1992,4490,1994,4486,1997,4488,1999,4486,1999,4483,2002,4483,2004,4500,2006,4505,2009,4505,2011,4505,2014,4502,2016,4510,2018,4524,2021,4526,2023,4524,2023,4507,2026,4500,2028,4498,2030,4493,2033,4510,2035,4510,2038,4469,2040,4469,2042,4464,2045,4450,2047,4450,2047,4433,2050,4445,2052,4442,2054,4442,2057,4454,2059,4459,2062,4469,2064,4469,2066,4495,2069,4495,2071,4498,2083,4534,2086,4541,2088,4548,2090,4541,2093,4536,2095,4546,2098,4548,2100,4543,2102,4538,2105,4543,2107,4543,2110,4553,2112,4536,2114,4529,2117,4522,2119,4541,2119,4548,2122,4550,2124,4553,2126,4558,2129,4550,2131,4560,2138,4553,2141,4555,2143,4562,2143,4560,2146,4555,2148,4483,2150,4462,2153,4464,2155,4452,2158,4440,2160,4445,2162,4411,2165,4402,2167,4390,2167,4358,2170,4363,2172,4373,2174,4375,2177,4349,2179,4361,2182,4356,2184,4363,2186,4361,2189,4368m2189,4368l2191,4387,2191,4390,2194,4397,2196,4397,2198,4399,2201,4418,2203,4399,2206,4421,2208,4423,2210,4414,2213,4421,2215,4380,2215,4382,2218,4375,2220,4382,2222,4380,2225,4358,2227,4306,2230,4318,2232,4339,2234,4339,2237,4310,2239,4310,2239,4332,2242,4339,2244,4349,2251,4325,2254,4301,2256,4320,2258,4318,2261,4313,2263,4294,2263,4279,2266,4334,2268,4339,2270,4356,2273,4375,2275,4387,2278,4382,2280,4366,2282,4363,2285,4361,2287,4378,2287,4380,2290,4387,2292,4385,2294,4373,2297,4368,2299,4373,2302,4390,2304,4402,2306,4402,2309,4392,2311,4399,2311,4370,2314,4378,2316,4382,2318,4387,2321,4385,2323,4382,2326,4404,2328,4394,2330,4404,2333,4418,2335,4409,2335,4414,2338,4421,2340,4423,2342,4430,2345,4447,2347,4450,2350,4471,2352,4476,2354,4498,2357,4498,2359,4488,2364,4474,2366,4483,2369,4505,2371,4519,2374,4502,2376,4507,2378,4512,2381,4543,2383,4558,2383,4514,2386,4517,2388,4505,2390,4488,2393,4483,2395,4478,2398,4476,2400,4507,2402,4495,2405,4488,2407,4476,2407,4493,2410,4512,2412,4526,2414,4531,2417,4536,2419,4534,2422,4534,2424,4541,2426,4548,2429,4555,2431,4565,2434,4565,2436,4567,2438,4565,2441,4567,2443,4572,2446,4560,2448,4560,2450,4574,2453,4570,2455,4567,2455,4651,2458,4697,2460,4694,2462,4675,2465,4807,2467,4788,2470,4798,2472,4790,2479,4793,2479,4805,2482,4826,2484,4834,2486,4826,2489,4831,2496,4814,2498,4874,2501,4870,2503,4862,2506,4862,2508,4896,2510,4901,2513,4910,2515,4814,2518,4877,2520,4853,2522,4834,2525,4795,2527,4831,2527,4826,2530,4843,2532,4843,2534,4848,2537,4850,2539,4901,2542,4903,2544,4906,2546,4910,2549,4910,2551,4896,2551,4894,2554,4891,2556,4891,2558,4906,2561,4918,2563,4925,2566,4942,2568,4934,2570,4903,2573,4901,2575,4896,2578,4882,2580,4894,2582,4891,2585,4896,2587,4889,2590,4884,2592,4915,2594,4913,2597,4915,2599,4918,2599,4915,2602,4910,2604,4891,2606,4884,2609,4867,2611,4870,2614,4882,2616,4877,2618,4889,2621,4886,2623,4884,2623,4870,2626,4870,2628,4877,2630,4896,2633,4862,2635,4858,2638,4932,2640,4908,2642,4922,2645,4939,2647,4937,2647,4956m2647,4956l2650,4978,2652,4980,2654,4966,2657,4980,2659,4985,2662,5009,2664,5028,2666,5011,2669,5014,2671,5028,2671,5014,2674,5014,2676,5004,2678,5040,2681,5095,2683,5112,2686,5098,2688,5107,2690,5114,2693,5110,2695,5110,2695,5129,2698,5117,2700,5131,2702,5153,2705,5165,2707,5122,2710,5117,2712,5098,2714,5110,2717,5107,2719,5107,2719,5098,2722,5083,2724,5081,2726,5074,2729,5071,2731,5050,2734,5042,2736,5042,2738,5021,2741,5026,2743,5018,2743,5030,2746,5028,2748,5050,2750,5062,2753,5078,2755,5083,2758,5088,2760,5066,2762,5047,2765,5057,2767,5086,2767,5078,2770,5117,2772,5126,2774,5131,2777,5122,2779,5143,2782,5134,2784,5119,2786,5129,2789,5134,2791,5112,2791,5090,2794,5081,2796,5083,2798,5083,2801,5078,2803,5074,2806,5059,2808,5038,2810,5038,2813,5038,2815,5040,2815,5026,2818,5042,2820,5083,2822,5086,2825,5071,2827,5074,2830,5110,2832,5122,2834,5122,2837,5088,2839,5110,2839,5114,2842,5119,2844,5160,2846,5102,2849,5071,2851,5081,2854,5057,2856,5098,2858,5117,2861,5117,2863,5129,2863,5136,2866,5129,2868,5131,2870,5143,2873,5148,2875,5146,2878,5134,2880,5131,2882,5136,2885,5131,2887,5129,2887,5126,2890,5134,2892,5134,2894,5129,2897,5131,2899,5124,2902,5126,2904,5126,2906,5129,2909,5124,2911,5112,2911,5117,2914,5110,2916,5114,2918,5117,2921,5117,2923,5117,2926,5102,2928,5105,2930,5110,2933,5090,2935,5081,2938,5081,2940,5071,2942,5086,2945,5090,2947,5088,2950,5093,2952,5083,2954,5081,2957,5098,2959,5098,2959,5134,2962,5141,2964,5153,2966,5158,2969,5155,2971,5167,2974,5167,2976,5165,2978,5201,2981,5191,2983,5194,2983,5191,2986,5184,2988,5189,2990,5186,2993,5198,2995,5218,2998,5213,3000,5222,3002,5222,3005,5220,3007,5220,3007,5210,3010,5206,3012,5213,3014,5210,3017,5208,3019,5213,3022,5215,3024,5215,3026,5215,3029,5215,3031,5210,3031,5213,3034,5198,3036,5206,3038,5213,3041,5213,3043,5213,3046,5220,3048,5203,3050,5208,3053,5213,3055,5210,3055,5203,3058,5215,3060,5220,3062,5220,3065,5210,3067,5218,3070,5222,3072,5220,3074,5222,3077,5198,3079,5191,3079,5182,3082,5186,3084,5184,3086,5182m3086,5182l3089,5182,3091,5184,3094,5182,3096,5182,3098,5182,3101,5182,3103,5184,3103,5174,3106,5160,3108,5162,3110,5162,3113,5160,3115,5160,3118,5162,3120,5155,3122,5165,3125,5198,3127,5215,3127,5218,3130,5220,3132,5222,3134,5227,3137,5227,3139,5225,3142,5222,3144,5232,3146,5232,3149,5232,3151,5258,3154,5261,3156,5263,3158,5273,3166,5275,3168,5278,3170,5278,3173,5282,3175,5282,3175,5287,3178,5292,3180,5294,3182,5290,3185,5290,3187,5290,3190,5285,3192,5280,3199,5280,3199,5282,3202,5285,3204,5287,3206,5287,3209,5290,3211,5290,3214,5290,3216,5292,3218,5292,3221,5290,3223,5282,3226,5275,3228,5275,3230,5275,3233,5275,3235,5275,3238,5268,3240,5266,3242,5261,3245,5258,3247,5254,3247,5249,3250,5246,3252,5251,3254,5254,3257,5249,3259,5244,3262,5244,3264,5237,3266,5234,3269,5234,3271,5242,3271,5234,3274,5232,3276,5239,3278,5239,3281,5227,3283,5232,3286,5227,3288,5230,3290,5206,3293,5210,3295,5210,3295,5208,3298,5208,3300,5208,3302,5203,3305,5203,3307,5215,3310,5218,3312,5220,3314,5222,3317,5222,3319,5230,3319,5227,3322,5230,3324,5225,3326,5213,3329,5210,3331,5203,3334,5208,3336,5213,3338,5242,3341,5246,3343,5230,3343,5232,3346,5213,3348,5203,3350,5206,3353,5215,3355,5242,3358,5249,3360,5251,3362,5249,3365,5237,3367,5220,3367,5234,3370,5242,3372,5232,3374,5280,3377,5273,3379,5278,3382,5282,3384,5278,3386,5280,3389,5282,3391,5280,3391,5282,3394,5290,3396,5256,3398,5266,3401,5261,3403,5273,3406,5280,3408,5266,3410,5258,3413,5261,3415,5258,3415,5254,3418,5254,3420,5246,3422,5273,3425,5273,3427,5287,3430,5261,3432,5258,3434,5287,3437,5280,3439,5294,3439,5290,3442,5306,3444,5306,3446,5309,3449,5314,3451,5314,3454,5311,3456,5311,3458,5323,3461,5323,3463,5314,3466,5309,3468,5311,3470,5316,3473,5311,3475,5302,3478,5290,3480,5275,3482,5270,3485,5268,3487,5261,3487,5251,3490,5256,3492,5249,3494,5246,3497,5246,3499,5244,3502,5254,3504,5258,3506,5263,3509,5261,3511,5261,3514,5251,3516,5246,3518,5220,3521,5213,3523,5215,3526,5230,3528,5227,3530,5227,3533,5232,3535,5230,3535,5227,3538,5220,3540,5222m3540,5222l3542,5222,3545,5220,3547,5222,3550,5225,3552,5251,3554,5239,3557,5242,3559,5239,3559,5242,3562,5242,3564,5244,3566,5242,3569,5237,3571,5232,3574,5239,3576,5242,3578,5246,3581,5249,3583,5254,3586,5254,3588,5273,3590,5268,3593,5266,3595,5246,3598,5254,3600,5251,3602,5246,3605,5246,3607,5244,3610,5239,3612,5242,3614,5244,3617,5249,3619,5244,3622,5227,3624,5222,3626,5218,3629,5225,3631,5227,3631,5230,3634,5230,3636,5220,3638,5222,3641,5227,3643,5218,3646,5206,3648,5213,3650,5230,3653,5220,3655,5234,3655,5251,3658,5246,3660,5249,3662,5261,3665,5261,3667,5268,3670,5275,3672,5275,3674,5273,3677,5282,3679,5287,3679,5280,3682,5268,3684,5270,3686,5280,3689,5278,3691,5282,3694,5280,3696,5282,3698,5280,3701,5299,3703,5280,3703,5282,3706,5270,3708,5266,3710,5268,3713,5268,3715,5268,3718,5263,3720,5292,3722,5299,3725,5294,3727,5275,3727,5290,3730,5342,3732,5342,3734,5330,3737,5328,3739,5318,3742,5318,3744,5386,3746,5419,3749,5422,3751,5424,3751,5422,3754,5424,3756,5434,3758,5431,3761,5434,3763,5422,3766,5424,3768,5424,3770,5410,3773,5398,3775,5410,3778,5412,3780,5414,3782,5431,3785,5412,3787,5407,3790,5419,3792,5431,3794,5429,3797,5446,3799,5460,3799,5474,3802,5477,3804,5477,3806,5477,3809,5470,3811,5465,3814,5465,3816,5467,3818,5462,3821,5462,3823,5458,3823,5462,3826,5467,3828,5470,3830,5472,3833,5467,3835,5465,3838,5460,3840,5453,3842,5450,3845,5453,3847,5465,3847,5453,3857,5443,3859,5441,3862,5443,3864,5429,3866,5434,3869,5426,3871,5424,3874,5426,3876,5431,3878,5429,3881,5434,3883,5438,3886,5438,3888,5436,3890,5434,3893,5414,3895,5407,3898,5436,3900,5436,3902,5419,3905,5424,3907,5424,3910,5431,3912,5431,3914,5431,3917,5434,3919,5441,3919,5438,3922,5450,3924,5441,3926,5455,3929,5510,3931,5470,3934,5455,3936,5467,3938,5467,3941,5467,3943,5472,3943,5482,3946,5482,3948,5477,3950,5477,3953,5477,3955,5482,3958,5482,3960,5482,3962,5486,3965,5486,3967,5486,3970,5479,3972,5479,3974,5482,3977,5482,3979,5482,3982,5477,3984,5477,3986,5482,3989,5482,3991,5479,3994,5482,3996,5484,3998,5484m3998,5484l4001,5486,4003,5489,4006,5491,4008,5491,4010,5491,4013,5489,4013,5486,4015,5486,4018,5486,4020,5486,4022,5486,4025,5486,4027,5486,4030,5486,4032,5489,4034,5486,4037,5486,4039,5486,4042,5486,4044,5486,4046,5486,4049,5484,4051,5482,4054,5479,4056,5479,4058,5479,4061,5479,4063,5477,4066,5477,4068,5477,4070,5474,4073,5474,4075,5470,4078,5470,4080,5472,4082,5472,4085,5472,4085,5477,4087,5474,4090,5474,4092,5474,4094,5472,4097,5472,4099,5474,4102,5474,4104,5474,4106,5470,4109,5472,4109,5470,4111,5472,4114,5472,4116,5472,4118,5474,4121,5474,4123,5472,4126,5472,4128,5472,4130,5474,4133,5472,4135,5472,4138,5472,4140,5472,4142,5472,4145,5472,4147,5472,4150,5474,4152,5474,4154,5474,4157,5474,4159,5474,4162,5474,4164,5472,4166,5472,4169,5474,4171,5477,4174,5474,4176,5474,4178,5477,4181,5477,4183,5474,4186,5474,4188,5477,4190,5477,4193,5477,4195,5474,4198,5472,4200,5474,4202,5474,4205,5474,4207,5477,4210,5477,4212,5477,4214,5477,4217,5479,4219,5477,4222,5477,4224,5477,4226,5477,4229,5474,4229,5479,4231,5477,4234,5477,4236,5477,4238,5477,4241,5477,4243,5477,4246,5474,4248,5474,4250,5477,4253,5470,4255,5470,4258,5472,4260,5472,4262,5472,4265,5474,4267,5474,4270,5474,4272,5474,4274,5474,4277,5474,4279,5474,4282,5474,4284,5474,4286,5474,4289,5474,4291,5474,4294,5474,4296,5474,4298,5477,4301,5477,4303,5477,4306,5477,4308,5477,4310,5477,4313,5474,4315,5474,4318,5477,4320,5479,4322,5479,4325,5479,4325,5482,4327,5482,4330,5484,4332,5482,4334,5482,4337,5484,4339,5484,4342,5486,4344,5489,4346,5489,4349,5489,4351,5489,4354,5486,4356,5489,4358,5491,4361,5494,4363,5491,4366,5491,4368,5491,4370,5491,4373,5489,4373,5486,4375,5484,4378,5486,4380,5486,4382,5486,4385,5486,4387,5486,4390,5486,4392,5486,4394,5486,4397,5489,4397,5486,4399,5486,4402,5484,4404,5484,4406,5484,4409,5484,4411,5486,4414,5486,4416,5489,4418,5491,4421,5484,4421,5491,4423,5494,4426,5494,4428,5489,4430,5496,4433,5498,4435,5498,4438,5498,4440,5496,4442,5496,4445,5494,4447,5496,4450,5498,4452,5498,4454,5498,4457,5498,4459,5503e" filled="false" stroked="true" strokeweight="1.44pt" strokecolor="#ff0000">
              <v:path arrowok="t"/>
              <v:stroke dashstyle="solid"/>
            </v:shape>
            <v:shape style="position:absolute;left:4444;top:5328;width:380;height:202" type="#_x0000_t75" stroked="false">
              <v:imagedata r:id="rId65" o:title=""/>
            </v:shape>
            <v:line style="position:absolute" from="1502,2609" to="1886,2609" stroked="true" strokeweight="1.44pt" strokecolor="#000000">
              <v:stroke dashstyle="solid"/>
            </v:line>
            <v:line style="position:absolute" from="1502,2909" to="1886,2909" stroked="true" strokeweight="1.44pt" strokecolor="#ff0000">
              <v:stroke dashstyle="solid"/>
            </v:line>
            <v:shape style="position:absolute;left:5952;top:2968;width:3915;height:2662" coordorigin="5952,2969" coordsize="3915,2662" path="m9806,5570l9806,2969m9806,5570l9866,5570m9806,5136l9866,5136m9806,4704l9866,4704m9806,4270l9866,4270m9806,3835l9866,3835m9806,3403l9866,3403m9806,2969l9866,2969m5952,5570l9806,5570m5952,5570l5952,5630m6199,5570l6199,5630m6444,5570l6444,5630m6691,5570l6691,5630m6936,5570l6936,5630m7183,5570l7183,5630m7428,5570l7428,5630m7675,5570l7675,5630m7920,5570l7920,5630m8165,5570l8165,5630m8412,5570l8412,5630m8657,5570l8657,5630m8904,5570l8904,5630m9149,5570l9149,5630m9396,5570l9396,5630m9641,5570l9641,5630e" filled="false" stroked="true" strokeweight=".72pt" strokecolor="#858585">
              <v:path arrowok="t"/>
              <v:stroke dashstyle="solid"/>
            </v:shape>
            <v:shape style="position:absolute;left:5956;top:3660;width:3843;height:348" coordorigin="5957,3660" coordsize="3843,348" path="m5957,3833l5988,3871,6019,3955,6050,3898,6082,3814,6110,3797,6142,3802,6173,3823,6204,3852,6235,3924,6264,3919,6295,3828,6326,3917,6358,3977,6389,3943,6420,4001,6449,3871,6480,3833,6511,3828,6542,3866,6574,3862,6602,3790,6634,3977,6665,3974,6696,3888,6727,3794,6756,3883,6787,3989,6818,3998,6850,3943,6881,3905,6910,3926,6941,3878,6972,3931,7003,3821,7034,3850,7063,3869,7094,3895,7126,3838,7157,3821,7188,3874,7219,3931,7248,3890,7279,3869,7310,3874,7342,3833,7373,3864,7402,3946,7433,3926,7464,3950,7495,3917,7526,3895,7555,3974,7586,3845,7618,3989,7649,3874,7680,3893,7709,3883,7740,3878,7771,3874,7802,3886,7834,3859,7865,3787,7894,3814,7925,3821,7956,3818,7987,3859,8018,3862,8047,3847,8078,3828,8110,3859,8141,3854,8172,3850,8201,3869,8232,3900,8263,3790,8294,3926,8326,3790,8354,3806,8386,3898,8417,3761,8448,3917,8479,3893,8510,3842,8539,3922,8570,3907,8602,3847,8633,3857,8664,3866,8693,3934,8724,3972,8755,4008,8786,3936,8818,3828,8846,3818,8878,3991,8909,3713,8940,3686,8971,3660,9000,3686,9031,3696,9062,3701,9094,3682,9125,3694,9154,3701,9185,3696,9216,3691,9247,3674,9278,3713,9310,3782,9338,3778,9370,3773,9401,3766,9432,3763,9463,3770,9492,3766,9523,3782,9554,3866,9586,3763,9617,3794,9646,3794,9677,3766,9708,3842,9739,3830,9770,3794,9799,3821e" filled="false" stroked="true" strokeweight="1.44pt" strokecolor="#000000">
              <v:path arrowok="t"/>
              <v:stroke dashstyle="solid"/>
            </v:shape>
            <v:shape style="position:absolute;left:5956;top:3460;width:3843;height:1702" coordorigin="5957,3461" coordsize="3843,1702" path="m5957,4082l5988,4073,6019,4063,6050,3982,6082,4027,6110,4126,6142,4200,6173,4008,6204,4039,6235,3998,6264,3955,6295,3967,6326,3914,6358,3862,6389,3806,6420,3720,6449,3706,6480,3612,6511,3631,6542,3718,6574,3696,6602,3756,6634,3818,6665,3749,6696,3746,6727,3686,6756,3542,6787,3506,6818,3461,6850,3511,6881,3550,6910,3667,6941,3679,6972,3739,7003,3773,7034,3763,7063,3773,7094,3754,7126,3766,7157,3763,7188,3722,7219,3746,7248,3744,7279,3744,7310,3746,7342,3751,7373,3742,7402,3658,7433,3646,7464,3670,7495,3686,7526,3744,7555,3754,7586,3749,7618,3840,7649,3936,7680,3946,7709,3979,7740,3994,7771,3972,7802,3953,7834,4046,7865,4298,7894,4286,7925,4274,7956,4224,7987,4229,8018,4224,8047,4190,8078,4142,8110,4157,8141,4202,8172,4327,8201,4315,8232,3986,8263,3900,8294,3998,8326,4229,8354,4222,8386,4212,8417,4296,8448,4049,8479,3998,8510,4078,8539,3948,8570,3816,8602,3746,8633,3629,8664,3497,8693,3566,8724,3600,8755,3631,8786,3593,8818,3756,8846,3838,8878,3943,8909,4728,8940,5162,8971,5155,9000,5124,9031,5098,9062,5083,9094,5100,9125,5093,9154,5088,9185,5088,9216,5093,9247,5100,9278,4877,9310,4766,9338,4776,9370,4766,9401,4762,9432,4757,9463,4766,9492,4781,9523,4682,9554,3778,9586,3792,9617,3816,9646,3802,9677,3648,9708,3648,9739,3662,9770,3658,9799,3670e" filled="false" stroked="true" strokeweight="1.44pt" strokecolor="#ff0000">
              <v:path arrowok="t"/>
              <v:stroke dashstyle="solid"/>
            </v:shape>
            <v:line style="position:absolute" from="6274,2599" to="6658,2599" stroked="true" strokeweight="1.44pt" strokecolor="#000000">
              <v:stroke dashstyle="solid"/>
            </v:line>
            <v:line style="position:absolute" from="6274,2882" to="6658,2882" stroked="true" strokeweight="1.44pt" strokecolor="#ff0000">
              <v:stroke dashstyle="solid"/>
            </v:line>
            <v:shape style="position:absolute;left:5778;top:6342;width:4351;height:550" type="#_x0000_t202" filled="false" stroked="false">
              <v:textbox inset="0,0,0,0">
                <w:txbxContent>
                  <w:p>
                    <w:pPr>
                      <w:spacing w:line="240" w:lineRule="auto" w:before="0"/>
                      <w:ind w:left="0" w:right="0" w:firstLine="0"/>
                      <w:jc w:val="left"/>
                      <w:rPr>
                        <w:sz w:val="16"/>
                      </w:rPr>
                    </w:pPr>
                    <w:r>
                      <w:rPr>
                        <w:sz w:val="16"/>
                      </w:rPr>
                      <w:t>Weighted loadings on first 3 components; sample includes 5 countries with date from 1980 (Malaysia, Mexico, Philippines, South Africa and Thailand).</w:t>
                    </w:r>
                  </w:p>
                </w:txbxContent>
              </v:textbox>
              <w10:wrap type="none"/>
            </v:shape>
            <v:shape style="position:absolute;left:9981;top:2850;width:410;height:2825" type="#_x0000_t202" filled="false" stroked="false">
              <v:textbox inset="0,0,0,0">
                <w:txbxContent>
                  <w:p>
                    <w:pPr>
                      <w:spacing w:line="223" w:lineRule="exact" w:before="0"/>
                      <w:ind w:left="0" w:right="0" w:firstLine="0"/>
                      <w:jc w:val="left"/>
                      <w:rPr>
                        <w:sz w:val="20"/>
                      </w:rPr>
                    </w:pPr>
                    <w:r>
                      <w:rPr>
                        <w:sz w:val="20"/>
                      </w:rPr>
                      <w:t>0.60</w:t>
                    </w:r>
                  </w:p>
                  <w:p>
                    <w:pPr>
                      <w:spacing w:line="240" w:lineRule="auto" w:before="8"/>
                      <w:rPr>
                        <w:sz w:val="17"/>
                      </w:rPr>
                    </w:pPr>
                  </w:p>
                  <w:p>
                    <w:pPr>
                      <w:spacing w:before="0"/>
                      <w:ind w:left="0" w:right="0" w:firstLine="0"/>
                      <w:jc w:val="left"/>
                      <w:rPr>
                        <w:sz w:val="20"/>
                      </w:rPr>
                    </w:pPr>
                    <w:r>
                      <w:rPr>
                        <w:sz w:val="20"/>
                      </w:rPr>
                      <w:t>0.50</w:t>
                    </w:r>
                  </w:p>
                  <w:p>
                    <w:pPr>
                      <w:spacing w:line="240" w:lineRule="auto" w:before="8"/>
                      <w:rPr>
                        <w:sz w:val="17"/>
                      </w:rPr>
                    </w:pPr>
                  </w:p>
                  <w:p>
                    <w:pPr>
                      <w:spacing w:before="0"/>
                      <w:ind w:left="0" w:right="0" w:firstLine="0"/>
                      <w:jc w:val="left"/>
                      <w:rPr>
                        <w:sz w:val="20"/>
                      </w:rPr>
                    </w:pPr>
                    <w:r>
                      <w:rPr>
                        <w:sz w:val="20"/>
                      </w:rPr>
                      <w:t>0.40</w:t>
                    </w:r>
                  </w:p>
                  <w:p>
                    <w:pPr>
                      <w:spacing w:line="240" w:lineRule="auto" w:before="8"/>
                      <w:rPr>
                        <w:sz w:val="17"/>
                      </w:rPr>
                    </w:pPr>
                  </w:p>
                  <w:p>
                    <w:pPr>
                      <w:spacing w:before="1"/>
                      <w:ind w:left="0" w:right="0" w:firstLine="0"/>
                      <w:jc w:val="left"/>
                      <w:rPr>
                        <w:sz w:val="20"/>
                      </w:rPr>
                    </w:pPr>
                    <w:r>
                      <w:rPr>
                        <w:sz w:val="20"/>
                      </w:rPr>
                      <w:t>0.30</w:t>
                    </w:r>
                  </w:p>
                  <w:p>
                    <w:pPr>
                      <w:spacing w:line="240" w:lineRule="auto" w:before="7"/>
                      <w:rPr>
                        <w:sz w:val="17"/>
                      </w:rPr>
                    </w:pPr>
                  </w:p>
                  <w:p>
                    <w:pPr>
                      <w:spacing w:before="1"/>
                      <w:ind w:left="0" w:right="0" w:firstLine="0"/>
                      <w:jc w:val="left"/>
                      <w:rPr>
                        <w:sz w:val="20"/>
                      </w:rPr>
                    </w:pPr>
                    <w:r>
                      <w:rPr>
                        <w:sz w:val="20"/>
                      </w:rPr>
                      <w:t>0.20</w:t>
                    </w:r>
                  </w:p>
                  <w:p>
                    <w:pPr>
                      <w:spacing w:line="240" w:lineRule="auto" w:before="8"/>
                      <w:rPr>
                        <w:sz w:val="17"/>
                      </w:rPr>
                    </w:pPr>
                  </w:p>
                  <w:p>
                    <w:pPr>
                      <w:spacing w:before="0"/>
                      <w:ind w:left="0" w:right="0" w:firstLine="0"/>
                      <w:jc w:val="left"/>
                      <w:rPr>
                        <w:sz w:val="20"/>
                      </w:rPr>
                    </w:pPr>
                    <w:r>
                      <w:rPr>
                        <w:sz w:val="20"/>
                      </w:rPr>
                      <w:t>0.10</w:t>
                    </w:r>
                  </w:p>
                  <w:p>
                    <w:pPr>
                      <w:spacing w:line="240" w:lineRule="auto" w:before="8"/>
                      <w:rPr>
                        <w:sz w:val="17"/>
                      </w:rPr>
                    </w:pPr>
                  </w:p>
                  <w:p>
                    <w:pPr>
                      <w:spacing w:before="0"/>
                      <w:ind w:left="0" w:right="0" w:firstLine="0"/>
                      <w:jc w:val="left"/>
                      <w:rPr>
                        <w:sz w:val="20"/>
                      </w:rPr>
                    </w:pPr>
                    <w:r>
                      <w:rPr>
                        <w:sz w:val="20"/>
                      </w:rPr>
                      <w:t>0.00</w:t>
                    </w:r>
                  </w:p>
                </w:txbxContent>
              </v:textbox>
              <w10:wrap type="none"/>
            </v:shape>
            <v:shape style="position:absolute;left:6700;top:2480;width:1443;height:506" type="#_x0000_t202" filled="false" stroked="false">
              <v:textbox inset="0,0,0,0">
                <w:txbxContent>
                  <w:p>
                    <w:pPr>
                      <w:spacing w:line="223" w:lineRule="exact" w:before="0"/>
                      <w:ind w:left="0" w:right="0" w:firstLine="0"/>
                      <w:jc w:val="left"/>
                      <w:rPr>
                        <w:sz w:val="20"/>
                      </w:rPr>
                    </w:pPr>
                    <w:r>
                      <w:rPr>
                        <w:sz w:val="20"/>
                      </w:rPr>
                      <w:t>Avg abs loading</w:t>
                    </w:r>
                  </w:p>
                  <w:p>
                    <w:pPr>
                      <w:spacing w:before="53"/>
                      <w:ind w:left="0" w:right="0" w:firstLine="0"/>
                      <w:jc w:val="left"/>
                      <w:rPr>
                        <w:sz w:val="20"/>
                      </w:rPr>
                    </w:pPr>
                    <w:r>
                      <w:rPr>
                        <w:sz w:val="20"/>
                      </w:rPr>
                      <w:t>Stdev loading</w:t>
                    </w:r>
                  </w:p>
                </w:txbxContent>
              </v:textbox>
              <w10:wrap type="none"/>
            </v:shape>
            <v:shape style="position:absolute;left:1133;top:6345;width:4200;height:547" type="#_x0000_t202" filled="false" stroked="false">
              <v:textbox inset="0,0,0,0">
                <w:txbxContent>
                  <w:p>
                    <w:pPr>
                      <w:spacing w:line="240" w:lineRule="auto" w:before="0"/>
                      <w:ind w:left="0" w:right="-1" w:firstLine="0"/>
                      <w:jc w:val="left"/>
                      <w:rPr>
                        <w:sz w:val="16"/>
                      </w:rPr>
                    </w:pPr>
                    <w:r>
                      <w:rPr>
                        <w:sz w:val="16"/>
                      </w:rPr>
                      <w:t>Weighted loadings on first 1 component; sample includes 5 countries with data from 1980 (Argentina, Chile, India, Malaysia and Thailand).</w:t>
                    </w:r>
                  </w:p>
                </w:txbxContent>
              </v:textbox>
              <w10:wrap type="none"/>
            </v:shape>
            <v:shape style="position:absolute;left:4984;top:2851;width:410;height:2805" type="#_x0000_t202" filled="false" stroked="false">
              <v:textbox inset="0,0,0,0">
                <w:txbxContent>
                  <w:p>
                    <w:pPr>
                      <w:spacing w:line="223" w:lineRule="exact" w:before="0"/>
                      <w:ind w:left="0" w:right="0" w:firstLine="0"/>
                      <w:jc w:val="left"/>
                      <w:rPr>
                        <w:sz w:val="20"/>
                      </w:rPr>
                    </w:pPr>
                    <w:r>
                      <w:rPr>
                        <w:sz w:val="20"/>
                      </w:rPr>
                      <w:t>0.60</w:t>
                    </w:r>
                  </w:p>
                  <w:p>
                    <w:pPr>
                      <w:spacing w:line="240" w:lineRule="auto" w:before="4"/>
                      <w:rPr>
                        <w:sz w:val="17"/>
                      </w:rPr>
                    </w:pPr>
                  </w:p>
                  <w:p>
                    <w:pPr>
                      <w:spacing w:before="0"/>
                      <w:ind w:left="0" w:right="0" w:firstLine="0"/>
                      <w:jc w:val="left"/>
                      <w:rPr>
                        <w:sz w:val="20"/>
                      </w:rPr>
                    </w:pPr>
                    <w:r>
                      <w:rPr>
                        <w:sz w:val="20"/>
                      </w:rPr>
                      <w:t>0.50</w:t>
                    </w:r>
                  </w:p>
                  <w:p>
                    <w:pPr>
                      <w:spacing w:line="240" w:lineRule="auto" w:before="5"/>
                      <w:rPr>
                        <w:sz w:val="17"/>
                      </w:rPr>
                    </w:pPr>
                  </w:p>
                  <w:p>
                    <w:pPr>
                      <w:spacing w:before="1"/>
                      <w:ind w:left="0" w:right="0" w:firstLine="0"/>
                      <w:jc w:val="left"/>
                      <w:rPr>
                        <w:sz w:val="20"/>
                      </w:rPr>
                    </w:pPr>
                    <w:r>
                      <w:rPr>
                        <w:sz w:val="20"/>
                      </w:rPr>
                      <w:t>0.40</w:t>
                    </w:r>
                  </w:p>
                  <w:p>
                    <w:pPr>
                      <w:spacing w:line="240" w:lineRule="auto" w:before="4"/>
                      <w:rPr>
                        <w:sz w:val="17"/>
                      </w:rPr>
                    </w:pPr>
                  </w:p>
                  <w:p>
                    <w:pPr>
                      <w:spacing w:before="1"/>
                      <w:ind w:left="0" w:right="0" w:firstLine="0"/>
                      <w:jc w:val="left"/>
                      <w:rPr>
                        <w:sz w:val="20"/>
                      </w:rPr>
                    </w:pPr>
                    <w:r>
                      <w:rPr>
                        <w:sz w:val="20"/>
                      </w:rPr>
                      <w:t>0.30</w:t>
                    </w:r>
                  </w:p>
                  <w:p>
                    <w:pPr>
                      <w:spacing w:line="240" w:lineRule="auto" w:before="4"/>
                      <w:rPr>
                        <w:sz w:val="17"/>
                      </w:rPr>
                    </w:pPr>
                  </w:p>
                  <w:p>
                    <w:pPr>
                      <w:spacing w:before="0"/>
                      <w:ind w:left="0" w:right="0" w:firstLine="0"/>
                      <w:jc w:val="left"/>
                      <w:rPr>
                        <w:sz w:val="20"/>
                      </w:rPr>
                    </w:pPr>
                    <w:r>
                      <w:rPr>
                        <w:sz w:val="20"/>
                      </w:rPr>
                      <w:t>0.20</w:t>
                    </w:r>
                  </w:p>
                  <w:p>
                    <w:pPr>
                      <w:spacing w:line="240" w:lineRule="auto" w:before="5"/>
                      <w:rPr>
                        <w:sz w:val="17"/>
                      </w:rPr>
                    </w:pPr>
                  </w:p>
                  <w:p>
                    <w:pPr>
                      <w:spacing w:before="0"/>
                      <w:ind w:left="0" w:right="0" w:firstLine="0"/>
                      <w:jc w:val="left"/>
                      <w:rPr>
                        <w:sz w:val="20"/>
                      </w:rPr>
                    </w:pPr>
                    <w:r>
                      <w:rPr>
                        <w:sz w:val="20"/>
                      </w:rPr>
                      <w:t>0.10</w:t>
                    </w:r>
                  </w:p>
                  <w:p>
                    <w:pPr>
                      <w:spacing w:line="240" w:lineRule="auto" w:before="5"/>
                      <w:rPr>
                        <w:sz w:val="17"/>
                      </w:rPr>
                    </w:pPr>
                  </w:p>
                  <w:p>
                    <w:pPr>
                      <w:spacing w:before="0"/>
                      <w:ind w:left="0" w:right="0" w:firstLine="0"/>
                      <w:jc w:val="left"/>
                      <w:rPr>
                        <w:sz w:val="20"/>
                      </w:rPr>
                    </w:pPr>
                    <w:r>
                      <w:rPr>
                        <w:sz w:val="20"/>
                      </w:rPr>
                      <w:t>0.00</w:t>
                    </w:r>
                  </w:p>
                </w:txbxContent>
              </v:textbox>
              <w10:wrap type="none"/>
            </v:shape>
            <v:shape style="position:absolute;left:1928;top:2489;width:1443;height:525" type="#_x0000_t202" filled="false" stroked="false">
              <v:textbox inset="0,0,0,0">
                <w:txbxContent>
                  <w:p>
                    <w:pPr>
                      <w:spacing w:line="223" w:lineRule="exact" w:before="0"/>
                      <w:ind w:left="0" w:right="0" w:firstLine="0"/>
                      <w:jc w:val="left"/>
                      <w:rPr>
                        <w:sz w:val="20"/>
                      </w:rPr>
                    </w:pPr>
                    <w:r>
                      <w:rPr>
                        <w:sz w:val="20"/>
                      </w:rPr>
                      <w:t>Avg abs loading</w:t>
                    </w:r>
                  </w:p>
                  <w:p>
                    <w:pPr>
                      <w:spacing w:before="72"/>
                      <w:ind w:left="0" w:right="0" w:firstLine="0"/>
                      <w:jc w:val="left"/>
                      <w:rPr>
                        <w:sz w:val="20"/>
                      </w:rPr>
                    </w:pPr>
                    <w:r>
                      <w:rPr>
                        <w:sz w:val="20"/>
                      </w:rPr>
                      <w:t>Stdev loading</w:t>
                    </w:r>
                  </w:p>
                </w:txbxContent>
              </v:textbox>
              <w10:wrap type="none"/>
            </v:shape>
            <v:shape style="position:absolute;left:5670;top:1963;width:4789;height:264" type="#_x0000_t202" filled="false" stroked="true" strokeweight=".47998pt" strokecolor="#000000">
              <v:textbox inset="0,0,0,0">
                <w:txbxContent>
                  <w:p>
                    <w:pPr>
                      <w:tabs>
                        <w:tab w:pos="823" w:val="left" w:leader="none"/>
                      </w:tabs>
                      <w:spacing w:line="251" w:lineRule="exact" w:before="0"/>
                      <w:ind w:left="463" w:right="0" w:firstLine="0"/>
                      <w:jc w:val="left"/>
                      <w:rPr>
                        <w:sz w:val="22"/>
                      </w:rPr>
                    </w:pPr>
                    <w:r>
                      <w:rPr>
                        <w:sz w:val="22"/>
                      </w:rPr>
                      <w:t>f.</w:t>
                      <w:tab/>
                      <w:t>GDP, Emerging</w:t>
                    </w:r>
                    <w:r>
                      <w:rPr>
                        <w:spacing w:val="1"/>
                        <w:sz w:val="22"/>
                      </w:rPr>
                      <w:t> </w:t>
                    </w:r>
                    <w:r>
                      <w:rPr>
                        <w:sz w:val="22"/>
                      </w:rPr>
                      <w:t>markets</w:t>
                    </w:r>
                  </w:p>
                </w:txbxContent>
              </v:textbox>
              <v:stroke dashstyle="solid"/>
              <w10:wrap type="none"/>
            </v:shape>
            <v:shape style="position:absolute;left:1024;top:1963;width:4646;height:264" type="#_x0000_t202" filled="false" stroked="true" strokeweight=".48001pt" strokecolor="#000000">
              <v:textbox inset="0,0,0,0">
                <w:txbxContent>
                  <w:p>
                    <w:pPr>
                      <w:spacing w:line="251" w:lineRule="exact" w:before="0"/>
                      <w:ind w:left="463" w:right="0" w:firstLine="0"/>
                      <w:jc w:val="left"/>
                      <w:rPr>
                        <w:sz w:val="22"/>
                      </w:rPr>
                    </w:pPr>
                    <w:r>
                      <w:rPr>
                        <w:sz w:val="22"/>
                      </w:rPr>
                      <w:t>e. Equities, Emerging markets</w:t>
                    </w:r>
                  </w:p>
                </w:txbxContent>
              </v:textbox>
              <v:stroke dashstyle="solid"/>
              <w10:wrap type="none"/>
            </v:shape>
            <w10:wrap type="none"/>
          </v:group>
        </w:pict>
      </w:r>
      <w:r>
        <w:rPr/>
        <w:pict>
          <v:shape style="position:absolute;margin-left:56.727478pt;margin-top:282.639221pt;width:183.95pt;height:24.25pt;mso-position-horizontal-relative:page;mso-position-vertical-relative:page;z-index:251939840" type="#_x0000_t202" filled="false" stroked="false">
            <v:textbox inset="0,0,0,0" style="layout-flow:vertical;mso-layout-flow-alt:bottom-to-top">
              <w:txbxContent>
                <w:p>
                  <w:pPr>
                    <w:pStyle w:val="BodyText"/>
                    <w:spacing w:line="229" w:lineRule="exact" w:before="12"/>
                    <w:ind w:left="20"/>
                  </w:pPr>
                  <w:r>
                    <w:rPr/>
                    <w:t>1985</w:t>
                  </w:r>
                </w:p>
                <w:p>
                  <w:pPr>
                    <w:pStyle w:val="BodyText"/>
                    <w:spacing w:line="228" w:lineRule="exact"/>
                    <w:ind w:left="20"/>
                  </w:pPr>
                  <w:r>
                    <w:rPr/>
                    <w:t>1987</w:t>
                  </w:r>
                </w:p>
                <w:p>
                  <w:pPr>
                    <w:pStyle w:val="BodyText"/>
                    <w:spacing w:line="228" w:lineRule="exact"/>
                    <w:ind w:left="20"/>
                  </w:pPr>
                  <w:r>
                    <w:rPr/>
                    <w:t>1989</w:t>
                  </w:r>
                </w:p>
                <w:p>
                  <w:pPr>
                    <w:pStyle w:val="BodyText"/>
                    <w:spacing w:line="228" w:lineRule="exact"/>
                    <w:ind w:left="20"/>
                  </w:pPr>
                  <w:r>
                    <w:rPr/>
                    <w:t>1991</w:t>
                  </w:r>
                </w:p>
                <w:p>
                  <w:pPr>
                    <w:pStyle w:val="BodyText"/>
                    <w:spacing w:line="228" w:lineRule="exact"/>
                    <w:ind w:left="20"/>
                  </w:pPr>
                  <w:r>
                    <w:rPr/>
                    <w:t>1993</w:t>
                  </w:r>
                </w:p>
                <w:p>
                  <w:pPr>
                    <w:pStyle w:val="BodyText"/>
                    <w:spacing w:line="228" w:lineRule="exact"/>
                    <w:ind w:left="20"/>
                  </w:pPr>
                  <w:r>
                    <w:rPr/>
                    <w:t>1995</w:t>
                  </w:r>
                </w:p>
                <w:p>
                  <w:pPr>
                    <w:pStyle w:val="BodyText"/>
                    <w:spacing w:line="228" w:lineRule="exact"/>
                    <w:ind w:left="20"/>
                  </w:pPr>
                  <w:r>
                    <w:rPr/>
                    <w:t>1997</w:t>
                  </w:r>
                </w:p>
                <w:p>
                  <w:pPr>
                    <w:pStyle w:val="BodyText"/>
                    <w:spacing w:line="228" w:lineRule="exact"/>
                    <w:ind w:left="20"/>
                  </w:pPr>
                  <w:r>
                    <w:rPr/>
                    <w:t>1999</w:t>
                  </w:r>
                </w:p>
                <w:p>
                  <w:pPr>
                    <w:pStyle w:val="BodyText"/>
                    <w:spacing w:line="228" w:lineRule="exact"/>
                    <w:ind w:left="20"/>
                  </w:pPr>
                  <w:r>
                    <w:rPr/>
                    <w:t>2001</w:t>
                  </w:r>
                </w:p>
                <w:p>
                  <w:pPr>
                    <w:pStyle w:val="BodyText"/>
                    <w:spacing w:line="228" w:lineRule="exact"/>
                    <w:ind w:left="20"/>
                  </w:pPr>
                  <w:r>
                    <w:rPr/>
                    <w:t>2003</w:t>
                  </w:r>
                </w:p>
                <w:p>
                  <w:pPr>
                    <w:pStyle w:val="BodyText"/>
                    <w:spacing w:line="228" w:lineRule="exact"/>
                    <w:ind w:left="20"/>
                  </w:pPr>
                  <w:r>
                    <w:rPr/>
                    <w:t>2005</w:t>
                  </w:r>
                </w:p>
                <w:p>
                  <w:pPr>
                    <w:pStyle w:val="BodyText"/>
                    <w:spacing w:line="228" w:lineRule="exact"/>
                    <w:ind w:left="20"/>
                  </w:pPr>
                  <w:r>
                    <w:rPr/>
                    <w:t>2007</w:t>
                  </w:r>
                </w:p>
                <w:p>
                  <w:pPr>
                    <w:pStyle w:val="BodyText"/>
                    <w:spacing w:line="228" w:lineRule="exact"/>
                    <w:ind w:left="20"/>
                  </w:pPr>
                  <w:r>
                    <w:rPr/>
                    <w:t>2009</w:t>
                  </w:r>
                </w:p>
                <w:p>
                  <w:pPr>
                    <w:pStyle w:val="BodyText"/>
                    <w:spacing w:line="228" w:lineRule="exact"/>
                    <w:ind w:left="20"/>
                  </w:pPr>
                  <w:r>
                    <w:rPr/>
                    <w:t>2011</w:t>
                  </w:r>
                </w:p>
                <w:p>
                  <w:pPr>
                    <w:pStyle w:val="BodyText"/>
                    <w:spacing w:line="228" w:lineRule="exact"/>
                    <w:ind w:left="20"/>
                  </w:pPr>
                  <w:r>
                    <w:rPr/>
                    <w:t>2013</w:t>
                  </w:r>
                </w:p>
                <w:p>
                  <w:pPr>
                    <w:pStyle w:val="BodyText"/>
                    <w:spacing w:line="229" w:lineRule="exact"/>
                    <w:ind w:left="20"/>
                  </w:pPr>
                  <w:r>
                    <w:rPr/>
                    <w:t>2015</w:t>
                  </w:r>
                </w:p>
              </w:txbxContent>
            </v:textbox>
            <w10:wrap type="none"/>
          </v:shape>
        </w:pict>
      </w:r>
      <w:r>
        <w:rPr/>
        <w:pict>
          <v:shape style="position:absolute;margin-left:291.403473pt;margin-top:283.619232pt;width:197.65pt;height:24.25pt;mso-position-horizontal-relative:page;mso-position-vertical-relative:page;z-index:251940864" type="#_x0000_t202" filled="false" stroked="false">
            <v:textbox inset="0,0,0,0" style="layout-flow:vertical;mso-layout-flow-alt:bottom-to-top">
              <w:txbxContent>
                <w:p>
                  <w:pPr>
                    <w:pStyle w:val="BodyText"/>
                    <w:spacing w:before="12"/>
                    <w:ind w:left="20"/>
                  </w:pPr>
                  <w:r>
                    <w:rPr/>
                    <w:t>1984</w:t>
                  </w:r>
                </w:p>
                <w:p>
                  <w:pPr>
                    <w:pStyle w:val="BodyText"/>
                    <w:spacing w:before="17"/>
                    <w:ind w:left="20"/>
                  </w:pPr>
                  <w:r>
                    <w:rPr/>
                    <w:t>1986</w:t>
                  </w:r>
                </w:p>
                <w:p>
                  <w:pPr>
                    <w:pStyle w:val="BodyText"/>
                    <w:spacing w:before="15"/>
                    <w:ind w:left="20"/>
                  </w:pPr>
                  <w:r>
                    <w:rPr/>
                    <w:t>1988</w:t>
                  </w:r>
                </w:p>
                <w:p>
                  <w:pPr>
                    <w:pStyle w:val="BodyText"/>
                    <w:spacing w:before="17"/>
                    <w:ind w:left="20"/>
                  </w:pPr>
                  <w:r>
                    <w:rPr/>
                    <w:t>1990</w:t>
                  </w:r>
                </w:p>
                <w:p>
                  <w:pPr>
                    <w:pStyle w:val="BodyText"/>
                    <w:spacing w:before="16"/>
                    <w:ind w:left="20"/>
                  </w:pPr>
                  <w:r>
                    <w:rPr/>
                    <w:t>1992</w:t>
                  </w:r>
                </w:p>
                <w:p>
                  <w:pPr>
                    <w:pStyle w:val="BodyText"/>
                    <w:spacing w:before="16"/>
                    <w:ind w:left="20"/>
                  </w:pPr>
                  <w:r>
                    <w:rPr/>
                    <w:t>1994</w:t>
                  </w:r>
                </w:p>
                <w:p>
                  <w:pPr>
                    <w:pStyle w:val="BodyText"/>
                    <w:spacing w:before="16"/>
                    <w:ind w:left="20"/>
                  </w:pPr>
                  <w:r>
                    <w:rPr/>
                    <w:t>1996</w:t>
                  </w:r>
                </w:p>
                <w:p>
                  <w:pPr>
                    <w:pStyle w:val="BodyText"/>
                    <w:spacing w:before="15"/>
                    <w:ind w:left="20"/>
                  </w:pPr>
                  <w:r>
                    <w:rPr/>
                    <w:t>1998</w:t>
                  </w:r>
                </w:p>
                <w:p>
                  <w:pPr>
                    <w:pStyle w:val="BodyText"/>
                    <w:spacing w:before="17"/>
                    <w:ind w:left="20"/>
                  </w:pPr>
                  <w:r>
                    <w:rPr/>
                    <w:t>2000</w:t>
                  </w:r>
                </w:p>
                <w:p>
                  <w:pPr>
                    <w:pStyle w:val="BodyText"/>
                    <w:spacing w:before="15"/>
                    <w:ind w:left="20"/>
                  </w:pPr>
                  <w:r>
                    <w:rPr/>
                    <w:t>2002</w:t>
                  </w:r>
                </w:p>
                <w:p>
                  <w:pPr>
                    <w:pStyle w:val="BodyText"/>
                    <w:spacing w:before="17"/>
                    <w:ind w:left="20"/>
                  </w:pPr>
                  <w:r>
                    <w:rPr/>
                    <w:t>2004</w:t>
                  </w:r>
                </w:p>
                <w:p>
                  <w:pPr>
                    <w:pStyle w:val="BodyText"/>
                    <w:spacing w:before="15"/>
                    <w:ind w:left="20"/>
                  </w:pPr>
                  <w:r>
                    <w:rPr/>
                    <w:t>2006</w:t>
                  </w:r>
                </w:p>
                <w:p>
                  <w:pPr>
                    <w:pStyle w:val="BodyText"/>
                    <w:spacing w:before="17"/>
                    <w:ind w:left="20"/>
                  </w:pPr>
                  <w:r>
                    <w:rPr/>
                    <w:t>2008</w:t>
                  </w:r>
                </w:p>
                <w:p>
                  <w:pPr>
                    <w:pStyle w:val="BodyText"/>
                    <w:spacing w:before="15"/>
                    <w:ind w:left="20"/>
                  </w:pPr>
                  <w:r>
                    <w:rPr/>
                    <w:t>2010</w:t>
                  </w:r>
                </w:p>
                <w:p>
                  <w:pPr>
                    <w:pStyle w:val="BodyText"/>
                    <w:spacing w:before="17"/>
                    <w:ind w:left="20"/>
                  </w:pPr>
                  <w:r>
                    <w:rPr/>
                    <w:t>2012</w:t>
                  </w:r>
                </w:p>
                <w:p>
                  <w:pPr>
                    <w:pStyle w:val="BodyText"/>
                    <w:spacing w:before="15"/>
                    <w:ind w:left="20"/>
                  </w:pPr>
                  <w:r>
                    <w:rPr/>
                    <w:t>2014</w:t>
                  </w:r>
                </w:p>
              </w:txbxContent>
            </v:textbox>
            <w10:wrap type="none"/>
          </v:shape>
        </w:pict>
      </w:r>
    </w:p>
    <w:sectPr>
      <w:pgSz w:w="11910" w:h="16840"/>
      <w:pgMar w:header="0" w:footer="1676" w:top="1580" w:bottom="1860" w:left="8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74688"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5.440002pt;margin-top:743.306946pt;width:2.550pt;height:3.1pt;mso-position-horizontal-relative:page;mso-position-vertical-relative:page;z-index:-255473664" type="#_x0000_t202" filled="false" stroked="false">
          <v:textbox inset="0,0,0,0">
            <w:txbxContent>
              <w:p>
                <w:pPr>
                  <w:pStyle w:val="BodyText"/>
                  <w:rPr>
                    <w:rFonts w:ascii="Times New Roman"/>
                    <w:sz w:val="2"/>
                  </w:rPr>
                </w:pPr>
              </w:p>
              <w:p>
                <w:pPr>
                  <w:spacing w:before="0"/>
                  <w:ind w:left="0" w:right="0" w:firstLine="0"/>
                  <w:jc w:val="center"/>
                  <w:rPr>
                    <w:sz w:val="2"/>
                  </w:rPr>
                </w:pPr>
                <w:r>
                  <w:rPr>
                    <w:w w:val="95"/>
                    <w:sz w:val="2"/>
                  </w:rPr>
                  <w:t>1</w:t>
                </w:r>
              </w:p>
            </w:txbxContent>
          </v:textbox>
          <w10:wrap type="none"/>
        </v:shape>
      </w:pict>
    </w:r>
    <w:r>
      <w:rPr/>
      <w:pict>
        <v:shape style="position:absolute;margin-left:43.400002pt;margin-top:755.079468pt;width:467.15pt;height:13.15pt;mso-position-horizontal-relative:page;mso-position-vertical-relative:page;z-index:-25547264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38848"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3782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400002pt;margin-top:755.079468pt;width:466.9pt;height:13.15pt;mso-position-horizontal-relative:page;mso-position-vertical-relative:page;z-index:-25543680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35776" type="#_x0000_t202" filled="false" stroked="false">
          <v:textbox inset="0,0,0,0">
            <w:txbxContent>
              <w:p>
                <w:pPr>
                  <w:pStyle w:val="BodyText"/>
                  <w:spacing w:before="12"/>
                  <w:ind w:left="20"/>
                </w:pPr>
                <w:r>
                  <w:rPr/>
                  <w:t>15</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34752"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3372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400002pt;margin-top:755.079468pt;width:466.9pt;height:13.15pt;mso-position-horizontal-relative:page;mso-position-vertical-relative:page;z-index:-25543270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31680" type="#_x0000_t202" filled="false" stroked="false">
          <v:textbox inset="0,0,0,0">
            <w:txbxContent>
              <w:p>
                <w:pPr>
                  <w:pStyle w:val="BodyText"/>
                  <w:spacing w:before="12"/>
                  <w:ind w:left="20"/>
                </w:pPr>
                <w:r>
                  <w:rPr/>
                  <w:t>16</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30656"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2963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43.400002pt;margin-top:755.079468pt;width:466.9pt;height:13.15pt;mso-position-horizontal-relative:page;mso-position-vertical-relative:page;z-index:-25542860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27584" type="#_x0000_t202" filled="false" stroked="false">
          <v:textbox inset="0,0,0,0">
            <w:txbxContent>
              <w:p>
                <w:pPr>
                  <w:pStyle w:val="BodyText"/>
                  <w:spacing w:before="12"/>
                  <w:ind w:left="20"/>
                </w:pPr>
                <w:r>
                  <w:rPr/>
                  <w:t>17</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26560"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2553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400002pt;margin-top:755.079468pt;width:466.9pt;height:13.15pt;mso-position-horizontal-relative:page;mso-position-vertical-relative:page;z-index:-25542451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23488" type="#_x0000_t202" filled="false" stroked="false">
          <v:textbox inset="0,0,0,0">
            <w:txbxContent>
              <w:p>
                <w:pPr>
                  <w:pStyle w:val="BodyText"/>
                  <w:spacing w:before="12"/>
                  <w:ind w:left="20"/>
                </w:pPr>
                <w:r>
                  <w:rPr/>
                  <w:t>18</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22464"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2144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400002pt;margin-top:755.079468pt;width:466.9pt;height:13.15pt;mso-position-horizontal-relative:page;mso-position-vertical-relative:page;z-index:-25542041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19392" type="#_x0000_t202" filled="false" stroked="false">
          <v:textbox inset="0,0,0,0">
            <w:txbxContent>
              <w:p>
                <w:pPr>
                  <w:pStyle w:val="BodyText"/>
                  <w:spacing w:before="12"/>
                  <w:ind w:left="20"/>
                </w:pPr>
                <w:r>
                  <w:rPr/>
                  <w:t>19</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18368"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17344"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400002pt;margin-top:755.079468pt;width:466.9pt;height:13.15pt;mso-position-horizontal-relative:page;mso-position-vertical-relative:page;z-index:-25541632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15296" type="#_x0000_t202" filled="false" stroked="false">
          <v:textbox inset="0,0,0,0">
            <w:txbxContent>
              <w:p>
                <w:pPr>
                  <w:pStyle w:val="BodyText"/>
                  <w:spacing w:before="12"/>
                  <w:ind w:left="20"/>
                </w:pPr>
                <w:r>
                  <w:rPr/>
                  <w:t>20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71616"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5.440002pt;margin-top:743.306946pt;width:2.550pt;height:3.1pt;mso-position-horizontal-relative:page;mso-position-vertical-relative:page;z-index:-255470592" type="#_x0000_t202" filled="false" stroked="false">
          <v:textbox inset="0,0,0,0">
            <w:txbxContent>
              <w:p>
                <w:pPr>
                  <w:pStyle w:val="BodyText"/>
                  <w:rPr>
                    <w:sz w:val="2"/>
                  </w:rPr>
                </w:pPr>
              </w:p>
              <w:p>
                <w:pPr>
                  <w:spacing w:before="0"/>
                  <w:ind w:left="0" w:right="0" w:firstLine="0"/>
                  <w:jc w:val="center"/>
                  <w:rPr>
                    <w:sz w:val="2"/>
                  </w:rPr>
                </w:pPr>
                <w:r>
                  <w:rPr>
                    <w:w w:val="95"/>
                    <w:sz w:val="2"/>
                  </w:rPr>
                  <w:t>2</w:t>
                </w:r>
              </w:p>
            </w:txbxContent>
          </v:textbox>
          <w10:wrap type="none"/>
        </v:shape>
      </w:pict>
    </w:r>
    <w:r>
      <w:rPr/>
      <w:pict>
        <v:shape style="position:absolute;margin-left:43.400002pt;margin-top:755.079468pt;width:466.9pt;height:13.15pt;mso-position-horizontal-relative:page;mso-position-vertical-relative:page;z-index:-25546956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56.159485pt;width:7.55pt;height:13.15pt;mso-position-horizontal-relative:page;mso-position-vertical-relative:page;z-index:-255468544"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67520"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5.440002pt;margin-top:743.306946pt;width:2.550pt;height:3.1pt;mso-position-horizontal-relative:page;mso-position-vertical-relative:page;z-index:-255466496" type="#_x0000_t202" filled="false" stroked="false">
          <v:textbox inset="0,0,0,0">
            <w:txbxContent>
              <w:p>
                <w:pPr>
                  <w:pStyle w:val="BodyText"/>
                  <w:rPr>
                    <w:sz w:val="2"/>
                  </w:rPr>
                </w:pPr>
              </w:p>
              <w:p>
                <w:pPr>
                  <w:spacing w:before="0"/>
                  <w:ind w:left="0" w:right="0" w:firstLine="0"/>
                  <w:jc w:val="center"/>
                  <w:rPr>
                    <w:sz w:val="2"/>
                  </w:rPr>
                </w:pPr>
                <w:r>
                  <w:rPr>
                    <w:w w:val="95"/>
                    <w:sz w:val="2"/>
                  </w:rPr>
                  <w:t>3</w:t>
                </w:r>
              </w:p>
            </w:txbxContent>
          </v:textbox>
          <w10:wrap type="none"/>
        </v:shape>
      </w:pict>
    </w:r>
    <w:r>
      <w:rPr/>
      <w:pict>
        <v:shape style="position:absolute;margin-left:43.400002pt;margin-top:755.079468pt;width:466.9pt;height:13.15pt;mso-position-horizontal-relative:page;mso-position-vertical-relative:page;z-index:-25546547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56.159485pt;width:7.55pt;height:13.15pt;mso-position-horizontal-relative:page;mso-position-vertical-relative:page;z-index:-255464448" type="#_x0000_t202" filled="false" stroked="false">
          <v:textbox inset="0,0,0,0">
            <w:txbxContent>
              <w:p>
                <w:pPr>
                  <w:pStyle w:val="BodyText"/>
                  <w:spacing w:before="12"/>
                  <w:ind w:left="20"/>
                </w:pPr>
                <w:r>
                  <w:rPr>
                    <w:w w:val="99"/>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63424"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6.55pt;height:3.1pt;mso-position-horizontal-relative:page;mso-position-vertical-relative:page;z-index:-25546240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4</w:t>
                </w:r>
                <w:r>
                  <w:rPr/>
                  <w:fldChar w:fldCharType="end"/>
                </w:r>
              </w:p>
            </w:txbxContent>
          </v:textbox>
          <w10:wrap type="none"/>
        </v:shape>
      </w:pict>
    </w:r>
    <w:r>
      <w:rPr/>
      <w:pict>
        <v:shape style="position:absolute;margin-left:43.400002pt;margin-top:755.079468pt;width:466.9pt;height:13.15pt;mso-position-horizontal-relative:page;mso-position-vertical-relative:page;z-index:-25546137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56.159485pt;width:7.55pt;height:13.15pt;mso-position-horizontal-relative:page;mso-position-vertical-relative:page;z-index:-255460352" type="#_x0000_t202" filled="false" stroked="false">
          <v:textbox inset="0,0,0,0">
            <w:txbxContent>
              <w:p>
                <w:pPr>
                  <w:pStyle w:val="BodyText"/>
                  <w:spacing w:before="12"/>
                  <w:ind w:left="20"/>
                </w:pPr>
                <w:r>
                  <w:rPr>
                    <w:w w:val="99"/>
                  </w:rPr>
                  <w:t>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59328"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6.55pt;height:3.1pt;mso-position-horizontal-relative:page;mso-position-vertical-relative:page;z-index:-25545830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5</w:t>
                </w:r>
                <w:r>
                  <w:rPr/>
                  <w:fldChar w:fldCharType="end"/>
                </w:r>
              </w:p>
            </w:txbxContent>
          </v:textbox>
          <w10:wrap type="none"/>
        </v:shape>
      </w:pict>
    </w:r>
    <w:r>
      <w:rPr/>
      <w:pict>
        <v:shape style="position:absolute;margin-left:43.400002pt;margin-top:755.079468pt;width:466.9pt;height:13.15pt;mso-position-horizontal-relative:page;mso-position-vertical-relative:page;z-index:-255457280"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44.520020pt;margin-top:756.159485pt;width:7.55pt;height:13.15pt;mso-position-horizontal-relative:page;mso-position-vertical-relative:page;z-index:-255456256" type="#_x0000_t202" filled="false" stroked="false">
          <v:textbox inset="0,0,0,0">
            <w:txbxContent>
              <w:p>
                <w:pPr>
                  <w:pStyle w:val="BodyText"/>
                  <w:spacing w:before="12"/>
                  <w:ind w:left="20"/>
                </w:pPr>
                <w:r>
                  <w:rPr>
                    <w:w w:val="99"/>
                  </w:rPr>
                  <w:t>5</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55232"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5420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55.079468pt;width:466.9pt;height:13.15pt;mso-position-horizontal-relative:page;mso-position-vertical-relative:page;z-index:-255453184"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52160" type="#_x0000_t202" filled="false" stroked="false">
          <v:textbox inset="0,0,0,0">
            <w:txbxContent>
              <w:p>
                <w:pPr>
                  <w:pStyle w:val="BodyText"/>
                  <w:spacing w:before="12"/>
                  <w:ind w:left="20"/>
                </w:pPr>
                <w:r>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51136"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5011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400002pt;margin-top:755.079468pt;width:466.9pt;height:13.15pt;mso-position-horizontal-relative:page;mso-position-vertical-relative:page;z-index:-255449088"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48064" type="#_x0000_t202" filled="false" stroked="false">
          <v:textbox inset="0,0,0,0">
            <w:txbxContent>
              <w:p>
                <w:pPr>
                  <w:pStyle w:val="BodyText"/>
                  <w:spacing w:before="12"/>
                  <w:ind w:left="20"/>
                </w:pPr>
                <w:r>
                  <w:rPr/>
                  <w:t>12</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47040"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4601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13</w:t>
                </w:r>
                <w:r>
                  <w:rPr/>
                  <w:fldChar w:fldCharType="end"/>
                </w:r>
              </w:p>
            </w:txbxContent>
          </v:textbox>
          <w10:wrap type="none"/>
        </v:shape>
      </w:pict>
    </w:r>
    <w:r>
      <w:rPr/>
      <w:pict>
        <v:shape style="position:absolute;margin-left:43.400002pt;margin-top:755.079468pt;width:466.9pt;height:13.15pt;mso-position-horizontal-relative:page;mso-position-vertical-relative:page;z-index:-255444992"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43968" type="#_x0000_t202" filled="false" stroked="false">
          <v:textbox inset="0,0,0,0">
            <w:txbxContent>
              <w:p>
                <w:pPr>
                  <w:pStyle w:val="BodyText"/>
                  <w:spacing w:before="12"/>
                  <w:ind w:left="20"/>
                </w:pPr>
                <w:r>
                  <w:rPr/>
                  <w:t>13</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44.096008pt;width:517.6pt;height:.25pt;mso-position-horizontal-relative:page;mso-position-vertical-relative:page;z-index:-255442944" coordorigin="778,14882" coordsize="10352,5">
          <v:line style="position:absolute" from="778,14884" to="10421,14884" stroked="true" strokeweight=".23999pt" strokecolor="#000000">
            <v:stroke dashstyle="solid"/>
          </v:line>
          <v:rect style="position:absolute;left:10420;top:14881;width:5;height:5" filled="true" fillcolor="#000000" stroked="false">
            <v:fill type="solid"/>
          </v:rect>
          <v:line style="position:absolute" from="10426,14884" to="11129,14884" stroked="true" strokeweight=".23999pt" strokecolor="#000000">
            <v:stroke dashstyle="solid"/>
          </v:line>
          <w10:wrap type="none"/>
        </v:group>
      </w:pict>
    </w:r>
    <w:r>
      <w:rPr/>
      <w:pict>
        <v:shape style="position:absolute;margin-left:523.440002pt;margin-top:743.306946pt;width:7pt;height:3.1pt;mso-position-horizontal-relative:page;mso-position-vertical-relative:page;z-index:-25544192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14</w:t>
                </w:r>
                <w:r>
                  <w:rPr/>
                  <w:fldChar w:fldCharType="end"/>
                </w:r>
              </w:p>
            </w:txbxContent>
          </v:textbox>
          <w10:wrap type="none"/>
        </v:shape>
      </w:pict>
    </w:r>
    <w:r>
      <w:rPr/>
      <w:pict>
        <v:shape style="position:absolute;margin-left:43.400002pt;margin-top:755.079468pt;width:466.9pt;height:13.15pt;mso-position-horizontal-relative:page;mso-position-vertical-relative:page;z-index:-255440896" type="#_x0000_t202" filled="false" stroked="false">
          <v:textbox inset="0,0,0,0">
            <w:txbxContent>
              <w:p>
                <w:pPr>
                  <w:pStyle w:val="BodyText"/>
                  <w:spacing w:before="12"/>
                  <w:ind w:left="20"/>
                </w:pPr>
                <w:r>
                  <w:rPr/>
                  <w:t>All speeches are available online at </w:t>
                </w:r>
                <w:hyperlink r:id="rId1">
                  <w:r>
                    <w:rPr/>
                    <w:t>www.bankofengland.co.uk/publications/Pages/speeches/default.aspx</w:t>
                  </w:r>
                </w:hyperlink>
              </w:p>
            </w:txbxContent>
          </v:textbox>
          <w10:wrap type="none"/>
        </v:shape>
      </w:pict>
    </w:r>
    <w:r>
      <w:rPr/>
      <w:pict>
        <v:shape style="position:absolute;margin-left:538.880005pt;margin-top:756.159485pt;width:13.05pt;height:13.15pt;mso-position-horizontal-relative:page;mso-position-vertical-relative:page;z-index:-255439872" type="#_x0000_t202" filled="false" stroked="false">
          <v:textbox inset="0,0,0,0">
            <w:txbxContent>
              <w:p>
                <w:pPr>
                  <w:pStyle w:val="BodyText"/>
                  <w:spacing w:before="12"/>
                  <w:ind w:left="20"/>
                </w:pPr>
                <w:r>
                  <w:rPr/>
                  <w:t>14</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973" w:hanging="720"/>
        <w:jc w:val="left"/>
      </w:pPr>
      <w:rPr>
        <w:rFonts w:hint="default"/>
        <w:spacing w:val="-1"/>
        <w:w w:val="99"/>
        <w:lang w:val="en-gb" w:eastAsia="en-gb" w:bidi="en-gb"/>
      </w:rPr>
    </w:lvl>
    <w:lvl w:ilvl="1">
      <w:start w:val="1"/>
      <w:numFmt w:val="lowerLetter"/>
      <w:lvlText w:val="%2."/>
      <w:lvlJc w:val="left"/>
      <w:pPr>
        <w:ind w:left="966" w:hanging="356"/>
        <w:jc w:val="left"/>
      </w:pPr>
      <w:rPr>
        <w:rFonts w:hint="default" w:ascii="Arial" w:hAnsi="Arial" w:eastAsia="Arial" w:cs="Arial"/>
        <w:spacing w:val="-1"/>
        <w:w w:val="100"/>
        <w:sz w:val="22"/>
        <w:szCs w:val="22"/>
        <w:lang w:val="en-gb" w:eastAsia="en-gb" w:bidi="en-gb"/>
      </w:rPr>
    </w:lvl>
    <w:lvl w:ilvl="2">
      <w:start w:val="0"/>
      <w:numFmt w:val="bullet"/>
      <w:lvlText w:val="•"/>
      <w:lvlJc w:val="left"/>
      <w:pPr>
        <w:ind w:left="2096" w:hanging="356"/>
      </w:pPr>
      <w:rPr>
        <w:rFonts w:hint="default"/>
        <w:lang w:val="en-gb" w:eastAsia="en-gb" w:bidi="en-gb"/>
      </w:rPr>
    </w:lvl>
    <w:lvl w:ilvl="3">
      <w:start w:val="0"/>
      <w:numFmt w:val="bullet"/>
      <w:lvlText w:val="•"/>
      <w:lvlJc w:val="left"/>
      <w:pPr>
        <w:ind w:left="3212" w:hanging="356"/>
      </w:pPr>
      <w:rPr>
        <w:rFonts w:hint="default"/>
        <w:lang w:val="en-gb" w:eastAsia="en-gb" w:bidi="en-gb"/>
      </w:rPr>
    </w:lvl>
    <w:lvl w:ilvl="4">
      <w:start w:val="0"/>
      <w:numFmt w:val="bullet"/>
      <w:lvlText w:val="•"/>
      <w:lvlJc w:val="left"/>
      <w:pPr>
        <w:ind w:left="4328" w:hanging="356"/>
      </w:pPr>
      <w:rPr>
        <w:rFonts w:hint="default"/>
        <w:lang w:val="en-gb" w:eastAsia="en-gb" w:bidi="en-gb"/>
      </w:rPr>
    </w:lvl>
    <w:lvl w:ilvl="5">
      <w:start w:val="0"/>
      <w:numFmt w:val="bullet"/>
      <w:lvlText w:val="•"/>
      <w:lvlJc w:val="left"/>
      <w:pPr>
        <w:ind w:left="5445" w:hanging="356"/>
      </w:pPr>
      <w:rPr>
        <w:rFonts w:hint="default"/>
        <w:lang w:val="en-gb" w:eastAsia="en-gb" w:bidi="en-gb"/>
      </w:rPr>
    </w:lvl>
    <w:lvl w:ilvl="6">
      <w:start w:val="0"/>
      <w:numFmt w:val="bullet"/>
      <w:lvlText w:val="•"/>
      <w:lvlJc w:val="left"/>
      <w:pPr>
        <w:ind w:left="6561" w:hanging="356"/>
      </w:pPr>
      <w:rPr>
        <w:rFonts w:hint="default"/>
        <w:lang w:val="en-gb" w:eastAsia="en-gb" w:bidi="en-gb"/>
      </w:rPr>
    </w:lvl>
    <w:lvl w:ilvl="7">
      <w:start w:val="0"/>
      <w:numFmt w:val="bullet"/>
      <w:lvlText w:val="•"/>
      <w:lvlJc w:val="left"/>
      <w:pPr>
        <w:ind w:left="7677" w:hanging="356"/>
      </w:pPr>
      <w:rPr>
        <w:rFonts w:hint="default"/>
        <w:lang w:val="en-gb" w:eastAsia="en-gb" w:bidi="en-gb"/>
      </w:rPr>
    </w:lvl>
    <w:lvl w:ilvl="8">
      <w:start w:val="0"/>
      <w:numFmt w:val="bullet"/>
      <w:lvlText w:val="•"/>
      <w:lvlJc w:val="left"/>
      <w:pPr>
        <w:ind w:left="8793" w:hanging="356"/>
      </w:pPr>
      <w:rPr>
        <w:rFonts w:hint="default"/>
        <w:lang w:val="en-gb" w:eastAsia="en-gb" w:bidi="en-gb"/>
      </w:rPr>
    </w:lvl>
  </w:abstractNum>
  <w:abstractNum w:abstractNumId="1">
    <w:multiLevelType w:val="hybridMultilevel"/>
    <w:lvl w:ilvl="0">
      <w:start w:val="1"/>
      <w:numFmt w:val="lowerLetter"/>
      <w:lvlText w:val="%1."/>
      <w:lvlJc w:val="left"/>
      <w:pPr>
        <w:ind w:left="973" w:hanging="720"/>
        <w:jc w:val="left"/>
      </w:pPr>
      <w:rPr>
        <w:rFonts w:hint="default"/>
        <w:spacing w:val="-1"/>
        <w:w w:val="99"/>
        <w:lang w:val="en-gb" w:eastAsia="en-gb" w:bidi="en-gb"/>
      </w:rPr>
    </w:lvl>
    <w:lvl w:ilvl="1">
      <w:start w:val="0"/>
      <w:numFmt w:val="bullet"/>
      <w:lvlText w:val="•"/>
      <w:lvlJc w:val="left"/>
      <w:pPr>
        <w:ind w:left="1984" w:hanging="720"/>
      </w:pPr>
      <w:rPr>
        <w:rFonts w:hint="default"/>
        <w:lang w:val="en-gb" w:eastAsia="en-gb" w:bidi="en-gb"/>
      </w:rPr>
    </w:lvl>
    <w:lvl w:ilvl="2">
      <w:start w:val="0"/>
      <w:numFmt w:val="bullet"/>
      <w:lvlText w:val="•"/>
      <w:lvlJc w:val="left"/>
      <w:pPr>
        <w:ind w:left="2989" w:hanging="720"/>
      </w:pPr>
      <w:rPr>
        <w:rFonts w:hint="default"/>
        <w:lang w:val="en-gb" w:eastAsia="en-gb" w:bidi="en-gb"/>
      </w:rPr>
    </w:lvl>
    <w:lvl w:ilvl="3">
      <w:start w:val="0"/>
      <w:numFmt w:val="bullet"/>
      <w:lvlText w:val="•"/>
      <w:lvlJc w:val="left"/>
      <w:pPr>
        <w:ind w:left="3993" w:hanging="720"/>
      </w:pPr>
      <w:rPr>
        <w:rFonts w:hint="default"/>
        <w:lang w:val="en-gb" w:eastAsia="en-gb" w:bidi="en-gb"/>
      </w:rPr>
    </w:lvl>
    <w:lvl w:ilvl="4">
      <w:start w:val="0"/>
      <w:numFmt w:val="bullet"/>
      <w:lvlText w:val="•"/>
      <w:lvlJc w:val="left"/>
      <w:pPr>
        <w:ind w:left="4998" w:hanging="720"/>
      </w:pPr>
      <w:rPr>
        <w:rFonts w:hint="default"/>
        <w:lang w:val="en-gb" w:eastAsia="en-gb" w:bidi="en-gb"/>
      </w:rPr>
    </w:lvl>
    <w:lvl w:ilvl="5">
      <w:start w:val="0"/>
      <w:numFmt w:val="bullet"/>
      <w:lvlText w:val="•"/>
      <w:lvlJc w:val="left"/>
      <w:pPr>
        <w:ind w:left="6003" w:hanging="720"/>
      </w:pPr>
      <w:rPr>
        <w:rFonts w:hint="default"/>
        <w:lang w:val="en-gb" w:eastAsia="en-gb" w:bidi="en-gb"/>
      </w:rPr>
    </w:lvl>
    <w:lvl w:ilvl="6">
      <w:start w:val="0"/>
      <w:numFmt w:val="bullet"/>
      <w:lvlText w:val="•"/>
      <w:lvlJc w:val="left"/>
      <w:pPr>
        <w:ind w:left="7007" w:hanging="720"/>
      </w:pPr>
      <w:rPr>
        <w:rFonts w:hint="default"/>
        <w:lang w:val="en-gb" w:eastAsia="en-gb" w:bidi="en-gb"/>
      </w:rPr>
    </w:lvl>
    <w:lvl w:ilvl="7">
      <w:start w:val="0"/>
      <w:numFmt w:val="bullet"/>
      <w:lvlText w:val="•"/>
      <w:lvlJc w:val="left"/>
      <w:pPr>
        <w:ind w:left="8012" w:hanging="720"/>
      </w:pPr>
      <w:rPr>
        <w:rFonts w:hint="default"/>
        <w:lang w:val="en-gb" w:eastAsia="en-gb" w:bidi="en-gb"/>
      </w:rPr>
    </w:lvl>
    <w:lvl w:ilvl="8">
      <w:start w:val="0"/>
      <w:numFmt w:val="bullet"/>
      <w:lvlText w:val="•"/>
      <w:lvlJc w:val="left"/>
      <w:pPr>
        <w:ind w:left="9017" w:hanging="720"/>
      </w:pPr>
      <w:rPr>
        <w:rFonts w:hint="default"/>
        <w:lang w:val="en-gb" w:eastAsia="en-gb" w:bidi="en-gb"/>
      </w:rPr>
    </w:lvl>
  </w:abstractNum>
  <w:abstractNum w:abstractNumId="0">
    <w:multiLevelType w:val="hybridMultilevel"/>
    <w:lvl w:ilvl="0">
      <w:start w:val="1"/>
      <w:numFmt w:val="decimal"/>
      <w:lvlText w:val="%1."/>
      <w:lvlJc w:val="left"/>
      <w:pPr>
        <w:ind w:left="613" w:hanging="360"/>
        <w:jc w:val="left"/>
      </w:pPr>
      <w:rPr>
        <w:rFonts w:hint="default" w:ascii="Arial" w:hAnsi="Arial" w:eastAsia="Arial" w:cs="Arial"/>
        <w:b/>
        <w:bCs/>
        <w:spacing w:val="-1"/>
        <w:w w:val="99"/>
        <w:sz w:val="20"/>
        <w:szCs w:val="20"/>
        <w:lang w:val="en-gb" w:eastAsia="en-gb" w:bidi="en-gb"/>
      </w:rPr>
    </w:lvl>
    <w:lvl w:ilvl="1">
      <w:start w:val="1"/>
      <w:numFmt w:val="upperLetter"/>
      <w:lvlText w:val="%2."/>
      <w:lvlJc w:val="left"/>
      <w:pPr>
        <w:ind w:left="973" w:hanging="360"/>
        <w:jc w:val="left"/>
      </w:pPr>
      <w:rPr>
        <w:rFonts w:hint="default" w:ascii="Arial" w:hAnsi="Arial" w:eastAsia="Arial" w:cs="Arial"/>
        <w:b/>
        <w:bCs/>
        <w:spacing w:val="-5"/>
        <w:w w:val="99"/>
        <w:sz w:val="20"/>
        <w:szCs w:val="20"/>
        <w:lang w:val="en-gb" w:eastAsia="en-gb" w:bidi="en-gb"/>
      </w:rPr>
    </w:lvl>
    <w:lvl w:ilvl="2">
      <w:start w:val="0"/>
      <w:numFmt w:val="bullet"/>
      <w:lvlText w:val="•"/>
      <w:lvlJc w:val="left"/>
      <w:pPr>
        <w:ind w:left="2096" w:hanging="360"/>
      </w:pPr>
      <w:rPr>
        <w:rFonts w:hint="default"/>
        <w:lang w:val="en-gb" w:eastAsia="en-gb" w:bidi="en-gb"/>
      </w:rPr>
    </w:lvl>
    <w:lvl w:ilvl="3">
      <w:start w:val="0"/>
      <w:numFmt w:val="bullet"/>
      <w:lvlText w:val="•"/>
      <w:lvlJc w:val="left"/>
      <w:pPr>
        <w:ind w:left="3212" w:hanging="360"/>
      </w:pPr>
      <w:rPr>
        <w:rFonts w:hint="default"/>
        <w:lang w:val="en-gb" w:eastAsia="en-gb" w:bidi="en-gb"/>
      </w:rPr>
    </w:lvl>
    <w:lvl w:ilvl="4">
      <w:start w:val="0"/>
      <w:numFmt w:val="bullet"/>
      <w:lvlText w:val="•"/>
      <w:lvlJc w:val="left"/>
      <w:pPr>
        <w:ind w:left="4328" w:hanging="360"/>
      </w:pPr>
      <w:rPr>
        <w:rFonts w:hint="default"/>
        <w:lang w:val="en-gb" w:eastAsia="en-gb" w:bidi="en-gb"/>
      </w:rPr>
    </w:lvl>
    <w:lvl w:ilvl="5">
      <w:start w:val="0"/>
      <w:numFmt w:val="bullet"/>
      <w:lvlText w:val="•"/>
      <w:lvlJc w:val="left"/>
      <w:pPr>
        <w:ind w:left="5445" w:hanging="360"/>
      </w:pPr>
      <w:rPr>
        <w:rFonts w:hint="default"/>
        <w:lang w:val="en-gb" w:eastAsia="en-gb" w:bidi="en-gb"/>
      </w:rPr>
    </w:lvl>
    <w:lvl w:ilvl="6">
      <w:start w:val="0"/>
      <w:numFmt w:val="bullet"/>
      <w:lvlText w:val="•"/>
      <w:lvlJc w:val="left"/>
      <w:pPr>
        <w:ind w:left="6561" w:hanging="360"/>
      </w:pPr>
      <w:rPr>
        <w:rFonts w:hint="default"/>
        <w:lang w:val="en-gb" w:eastAsia="en-gb" w:bidi="en-gb"/>
      </w:rPr>
    </w:lvl>
    <w:lvl w:ilvl="7">
      <w:start w:val="0"/>
      <w:numFmt w:val="bullet"/>
      <w:lvlText w:val="•"/>
      <w:lvlJc w:val="left"/>
      <w:pPr>
        <w:ind w:left="7677" w:hanging="360"/>
      </w:pPr>
      <w:rPr>
        <w:rFonts w:hint="default"/>
        <w:lang w:val="en-gb" w:eastAsia="en-gb" w:bidi="en-gb"/>
      </w:rPr>
    </w:lvl>
    <w:lvl w:ilvl="8">
      <w:start w:val="0"/>
      <w:numFmt w:val="bullet"/>
      <w:lvlText w:val="•"/>
      <w:lvlJc w:val="left"/>
      <w:pPr>
        <w:ind w:left="8793" w:hanging="360"/>
      </w:pPr>
      <w:rPr>
        <w:rFonts w:hint="default"/>
        <w:lang w:val="en-gb" w:eastAsia="en-gb" w:bidi="en-gb"/>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spacing w:before="93"/>
      <w:ind w:left="253"/>
      <w:outlineLvl w:val="1"/>
    </w:pPr>
    <w:rPr>
      <w:rFonts w:ascii="Arial" w:hAnsi="Arial" w:eastAsia="Arial" w:cs="Arial"/>
      <w:b/>
      <w:bCs/>
      <w:sz w:val="22"/>
      <w:szCs w:val="22"/>
      <w:lang w:val="en-gb" w:eastAsia="en-gb" w:bidi="en-gb"/>
    </w:rPr>
  </w:style>
  <w:style w:styleId="Heading2" w:type="paragraph">
    <w:name w:val="Heading 2"/>
    <w:basedOn w:val="Normal"/>
    <w:uiPriority w:val="1"/>
    <w:qFormat/>
    <w:pPr>
      <w:ind w:left="253" w:hanging="721"/>
      <w:outlineLvl w:val="2"/>
    </w:pPr>
    <w:rPr>
      <w:rFonts w:ascii="Arial" w:hAnsi="Arial" w:eastAsia="Arial" w:cs="Arial"/>
      <w:sz w:val="22"/>
      <w:szCs w:val="22"/>
      <w:lang w:val="en-gb" w:eastAsia="en-gb" w:bidi="en-gb"/>
    </w:rPr>
  </w:style>
  <w:style w:styleId="Heading3" w:type="paragraph">
    <w:name w:val="Heading 3"/>
    <w:basedOn w:val="Normal"/>
    <w:uiPriority w:val="1"/>
    <w:qFormat/>
    <w:pPr>
      <w:ind w:left="613" w:hanging="361"/>
      <w:outlineLvl w:val="3"/>
    </w:pPr>
    <w:rPr>
      <w:rFonts w:ascii="Arial" w:hAnsi="Arial" w:eastAsia="Arial" w:cs="Arial"/>
      <w:b/>
      <w:bCs/>
      <w:sz w:val="20"/>
      <w:szCs w:val="20"/>
      <w:lang w:val="en-gb" w:eastAsia="en-gb" w:bidi="en-gb"/>
    </w:rPr>
  </w:style>
  <w:style w:styleId="Heading4" w:type="paragraph">
    <w:name w:val="Heading 4"/>
    <w:basedOn w:val="Normal"/>
    <w:uiPriority w:val="1"/>
    <w:qFormat/>
    <w:pPr>
      <w:ind w:left="3835" w:right="5642"/>
      <w:jc w:val="center"/>
      <w:outlineLvl w:val="4"/>
    </w:pPr>
    <w:rPr>
      <w:rFonts w:ascii="Arial" w:hAnsi="Arial" w:eastAsia="Arial" w:cs="Arial"/>
      <w:b/>
      <w:bCs/>
      <w:i/>
      <w:sz w:val="20"/>
      <w:szCs w:val="20"/>
      <w:lang w:val="en-gb" w:eastAsia="en-gb" w:bidi="en-gb"/>
    </w:rPr>
  </w:style>
  <w:style w:styleId="ListParagraph" w:type="paragraph">
    <w:name w:val="List Paragraph"/>
    <w:basedOn w:val="Normal"/>
    <w:uiPriority w:val="1"/>
    <w:qFormat/>
    <w:pPr>
      <w:ind w:left="973" w:hanging="721"/>
    </w:pPr>
    <w:rPr>
      <w:rFonts w:ascii="Arial" w:hAnsi="Arial" w:eastAsia="Arial" w:cs="Arial"/>
      <w:lang w:val="en-gb" w:eastAsia="en-gb" w:bidi="en-gb"/>
    </w:rPr>
  </w:style>
  <w:style w:styleId="TableParagraph" w:type="paragraph">
    <w:name w:val="Table Paragraph"/>
    <w:basedOn w:val="Normal"/>
    <w:uiPriority w:val="1"/>
    <w:qFormat/>
    <w:pPr/>
    <w:rPr>
      <w:rFonts w:ascii="Courier New" w:hAnsi="Courier New" w:eastAsia="Courier New" w:cs="Courier New"/>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hyperlink" Target="http://www.bankofengland.co.uk/publications/Documents/speeches/2015/euboe211015.pdf" TargetMode="External"/><Relationship Id="rId9" Type="http://schemas.openxmlformats.org/officeDocument/2006/relationships/hyperlink" Target="http://www.bankofengland.co.uk/publications/Documents/speeches/2016/speech875.pdf" TargetMode="Externa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footer" Target="footer15.xml"/><Relationship Id="rId23" Type="http://schemas.openxmlformats.org/officeDocument/2006/relationships/hyperlink" Target="https://ideas.repec.org/a/anr/refeco/v1y2009p97-116.html" TargetMode="External"/><Relationship Id="rId24" Type="http://schemas.openxmlformats.org/officeDocument/2006/relationships/hyperlink" Target="https://ideas.repec.org/s/anr/refeco.html" TargetMode="External"/><Relationship Id="rId25" Type="http://schemas.openxmlformats.org/officeDocument/2006/relationships/hyperlink" Target="https://ideas.repec.org/a/pal/imfecr/v59y2011i1p41-76.html" TargetMode="External"/><Relationship Id="rId26" Type="http://schemas.openxmlformats.org/officeDocument/2006/relationships/hyperlink" Target="https://ideas.repec.org/s/pal/imfecr.html" TargetMode="External"/><Relationship Id="rId27" Type="http://schemas.openxmlformats.org/officeDocument/2006/relationships/image" Target="media/image2.jpeg"/><Relationship Id="rId28" Type="http://schemas.openxmlformats.org/officeDocument/2006/relationships/image" Target="media/image3.png"/><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jpe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6.jpeg"/><Relationship Id="rId62" Type="http://schemas.openxmlformats.org/officeDocument/2006/relationships/image" Target="media/image37.jpe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by Kristin Forbes at Imperial College London 22.09.16</dc:subject>
  <dc:title>Global economic tsunamis: Coincidence, common shocks or contagion?</dc:title>
  <dcterms:created xsi:type="dcterms:W3CDTF">2020-06-02T17:36:37Z</dcterms:created>
  <dcterms:modified xsi:type="dcterms:W3CDTF">2020-06-02T17:36:37Z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2016-09-22T00:00:00Z</vt:filetime>
  </property>
  <property fmtid="{D5CDD505-2E9C-101B-9397-08002B2CF9AE}" pid="3" name="LastSaved">
    <vt:filetime>2020-06-02T00:00:00Z</vt:filetime>
  </property>
</Properties>
</file>