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10"/>
        <w:rPr>
          <w:rFonts w:ascii="Times New Roman"/>
          <w:sz w:val="20"/>
        </w:rPr>
      </w:pPr>
    </w:p>
    <w:p>
      <w:pPr>
        <w:spacing w:before="92"/>
        <w:ind w:left="227" w:right="0" w:firstLine="0"/>
        <w:jc w:val="left"/>
        <w:rPr>
          <w:b/>
          <w:sz w:val="30"/>
        </w:rPr>
      </w:pPr>
      <w:r>
        <w:rPr>
          <w:b/>
          <w:color w:val="6A709F"/>
          <w:sz w:val="30"/>
        </w:rPr>
        <w:t>Housing, leverage and stability in the wider economy</w:t>
      </w:r>
    </w:p>
    <w:p>
      <w:pPr>
        <w:spacing w:before="265"/>
        <w:ind w:left="227" w:right="0" w:firstLine="0"/>
        <w:jc w:val="left"/>
        <w:rPr>
          <w:sz w:val="22"/>
        </w:rPr>
      </w:pPr>
      <w:r>
        <w:rPr>
          <w:sz w:val="22"/>
        </w:rPr>
        <w:t>Speech given by</w:t>
      </w:r>
    </w:p>
    <w:p>
      <w:pPr>
        <w:spacing w:before="136"/>
        <w:ind w:left="227" w:right="0" w:firstLine="0"/>
        <w:jc w:val="left"/>
        <w:rPr>
          <w:sz w:val="22"/>
        </w:rPr>
      </w:pPr>
      <w:r>
        <w:rPr>
          <w:sz w:val="22"/>
        </w:rPr>
        <w:t>David Miles, External Member of the Monetary Policy Committee, Bank of England</w:t>
      </w:r>
    </w:p>
    <w:p>
      <w:pPr>
        <w:pStyle w:val="BodyText"/>
        <w:rPr>
          <w:sz w:val="24"/>
        </w:rPr>
      </w:pPr>
    </w:p>
    <w:p>
      <w:pPr>
        <w:pStyle w:val="BodyText"/>
        <w:rPr>
          <w:sz w:val="24"/>
        </w:rPr>
      </w:pPr>
    </w:p>
    <w:p>
      <w:pPr>
        <w:pStyle w:val="BodyText"/>
        <w:rPr>
          <w:sz w:val="21"/>
        </w:rPr>
      </w:pPr>
    </w:p>
    <w:p>
      <w:pPr>
        <w:spacing w:line="247" w:lineRule="auto" w:before="0"/>
        <w:ind w:left="227" w:right="0" w:firstLine="0"/>
        <w:jc w:val="left"/>
        <w:rPr>
          <w:sz w:val="22"/>
        </w:rPr>
      </w:pPr>
      <w:r>
        <w:rPr>
          <w:sz w:val="22"/>
        </w:rPr>
        <w:t>At the Housing, Stability and the Macroeconomy: International Perspectives Conference, Federal Reserve Bank of Dallas</w:t>
      </w:r>
    </w:p>
    <w:p>
      <w:pPr>
        <w:pStyle w:val="BodyText"/>
        <w:spacing w:before="8"/>
        <w:rPr>
          <w:sz w:val="22"/>
        </w:rPr>
      </w:pPr>
    </w:p>
    <w:p>
      <w:pPr>
        <w:spacing w:before="0"/>
        <w:ind w:left="227" w:right="0" w:firstLine="0"/>
        <w:jc w:val="left"/>
        <w:rPr>
          <w:sz w:val="22"/>
        </w:rPr>
      </w:pPr>
      <w:r>
        <w:rPr>
          <w:sz w:val="22"/>
        </w:rPr>
        <w:t>Thursday 14 November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BodyText"/>
        <w:spacing w:line="237" w:lineRule="auto" w:before="94"/>
        <w:ind w:left="227" w:right="672"/>
      </w:pPr>
      <w:r>
        <w:rPr/>
        <w:t>I would like to thank Jochen Schanz and Arpad Morotz for research assistance and others for helpful comments. I am grateful to Dr Michael Lea for his permission to reproduce Figure 10. The views expressed are my own and do not necessarily reflect those of the Bank of England or other members of the Monetary Policy Committee.</w:t>
      </w:r>
    </w:p>
    <w:p>
      <w:pPr>
        <w:spacing w:after="0" w:line="237" w:lineRule="auto"/>
        <w:sectPr>
          <w:footerReference w:type="default" r:id="rId5"/>
          <w:type w:val="continuous"/>
          <w:pgSz w:w="12240" w:h="15840"/>
          <w:pgMar w:footer="1240" w:top="1120" w:bottom="1440" w:left="1360" w:right="1480"/>
          <w:pgNumType w:start="1"/>
        </w:sectPr>
      </w:pPr>
    </w:p>
    <w:p>
      <w:pPr>
        <w:pStyle w:val="BodyText"/>
        <w:spacing w:line="350" w:lineRule="auto" w:before="75"/>
        <w:ind w:left="226" w:right="105"/>
      </w:pPr>
      <w:r>
        <w:rPr/>
        <w:t>Housing was at the centre of the financial train wreck of 2007-08 that has seriously damaged most rich countries. In many countries the effects of that crisis on the wider economy have been large, negative and persistent. In some cases sharp declines in house values and steep increases in defaults on mortgages were causal factors behind the problems for banks which then affected credit conditions and confidence more widely. The US, Spain and Ireland fall into this category. In other countries the fall in house values and the rise in bad debts has been less severe and was more a consequence of the catastrophic decline in confidence that came in the wake of the financial problems and which led to a reduction in incomes and higher unemployment. Perhaps France and the UK fall into this category. Some countries have experienced few problems – house prices have not fallen and arrears and defaults on home loans have not picked up significantly – Canada and Germany are in this</w:t>
      </w:r>
      <w:r>
        <w:rPr>
          <w:spacing w:val="-12"/>
        </w:rPr>
        <w:t> </w:t>
      </w:r>
      <w:r>
        <w:rPr/>
        <w:t>group.</w:t>
      </w:r>
    </w:p>
    <w:p>
      <w:pPr>
        <w:pStyle w:val="BodyText"/>
        <w:spacing w:before="7"/>
        <w:rPr>
          <w:sz w:val="28"/>
        </w:rPr>
      </w:pPr>
    </w:p>
    <w:p>
      <w:pPr>
        <w:pStyle w:val="BodyText"/>
        <w:spacing w:line="350" w:lineRule="auto"/>
        <w:ind w:left="226" w:right="120"/>
      </w:pPr>
      <w:r>
        <w:rPr/>
        <w:t>Housing</w:t>
      </w:r>
      <w:r>
        <w:rPr>
          <w:spacing w:val="-8"/>
        </w:rPr>
        <w:t> </w:t>
      </w:r>
      <w:r>
        <w:rPr/>
        <w:t>is</w:t>
      </w:r>
      <w:r>
        <w:rPr>
          <w:spacing w:val="-6"/>
        </w:rPr>
        <w:t> </w:t>
      </w:r>
      <w:r>
        <w:rPr/>
        <w:t>a</w:t>
      </w:r>
      <w:r>
        <w:rPr>
          <w:spacing w:val="-7"/>
        </w:rPr>
        <w:t> </w:t>
      </w:r>
      <w:r>
        <w:rPr/>
        <w:t>large</w:t>
      </w:r>
      <w:r>
        <w:rPr>
          <w:spacing w:val="-8"/>
        </w:rPr>
        <w:t> </w:t>
      </w:r>
      <w:r>
        <w:rPr/>
        <w:t>part</w:t>
      </w:r>
      <w:r>
        <w:rPr>
          <w:spacing w:val="-6"/>
        </w:rPr>
        <w:t> </w:t>
      </w:r>
      <w:r>
        <w:rPr/>
        <w:t>of</w:t>
      </w:r>
      <w:r>
        <w:rPr>
          <w:spacing w:val="-6"/>
        </w:rPr>
        <w:t> </w:t>
      </w:r>
      <w:r>
        <w:rPr/>
        <w:t>the</w:t>
      </w:r>
      <w:r>
        <w:rPr>
          <w:spacing w:val="-7"/>
        </w:rPr>
        <w:t> </w:t>
      </w:r>
      <w:r>
        <w:rPr/>
        <w:t>wealth</w:t>
      </w:r>
      <w:r>
        <w:rPr>
          <w:spacing w:val="-8"/>
        </w:rPr>
        <w:t> </w:t>
      </w:r>
      <w:r>
        <w:rPr/>
        <w:t>of</w:t>
      </w:r>
      <w:r>
        <w:rPr>
          <w:spacing w:val="-7"/>
        </w:rPr>
        <w:t> </w:t>
      </w:r>
      <w:r>
        <w:rPr/>
        <w:t>the</w:t>
      </w:r>
      <w:r>
        <w:rPr>
          <w:spacing w:val="-7"/>
        </w:rPr>
        <w:t> </w:t>
      </w:r>
      <w:r>
        <w:rPr/>
        <w:t>household</w:t>
      </w:r>
      <w:r>
        <w:rPr>
          <w:spacing w:val="-7"/>
        </w:rPr>
        <w:t> </w:t>
      </w:r>
      <w:r>
        <w:rPr/>
        <w:t>sector;</w:t>
      </w:r>
      <w:r>
        <w:rPr>
          <w:spacing w:val="-9"/>
        </w:rPr>
        <w:t> </w:t>
      </w:r>
      <w:r>
        <w:rPr/>
        <w:t>construction</w:t>
      </w:r>
      <w:r>
        <w:rPr>
          <w:spacing w:val="-7"/>
        </w:rPr>
        <w:t> </w:t>
      </w:r>
      <w:r>
        <w:rPr/>
        <w:t>activity</w:t>
      </w:r>
      <w:r>
        <w:rPr>
          <w:spacing w:val="-7"/>
        </w:rPr>
        <w:t> </w:t>
      </w:r>
      <w:r>
        <w:rPr/>
        <w:t>is</w:t>
      </w:r>
      <w:r>
        <w:rPr>
          <w:spacing w:val="-7"/>
        </w:rPr>
        <w:t> </w:t>
      </w:r>
      <w:r>
        <w:rPr/>
        <w:t>a</w:t>
      </w:r>
      <w:r>
        <w:rPr>
          <w:spacing w:val="-7"/>
        </w:rPr>
        <w:t> </w:t>
      </w:r>
      <w:r>
        <w:rPr/>
        <w:t>significant</w:t>
      </w:r>
      <w:r>
        <w:rPr>
          <w:spacing w:val="-6"/>
        </w:rPr>
        <w:t> </w:t>
      </w:r>
      <w:r>
        <w:rPr/>
        <w:t>part</w:t>
      </w:r>
      <w:r>
        <w:rPr>
          <w:spacing w:val="-5"/>
        </w:rPr>
        <w:t> </w:t>
      </w:r>
      <w:r>
        <w:rPr/>
        <w:t>of</w:t>
      </w:r>
      <w:r>
        <w:rPr>
          <w:spacing w:val="-7"/>
        </w:rPr>
        <w:t> </w:t>
      </w:r>
      <w:r>
        <w:rPr/>
        <w:t>total output that contributes disproportionately to its volatility; housing transactions create work and value added for a large number of people in the real estate, banking and legal sectors. As a result turbulence in housing markets has major macroeconomic effects.</w:t>
      </w:r>
      <w:r>
        <w:rPr>
          <w:vertAlign w:val="superscript"/>
        </w:rPr>
        <w:t>1</w:t>
      </w:r>
      <w:r>
        <w:rPr>
          <w:vertAlign w:val="baseline"/>
        </w:rPr>
        <w:t> That is why governments, financial regulators and central banks are thinking hard about the lessons to learn from the crisis of recent years. In this paper I want to consider some of the policies – including monetary policy – that might be used to reduce the risks of turbulence in the housing market causing widespread damage. I will argue that one factor is particularly significant</w:t>
      </w:r>
      <w:r>
        <w:rPr>
          <w:spacing w:val="-8"/>
          <w:vertAlign w:val="baseline"/>
        </w:rPr>
        <w:t> </w:t>
      </w:r>
      <w:r>
        <w:rPr>
          <w:vertAlign w:val="baseline"/>
        </w:rPr>
        <w:t>in</w:t>
      </w:r>
      <w:r>
        <w:rPr>
          <w:spacing w:val="-9"/>
          <w:vertAlign w:val="baseline"/>
        </w:rPr>
        <w:t> </w:t>
      </w:r>
      <w:r>
        <w:rPr>
          <w:vertAlign w:val="baseline"/>
        </w:rPr>
        <w:t>accounting</w:t>
      </w:r>
      <w:r>
        <w:rPr>
          <w:spacing w:val="-7"/>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degree</w:t>
      </w:r>
      <w:r>
        <w:rPr>
          <w:spacing w:val="-8"/>
          <w:vertAlign w:val="baseline"/>
        </w:rPr>
        <w:t> </w:t>
      </w:r>
      <w:r>
        <w:rPr>
          <w:vertAlign w:val="baseline"/>
        </w:rPr>
        <w:t>of</w:t>
      </w:r>
      <w:r>
        <w:rPr>
          <w:spacing w:val="-6"/>
          <w:vertAlign w:val="baseline"/>
        </w:rPr>
        <w:t> </w:t>
      </w:r>
      <w:r>
        <w:rPr>
          <w:vertAlign w:val="baseline"/>
        </w:rPr>
        <w:t>volatility</w:t>
      </w:r>
      <w:r>
        <w:rPr>
          <w:spacing w:val="-7"/>
          <w:vertAlign w:val="baseline"/>
        </w:rPr>
        <w:t> </w:t>
      </w:r>
      <w:r>
        <w:rPr>
          <w:vertAlign w:val="baseline"/>
        </w:rPr>
        <w:t>in</w:t>
      </w:r>
      <w:r>
        <w:rPr>
          <w:spacing w:val="-10"/>
          <w:vertAlign w:val="baseline"/>
        </w:rPr>
        <w:t> </w:t>
      </w:r>
      <w:r>
        <w:rPr>
          <w:vertAlign w:val="baseline"/>
        </w:rPr>
        <w:t>housing</w:t>
      </w:r>
      <w:r>
        <w:rPr>
          <w:spacing w:val="-7"/>
          <w:vertAlign w:val="baseline"/>
        </w:rPr>
        <w:t> </w:t>
      </w:r>
      <w:r>
        <w:rPr>
          <w:vertAlign w:val="baseline"/>
        </w:rPr>
        <w:t>markets</w:t>
      </w:r>
      <w:r>
        <w:rPr>
          <w:spacing w:val="-7"/>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harm</w:t>
      </w:r>
      <w:r>
        <w:rPr>
          <w:spacing w:val="-6"/>
          <w:vertAlign w:val="baseline"/>
        </w:rPr>
        <w:t> </w:t>
      </w:r>
      <w:r>
        <w:rPr>
          <w:vertAlign w:val="baseline"/>
        </w:rPr>
        <w:t>that</w:t>
      </w:r>
      <w:r>
        <w:rPr>
          <w:spacing w:val="-7"/>
          <w:vertAlign w:val="baseline"/>
        </w:rPr>
        <w:t> </w:t>
      </w:r>
      <w:r>
        <w:rPr>
          <w:vertAlign w:val="baseline"/>
        </w:rPr>
        <w:t>it</w:t>
      </w:r>
      <w:r>
        <w:rPr>
          <w:spacing w:val="-6"/>
          <w:vertAlign w:val="baseline"/>
        </w:rPr>
        <w:t> </w:t>
      </w:r>
      <w:r>
        <w:rPr>
          <w:vertAlign w:val="baseline"/>
        </w:rPr>
        <w:t>can</w:t>
      </w:r>
      <w:r>
        <w:rPr>
          <w:spacing w:val="-8"/>
          <w:vertAlign w:val="baseline"/>
        </w:rPr>
        <w:t> </w:t>
      </w:r>
      <w:r>
        <w:rPr>
          <w:vertAlign w:val="baseline"/>
        </w:rPr>
        <w:t>do</w:t>
      </w:r>
      <w:r>
        <w:rPr>
          <w:spacing w:val="-9"/>
          <w:vertAlign w:val="baseline"/>
        </w:rPr>
        <w:t> </w:t>
      </w:r>
      <w:r>
        <w:rPr>
          <w:vertAlign w:val="baseline"/>
        </w:rPr>
        <w:t>–</w:t>
      </w:r>
      <w:r>
        <w:rPr>
          <w:spacing w:val="-7"/>
          <w:vertAlign w:val="baseline"/>
        </w:rPr>
        <w:t> </w:t>
      </w:r>
      <w:r>
        <w:rPr>
          <w:vertAlign w:val="baseline"/>
        </w:rPr>
        <w:t>leverage: that is the fact that houses are bought with such a high proportion of debt. In that context I consider the advantages</w:t>
      </w:r>
      <w:r>
        <w:rPr>
          <w:spacing w:val="-3"/>
          <w:vertAlign w:val="baseline"/>
        </w:rPr>
        <w:t> </w:t>
      </w:r>
      <w:r>
        <w:rPr>
          <w:vertAlign w:val="baseline"/>
        </w:rPr>
        <w:t>of</w:t>
      </w:r>
      <w:r>
        <w:rPr>
          <w:spacing w:val="-3"/>
          <w:vertAlign w:val="baseline"/>
        </w:rPr>
        <w:t> </w:t>
      </w:r>
      <w:r>
        <w:rPr>
          <w:vertAlign w:val="baseline"/>
        </w:rPr>
        <w:t>(and</w:t>
      </w:r>
      <w:r>
        <w:rPr>
          <w:spacing w:val="-4"/>
          <w:vertAlign w:val="baseline"/>
        </w:rPr>
        <w:t> </w:t>
      </w:r>
      <w:r>
        <w:rPr>
          <w:vertAlign w:val="baseline"/>
        </w:rPr>
        <w:t>obstacles</w:t>
      </w:r>
      <w:r>
        <w:rPr>
          <w:spacing w:val="-3"/>
          <w:vertAlign w:val="baseline"/>
        </w:rPr>
        <w:t> </w:t>
      </w:r>
      <w:r>
        <w:rPr>
          <w:vertAlign w:val="baseline"/>
        </w:rPr>
        <w:t>to)</w:t>
      </w:r>
      <w:r>
        <w:rPr>
          <w:spacing w:val="-4"/>
          <w:vertAlign w:val="baseline"/>
        </w:rPr>
        <w:t> </w:t>
      </w:r>
      <w:r>
        <w:rPr>
          <w:vertAlign w:val="baseline"/>
        </w:rPr>
        <w:t>greater</w:t>
      </w:r>
      <w:r>
        <w:rPr>
          <w:spacing w:val="-3"/>
          <w:vertAlign w:val="baseline"/>
        </w:rPr>
        <w:t> </w:t>
      </w:r>
      <w:r>
        <w:rPr>
          <w:vertAlign w:val="baseline"/>
        </w:rPr>
        <w:t>use</w:t>
      </w:r>
      <w:r>
        <w:rPr>
          <w:spacing w:val="-4"/>
          <w:vertAlign w:val="baseline"/>
        </w:rPr>
        <w:t> </w:t>
      </w:r>
      <w:r>
        <w:rPr>
          <w:vertAlign w:val="baseline"/>
        </w:rPr>
        <w:t>of</w:t>
      </w:r>
      <w:r>
        <w:rPr>
          <w:spacing w:val="-2"/>
          <w:vertAlign w:val="baseline"/>
        </w:rPr>
        <w:t> </w:t>
      </w:r>
      <w:r>
        <w:rPr>
          <w:vertAlign w:val="baseline"/>
        </w:rPr>
        <w:t>outside</w:t>
      </w:r>
      <w:r>
        <w:rPr>
          <w:spacing w:val="-4"/>
          <w:vertAlign w:val="baseline"/>
        </w:rPr>
        <w:t> </w:t>
      </w:r>
      <w:r>
        <w:rPr>
          <w:vertAlign w:val="baseline"/>
        </w:rPr>
        <w:t>equity</w:t>
      </w:r>
      <w:r>
        <w:rPr>
          <w:spacing w:val="-4"/>
          <w:vertAlign w:val="baseline"/>
        </w:rPr>
        <w:t> </w:t>
      </w:r>
      <w:r>
        <w:rPr>
          <w:vertAlign w:val="baseline"/>
        </w:rPr>
        <w:t>in</w:t>
      </w:r>
      <w:r>
        <w:rPr>
          <w:spacing w:val="-4"/>
          <w:vertAlign w:val="baseline"/>
        </w:rPr>
        <w:t> </w:t>
      </w:r>
      <w:r>
        <w:rPr>
          <w:vertAlign w:val="baseline"/>
        </w:rPr>
        <w:t>financing</w:t>
      </w:r>
      <w:r>
        <w:rPr>
          <w:spacing w:val="-4"/>
          <w:vertAlign w:val="baseline"/>
        </w:rPr>
        <w:t> </w:t>
      </w:r>
      <w:r>
        <w:rPr>
          <w:vertAlign w:val="baseline"/>
        </w:rPr>
        <w:t>house</w:t>
      </w:r>
      <w:r>
        <w:rPr>
          <w:spacing w:val="-3"/>
          <w:vertAlign w:val="baseline"/>
        </w:rPr>
        <w:t> </w:t>
      </w:r>
      <w:r>
        <w:rPr>
          <w:vertAlign w:val="baseline"/>
        </w:rPr>
        <w:t>purchases.</w:t>
      </w:r>
    </w:p>
    <w:p>
      <w:pPr>
        <w:pStyle w:val="BodyText"/>
        <w:spacing w:before="7"/>
        <w:rPr>
          <w:sz w:val="28"/>
        </w:rPr>
      </w:pPr>
    </w:p>
    <w:p>
      <w:pPr>
        <w:pStyle w:val="BodyText"/>
        <w:spacing w:line="350" w:lineRule="auto"/>
        <w:ind w:left="226" w:right="102"/>
      </w:pPr>
      <w:r>
        <w:rPr/>
        <w:t>In the next section I briefly review the story of the past 10 years in the countries which I mentioned above and whose experience has been rather different (US, Spain, Ireland, UK, France, Germany and Canada). I then consider the use of monetary policy to reduce housing market turbulence. This is a blunt instrument. I argue</w:t>
      </w:r>
      <w:r>
        <w:rPr>
          <w:spacing w:val="-7"/>
        </w:rPr>
        <w:t> </w:t>
      </w:r>
      <w:r>
        <w:rPr/>
        <w:t>that</w:t>
      </w:r>
      <w:r>
        <w:rPr>
          <w:spacing w:val="-6"/>
        </w:rPr>
        <w:t> </w:t>
      </w:r>
      <w:r>
        <w:rPr/>
        <w:t>a</w:t>
      </w:r>
      <w:r>
        <w:rPr>
          <w:spacing w:val="-7"/>
        </w:rPr>
        <w:t> </w:t>
      </w:r>
      <w:r>
        <w:rPr/>
        <w:t>switch</w:t>
      </w:r>
      <w:r>
        <w:rPr>
          <w:spacing w:val="-7"/>
        </w:rPr>
        <w:t> </w:t>
      </w:r>
      <w:r>
        <w:rPr/>
        <w:t>in</w:t>
      </w:r>
      <w:r>
        <w:rPr>
          <w:spacing w:val="-7"/>
        </w:rPr>
        <w:t> </w:t>
      </w:r>
      <w:r>
        <w:rPr/>
        <w:t>the</w:t>
      </w:r>
      <w:r>
        <w:rPr>
          <w:spacing w:val="-6"/>
        </w:rPr>
        <w:t> </w:t>
      </w:r>
      <w:r>
        <w:rPr/>
        <w:t>use</w:t>
      </w:r>
      <w:r>
        <w:rPr>
          <w:spacing w:val="-7"/>
        </w:rPr>
        <w:t> </w:t>
      </w:r>
      <w:r>
        <w:rPr/>
        <w:t>of</w:t>
      </w:r>
      <w:r>
        <w:rPr>
          <w:spacing w:val="-7"/>
        </w:rPr>
        <w:t> </w:t>
      </w:r>
      <w:r>
        <w:rPr/>
        <w:t>equity</w:t>
      </w:r>
      <w:r>
        <w:rPr>
          <w:spacing w:val="-7"/>
        </w:rPr>
        <w:t> </w:t>
      </w:r>
      <w:r>
        <w:rPr/>
        <w:t>relative</w:t>
      </w:r>
      <w:r>
        <w:rPr>
          <w:spacing w:val="-7"/>
        </w:rPr>
        <w:t> </w:t>
      </w:r>
      <w:r>
        <w:rPr/>
        <w:t>to</w:t>
      </w:r>
      <w:r>
        <w:rPr>
          <w:spacing w:val="-7"/>
        </w:rPr>
        <w:t> </w:t>
      </w:r>
      <w:r>
        <w:rPr/>
        <w:t>debt</w:t>
      </w:r>
      <w:r>
        <w:rPr>
          <w:spacing w:val="-6"/>
        </w:rPr>
        <w:t> </w:t>
      </w:r>
      <w:r>
        <w:rPr/>
        <w:t>in</w:t>
      </w:r>
      <w:r>
        <w:rPr>
          <w:spacing w:val="-6"/>
        </w:rPr>
        <w:t> </w:t>
      </w:r>
      <w:r>
        <w:rPr/>
        <w:t>housing</w:t>
      </w:r>
      <w:r>
        <w:rPr>
          <w:spacing w:val="-7"/>
        </w:rPr>
        <w:t> </w:t>
      </w:r>
      <w:r>
        <w:rPr/>
        <w:t>finance</w:t>
      </w:r>
      <w:r>
        <w:rPr>
          <w:spacing w:val="-8"/>
        </w:rPr>
        <w:t> </w:t>
      </w:r>
      <w:r>
        <w:rPr/>
        <w:t>is</w:t>
      </w:r>
      <w:r>
        <w:rPr>
          <w:spacing w:val="-5"/>
        </w:rPr>
        <w:t> </w:t>
      </w:r>
      <w:r>
        <w:rPr/>
        <w:t>likely</w:t>
      </w:r>
      <w:r>
        <w:rPr>
          <w:spacing w:val="-7"/>
        </w:rPr>
        <w:t> </w:t>
      </w:r>
      <w:r>
        <w:rPr/>
        <w:t>to</w:t>
      </w:r>
      <w:r>
        <w:rPr>
          <w:spacing w:val="-7"/>
        </w:rPr>
        <w:t> </w:t>
      </w:r>
      <w:r>
        <w:rPr/>
        <w:t>be</w:t>
      </w:r>
      <w:r>
        <w:rPr>
          <w:spacing w:val="-7"/>
        </w:rPr>
        <w:t> </w:t>
      </w:r>
      <w:r>
        <w:rPr/>
        <w:t>a</w:t>
      </w:r>
      <w:r>
        <w:rPr>
          <w:spacing w:val="-7"/>
        </w:rPr>
        <w:t> </w:t>
      </w:r>
      <w:r>
        <w:rPr/>
        <w:t>particularly</w:t>
      </w:r>
      <w:r>
        <w:rPr>
          <w:spacing w:val="-6"/>
        </w:rPr>
        <w:t> </w:t>
      </w:r>
      <w:r>
        <w:rPr/>
        <w:t>effective long-run means of reducing instability. I consider financial contracts that might allow such a switch and assess</w:t>
      </w:r>
      <w:r>
        <w:rPr>
          <w:spacing w:val="-4"/>
        </w:rPr>
        <w:t> </w:t>
      </w:r>
      <w:r>
        <w:rPr/>
        <w:t>whether</w:t>
      </w:r>
      <w:r>
        <w:rPr>
          <w:spacing w:val="-4"/>
        </w:rPr>
        <w:t> </w:t>
      </w:r>
      <w:r>
        <w:rPr/>
        <w:t>there</w:t>
      </w:r>
      <w:r>
        <w:rPr>
          <w:spacing w:val="-4"/>
        </w:rPr>
        <w:t> </w:t>
      </w:r>
      <w:r>
        <w:rPr/>
        <w:t>are</w:t>
      </w:r>
      <w:r>
        <w:rPr>
          <w:spacing w:val="-4"/>
        </w:rPr>
        <w:t> </w:t>
      </w:r>
      <w:r>
        <w:rPr/>
        <w:t>obstacles</w:t>
      </w:r>
      <w:r>
        <w:rPr>
          <w:spacing w:val="-4"/>
        </w:rPr>
        <w:t> </w:t>
      </w:r>
      <w:r>
        <w:rPr/>
        <w:t>that</w:t>
      </w:r>
      <w:r>
        <w:rPr>
          <w:spacing w:val="-5"/>
        </w:rPr>
        <w:t> </w:t>
      </w:r>
      <w:r>
        <w:rPr/>
        <w:t>will</w:t>
      </w:r>
      <w:r>
        <w:rPr>
          <w:spacing w:val="-3"/>
        </w:rPr>
        <w:t> </w:t>
      </w:r>
      <w:r>
        <w:rPr/>
        <w:t>prevent</w:t>
      </w:r>
      <w:r>
        <w:rPr>
          <w:spacing w:val="-4"/>
        </w:rPr>
        <w:t> </w:t>
      </w:r>
      <w:r>
        <w:rPr/>
        <w:t>outside</w:t>
      </w:r>
      <w:r>
        <w:rPr>
          <w:spacing w:val="-5"/>
        </w:rPr>
        <w:t> </w:t>
      </w:r>
      <w:r>
        <w:rPr/>
        <w:t>equity</w:t>
      </w:r>
      <w:r>
        <w:rPr>
          <w:spacing w:val="-4"/>
        </w:rPr>
        <w:t> </w:t>
      </w:r>
      <w:r>
        <w:rPr/>
        <w:t>ever</w:t>
      </w:r>
      <w:r>
        <w:rPr>
          <w:spacing w:val="-4"/>
        </w:rPr>
        <w:t> </w:t>
      </w:r>
      <w:r>
        <w:rPr/>
        <w:t>becoming</w:t>
      </w:r>
      <w:r>
        <w:rPr>
          <w:spacing w:val="-5"/>
        </w:rPr>
        <w:t> </w:t>
      </w:r>
      <w:r>
        <w:rPr/>
        <w:t>significant.</w:t>
      </w:r>
    </w:p>
    <w:p>
      <w:pPr>
        <w:pStyle w:val="BodyText"/>
        <w:spacing w:before="2"/>
        <w:rPr>
          <w:sz w:val="28"/>
        </w:rPr>
      </w:pPr>
    </w:p>
    <w:p>
      <w:pPr>
        <w:pStyle w:val="Heading1"/>
      </w:pPr>
      <w:r>
        <w:rPr/>
        <w:t>The scale of the recent problems</w:t>
      </w:r>
    </w:p>
    <w:p>
      <w:pPr>
        <w:pStyle w:val="BodyText"/>
        <w:rPr>
          <w:b/>
          <w:sz w:val="20"/>
        </w:rPr>
      </w:pPr>
    </w:p>
    <w:p>
      <w:pPr>
        <w:pStyle w:val="BodyText"/>
        <w:spacing w:before="8"/>
        <w:rPr>
          <w:b/>
          <w:sz w:val="16"/>
        </w:rPr>
      </w:pPr>
    </w:p>
    <w:p>
      <w:pPr>
        <w:pStyle w:val="BodyText"/>
        <w:spacing w:line="350" w:lineRule="auto" w:before="1"/>
        <w:ind w:left="226" w:right="80"/>
      </w:pPr>
      <w:r>
        <w:rPr/>
        <w:t>In many countries house price volatility in the six or so years either side of the financial crises of 2007-2008 has been extreme. Figure 1 illustrates the path of real house prices (that is an index of average nominal house values relative to the private consumption deflator). It is clear that there are major differences between countries. In Ireland real house prices have fallen by about 50% since the peak of early 2007. In Spain and in the US the fall has been a bit less extreme, with prices down by about 30% in real terms. In the UK prices are down by about 20%; in France they are barely down at all and in Canada and Germany</w:t>
      </w:r>
    </w:p>
    <w:p>
      <w:pPr>
        <w:pStyle w:val="BodyText"/>
        <w:rPr>
          <w:sz w:val="20"/>
        </w:rPr>
      </w:pPr>
    </w:p>
    <w:p>
      <w:pPr>
        <w:pStyle w:val="BodyText"/>
        <w:spacing w:before="5"/>
        <w:rPr>
          <w:sz w:val="28"/>
        </w:rPr>
      </w:pPr>
      <w:r>
        <w:rPr/>
        <w:pict>
          <v:shape style="position:absolute;margin-left:79.320pt;margin-top:18.560102pt;width:135.5pt;height:.1pt;mso-position-horizontal-relative:page;mso-position-vertical-relative:paragraph;z-index:-251657216;mso-wrap-distance-left:0;mso-wrap-distance-right:0" coordorigin="1586,371" coordsize="2710,0" path="m1586,371l4296,371e" filled="false" stroked="true" strokeweight=".42001pt" strokecolor="#000000">
            <v:path arrowok="t"/>
            <v:stroke dashstyle="solid"/>
            <w10:wrap type="topAndBottom"/>
          </v:shape>
        </w:pict>
      </w:r>
    </w:p>
    <w:p>
      <w:pPr>
        <w:spacing w:before="26"/>
        <w:ind w:left="226" w:right="0" w:firstLine="0"/>
        <w:jc w:val="left"/>
        <w:rPr>
          <w:sz w:val="15"/>
        </w:rPr>
      </w:pPr>
      <w:r>
        <w:rPr>
          <w:position w:val="8"/>
          <w:sz w:val="9"/>
        </w:rPr>
        <w:t>1 </w:t>
      </w:r>
      <w:r>
        <w:rPr>
          <w:sz w:val="15"/>
        </w:rPr>
        <w:t>See, for example, Leamer (2007), Iacoviello (2011), Dynan (2012).</w:t>
      </w:r>
    </w:p>
    <w:p>
      <w:pPr>
        <w:spacing w:after="0"/>
        <w:jc w:val="left"/>
        <w:rPr>
          <w:sz w:val="15"/>
        </w:rPr>
        <w:sectPr>
          <w:footerReference w:type="default" r:id="rId7"/>
          <w:pgSz w:w="12240" w:h="15840"/>
          <w:pgMar w:footer="1240" w:header="0" w:top="1380" w:bottom="1440" w:left="1360" w:right="1480"/>
          <w:pgNumType w:start="2"/>
        </w:sectPr>
      </w:pPr>
    </w:p>
    <w:p>
      <w:pPr>
        <w:pStyle w:val="BodyText"/>
        <w:spacing w:line="352" w:lineRule="auto" w:before="75"/>
        <w:ind w:left="226" w:right="821"/>
      </w:pPr>
      <w:r>
        <w:rPr/>
        <w:t>average home prices have moved on a relatively gentle trajectory not much different from the years immediately before the global banking problems.</w:t>
      </w:r>
    </w:p>
    <w:p>
      <w:pPr>
        <w:pStyle w:val="Heading1"/>
        <w:spacing w:line="216" w:lineRule="exact"/>
      </w:pPr>
      <w:r>
        <w:rPr/>
        <w:t>Figure 1: Real house prices, 2007=100</w:t>
      </w:r>
    </w:p>
    <w:p>
      <w:pPr>
        <w:pStyle w:val="BodyText"/>
        <w:ind w:left="308"/>
        <w:rPr>
          <w:rFonts w:ascii="Calibri"/>
        </w:rPr>
      </w:pPr>
      <w:r>
        <w:rPr/>
        <w:pict>
          <v:group style="position:absolute;margin-left:103.440002pt;margin-top:5.927007pt;width:267.1pt;height:137.5pt;mso-position-horizontal-relative:page;mso-position-vertical-relative:paragraph;z-index:251663360" coordorigin="2069,119" coordsize="5342,2750">
            <v:rect style="position:absolute;left:2068;top:2436;width:60;height:14" filled="true" fillcolor="#868686" stroked="false">
              <v:fill type="solid"/>
            </v:rect>
            <v:line style="position:absolute" from="2129,2444" to="7398,2444" stroked="true" strokeweight=".65997pt" strokecolor="#868686">
              <v:stroke dashstyle="solid"/>
            </v:line>
            <v:shape style="position:absolute;left:2068;top:118;width:60;height:2043" coordorigin="2069,119" coordsize="60,2043" path="m2129,2148l2069,2148,2069,2161,2129,2161,2129,2148m2129,1857l2069,1857,2069,1872,2129,1872,2129,1857m2129,1567l2069,1567,2069,1581,2129,1581,2129,1567m2129,1279l2069,1279,2069,1292,2129,1292,2129,1279m2129,989l2069,989,2069,1002,2129,1002,2129,989m2129,699l2069,699,2069,713,2129,713,2129,699m2129,409l2069,409,2069,422,2129,422,2129,409m2129,119l2069,119,2069,133,2129,133,2129,119e" filled="true" fillcolor="#868686" stroked="false">
              <v:path arrowok="t"/>
              <v:fill type="solid"/>
            </v:shape>
            <v:line style="position:absolute" from="2128,126" to="2128,2868" stroked="true" strokeweight=".66pt" strokecolor="#868686">
              <v:stroke dashstyle="solid"/>
            </v:line>
            <v:line style="position:absolute" from="2534,2444" to="2534,2868" stroked="true" strokeweight=".65999pt" strokecolor="#868686">
              <v:stroke dashstyle="solid"/>
            </v:line>
            <v:line style="position:absolute" from="2939,2444" to="2939,2868" stroked="true" strokeweight=".71999pt" strokecolor="#868686">
              <v:stroke dashstyle="solid"/>
            </v:line>
            <v:line style="position:absolute" from="3344,2444" to="3344,2868" stroked="true" strokeweight=".72pt" strokecolor="#868686">
              <v:stroke dashstyle="solid"/>
            </v:line>
            <v:shape style="position:absolute;left:3749;top:2444;width:406;height:424" coordorigin="3749,2444" coordsize="406,424" path="m3749,2444l3749,2868m4155,2444l4155,2868e" filled="false" stroked="true" strokeweight=".66pt" strokecolor="#868686">
              <v:path arrowok="t"/>
              <v:stroke dashstyle="solid"/>
            </v:shape>
            <v:line style="position:absolute" from="4561,2444" to="4561,2868" stroked="true" strokeweight=".72pt" strokecolor="#868686">
              <v:stroke dashstyle="solid"/>
            </v:line>
            <v:line style="position:absolute" from="4966,2444" to="4966,2868" stroked="true" strokeweight=".66pt" strokecolor="#868686">
              <v:stroke dashstyle="solid"/>
            </v:line>
            <v:shape style="position:absolute;left:5371;top:2444;width:406;height:424" coordorigin="5372,2444" coordsize="406,424" path="m5372,2444l5372,2868m5777,2444l5777,2868e" filled="false" stroked="true" strokeweight=".66pt" strokecolor="#868686">
              <v:path arrowok="t"/>
              <v:stroke dashstyle="solid"/>
            </v:shape>
            <v:line style="position:absolute" from="6182,2444" to="6182,2868" stroked="true" strokeweight=".72pt" strokecolor="#868686">
              <v:stroke dashstyle="solid"/>
            </v:line>
            <v:shape style="position:absolute;left:6587;top:2444;width:812;height:424" coordorigin="6587,2444" coordsize="812,424" path="m6587,2444l6587,2868m6993,2444l6993,2868m7399,2444l7399,2868e" filled="false" stroked="true" strokeweight=".66pt" strokecolor="#868686">
              <v:path arrowok="t"/>
              <v:stroke dashstyle="solid"/>
            </v:shape>
            <v:shape style="position:absolute;left:2308;top:612;width:4910;height:834" coordorigin="2309,613" coordsize="4910,834" path="m5160,726l5561,1028,5563,1031,5564,1031,5567,1032,5972,1176,6379,1295,6782,1446,6786,1447,6792,1447,7198,1412,7210,1411,7213,1407,6797,1407,6788,1406,6793,1406,6390,1255,5987,1137,5591,996,5586,996,5581,992,5581,992,5231,727,5165,727,5160,726xm4768,613l4759,613,4354,707,4350,707,4349,708,3944,901,3540,1069,3542,1069,3137,1169,2731,1283,2327,1387,2315,1389,2309,1401,2311,1412,2315,1423,2326,1430,2336,1428,2742,1323,3148,1208,3552,1109,3556,1109,3961,939,4367,745,4374,745,4761,655,4759,655,4768,654,4997,654,4768,613xm6793,1406l6788,1406,6797,1407,6793,1406xm7206,1370l7194,1370,6793,1406,6797,1407,7213,1407,7218,1401,7217,1389,7216,1379,7206,1370xm5581,992l5586,996,5581,992,5581,992xm5581,992l5586,996,5591,996,5581,992xm5581,992l5581,992,5581,992,5581,992xm4374,745l4367,745,4363,747,4374,745xm5156,723l5160,726,5165,727,5156,723xm5226,723l5156,723,5165,727,5231,727,5226,723xm4997,654l4768,654,4761,655,5160,726,5156,723,5226,723,5182,690,5178,687,5176,686,5172,685,4997,654xm4768,654l4759,655,4761,655,4768,654xe" filled="true" fillcolor="#d9b1b0" stroked="false">
              <v:path arrowok="t"/>
              <v:fill type="solid"/>
            </v:shape>
            <v:shape style="position:absolute;left:2308;top:684;width:4912;height:1413" coordorigin="2309,685" coordsize="4912,1413" path="m5563,937l5966,1268,6373,1536,6778,1835,7195,2097,7207,2094,7214,2084,7220,2075,7217,2061,6803,1801,6396,1500,5993,1237,5630,938,5564,938,5563,937xm3138,1655l2734,1683,2328,1759,2316,1761,2309,1772,2311,1784,2314,1795,2324,1802,2335,1800,2741,1724,3144,1697,3146,1697,3149,1695,3151,1695,3234,1657,3133,1657,3138,1655xm3140,1655l3138,1655,3133,1657,3140,1655xm3239,1655l3140,1655,3133,1657,3234,1657,3239,1655xm4351,1124l3943,1272,3539,1471,3138,1655,3140,1655,3239,1655,3556,1508,3962,1310,4366,1164,4367,1163,4369,1163,4370,1161,4417,1128,4346,1128,4351,1124xm5173,685l5167,685,5161,686,4757,833,4754,833,4753,834,4751,835,4346,1128,4417,1128,4773,871,4770,871,4776,869,4777,869,5167,729,5159,725,5249,725,5178,687,5173,685xm5561,936l5563,937,5564,938,5561,936xm5627,936l5561,936,5564,938,5630,938,5627,936xm5249,725l5159,725,5176,726,5167,729,5563,937,5561,936,5627,936,5587,903,5586,902,5585,902,5584,901,5249,725xm4776,869l4770,871,4775,869,4776,869xm4775,869l4770,871,4773,871,4775,869xm4777,869l4776,869,4775,869,4777,869xm5159,725l5167,729,5176,726,5159,725xe" filled="true" fillcolor="#8ead4e" stroked="false">
              <v:path arrowok="t"/>
              <v:fill type="solid"/>
            </v:shape>
            <v:shape style="position:absolute;left:2308;top:684;width:4912;height:1442" coordorigin="2309,685" coordsize="4912,1442" path="m2730,1986l2327,2083,2316,2087,2309,2097,2311,2108,2314,2120,2326,2126,2336,2124,2742,2027,2743,2027,2746,2025,2747,2025,2816,1988,2726,1988,2730,1986xm2732,1986l2730,1986,2726,1988,2732,1986xm2820,1986l2732,1986,2726,1988,2816,1988,2820,1986xm5171,685l5166,685,4760,749,4758,749,4757,750,4756,750,4350,915,4348,915,4346,917,3941,1176,3132,1770,2730,1986,2732,1986,2820,1986,3152,1806,3965,1209,4369,951,4371,951,4771,788,4782,788,5167,728,5164,727,5350,727,5173,686,5171,685xm6374,1146l6780,1363,7195,1622,7208,1619,7220,1599,7217,1586,6799,1327,6466,1147,6378,1147,6374,1146xm5567,820l5970,1003,6378,1147,6466,1147,6395,1109,6394,1109,6392,1107,6391,1107,5988,965,5670,821,5569,821,5567,820xm4371,951l4369,951,4366,954,4371,951xm5566,819l5567,820,5569,821,5566,819xm5667,819l5566,819,5569,821,5670,821,5667,819xm5350,727l5172,727,5167,728,5567,820,5566,819,5667,819,5582,781,5581,780,5579,780,5350,727xm4782,788l4771,788,4766,791,4782,788xm5172,727l5164,727,5167,728,5172,727xe" filled="true" fillcolor="#9785b0" stroked="false">
              <v:path arrowok="t"/>
              <v:fill type="solid"/>
            </v:shape>
            <v:shape style="position:absolute;left:2308;top:684;width:4910;height:1293" coordorigin="2309,685" coordsize="4910,1293" path="m2729,1822l2326,1934,2315,1938,2309,1950,2311,1961,2315,1971,2326,1977,2338,1975,2742,1862,2744,1861,2747,1861,2748,1860,2806,1824,2726,1824,2729,1822xm2731,1821l2729,1822,2726,1824,2731,1821xm2810,1821l2731,1821,2726,1824,2806,1824,2810,1821xm4757,904l4355,993,3949,1068,3947,1069,3944,1069,3943,1070,3535,1296,3131,1572,2729,1822,2731,1821,2810,1821,3154,1607,3559,1331,3958,1110,3956,1110,3962,1107,3969,1107,4362,1035,4768,944,4770,944,4771,943,4774,943,4842,906,4753,906,4757,904xm6509,1013l6378,1013,6389,1014,6384,1015,6784,1149,6785,1149,6787,1151,6788,1151,7195,1175,7206,1175,7217,1166,7217,1154,7218,1143,7208,1133,7198,1133,6811,1110,6797,1110,6791,1109,6793,1109,6509,1013xm3962,1107l3956,1110,3959,1109,3962,1107xm3959,1109l3956,1110,3958,1110,3959,1109xm6791,1109l6797,1110,6794,1109,6791,1109xm6794,1109l6797,1110,6811,1110,6794,1109xm3969,1107l3962,1107,3959,1109,3969,1107xm6793,1109l6791,1109,6794,1109,6793,1109xm5566,846l5968,1099,5972,1101,5978,1103,5983,1101,6161,1063,5990,1063,5975,1061,5984,1059,5644,847,5568,847,5566,846xm5984,1059l5975,1061,5990,1063,5984,1059xm6388,972l6384,972,6380,973,5984,1059,5990,1063,6161,1063,6384,1015,6378,1013,6509,1013,6388,972xm6378,1013l6384,1015,6389,1014,6378,1013xm4759,903l4757,904,4753,906,4759,903xm4847,903l4759,903,4753,906,4842,906,4847,903xm5170,685l5164,685,5159,687,4757,904,4759,903,4847,903,5171,728,5162,726,5178,725,5303,725,5174,686,5170,685xm5563,845l5566,846,5568,847,5563,845xm5641,845l5563,845,5568,847,5644,847,5641,845xm5303,725l5178,725,5171,728,5566,846,5563,845,5641,845,5585,810,5584,809,5581,807,5580,807,5303,725xm5178,725l5162,726,5171,728,5178,725xe" filled="true" fillcolor="#b0bfd8" stroked="false">
              <v:path arrowok="t"/>
              <v:fill type="solid"/>
            </v:shape>
            <v:shape style="position:absolute;left:2310;top:254;width:4910;height:1586" coordorigin="2310,254" coordsize="4910,1586" path="m2733,1759l2329,1796,2318,1797,2310,1807,2312,1831,2322,1839,2738,1801,2741,1801,2742,1800,2743,1800,2857,1760,2730,1760,2733,1759xm2735,1759l2733,1759,2730,1760,2735,1759xm2860,1759l2735,1759,2730,1760,2857,1760,2860,1759xm4431,1190l4351,1190,3540,1466,3136,1619,2733,1759,2735,1759,2860,1759,3149,1658,3554,1506,4364,1230,4367,1229,4368,1229,4369,1227,4431,1190xm5575,573l5572,573,5568,575,5164,686,5161,686,5159,687,5158,689,4752,947,4348,1191,4351,1190,4431,1190,4774,983,5177,726,5174,726,5180,723,5183,723,5575,616,5569,614,5748,614,5579,575,5575,573xm5180,723l5174,726,5178,725,5180,723xm5178,725l5174,726,5177,726,5178,725xm5183,723l5180,723,5178,725,5183,723xm5748,614l5580,614,5575,616,5975,709,5980,710,5984,710,5989,708,6060,671,5970,671,5976,667,5748,614xm5976,667l5970,671,5984,669,5976,667xm7201,254l7190,257,6786,371,6380,457,6377,457,6374,458,5976,667,5984,669,5970,671,6060,671,6390,498,6389,498,6395,495,6400,495,6794,411,7202,297,7213,294,7219,283,7217,271,7213,260,7201,254xm5580,614l5569,614,5575,616,5580,614xm6395,495l6389,498,6391,497,6395,495xm6391,497l6389,498,6390,498,6391,497xm6400,495l6395,495,6391,497,6400,495xe" filled="true" fillcolor="#386192" stroked="false">
              <v:path arrowok="t"/>
              <v:fill type="solid"/>
            </v:shape>
            <v:shape style="position:absolute;left:2308;top:684;width:4911;height:1356" coordorigin="2309,685" coordsize="4911,1356" path="m3539,1605l3136,1782,2732,1903,2327,1998,2316,2000,2309,2011,2311,2023,2314,2034,2326,2041,2336,2039,2742,1944,3148,1821,3556,1644,3558,1644,3558,1643,3614,1608,3536,1608,3539,1605xm5172,685l5166,685,5162,686,4757,809,4756,809,4754,810,4752,810,4345,1058,3942,1356,3536,1608,3614,1608,3964,1391,4370,1092,4771,848,4769,848,4775,846,4777,846,5169,727,5166,727,5174,726,5471,726,5172,685xm5567,781l5970,967,5980,969,5984,968,6137,929,5988,929,5974,927,5981,925,5669,782,5572,782,5567,781xm5981,925l5974,927,5988,929,5981,925xm6791,716l6787,717,6785,717,5981,925,5988,929,6137,929,6792,759,6786,758,7054,758,6793,717,6791,716xm4775,846l4769,848,4773,847,4775,846xm4773,847l4769,848,4771,848,4773,847xm4777,846l4775,846,4773,847,4777,846xm7054,758l6796,758,6792,759,7193,823,7205,824,7216,817,7217,805,7219,794,7211,783,7200,781,7054,758xm5566,781l5567,781,5572,782,5566,781xm5666,781l5566,781,5572,782,5669,782,5666,781xm5471,726l5174,726,5169,727,5567,781,5566,781,5666,781,5582,743,5581,741,5579,741,5576,740,5471,726xm6796,758l6786,758,6792,759,6796,758xm5174,726l5166,727,5169,727,5174,726xe" filled="true" fillcolor="#c17230" stroked="false">
              <v:path arrowok="t"/>
              <v:fill type="solid"/>
            </v:shape>
            <v:shape style="position:absolute;left:2308;top:146;width:4911;height:610" coordorigin="2309,146" coordsize="4911,610" path="m2865,253l2730,253,3136,385,3948,576,4352,685,4356,685,4762,715,5168,727,5573,756,6385,722,6389,722,6420,715,5575,715,5170,685,4765,673,4376,644,4363,644,3958,536,3149,345,2865,253xm6384,680l5575,715,6420,715,6566,681,6380,681,6384,680xm7202,475l7190,479,6785,588,6380,681,6566,681,6794,629,7201,518,7213,516,7219,504,7217,493,7213,482,7202,475xm4360,643l4363,644,4376,644,4360,643xm2323,146l2312,155,2311,165,2309,177,2317,187,2328,189,2734,254,2730,253,2865,253,2743,213,2742,213,2741,212,2740,212,2335,149,2323,146xe" filled="true" fillcolor="#953937" stroked="false">
              <v:path arrowok="t"/>
              <v:fill type="solid"/>
            </v:shape>
            <v:line style="position:absolute" from="3420,1820" to="3823,1820" stroked="true" strokeweight="2.1pt" strokecolor="#d9b1b0">
              <v:stroke dashstyle="solid"/>
            </v:line>
            <v:line style="position:absolute" from="5336,1820" to="5740,1820" stroked="true" strokeweight="2.1pt" strokecolor="#8ead4e">
              <v:stroke dashstyle="solid"/>
            </v:line>
            <v:line style="position:absolute" from="3420,2055" to="3823,2055" stroked="true" strokeweight="2.1pt" strokecolor="#9785b0">
              <v:stroke dashstyle="solid"/>
            </v:line>
            <v:line style="position:absolute" from="5336,2055" to="5740,2055" stroked="true" strokeweight="2.1pt" strokecolor="#b0bfd8">
              <v:stroke dashstyle="solid"/>
            </v:line>
            <v:line style="position:absolute" from="3420,2289" to="3823,2289" stroked="true" strokeweight="2.1pt" strokecolor="#386192">
              <v:stroke dashstyle="solid"/>
            </v:line>
            <v:line style="position:absolute" from="5336,2289" to="5740,2289" stroked="true" strokeweight="2.1pt" strokecolor="#c17230">
              <v:stroke dashstyle="solid"/>
            </v:line>
            <v:shape style="position:absolute;left:3840;top:1732;width:1051;height:658" type="#_x0000_t202" filled="false" stroked="false">
              <v:textbox inset="0,0,0,0">
                <w:txbxContent>
                  <w:p>
                    <w:pPr>
                      <w:spacing w:line="192" w:lineRule="exact" w:before="0"/>
                      <w:ind w:left="0" w:right="0" w:firstLine="0"/>
                      <w:jc w:val="left"/>
                      <w:rPr>
                        <w:rFonts w:ascii="Calibri"/>
                        <w:sz w:val="19"/>
                      </w:rPr>
                    </w:pPr>
                    <w:r>
                      <w:rPr>
                        <w:rFonts w:ascii="Calibri"/>
                        <w:sz w:val="19"/>
                      </w:rPr>
                      <w:t>United States</w:t>
                    </w:r>
                  </w:p>
                  <w:p>
                    <w:pPr>
                      <w:spacing w:line="242" w:lineRule="auto" w:before="3"/>
                      <w:ind w:left="0" w:right="75" w:firstLine="0"/>
                      <w:jc w:val="left"/>
                      <w:rPr>
                        <w:rFonts w:ascii="Calibri"/>
                        <w:sz w:val="19"/>
                      </w:rPr>
                    </w:pPr>
                    <w:r>
                      <w:rPr>
                        <w:rFonts w:ascii="Calibri"/>
                        <w:sz w:val="19"/>
                      </w:rPr>
                      <w:t>Spain Canada</w:t>
                    </w:r>
                  </w:p>
                </w:txbxContent>
              </v:textbox>
              <w10:wrap type="none"/>
            </v:shape>
            <v:shape style="position:absolute;left:5757;top:1732;width:1258;height:658" type="#_x0000_t202" filled="false" stroked="false">
              <v:textbox inset="0,0,0,0">
                <w:txbxContent>
                  <w:p>
                    <w:pPr>
                      <w:spacing w:line="192" w:lineRule="exact" w:before="0"/>
                      <w:ind w:left="0" w:right="0" w:firstLine="0"/>
                      <w:jc w:val="left"/>
                      <w:rPr>
                        <w:rFonts w:ascii="Calibri"/>
                        <w:sz w:val="19"/>
                      </w:rPr>
                    </w:pPr>
                    <w:r>
                      <w:rPr>
                        <w:rFonts w:ascii="Calibri"/>
                        <w:sz w:val="19"/>
                      </w:rPr>
                      <w:t>Ireland</w:t>
                    </w:r>
                  </w:p>
                  <w:p>
                    <w:pPr>
                      <w:spacing w:line="242" w:lineRule="auto" w:before="3"/>
                      <w:ind w:left="0" w:right="9" w:firstLine="0"/>
                      <w:jc w:val="left"/>
                      <w:rPr>
                        <w:rFonts w:ascii="Calibri"/>
                        <w:sz w:val="19"/>
                      </w:rPr>
                    </w:pPr>
                    <w:r>
                      <w:rPr>
                        <w:rFonts w:ascii="Calibri"/>
                        <w:sz w:val="19"/>
                      </w:rPr>
                      <w:t>United </w:t>
                    </w:r>
                    <w:r>
                      <w:rPr>
                        <w:rFonts w:ascii="Calibri"/>
                        <w:spacing w:val="-3"/>
                        <w:sz w:val="19"/>
                      </w:rPr>
                      <w:t>Kingdom </w:t>
                    </w:r>
                    <w:r>
                      <w:rPr>
                        <w:rFonts w:ascii="Calibri"/>
                        <w:sz w:val="19"/>
                      </w:rPr>
                      <w:t>France</w:t>
                    </w:r>
                  </w:p>
                </w:txbxContent>
              </v:textbox>
              <w10:wrap type="none"/>
            </v:shape>
            <v:shape style="position:absolute;left:2140;top:2662;width:5270;height:189" type="#_x0000_t202" filled="false" stroked="false">
              <v:textbox inset="0,0,0,0">
                <w:txbxContent>
                  <w:p>
                    <w:pPr>
                      <w:spacing w:line="189" w:lineRule="exact" w:before="0"/>
                      <w:ind w:left="0" w:right="0" w:firstLine="0"/>
                      <w:jc w:val="left"/>
                      <w:rPr>
                        <w:rFonts w:ascii="Calibri"/>
                        <w:sz w:val="19"/>
                      </w:rPr>
                    </w:pPr>
                    <w:r>
                      <w:rPr>
                        <w:rFonts w:ascii="Calibri"/>
                        <w:w w:val="95"/>
                        <w:sz w:val="19"/>
                      </w:rPr>
                      <w:t>2000200120022003200420052006200720082009201020112012</w:t>
                    </w:r>
                  </w:p>
                </w:txbxContent>
              </v:textbox>
              <w10:wrap type="none"/>
            </v:shape>
            <w10:wrap type="none"/>
          </v:group>
        </w:pict>
      </w:r>
      <w:r>
        <w:rPr>
          <w:rFonts w:ascii="Calibri"/>
        </w:rPr>
        <w:t>120</w:t>
      </w:r>
    </w:p>
    <w:p>
      <w:pPr>
        <w:pStyle w:val="BodyText"/>
        <w:spacing w:before="58"/>
        <w:ind w:left="308"/>
        <w:rPr>
          <w:rFonts w:ascii="Calibri"/>
        </w:rPr>
      </w:pPr>
      <w:r>
        <w:rPr>
          <w:rFonts w:ascii="Calibri"/>
        </w:rPr>
        <w:t>110</w:t>
      </w:r>
    </w:p>
    <w:p>
      <w:pPr>
        <w:pStyle w:val="BodyText"/>
        <w:spacing w:before="58"/>
        <w:ind w:left="308"/>
        <w:rPr>
          <w:rFonts w:ascii="Calibri"/>
        </w:rPr>
      </w:pPr>
      <w:r>
        <w:rPr>
          <w:rFonts w:ascii="Calibri"/>
        </w:rPr>
        <w:t>100</w:t>
      </w:r>
    </w:p>
    <w:p>
      <w:pPr>
        <w:pStyle w:val="BodyText"/>
        <w:spacing w:before="57"/>
        <w:ind w:left="402"/>
        <w:rPr>
          <w:rFonts w:ascii="Calibri"/>
        </w:rPr>
      </w:pPr>
      <w:r>
        <w:rPr>
          <w:rFonts w:ascii="Calibri"/>
        </w:rPr>
        <w:t>90</w:t>
      </w:r>
    </w:p>
    <w:p>
      <w:pPr>
        <w:pStyle w:val="BodyText"/>
        <w:spacing w:before="58"/>
        <w:ind w:left="402"/>
        <w:rPr>
          <w:rFonts w:ascii="Calibri"/>
        </w:rPr>
      </w:pPr>
      <w:r>
        <w:rPr>
          <w:rFonts w:ascii="Calibri"/>
        </w:rPr>
        <w:t>80</w:t>
      </w:r>
    </w:p>
    <w:p>
      <w:pPr>
        <w:pStyle w:val="BodyText"/>
        <w:spacing w:before="58"/>
        <w:ind w:left="402"/>
        <w:rPr>
          <w:rFonts w:ascii="Calibri"/>
        </w:rPr>
      </w:pPr>
      <w:r>
        <w:rPr>
          <w:rFonts w:ascii="Calibri"/>
        </w:rPr>
        <w:t>70</w:t>
      </w:r>
    </w:p>
    <w:p>
      <w:pPr>
        <w:pStyle w:val="BodyText"/>
        <w:spacing w:before="57"/>
        <w:ind w:left="402"/>
        <w:rPr>
          <w:rFonts w:ascii="Calibri"/>
        </w:rPr>
      </w:pPr>
      <w:r>
        <w:rPr>
          <w:rFonts w:ascii="Calibri"/>
        </w:rPr>
        <w:t>60</w:t>
      </w:r>
    </w:p>
    <w:p>
      <w:pPr>
        <w:pStyle w:val="BodyText"/>
        <w:spacing w:before="59"/>
        <w:ind w:left="402"/>
        <w:rPr>
          <w:rFonts w:ascii="Calibri"/>
        </w:rPr>
      </w:pPr>
      <w:r>
        <w:rPr>
          <w:rFonts w:ascii="Calibri"/>
        </w:rPr>
        <w:t>50</w:t>
      </w:r>
    </w:p>
    <w:p>
      <w:pPr>
        <w:pStyle w:val="BodyText"/>
        <w:spacing w:before="57"/>
        <w:ind w:left="402"/>
        <w:rPr>
          <w:rFonts w:ascii="Calibri"/>
        </w:rPr>
      </w:pPr>
      <w:r>
        <w:rPr>
          <w:rFonts w:ascii="Calibri"/>
        </w:rPr>
        <w:t>40</w:t>
      </w:r>
    </w:p>
    <w:p>
      <w:pPr>
        <w:pStyle w:val="BodyText"/>
        <w:spacing w:before="4"/>
        <w:rPr>
          <w:rFonts w:ascii="Calibri"/>
          <w:sz w:val="28"/>
        </w:rPr>
      </w:pPr>
    </w:p>
    <w:p>
      <w:pPr>
        <w:spacing w:before="95"/>
        <w:ind w:left="226" w:right="0" w:firstLine="0"/>
        <w:jc w:val="left"/>
        <w:rPr>
          <w:sz w:val="15"/>
        </w:rPr>
      </w:pPr>
      <w:r>
        <w:rPr>
          <w:sz w:val="15"/>
        </w:rPr>
        <w:t>Sources: OECD Economic Outlook 93 (database), Bank of England calculations.</w:t>
      </w:r>
    </w:p>
    <w:p>
      <w:pPr>
        <w:spacing w:before="2"/>
        <w:ind w:left="226" w:right="0" w:firstLine="0"/>
        <w:jc w:val="left"/>
        <w:rPr>
          <w:sz w:val="15"/>
        </w:rPr>
      </w:pPr>
      <w:r>
        <w:rPr>
          <w:sz w:val="15"/>
        </w:rPr>
        <w:t>Note: The underlying data are percentage changes on previous year of house prices deflated by the private consumption deflator.</w:t>
      </w:r>
    </w:p>
    <w:p>
      <w:pPr>
        <w:pStyle w:val="BodyText"/>
        <w:rPr>
          <w:sz w:val="16"/>
        </w:rPr>
      </w:pPr>
    </w:p>
    <w:p>
      <w:pPr>
        <w:pStyle w:val="BodyText"/>
        <w:spacing w:before="7"/>
        <w:rPr>
          <w:sz w:val="20"/>
        </w:rPr>
      </w:pPr>
    </w:p>
    <w:p>
      <w:pPr>
        <w:pStyle w:val="BodyText"/>
        <w:spacing w:line="350" w:lineRule="auto"/>
        <w:ind w:left="226" w:right="105"/>
      </w:pPr>
      <w:r>
        <w:rPr/>
        <w:t>Figures 2 and 3 show what has happened to construction activity. In Spain and Ireland construction in the years</w:t>
      </w:r>
      <w:r>
        <w:rPr>
          <w:spacing w:val="-7"/>
        </w:rPr>
        <w:t> </w:t>
      </w:r>
      <w:r>
        <w:rPr/>
        <w:t>before</w:t>
      </w:r>
      <w:r>
        <w:rPr>
          <w:spacing w:val="-8"/>
        </w:rPr>
        <w:t> </w:t>
      </w:r>
      <w:r>
        <w:rPr/>
        <w:t>the</w:t>
      </w:r>
      <w:r>
        <w:rPr>
          <w:spacing w:val="-7"/>
        </w:rPr>
        <w:t> </w:t>
      </w:r>
      <w:r>
        <w:rPr/>
        <w:t>financial</w:t>
      </w:r>
      <w:r>
        <w:rPr>
          <w:spacing w:val="-8"/>
        </w:rPr>
        <w:t> </w:t>
      </w:r>
      <w:r>
        <w:rPr/>
        <w:t>crisis</w:t>
      </w:r>
      <w:r>
        <w:rPr>
          <w:spacing w:val="-6"/>
        </w:rPr>
        <w:t> </w:t>
      </w:r>
      <w:r>
        <w:rPr/>
        <w:t>was</w:t>
      </w:r>
      <w:r>
        <w:rPr>
          <w:spacing w:val="-6"/>
        </w:rPr>
        <w:t> </w:t>
      </w:r>
      <w:r>
        <w:rPr/>
        <w:t>high</w:t>
      </w:r>
      <w:r>
        <w:rPr>
          <w:spacing w:val="-8"/>
        </w:rPr>
        <w:t> </w:t>
      </w:r>
      <w:r>
        <w:rPr/>
        <w:t>relative</w:t>
      </w:r>
      <w:r>
        <w:rPr>
          <w:spacing w:val="-7"/>
        </w:rPr>
        <w:t> </w:t>
      </w:r>
      <w:r>
        <w:rPr/>
        <w:t>to</w:t>
      </w:r>
      <w:r>
        <w:rPr>
          <w:spacing w:val="-8"/>
        </w:rPr>
        <w:t> </w:t>
      </w:r>
      <w:r>
        <w:rPr/>
        <w:t>GDP</w:t>
      </w:r>
      <w:r>
        <w:rPr>
          <w:spacing w:val="-6"/>
        </w:rPr>
        <w:t> </w:t>
      </w:r>
      <w:r>
        <w:rPr/>
        <w:t>and</w:t>
      </w:r>
      <w:r>
        <w:rPr>
          <w:spacing w:val="-7"/>
        </w:rPr>
        <w:t> </w:t>
      </w:r>
      <w:r>
        <w:rPr/>
        <w:t>rising;</w:t>
      </w:r>
      <w:r>
        <w:rPr>
          <w:spacing w:val="-9"/>
        </w:rPr>
        <w:t> </w:t>
      </w:r>
      <w:r>
        <w:rPr/>
        <w:t>since</w:t>
      </w:r>
      <w:r>
        <w:rPr>
          <w:spacing w:val="-7"/>
        </w:rPr>
        <w:t> </w:t>
      </w:r>
      <w:r>
        <w:rPr/>
        <w:t>2007</w:t>
      </w:r>
      <w:r>
        <w:rPr>
          <w:spacing w:val="-8"/>
        </w:rPr>
        <w:t> </w:t>
      </w:r>
      <w:r>
        <w:rPr/>
        <w:t>it</w:t>
      </w:r>
      <w:r>
        <w:rPr>
          <w:spacing w:val="-7"/>
        </w:rPr>
        <w:t> </w:t>
      </w:r>
      <w:r>
        <w:rPr/>
        <w:t>has</w:t>
      </w:r>
      <w:r>
        <w:rPr>
          <w:spacing w:val="-7"/>
        </w:rPr>
        <w:t> </w:t>
      </w:r>
      <w:r>
        <w:rPr/>
        <w:t>collapsed.</w:t>
      </w:r>
      <w:r>
        <w:rPr>
          <w:spacing w:val="39"/>
        </w:rPr>
        <w:t> </w:t>
      </w:r>
      <w:r>
        <w:rPr/>
        <w:t>The</w:t>
      </w:r>
      <w:r>
        <w:rPr>
          <w:spacing w:val="-8"/>
        </w:rPr>
        <w:t> </w:t>
      </w:r>
      <w:r>
        <w:rPr/>
        <w:t>picture is</w:t>
      </w:r>
      <w:r>
        <w:rPr>
          <w:spacing w:val="-7"/>
        </w:rPr>
        <w:t> </w:t>
      </w:r>
      <w:r>
        <w:rPr/>
        <w:t>less</w:t>
      </w:r>
      <w:r>
        <w:rPr>
          <w:spacing w:val="-7"/>
        </w:rPr>
        <w:t> </w:t>
      </w:r>
      <w:r>
        <w:rPr/>
        <w:t>dramatic</w:t>
      </w:r>
      <w:r>
        <w:rPr>
          <w:spacing w:val="-7"/>
        </w:rPr>
        <w:t> </w:t>
      </w:r>
      <w:r>
        <w:rPr/>
        <w:t>in</w:t>
      </w:r>
      <w:r>
        <w:rPr>
          <w:spacing w:val="-7"/>
        </w:rPr>
        <w:t> </w:t>
      </w:r>
      <w:r>
        <w:rPr/>
        <w:t>other</w:t>
      </w:r>
      <w:r>
        <w:rPr>
          <w:spacing w:val="-7"/>
        </w:rPr>
        <w:t> </w:t>
      </w:r>
      <w:r>
        <w:rPr/>
        <w:t>countries</w:t>
      </w:r>
      <w:r>
        <w:rPr>
          <w:spacing w:val="-6"/>
        </w:rPr>
        <w:t> </w:t>
      </w:r>
      <w:r>
        <w:rPr/>
        <w:t>though</w:t>
      </w:r>
      <w:r>
        <w:rPr>
          <w:spacing w:val="-7"/>
        </w:rPr>
        <w:t> </w:t>
      </w:r>
      <w:r>
        <w:rPr/>
        <w:t>in</w:t>
      </w:r>
      <w:r>
        <w:rPr>
          <w:spacing w:val="-7"/>
        </w:rPr>
        <w:t> </w:t>
      </w:r>
      <w:r>
        <w:rPr/>
        <w:t>most</w:t>
      </w:r>
      <w:r>
        <w:rPr>
          <w:spacing w:val="-6"/>
        </w:rPr>
        <w:t> </w:t>
      </w:r>
      <w:r>
        <w:rPr/>
        <w:t>cases</w:t>
      </w:r>
      <w:r>
        <w:rPr>
          <w:spacing w:val="-6"/>
        </w:rPr>
        <w:t> </w:t>
      </w:r>
      <w:r>
        <w:rPr/>
        <w:t>there</w:t>
      </w:r>
      <w:r>
        <w:rPr>
          <w:spacing w:val="-6"/>
        </w:rPr>
        <w:t> </w:t>
      </w:r>
      <w:r>
        <w:rPr/>
        <w:t>was</w:t>
      </w:r>
      <w:r>
        <w:rPr>
          <w:spacing w:val="-5"/>
        </w:rPr>
        <w:t> </w:t>
      </w:r>
      <w:r>
        <w:rPr/>
        <w:t>a</w:t>
      </w:r>
      <w:r>
        <w:rPr>
          <w:spacing w:val="-8"/>
        </w:rPr>
        <w:t> </w:t>
      </w:r>
      <w:r>
        <w:rPr/>
        <w:t>substantial</w:t>
      </w:r>
      <w:r>
        <w:rPr>
          <w:spacing w:val="-5"/>
        </w:rPr>
        <w:t> </w:t>
      </w:r>
      <w:r>
        <w:rPr/>
        <w:t>decline</w:t>
      </w:r>
      <w:r>
        <w:rPr>
          <w:spacing w:val="-7"/>
        </w:rPr>
        <w:t> </w:t>
      </w:r>
      <w:r>
        <w:rPr/>
        <w:t>in</w:t>
      </w:r>
      <w:r>
        <w:rPr>
          <w:spacing w:val="-7"/>
        </w:rPr>
        <w:t> </w:t>
      </w:r>
      <w:r>
        <w:rPr/>
        <w:t>new</w:t>
      </w:r>
      <w:r>
        <w:rPr>
          <w:spacing w:val="-8"/>
        </w:rPr>
        <w:t> </w:t>
      </w:r>
      <w:r>
        <w:rPr/>
        <w:t>building</w:t>
      </w:r>
      <w:r>
        <w:rPr>
          <w:spacing w:val="-7"/>
        </w:rPr>
        <w:t> </w:t>
      </w:r>
      <w:r>
        <w:rPr/>
        <w:t>in</w:t>
      </w:r>
      <w:r>
        <w:rPr>
          <w:spacing w:val="-7"/>
        </w:rPr>
        <w:t> </w:t>
      </w:r>
      <w:r>
        <w:rPr/>
        <w:t>the years after the financial crisis. In the US activity fell sharply but has since</w:t>
      </w:r>
      <w:r>
        <w:rPr>
          <w:spacing w:val="-32"/>
        </w:rPr>
        <w:t> </w:t>
      </w:r>
      <w:r>
        <w:rPr/>
        <w:t>revived.</w:t>
      </w:r>
    </w:p>
    <w:p>
      <w:pPr>
        <w:pStyle w:val="BodyText"/>
        <w:rPr>
          <w:sz w:val="28"/>
        </w:rPr>
      </w:pPr>
    </w:p>
    <w:p>
      <w:pPr>
        <w:pStyle w:val="BodyText"/>
        <w:ind w:left="226"/>
      </w:pPr>
      <w:r>
        <w:rPr>
          <w:b/>
        </w:rPr>
        <w:t>Figure 2: </w:t>
      </w:r>
      <w:r>
        <w:rPr/>
        <w:t>Construction, relative to total economic activity</w:t>
      </w:r>
    </w:p>
    <w:p>
      <w:pPr>
        <w:pStyle w:val="BodyText"/>
        <w:spacing w:before="23"/>
        <w:ind w:left="291"/>
        <w:rPr>
          <w:rFonts w:ascii="Calibri"/>
        </w:rPr>
      </w:pPr>
      <w:r>
        <w:rPr/>
        <w:pict>
          <v:group style="position:absolute;margin-left:104.580002pt;margin-top:7.137621pt;width:263.6pt;height:109.95pt;mso-position-horizontal-relative:page;mso-position-vertical-relative:paragraph;z-index:251664384" coordorigin="2092,143" coordsize="5272,2199">
            <v:line style="position:absolute" from="2151,150" to="2151,2341" stroked="true" strokeweight=".66pt" strokecolor="#868686">
              <v:stroke dashstyle="solid"/>
            </v:line>
            <v:shape style="position:absolute;left:2091;top:142;width:59;height:2145" coordorigin="2092,143" coordsize="59,2145" path="m2150,2274l2092,2274,2092,2287,2150,2287,2150,2274m2150,2008l2092,2008,2092,2021,2150,2021,2150,2008m2150,1741l2092,1741,2092,1754,2150,1754,2150,1741m2150,1475l2092,1475,2092,1488,2150,1488,2150,1475m2150,1208l2092,1208,2092,1222,2150,1222,2150,1208m2150,942l2092,942,2092,955,2150,955,2150,942m2150,676l2092,676,2092,689,2150,689,2150,676m2150,409l2092,409,2092,422,2150,422,2150,409m2150,143l2092,143,2092,156,2150,156,2150,143e" filled="true" fillcolor="#868686" stroked="false">
              <v:path arrowok="t"/>
              <v:fill type="solid"/>
            </v:shape>
            <v:line style="position:absolute" from="2150,2281" to="7356,2281" stroked="true" strokeweight=".65997pt" strokecolor="#868686">
              <v:stroke dashstyle="solid"/>
            </v:line>
            <v:shape style="position:absolute;left:2545;top:2281;width:4818;height:60" coordorigin="2545,2281" coordsize="4818,60" path="m2558,2281l2545,2281,2545,2341,2558,2341,2558,2281m2958,2281l2945,2281,2945,2341,2958,2341,2958,2281m3359,2281l3346,2281,3346,2341,3359,2341,3359,2281m3760,2281l3746,2281,3746,2341,3760,2341,3760,2281m4160,2281l4147,2281,4147,2341,4160,2341,4160,2281m4560,2281l4547,2281,4547,2341,4560,2341,4560,2281m4961,2281l4948,2281,4948,2341,4961,2341,4961,2281m5362,2281l5348,2281,5348,2341,5362,2341,5362,2281m5761,2281l5748,2281,5748,2341,5761,2341,5761,2281m6162,2281l6149,2281,6149,2341,6162,2341,6162,2281m6563,2281l6550,2281,6550,2341,6563,2341,6563,2281m6964,2281l6950,2281,6950,2341,6964,2341,6964,2281m7363,2281l7350,2281,7350,2341,7363,2341,7363,2281e" filled="true" fillcolor="#868686" stroked="false">
              <v:path arrowok="t"/>
              <v:fill type="solid"/>
            </v:shape>
            <v:shape style="position:absolute;left:2328;top:1555;width:4850;height:207" coordorigin="2328,1555" coordsize="4850,207" path="m2342,1555l2332,1564,2330,1574,2328,1586,2336,1597,2348,1598,2749,1651,3952,1739,4352,1760,4754,1762,5154,1759,5556,1742,5857,1721,4754,1721,4355,1718,3954,1697,2754,1610,2353,1556,2342,1555xm6755,1637l6355,1651,5954,1672,5554,1700,5154,1717,4754,1721,5857,1721,5957,1714,6358,1693,6757,1679,7170,1679,7177,1672,7177,1649,7169,1639,7157,1639,6755,1637xm7170,1679l6757,1679,7157,1681,7168,1681,7170,1679xe" filled="true" fillcolor="#416fa6" stroked="false">
              <v:path arrowok="t"/>
              <v:fill type="solid"/>
            </v:shape>
            <v:shape style="position:absolute;left:2329;top:784;width:4850;height:1310" coordorigin="2329,785" coordsize="4850,1310" path="m5539,1350l5939,1901,5945,1907,5948,1908,6349,2048,6352,2050,6355,2050,6755,2078,7156,2094,7168,2094,7177,2086,7177,2074,7178,2063,7169,2053,7158,2052,6757,2036,6375,2010,6364,2010,6358,2009,6360,2009,5983,1876,5972,1876,5963,1868,5967,1868,5593,1352,5542,1352,5539,1350xm6358,2009l6364,2010,6361,2009,6358,2009xm6361,2009l6364,2010,6375,2010,6361,2009xm6360,2009l6358,2009,6361,2009,6360,2009xm5963,1868l5972,1876,5969,1870,5963,1868xm5969,1870l5972,1876,5983,1876,5969,1870xm5967,1868l5963,1868,5969,1870,5967,1868xm5538,1349l5539,1350,5542,1352,5538,1349xm5590,1349l5538,1349,5542,1352,5593,1352,5590,1349xm5143,1033l5539,1350,5538,1349,5590,1349,5572,1324,5568,1320,5211,1034,5144,1034,5143,1033xm2752,1246l2750,1246,2749,1247,2348,1285,2338,1285,2329,1296,2330,1308,2332,1319,2341,1327,2753,1288,2750,1288,3315,1288,3421,1271,3149,1271,3150,1271,2753,1247,2752,1246xm3315,1288l2754,1288,2753,1288,3151,1313,3156,1313,3315,1288xm2754,1288l2750,1288,2753,1288,2754,1288xm3150,1271l3149,1271,3154,1271,3150,1271xm3549,1208l3150,1271,3154,1271,3421,1271,3557,1249,3559,1249,3560,1248,3664,1210,3546,1210,3549,1208xm3550,1208l3549,1208,3546,1210,3550,1208xm3667,1208l3550,1208,3546,1210,3664,1210,3667,1208xm4753,785l4748,786,4345,900,3946,1060,3549,1208,3550,1208,3667,1208,3960,1099,4361,938,4753,829,4745,824,4833,824,4764,788,4759,786,4753,785xm5141,1032l5143,1033,5144,1034,5141,1032xm5208,1032l5141,1032,5144,1034,5211,1034,5208,1032xm4833,824l4745,824,4760,827,4753,829,5143,1033,5141,1032,5208,1032,5167,1000,5165,997,5164,997,4833,824xm4745,824l4753,829,4760,827,4745,824xe" filled="true" fillcolor="#a8423f" stroked="false">
              <v:path arrowok="t"/>
              <v:fill type="solid"/>
            </v:shape>
            <v:shape style="position:absolute;left:2328;top:371;width:4852;height:792" coordorigin="2328,372" coordsize="4852,792" path="m5948,569l6343,876,6346,877,6347,878,6349,878,6749,1036,7151,1160,7162,1164,7174,1158,7177,1147,7180,1136,7174,1124,7163,1121,6763,997,6373,844,6370,844,6364,840,6365,840,6017,570,5951,570,5948,569xm4757,372l4752,372,4751,373,4348,450,3949,572,3550,652,3148,722,2748,814,2347,889,2335,890,2328,901,2330,913,2333,924,2344,932,2354,930,2755,854,3157,763,3557,692,3956,613,4360,490,4756,414,4752,414,5156,414,4757,372xm6364,840l6370,844,6366,841,6364,840xm6366,841l6370,844,6373,844,6366,841xm6365,840l6364,840,6366,841,6365,840xm5942,565l5948,569,5951,570,5942,565xm6011,565l5942,565,5951,570,6017,570,6011,565xm5156,414l4758,414,4756,414,5152,456,5554,488,5948,569,5942,565,6011,565,5969,533,5965,530,5963,529,5959,529,5556,446,5156,414xm4758,414l4752,414,4756,414,4758,414xe" filled="true" fillcolor="#86a44a" stroked="false">
              <v:path arrowok="t"/>
              <v:fill type="solid"/>
            </v:shape>
            <v:shape style="position:absolute;left:2329;top:1385;width:4850;height:250" coordorigin="2329,1386" coordsize="4850,250" path="m5556,1386l5552,1386,5152,1432,4352,1514,3552,1562,3152,1573,2750,1576,2350,1594,2339,1595,2329,1604,2330,1615,2330,1627,2340,1636,2352,1636,2753,1618,3152,1615,3553,1604,4355,1556,5156,1474,5556,1428,5554,1428,6175,1428,5957,1405,5556,1386xm6175,1428l5557,1428,5556,1428,5954,1447,6354,1489,7157,1468,7169,1468,7178,1458,7177,1447,6359,1447,6175,1428xm7168,1426l7156,1426,6359,1447,7177,1447,7177,1434,7168,1426xm5557,1428l5554,1428,5556,1428,5557,1428xe" filled="true" fillcolor="#6e548d" stroked="false">
              <v:path arrowok="t"/>
              <v:fill type="solid"/>
            </v:shape>
            <v:shape style="position:absolute;left:2329;top:1312;width:4850;height:195" coordorigin="2329,1313" coordsize="4850,195" path="m5156,1313l5153,1313,4354,1336,3952,1339,3552,1364,3150,1396,2750,1434,2350,1464,2338,1465,2329,1475,2330,1487,2330,1498,2341,1507,2352,1506,2753,1475,3155,1436,3954,1380,4354,1378,5151,1355,5150,1355,5449,1355,5156,1313xm7109,1453l6756,1453,7165,1502,7176,1494,7177,1483,7178,1471,7171,1462,7159,1459,7109,1453xm5449,1355l5155,1355,5151,1355,5551,1412,5954,1442,6355,1460,6756,1453,7109,1453,6816,1418,6358,1418,5957,1400,5557,1370,5449,1355xm6756,1411l6358,1418,6816,1418,6756,1411xm5155,1355l5150,1355,5151,1355,5155,1355xe" filled="true" fillcolor="#3d96ae" stroked="false">
              <v:path arrowok="t"/>
              <v:fill type="solid"/>
            </v:shape>
            <v:shape style="position:absolute;left:2329;top:1611;width:4850;height:224" coordorigin="2329,1612" coordsize="4850,224" path="m5276,1654l4754,1654,5153,1681,5552,1729,5953,1784,6354,1820,6755,1835,7157,1828,7169,1828,7178,1818,7177,1806,7177,1795,7175,1793,6757,1793,6358,1780,5958,1744,5557,1687,5276,1654xm7168,1786l7157,1786,6757,1793,7175,1793,7168,1786xm4186,1666l2752,1666,3151,1684,3553,1685,3953,1679,4186,1666xm2752,1625l2351,1634,2339,1634,2329,1644,2330,1656,2330,1668,2340,1676,2351,1676,2752,1666,4186,1666,4355,1656,5276,1654,5195,1644,3553,1644,3154,1642,2752,1625xm4754,1612l4352,1614,3953,1637,3553,1644,5195,1644,5155,1639,4754,1612xe" filled="true" fillcolor="#da8137" stroked="false">
              <v:path arrowok="t"/>
              <v:fill type="solid"/>
            </v:shape>
            <v:shape style="position:absolute;left:2329;top:1297;width:4850;height:318" coordorigin="2329,1297" coordsize="4850,318" path="m5554,1370l5152,1394,4753,1441,4352,1475,3553,1516,3151,1522,2749,1534,2348,1572,2338,1573,2329,1584,2330,1595,2332,1607,2341,1615,2754,1576,3152,1564,3553,1558,4355,1516,4756,1483,5156,1435,5556,1412,5990,1412,6359,1374,5956,1374,5554,1370xm5990,1412l5556,1412,5956,1416,5990,1412xm7166,1297l7156,1298,6756,1328,6354,1332,5956,1374,6359,1374,6756,1370,7158,1340,7170,1339,7178,1328,7177,1318,7177,1306,7166,1297xe" filled="true" fillcolor="#8ea5cb" stroked="false">
              <v:path arrowok="t"/>
              <v:fill type="solid"/>
            </v:shape>
            <w10:wrap type="none"/>
          </v:group>
        </w:pict>
      </w:r>
      <w:r>
        <w:rPr>
          <w:rFonts w:ascii="Calibri"/>
        </w:rPr>
        <w:t>16%</w:t>
      </w:r>
    </w:p>
    <w:p>
      <w:pPr>
        <w:pStyle w:val="BodyText"/>
        <w:spacing w:before="34"/>
        <w:ind w:left="291"/>
        <w:rPr>
          <w:rFonts w:ascii="Calibri"/>
        </w:rPr>
      </w:pPr>
      <w:r>
        <w:rPr>
          <w:rFonts w:ascii="Calibri"/>
        </w:rPr>
        <w:t>14%</w:t>
      </w:r>
    </w:p>
    <w:p>
      <w:pPr>
        <w:pStyle w:val="BodyText"/>
        <w:spacing w:before="35"/>
        <w:ind w:left="291"/>
        <w:rPr>
          <w:rFonts w:ascii="Calibri"/>
        </w:rPr>
      </w:pPr>
      <w:r>
        <w:rPr>
          <w:rFonts w:ascii="Calibri"/>
        </w:rPr>
        <w:t>12%</w:t>
      </w:r>
    </w:p>
    <w:p>
      <w:pPr>
        <w:pStyle w:val="BodyText"/>
        <w:spacing w:before="34"/>
        <w:ind w:left="291"/>
        <w:rPr>
          <w:rFonts w:ascii="Calibri"/>
        </w:rPr>
      </w:pPr>
      <w:r>
        <w:rPr>
          <w:rFonts w:ascii="Calibri"/>
        </w:rPr>
        <w:t>10%</w:t>
      </w:r>
    </w:p>
    <w:p>
      <w:pPr>
        <w:pStyle w:val="BodyText"/>
        <w:spacing w:before="36"/>
        <w:ind w:left="385"/>
        <w:rPr>
          <w:rFonts w:ascii="Calibri"/>
        </w:rPr>
      </w:pPr>
      <w:r>
        <w:rPr>
          <w:rFonts w:ascii="Calibri"/>
        </w:rPr>
        <w:t>8%</w:t>
      </w:r>
    </w:p>
    <w:p>
      <w:pPr>
        <w:pStyle w:val="BodyText"/>
        <w:spacing w:before="34"/>
        <w:ind w:left="385"/>
        <w:rPr>
          <w:rFonts w:ascii="Calibri"/>
        </w:rPr>
      </w:pPr>
      <w:r>
        <w:rPr>
          <w:rFonts w:ascii="Calibri"/>
        </w:rPr>
        <w:t>6%</w:t>
      </w:r>
    </w:p>
    <w:p>
      <w:pPr>
        <w:pStyle w:val="BodyText"/>
        <w:spacing w:before="35"/>
        <w:ind w:left="385"/>
        <w:rPr>
          <w:rFonts w:ascii="Calibri"/>
        </w:rPr>
      </w:pPr>
      <w:r>
        <w:rPr>
          <w:rFonts w:ascii="Calibri"/>
        </w:rPr>
        <w:t>4%</w:t>
      </w:r>
    </w:p>
    <w:p>
      <w:pPr>
        <w:pStyle w:val="BodyText"/>
        <w:spacing w:before="34"/>
        <w:ind w:left="385"/>
        <w:rPr>
          <w:rFonts w:ascii="Calibri"/>
        </w:rPr>
      </w:pPr>
      <w:r>
        <w:rPr>
          <w:rFonts w:ascii="Calibri"/>
        </w:rPr>
        <w:t>2%</w:t>
      </w:r>
    </w:p>
    <w:p>
      <w:pPr>
        <w:pStyle w:val="BodyText"/>
        <w:spacing w:before="35"/>
        <w:ind w:left="385"/>
        <w:rPr>
          <w:rFonts w:ascii="Calibri"/>
        </w:rPr>
      </w:pPr>
      <w:r>
        <w:rPr>
          <w:rFonts w:ascii="Calibri"/>
        </w:rPr>
        <w:t>0%</w:t>
      </w:r>
    </w:p>
    <w:p>
      <w:pPr>
        <w:pStyle w:val="BodyText"/>
        <w:spacing w:line="208" w:lineRule="exact" w:before="13"/>
        <w:ind w:left="799"/>
        <w:rPr>
          <w:rFonts w:ascii="Calibri"/>
        </w:rPr>
      </w:pPr>
      <w:r>
        <w:rPr>
          <w:rFonts w:ascii="Calibri"/>
        </w:rPr>
        <w:t>2000200120022003200420052006200720082009201020112012</w:t>
      </w:r>
    </w:p>
    <w:p>
      <w:pPr>
        <w:tabs>
          <w:tab w:pos="2923" w:val="left" w:leader="none"/>
          <w:tab w:pos="4908" w:val="left" w:leader="none"/>
        </w:tabs>
        <w:spacing w:line="159" w:lineRule="exact" w:before="0"/>
        <w:ind w:left="939" w:right="0" w:firstLine="0"/>
        <w:jc w:val="left"/>
        <w:rPr>
          <w:rFonts w:ascii="Calibri"/>
          <w:sz w:val="15"/>
        </w:rPr>
      </w:pPr>
      <w:r>
        <w:rPr/>
        <w:pict>
          <v:line style="position:absolute;mso-position-horizontal-relative:page;mso-position-vertical-relative:paragraph;z-index:251665408" from="93.900002pt,3.796318pt" to="114.060002pt,3.796318pt" stroked="true" strokeweight="2.1pt" strokecolor="#416fa6">
            <v:stroke dashstyle="solid"/>
            <w10:wrap type="none"/>
          </v:line>
        </w:pict>
      </w:r>
      <w:r>
        <w:rPr/>
        <w:pict>
          <v:line style="position:absolute;mso-position-horizontal-relative:page;mso-position-vertical-relative:paragraph;z-index:-252906496" from="193.199997pt,3.796318pt" to="213.299997pt,3.796318pt" stroked="true" strokeweight="2.1pt" strokecolor="#a8423f">
            <v:stroke dashstyle="solid"/>
            <w10:wrap type="none"/>
          </v:line>
        </w:pict>
      </w:r>
      <w:r>
        <w:rPr/>
        <w:pict>
          <v:line style="position:absolute;mso-position-horizontal-relative:page;mso-position-vertical-relative:paragraph;z-index:-252905472" from="292.440002pt,3.796318pt" to="312.540002pt,3.796318pt" stroked="true" strokeweight="2.1pt" strokecolor="#86a44a">
            <v:stroke dashstyle="solid"/>
            <w10:wrap type="none"/>
          </v:line>
        </w:pict>
      </w:r>
      <w:r>
        <w:rPr>
          <w:rFonts w:ascii="Calibri"/>
          <w:sz w:val="15"/>
        </w:rPr>
        <w:t>Germany</w:t>
        <w:tab/>
        <w:t>Ireland</w:t>
        <w:tab/>
        <w:t>Spain</w:t>
      </w:r>
    </w:p>
    <w:p>
      <w:pPr>
        <w:tabs>
          <w:tab w:pos="2923" w:val="left" w:leader="none"/>
          <w:tab w:pos="4908" w:val="left" w:leader="none"/>
        </w:tabs>
        <w:spacing w:line="244" w:lineRule="auto" w:before="2"/>
        <w:ind w:left="939" w:right="4322" w:firstLine="0"/>
        <w:jc w:val="left"/>
        <w:rPr>
          <w:rFonts w:ascii="Calibri"/>
          <w:sz w:val="15"/>
        </w:rPr>
      </w:pPr>
      <w:r>
        <w:rPr/>
        <w:pict>
          <v:line style="position:absolute;mso-position-horizontal-relative:page;mso-position-vertical-relative:paragraph;z-index:251668480" from="93.900002pt,5.051113pt" to="114.060002pt,5.051113pt" stroked="true" strokeweight="2.1pt" strokecolor="#6e548d">
            <v:stroke dashstyle="solid"/>
            <w10:wrap type="none"/>
          </v:line>
        </w:pict>
      </w:r>
      <w:r>
        <w:rPr/>
        <w:pict>
          <v:line style="position:absolute;mso-position-horizontal-relative:page;mso-position-vertical-relative:paragraph;z-index:-252903424" from="193.199997pt,5.051113pt" to="213.299997pt,5.051113pt" stroked="true" strokeweight="2.1pt" strokecolor="#3d96ae">
            <v:stroke dashstyle="solid"/>
            <w10:wrap type="none"/>
          </v:line>
        </w:pict>
      </w:r>
      <w:r>
        <w:rPr/>
        <w:pict>
          <v:line style="position:absolute;mso-position-horizontal-relative:page;mso-position-vertical-relative:paragraph;z-index:-252902400" from="292.440002pt,5.051113pt" to="312.540002pt,5.051113pt" stroked="true" strokeweight="2.1pt" strokecolor="#da8137">
            <v:stroke dashstyle="solid"/>
            <w10:wrap type="none"/>
          </v:line>
        </w:pict>
      </w:r>
      <w:r>
        <w:rPr/>
        <w:pict>
          <v:line style="position:absolute;mso-position-horizontal-relative:page;mso-position-vertical-relative:paragraph;z-index:251671552" from="93.900002pt,14.351113pt" to="114.060002pt,14.351113pt" stroked="true" strokeweight="2.1pt" strokecolor="#8ea5cb">
            <v:stroke dashstyle="solid"/>
            <w10:wrap type="none"/>
          </v:line>
        </w:pict>
      </w:r>
      <w:r>
        <w:rPr>
          <w:rFonts w:ascii="Calibri"/>
          <w:sz w:val="15"/>
        </w:rPr>
        <w:t>France</w:t>
        <w:tab/>
        <w:t>United</w:t>
      </w:r>
      <w:r>
        <w:rPr>
          <w:rFonts w:ascii="Calibri"/>
          <w:spacing w:val="-1"/>
          <w:sz w:val="15"/>
        </w:rPr>
        <w:t> </w:t>
      </w:r>
      <w:r>
        <w:rPr>
          <w:rFonts w:ascii="Calibri"/>
          <w:sz w:val="15"/>
        </w:rPr>
        <w:t>Kingdom</w:t>
        <w:tab/>
      </w:r>
      <w:r>
        <w:rPr>
          <w:rFonts w:ascii="Calibri"/>
          <w:spacing w:val="-8"/>
          <w:sz w:val="15"/>
        </w:rPr>
        <w:t>US </w:t>
      </w:r>
      <w:r>
        <w:rPr>
          <w:rFonts w:ascii="Calibri"/>
          <w:sz w:val="15"/>
        </w:rPr>
        <w:t>Canada</w:t>
      </w:r>
    </w:p>
    <w:p>
      <w:pPr>
        <w:pStyle w:val="BodyText"/>
        <w:spacing w:before="3"/>
        <w:rPr>
          <w:rFonts w:ascii="Calibri"/>
          <w:sz w:val="13"/>
        </w:rPr>
      </w:pPr>
    </w:p>
    <w:p>
      <w:pPr>
        <w:spacing w:before="0"/>
        <w:ind w:left="226" w:right="0" w:firstLine="0"/>
        <w:jc w:val="left"/>
        <w:rPr>
          <w:sz w:val="15"/>
        </w:rPr>
      </w:pPr>
      <w:r>
        <w:rPr>
          <w:sz w:val="15"/>
        </w:rPr>
        <w:t>Sources: Bureau of Economic Analysis, Eurostat, Statistics Canada, Bank of England calculations.</w:t>
      </w:r>
    </w:p>
    <w:p>
      <w:pPr>
        <w:spacing w:after="0"/>
        <w:jc w:val="left"/>
        <w:rPr>
          <w:sz w:val="15"/>
        </w:rPr>
        <w:sectPr>
          <w:pgSz w:w="12240" w:h="15840"/>
          <w:pgMar w:header="0" w:footer="1240" w:top="1380" w:bottom="1440" w:left="1360" w:right="1480"/>
        </w:sectPr>
      </w:pPr>
    </w:p>
    <w:p>
      <w:pPr>
        <w:pStyle w:val="BodyText"/>
        <w:spacing w:before="74"/>
        <w:ind w:left="226"/>
      </w:pPr>
      <w:r>
        <w:rPr>
          <w:b/>
        </w:rPr>
        <w:t>Figure 3: </w:t>
      </w:r>
      <w:r>
        <w:rPr/>
        <w:t>Annual growth rate of gross value added by construction</w:t>
      </w:r>
    </w:p>
    <w:p>
      <w:pPr>
        <w:pStyle w:val="BodyText"/>
        <w:spacing w:before="4"/>
        <w:ind w:left="340"/>
        <w:rPr>
          <w:rFonts w:ascii="Calibri"/>
        </w:rPr>
      </w:pPr>
      <w:r>
        <w:rPr/>
        <w:pict>
          <v:group style="position:absolute;margin-left:107.040001pt;margin-top:6.185588pt;width:264.55pt;height:126.15pt;mso-position-horizontal-relative:page;mso-position-vertical-relative:paragraph;z-index:251675648" coordorigin="2141,124" coordsize="5291,2523">
            <v:line style="position:absolute" from="2200,130" to="2200,2517" stroked="true" strokeweight=".66pt" strokecolor="#868686">
              <v:stroke dashstyle="solid"/>
            </v:line>
            <v:shape style="position:absolute;left:2140;top:123;width:60;height:2400" coordorigin="2141,124" coordsize="60,2400" path="m2201,2511l2141,2511,2141,2524,2201,2524,2201,2511m2201,2112l2141,2112,2141,2127,2201,2127,2201,2112m2201,1715l2141,1715,2141,1729,2201,1729,2201,1715m2201,1317l2141,1317,2141,1331,2201,1331,2201,1317m2201,919l2141,919,2141,933,2201,933,2201,919m2201,522l2141,522,2141,535,2201,535,2201,522m2201,124l2141,124,2141,137,2201,137,2201,124e" filled="true" fillcolor="#868686" stroked="false">
              <v:path arrowok="t"/>
              <v:fill type="solid"/>
            </v:shape>
            <v:line style="position:absolute" from="2201,926" to="7426,926" stroked="true" strokeweight=".65997pt" strokecolor="#868686">
              <v:stroke dashstyle="solid"/>
            </v:line>
            <v:shape style="position:absolute;left:2628;top:926;width:4804;height:60" coordorigin="2628,927" coordsize="4804,60" path="m2642,927l2628,927,2628,987,2642,987,2642,927m3078,927l3065,927,3065,987,3078,987,3078,927m3514,927l3500,927,3500,987,3514,987,3514,927m3948,927l3935,927,3935,987,3948,987,3948,927m4384,927l4370,927,4370,987,4384,987,4384,927m4819,927l4806,927,4806,987,4819,987,4819,927m5256,927l5242,927,5242,987,5256,987,5256,927m5690,927l5677,927,5677,987,5690,987,5690,927m6126,927l6113,927,6113,987,6126,987,6126,927m6562,927l6548,927,6548,987,6562,987,6562,927m6996,927l6983,927,6983,987,6996,987,6996,927m7432,927l7418,927,7418,987,7432,987,7432,927e" filled="true" fillcolor="#868686" stroked="false">
              <v:path arrowok="t"/>
              <v:fill type="solid"/>
            </v:shape>
            <v:shape style="position:absolute;left:2396;top:723;width:4834;height:324" coordorigin="2396,724" coordsize="4834,324" path="m2855,960l2851,960,2405,1006,2396,1017,2398,1029,2399,1039,2410,1048,2854,1002,2852,1002,3645,1002,3726,996,4186,996,4219,987,3290,987,2855,960xm3645,1002l2855,1002,2854,1002,3288,1029,3645,1002xm2855,1002l2852,1002,2854,1002,2855,1002xm4186,996l3726,996,4159,1002,4165,1002,4186,996xm3724,955l3290,987,4219,987,4306,961,4153,961,4157,960,3724,955xm4157,960l4153,961,4159,960,4157,960xm5470,802l5465,802,5029,808,4594,835,4591,835,4589,837,4157,960,4159,960,4153,961,4306,961,4597,877,4596,877,4601,876,4615,876,5032,850,5466,844,5461,843,5649,843,5470,802xm5649,843l5461,843,5897,942,5900,943,5905,942,5909,941,6003,903,5893,903,5900,900,5649,843xm6727,763l6344,763,6338,766,6769,809,7202,909,7214,911,7225,904,7228,893,7230,881,7224,870,7212,868,6774,768,6727,763xm5900,900l5893,903,5906,901,5900,900xm6340,724l6332,724,6329,725,5900,900,5906,901,5893,903,6003,903,6338,766,6335,766,6344,763,6727,763,6340,724xm4601,876l4596,877,4597,877,4601,876xm4597,877l4596,877,4597,877,4597,877xm4615,876l4601,876,4597,877,4615,876xm6344,763l6335,766,6338,766,6344,763xe" filled="true" fillcolor="#416fa6" stroked="false">
              <v:path arrowok="t"/>
              <v:fill type="solid"/>
            </v:shape>
            <v:shape style="position:absolute;left:2395;top:453;width:4834;height:1733" coordorigin="2395,454" coordsize="4834,1733" path="m5498,1507l5448,1507,5450,1511,5450,1511,5884,2177,5887,2183,5893,2187,5906,2187,5914,2184,5917,2179,5938,2154,5918,2154,5885,2152,5903,2130,5498,1507xm5903,2130l5885,2152,5918,2154,5903,2130xm7219,1071l7207,1071,6772,1073,6766,1073,6760,1075,6755,1080,6322,1637,5903,2130,5918,2154,5938,2154,6353,1663,6783,1114,6772,1114,6788,1107,7225,1107,7229,1103,7229,1079,7219,1071xm5450,1511l5450,1511,5450,1511,5450,1511xm5448,1507l5450,1511,5450,1511,5448,1507xm4583,586l5015,1081,5450,1511,5448,1507,5498,1507,5483,1485,5483,1483,5047,1054,4640,588,4591,588,4583,586xm6788,1107l6772,1114,6783,1114,6788,1107xm6783,1114l6772,1114,6783,1114,6783,1114xm7225,1107l6788,1107,6783,1114,7219,1111,7225,1107xm2414,595l2402,601,2395,623,2401,635,2412,639,2846,793,2850,795,2855,795,2860,793,2988,754,2846,754,2853,752,2425,599,2414,595xm2853,752l2846,754,2860,754,2853,752xm4164,454l4158,454,3722,492,3720,492,3719,493,3283,619,2853,752,2860,754,2988,754,3295,659,3727,534,3726,534,3731,533,3740,533,4160,496,4154,495,4354,495,4164,454xm4579,582l4583,586,4591,588,4579,582xm4635,582l4579,582,4591,588,4640,588,4635,582xm4354,495l4154,495,4162,496,4160,496,4583,586,4579,582,4635,582,4610,555,4608,551,4604,549,4600,547,4354,495xm3731,533l3726,534,3727,534,3731,533xm3727,534l3726,534,3727,534,3727,534xm3740,533l3731,533,3727,534,3740,533xm4154,495l4160,496,4162,496,4154,495xe" filled="true" fillcolor="#a8423f" stroked="false">
              <v:path arrowok="t"/>
              <v:fill type="solid"/>
            </v:shape>
            <v:shape style="position:absolute;left:2397;top:601;width:4832;height:734" coordorigin="2398,601" coordsize="4832,734" path="m5461,877l5892,1081,6326,1331,6332,1333,6340,1335,6344,1332,6439,1294,6348,1294,6329,1293,6339,1288,5910,1044,5558,877,5464,877,5461,877xm6339,1288l6329,1293,6348,1294,6339,1288xm6773,1114l6769,1114,6764,1116,6339,1288,6348,1294,6439,1294,6777,1156,6770,1156,6780,1155,7229,1155,7229,1152,7229,1140,7220,1131,7208,1131,6773,1114xm7229,1155l6780,1155,6777,1156,7207,1171,7218,1173,7228,1163,7229,1155xm6780,1155l6770,1156,6777,1156,6780,1155xm5456,875l5461,877,5464,877,5456,875xm5553,875l5456,875,5464,877,5558,877,5553,875xm4726,697l4589,697,5024,837,5026,837,5028,838,5029,838,5461,877,5456,875,5553,875,5474,838,5470,835,5467,835,5046,797,5038,797,5033,796,5034,796,4726,697xm5033,796l5038,797,5034,796,5033,796xm5034,796l5038,797,5046,797,5034,796xm5034,796l5033,796,5034,796,5034,796xm2419,619l2407,619,2398,629,2398,652,2406,661,2418,661,2852,672,3287,711,3725,706,3977,670,3290,670,2854,630,2419,619xm4493,643l4163,643,4160,644,4592,699,4589,697,4726,697,4602,658,4600,658,4597,657,4493,643xm4162,601l4157,601,3725,664,3290,670,3977,670,4160,644,4157,643,4493,643,4162,601xm4163,643l4157,643,4160,644,4163,643xe" filled="true" fillcolor="#86a44a" stroked="false">
              <v:path arrowok="t"/>
              <v:fill type="solid"/>
            </v:shape>
            <v:shape style="position:absolute;left:2396;top:688;width:4833;height:340" coordorigin="2396,689" coordsize="4833,340" path="m5461,783l5891,1026,5894,1027,5899,1029,5903,1029,6338,1001,6342,1001,6343,1000,6376,989,5911,989,5900,987,5906,986,5546,784,5464,784,5461,783xm5906,986l5900,987,5911,989,5906,986xm6333,959l5906,986,5911,989,6376,989,6464,960,6330,960,6333,959xm6336,959l6333,959,6330,960,6336,959xm6468,959l6336,959,6330,960,6464,960,6468,959xm6773,816l6768,816,6766,817,6333,959,6336,959,6468,959,6774,858,6770,858,6779,857,7227,857,7220,850,7210,849,6773,816xm7227,857l6779,857,6774,858,7206,891,7218,892,7228,883,7229,871,7229,859,7227,857xm2410,766l2400,774,2398,785,2396,797,2404,808,2416,809,2850,874,2854,874,3290,855,3460,832,2852,832,2855,832,2422,768,2410,766xm6779,857l6770,858,6774,858,6779,857xm2855,832l2852,832,2856,832,2855,832xm3725,754l3722,754,3288,813,2855,832,2856,832,3460,832,3727,796,3724,796,4248,796,4453,767,4157,767,4157,767,3725,754xm4248,796l3727,796,3727,796,4159,808,4163,808,4248,796xm3727,796l3724,796,3727,796,3727,796xm5455,780l5461,783,5464,784,5455,780xm5540,780l5455,780,5464,784,5546,784,5540,780xm5370,730l5032,730,5029,730,5461,783,5455,780,5540,780,5476,744,5471,742,5468,742,5370,730xm4157,767l4157,767,4160,767,4157,767xm5034,689l5030,689,4592,706,4157,767,4160,767,4453,767,4598,747,5029,730,5028,730,5370,730,5034,689xm5032,730l5028,730,5029,730,5032,730xe" filled="true" fillcolor="#6e548d" stroked="false">
              <v:path arrowok="t"/>
              <v:fill type="solid"/>
            </v:shape>
            <v:shape style="position:absolute;left:2397;top:706;width:4834;height:357" coordorigin="2398,707" coordsize="4834,357" path="m5120,803l5022,803,5032,805,5027,805,5456,1009,5459,1011,5461,1011,5464,1012,5899,1063,5905,1063,5908,1062,6025,1023,5894,1023,5900,1021,5489,972,5474,972,5468,970,5469,970,5120,803xm6893,877l6764,877,6774,879,6769,879,7201,1029,7212,1032,7224,1026,7231,1005,7225,993,7214,989,6893,877xm5900,1021l5894,1023,5904,1021,5900,1021xm6776,837l6770,837,6335,874,6332,874,6330,875,5900,1021,5904,1021,5894,1023,6025,1023,6341,916,6338,916,6344,915,6352,915,6769,879,6764,877,6893,877,6779,838,6776,837xm5468,970l5474,972,5470,970,5468,970xm5470,970l5474,972,5489,972,5470,970xm5469,970l5468,970,5470,970,5469,970xm6344,915l6338,916,6342,915,6344,915xm6342,915l6338,916,6341,916,6342,915xm6352,915l6344,915,6342,915,6352,915xm6764,877l6769,879,6774,879,6764,877xm3837,749l3289,749,3724,777,4157,833,4160,833,4596,808,5027,805,5022,803,5120,803,5095,791,4158,791,4161,791,3837,749xm5022,803l5027,805,5032,805,5022,803xm4161,791l4158,791,4162,791,4161,791xm5038,763l5030,763,4594,767,4161,791,4162,791,5095,791,5040,765,5038,763xm3289,707l2852,709,2418,727,2406,727,2398,737,2398,760,2408,769,2419,768,2854,750,3837,749,3726,735,3289,707xe" filled="true" fillcolor="#3d96ae" stroked="false">
              <v:path arrowok="t"/>
              <v:fill type="solid"/>
            </v:shape>
            <v:shape style="position:absolute;left:2396;top:696;width:4834;height:483" coordorigin="2396,696" coordsize="4834,483" path="m4378,738l4163,738,4159,739,4591,821,5026,937,5460,1067,5900,1179,5904,1179,5909,1177,6017,1138,5894,1138,5899,1136,5472,1027,5036,897,4600,780,4378,738xm5899,1136l5894,1138,5906,1138,5899,1136xm7214,795l7204,796,6767,882,6330,979,5899,1136,5906,1138,6017,1138,6344,1018,6776,923,7212,838,7223,835,7230,825,7228,813,7225,802,7214,795xm2411,805l2400,813,2398,825,2396,835,2404,846,2414,849,2849,931,2856,931,3107,889,2850,889,2854,889,2423,808,2411,805xm2854,889l2850,889,2857,889,2854,889xm4162,696l4157,696,3286,817,2854,889,2857,889,3107,889,3293,858,3727,801,4159,739,4156,738,4378,738,4163,697,4162,696xm4163,738l4156,738,4159,739,4163,738xe" filled="true" fillcolor="#da8137" stroked="false">
              <v:path arrowok="t"/>
              <v:fill type="solid"/>
            </v:shape>
            <v:shape style="position:absolute;left:2396;top:738;width:4833;height:278" coordorigin="2396,738" coordsize="4833,278" path="m2410,761l2399,768,2397,783,2396,791,2405,802,2416,803,2850,861,3288,887,3292,887,3571,846,3286,846,3290,845,2856,820,2422,762,2410,761xm3725,783l3721,783,3286,846,3571,846,3727,823,4328,823,4597,804,4608,803,4616,793,4160,793,3725,783xm4328,823l3727,823,3724,825,4159,835,4328,823xm4606,761l4594,762,4160,793,4616,793,4616,780,4615,769,4606,761xm5461,826l5449,832,5442,853,5448,865,5894,1014,5900,1015,5906,1015,5911,1012,5979,976,5892,976,5899,972,5461,826xm5899,972l5892,976,5908,975,5899,972xm6337,738l6331,739,6328,742,5899,972,5908,975,5892,976,5979,976,6341,782,6332,780,6347,779,6509,779,6342,739,6337,738xm6509,779l6347,779,6341,782,6767,883,6769,883,6772,885,6774,883,7210,844,7220,844,7221,843,6770,843,6775,842,6509,779xm6775,842l6770,843,6776,843,6775,842xm7217,802l7206,803,6775,842,6776,843,7221,843,7229,833,7229,822,7228,810,7217,802xm6347,779l6332,780,6341,782,6347,779xe" filled="true" fillcolor="#8ea5cb" stroked="false">
              <v:path arrowok="t"/>
              <v:fill type="solid"/>
            </v:shape>
            <v:line style="position:absolute" from="2323,1753" to="2726,1753" stroked="true" strokeweight="2.1pt" strokecolor="#416fa6">
              <v:stroke dashstyle="solid"/>
            </v:line>
            <v:line style="position:absolute" from="4150,1753" to="4553,1753" stroked="true" strokeweight="2.1pt" strokecolor="#a8423f">
              <v:stroke dashstyle="solid"/>
            </v:line>
            <v:line style="position:absolute" from="2323,2016" to="2726,2016" stroked="true" strokeweight="2.04pt" strokecolor="#86a44a">
              <v:stroke dashstyle="solid"/>
            </v:line>
            <v:line style="position:absolute" from="4150,2016" to="4553,2016" stroked="true" strokeweight="2.04pt" strokecolor="#6e548d">
              <v:stroke dashstyle="solid"/>
            </v:line>
            <v:line style="position:absolute" from="2323,2281" to="2726,2281" stroked="true" strokeweight="2.1pt" strokecolor="#3d96ae">
              <v:stroke dashstyle="solid"/>
            </v:line>
            <v:line style="position:absolute" from="4150,2281" to="4553,2281" stroked="true" strokeweight="2.1pt" strokecolor="#da8137">
              <v:stroke dashstyle="solid"/>
            </v:line>
            <v:line style="position:absolute" from="2323,2545" to="2726,2545" stroked="true" strokeweight="2.1pt" strokecolor="#8ea5cb">
              <v:stroke dashstyle="solid"/>
            </v:line>
            <v:shape style="position:absolute;left:2227;top:1083;width:5195;height:189" type="#_x0000_t202" filled="false" stroked="false">
              <v:textbox inset="0,0,0,0">
                <w:txbxContent>
                  <w:p>
                    <w:pPr>
                      <w:spacing w:line="189" w:lineRule="exact" w:before="0"/>
                      <w:ind w:left="0" w:right="0" w:firstLine="0"/>
                      <w:jc w:val="left"/>
                      <w:rPr>
                        <w:rFonts w:ascii="Calibri"/>
                        <w:sz w:val="19"/>
                      </w:rPr>
                    </w:pPr>
                    <w:r>
                      <w:rPr>
                        <w:rFonts w:ascii="Calibri"/>
                        <w:sz w:val="19"/>
                      </w:rPr>
                      <w:t>2001 2002 2003 2004 2005 2006 2007 2008 2009 2010 2011 2012</w:t>
                    </w:r>
                  </w:p>
                </w:txbxContent>
              </v:textbox>
              <w10:wrap type="none"/>
            </v:shape>
            <v:shape style="position:absolute;left:2743;top:1665;width:1258;height:981" type="#_x0000_t202" filled="false" stroked="false">
              <v:textbox inset="0,0,0,0">
                <w:txbxContent>
                  <w:p>
                    <w:pPr>
                      <w:spacing w:line="192" w:lineRule="exact" w:before="0"/>
                      <w:ind w:left="0" w:right="0" w:firstLine="0"/>
                      <w:jc w:val="left"/>
                      <w:rPr>
                        <w:rFonts w:ascii="Calibri"/>
                        <w:sz w:val="19"/>
                      </w:rPr>
                    </w:pPr>
                    <w:r>
                      <w:rPr>
                        <w:rFonts w:ascii="Calibri"/>
                        <w:sz w:val="19"/>
                      </w:rPr>
                      <w:t>Germany</w:t>
                    </w:r>
                  </w:p>
                  <w:p>
                    <w:pPr>
                      <w:spacing w:before="32"/>
                      <w:ind w:left="0" w:right="0" w:firstLine="0"/>
                      <w:jc w:val="left"/>
                      <w:rPr>
                        <w:rFonts w:ascii="Calibri"/>
                        <w:sz w:val="19"/>
                      </w:rPr>
                    </w:pPr>
                    <w:r>
                      <w:rPr>
                        <w:rFonts w:ascii="Calibri"/>
                        <w:sz w:val="19"/>
                      </w:rPr>
                      <w:t>Spain</w:t>
                    </w:r>
                  </w:p>
                  <w:p>
                    <w:pPr>
                      <w:spacing w:line="260" w:lineRule="atLeast" w:before="4"/>
                      <w:ind w:left="0" w:right="-12" w:firstLine="0"/>
                      <w:jc w:val="left"/>
                      <w:rPr>
                        <w:rFonts w:ascii="Calibri"/>
                        <w:sz w:val="19"/>
                      </w:rPr>
                    </w:pPr>
                    <w:r>
                      <w:rPr>
                        <w:rFonts w:ascii="Calibri"/>
                        <w:sz w:val="19"/>
                      </w:rPr>
                      <w:t>United Kingdom Canada</w:t>
                    </w:r>
                  </w:p>
                </w:txbxContent>
              </v:textbox>
              <w10:wrap type="none"/>
            </v:shape>
            <v:shape style="position:absolute;left:4569;top:1665;width:560;height:717" type="#_x0000_t202" filled="false" stroked="false">
              <v:textbox inset="0,0,0,0">
                <w:txbxContent>
                  <w:p>
                    <w:pPr>
                      <w:spacing w:line="192" w:lineRule="exact" w:before="0"/>
                      <w:ind w:left="0" w:right="0" w:firstLine="0"/>
                      <w:jc w:val="left"/>
                      <w:rPr>
                        <w:rFonts w:ascii="Calibri"/>
                        <w:sz w:val="19"/>
                      </w:rPr>
                    </w:pPr>
                    <w:r>
                      <w:rPr>
                        <w:rFonts w:ascii="Calibri"/>
                        <w:sz w:val="19"/>
                      </w:rPr>
                      <w:t>Ireland</w:t>
                    </w:r>
                  </w:p>
                  <w:p>
                    <w:pPr>
                      <w:spacing w:line="260" w:lineRule="atLeast" w:before="4"/>
                      <w:ind w:left="0" w:right="0" w:firstLine="0"/>
                      <w:jc w:val="left"/>
                      <w:rPr>
                        <w:rFonts w:ascii="Calibri"/>
                        <w:sz w:val="19"/>
                      </w:rPr>
                    </w:pPr>
                    <w:r>
                      <w:rPr>
                        <w:rFonts w:ascii="Calibri"/>
                        <w:w w:val="95"/>
                        <w:sz w:val="19"/>
                      </w:rPr>
                      <w:t>France </w:t>
                    </w:r>
                    <w:r>
                      <w:rPr>
                        <w:rFonts w:ascii="Calibri"/>
                        <w:sz w:val="19"/>
                      </w:rPr>
                      <w:t>US</w:t>
                    </w:r>
                  </w:p>
                </w:txbxContent>
              </v:textbox>
              <w10:wrap type="none"/>
            </v:shape>
            <w10:wrap type="none"/>
          </v:group>
        </w:pict>
      </w:r>
      <w:r>
        <w:rPr>
          <w:rFonts w:ascii="Calibri"/>
        </w:rPr>
        <w:t>40%</w:t>
      </w:r>
    </w:p>
    <w:p>
      <w:pPr>
        <w:pStyle w:val="BodyText"/>
        <w:spacing w:before="8"/>
        <w:rPr>
          <w:rFonts w:ascii="Calibri"/>
          <w:sz w:val="8"/>
        </w:rPr>
      </w:pPr>
    </w:p>
    <w:p>
      <w:pPr>
        <w:pStyle w:val="BodyText"/>
        <w:spacing w:before="61"/>
        <w:ind w:left="340"/>
        <w:rPr>
          <w:rFonts w:ascii="Calibri"/>
        </w:rPr>
      </w:pPr>
      <w:r>
        <w:rPr>
          <w:rFonts w:ascii="Calibri"/>
        </w:rPr>
        <w:t>20%</w:t>
      </w:r>
    </w:p>
    <w:p>
      <w:pPr>
        <w:pStyle w:val="BodyText"/>
        <w:spacing w:before="7"/>
        <w:rPr>
          <w:rFonts w:ascii="Calibri"/>
          <w:sz w:val="8"/>
        </w:rPr>
      </w:pPr>
    </w:p>
    <w:p>
      <w:pPr>
        <w:pStyle w:val="BodyText"/>
        <w:spacing w:before="60"/>
        <w:ind w:left="436"/>
        <w:rPr>
          <w:rFonts w:ascii="Calibri"/>
        </w:rPr>
      </w:pPr>
      <w:r>
        <w:rPr>
          <w:rFonts w:ascii="Calibri"/>
        </w:rPr>
        <w:t>0%</w:t>
      </w:r>
    </w:p>
    <w:p>
      <w:pPr>
        <w:pStyle w:val="BodyText"/>
        <w:spacing w:before="8"/>
        <w:rPr>
          <w:rFonts w:ascii="Calibri"/>
          <w:sz w:val="8"/>
        </w:rPr>
      </w:pPr>
    </w:p>
    <w:p>
      <w:pPr>
        <w:pStyle w:val="BodyText"/>
        <w:spacing w:before="61"/>
        <w:ind w:right="8731"/>
        <w:jc w:val="right"/>
        <w:rPr>
          <w:rFonts w:ascii="Calibri" w:hAnsi="Calibri"/>
        </w:rPr>
      </w:pPr>
      <w:r>
        <w:rPr>
          <w:rFonts w:ascii="Calibri" w:hAnsi="Calibri"/>
          <w:spacing w:val="-1"/>
          <w:w w:val="95"/>
        </w:rPr>
        <w:t>‐20%</w:t>
      </w:r>
    </w:p>
    <w:p>
      <w:pPr>
        <w:pStyle w:val="BodyText"/>
        <w:spacing w:before="7"/>
        <w:rPr>
          <w:rFonts w:ascii="Calibri"/>
          <w:sz w:val="13"/>
        </w:rPr>
      </w:pPr>
    </w:p>
    <w:p>
      <w:pPr>
        <w:pStyle w:val="BodyText"/>
        <w:ind w:right="8731"/>
        <w:jc w:val="right"/>
        <w:rPr>
          <w:rFonts w:ascii="Calibri" w:hAnsi="Calibri"/>
        </w:rPr>
      </w:pPr>
      <w:r>
        <w:rPr>
          <w:rFonts w:ascii="Calibri" w:hAnsi="Calibri"/>
          <w:spacing w:val="-1"/>
          <w:w w:val="95"/>
        </w:rPr>
        <w:t>‐40%</w:t>
      </w:r>
    </w:p>
    <w:p>
      <w:pPr>
        <w:pStyle w:val="BodyText"/>
        <w:spacing w:before="7"/>
        <w:rPr>
          <w:rFonts w:ascii="Calibri"/>
          <w:sz w:val="13"/>
        </w:rPr>
      </w:pPr>
    </w:p>
    <w:p>
      <w:pPr>
        <w:pStyle w:val="BodyText"/>
        <w:ind w:right="8731"/>
        <w:jc w:val="right"/>
        <w:rPr>
          <w:rFonts w:ascii="Calibri" w:hAnsi="Calibri"/>
        </w:rPr>
      </w:pPr>
      <w:r>
        <w:rPr>
          <w:rFonts w:ascii="Calibri" w:hAnsi="Calibri"/>
          <w:spacing w:val="-1"/>
          <w:w w:val="95"/>
        </w:rPr>
        <w:t>‐60%</w:t>
      </w:r>
    </w:p>
    <w:p>
      <w:pPr>
        <w:pStyle w:val="BodyText"/>
        <w:spacing w:before="7"/>
        <w:rPr>
          <w:rFonts w:ascii="Calibri"/>
          <w:sz w:val="13"/>
        </w:rPr>
      </w:pPr>
    </w:p>
    <w:p>
      <w:pPr>
        <w:pStyle w:val="BodyText"/>
        <w:ind w:right="8731"/>
        <w:jc w:val="right"/>
        <w:rPr>
          <w:rFonts w:ascii="Calibri" w:hAnsi="Calibri"/>
        </w:rPr>
      </w:pPr>
      <w:r>
        <w:rPr>
          <w:rFonts w:ascii="Calibri" w:hAnsi="Calibri"/>
          <w:spacing w:val="-1"/>
          <w:w w:val="95"/>
        </w:rPr>
        <w:t>‐80%</w:t>
      </w:r>
    </w:p>
    <w:p>
      <w:pPr>
        <w:spacing w:before="138"/>
        <w:ind w:left="226" w:right="2307" w:firstLine="0"/>
        <w:jc w:val="left"/>
        <w:rPr>
          <w:sz w:val="15"/>
        </w:rPr>
      </w:pPr>
      <w:r>
        <w:rPr>
          <w:sz w:val="15"/>
        </w:rPr>
        <w:t>Sources: Bureau of Economic Analysis, Eurostat, Statistics Canada, Bank of England calculations. Note: Due to a break in the value added series for Canada the 2007 data point is missing.</w:t>
      </w:r>
    </w:p>
    <w:p>
      <w:pPr>
        <w:pStyle w:val="BodyText"/>
        <w:rPr>
          <w:sz w:val="16"/>
        </w:rPr>
      </w:pPr>
    </w:p>
    <w:p>
      <w:pPr>
        <w:pStyle w:val="BodyText"/>
        <w:spacing w:line="350" w:lineRule="auto" w:before="108"/>
        <w:ind w:left="226" w:right="120"/>
      </w:pPr>
      <w:r>
        <w:rPr/>
        <w:t>Housing</w:t>
      </w:r>
      <w:r>
        <w:rPr>
          <w:spacing w:val="-11"/>
        </w:rPr>
        <w:t> </w:t>
      </w:r>
      <w:r>
        <w:rPr/>
        <w:t>starts</w:t>
      </w:r>
      <w:r>
        <w:rPr>
          <w:spacing w:val="-10"/>
        </w:rPr>
        <w:t> </w:t>
      </w:r>
      <w:r>
        <w:rPr/>
        <w:t>have</w:t>
      </w:r>
      <w:r>
        <w:rPr>
          <w:spacing w:val="-11"/>
        </w:rPr>
        <w:t> </w:t>
      </w:r>
      <w:r>
        <w:rPr/>
        <w:t>fallen</w:t>
      </w:r>
      <w:r>
        <w:rPr>
          <w:spacing w:val="-10"/>
        </w:rPr>
        <w:t> </w:t>
      </w:r>
      <w:r>
        <w:rPr/>
        <w:t>more</w:t>
      </w:r>
      <w:r>
        <w:rPr>
          <w:spacing w:val="-11"/>
        </w:rPr>
        <w:t> </w:t>
      </w:r>
      <w:r>
        <w:rPr/>
        <w:t>dramatically</w:t>
      </w:r>
      <w:r>
        <w:rPr>
          <w:spacing w:val="-11"/>
        </w:rPr>
        <w:t> </w:t>
      </w:r>
      <w:r>
        <w:rPr/>
        <w:t>than</w:t>
      </w:r>
      <w:r>
        <w:rPr>
          <w:spacing w:val="-11"/>
        </w:rPr>
        <w:t> </w:t>
      </w:r>
      <w:r>
        <w:rPr/>
        <w:t>overall</w:t>
      </w:r>
      <w:r>
        <w:rPr>
          <w:spacing w:val="-9"/>
        </w:rPr>
        <w:t> </w:t>
      </w:r>
      <w:r>
        <w:rPr/>
        <w:t>construction</w:t>
      </w:r>
      <w:r>
        <w:rPr>
          <w:spacing w:val="-11"/>
        </w:rPr>
        <w:t> </w:t>
      </w:r>
      <w:r>
        <w:rPr/>
        <w:t>activity</w:t>
      </w:r>
      <w:r>
        <w:rPr>
          <w:spacing w:val="-11"/>
        </w:rPr>
        <w:t> </w:t>
      </w:r>
      <w:r>
        <w:rPr/>
        <w:t>(figure</w:t>
      </w:r>
      <w:r>
        <w:rPr>
          <w:spacing w:val="-10"/>
        </w:rPr>
        <w:t> </w:t>
      </w:r>
      <w:r>
        <w:rPr/>
        <w:t>4)</w:t>
      </w:r>
      <w:r>
        <w:rPr>
          <w:spacing w:val="-11"/>
        </w:rPr>
        <w:t> </w:t>
      </w:r>
      <w:r>
        <w:rPr/>
        <w:t>because</w:t>
      </w:r>
      <w:r>
        <w:rPr>
          <w:spacing w:val="-11"/>
        </w:rPr>
        <w:t> </w:t>
      </w:r>
      <w:r>
        <w:rPr/>
        <w:t>construction includes more stable components such as repair and maintenance. In all countries the level of housing starts is below the levels in the years immediately before the crisis; in many cases it is very far below the peak. Housing market transactions have also slumped in many countries, in some cases running at far below half the level that was seen in the years before the banking crash (figure</w:t>
      </w:r>
      <w:r>
        <w:rPr>
          <w:spacing w:val="-36"/>
        </w:rPr>
        <w:t> </w:t>
      </w:r>
      <w:r>
        <w:rPr/>
        <w:t>5).</w:t>
      </w:r>
    </w:p>
    <w:p>
      <w:pPr>
        <w:pStyle w:val="BodyText"/>
        <w:spacing w:before="1"/>
      </w:pPr>
    </w:p>
    <w:p>
      <w:pPr>
        <w:spacing w:before="0"/>
        <w:ind w:left="226" w:right="0" w:firstLine="0"/>
        <w:jc w:val="left"/>
        <w:rPr>
          <w:sz w:val="19"/>
        </w:rPr>
      </w:pPr>
      <w:r>
        <w:rPr>
          <w:b/>
          <w:sz w:val="19"/>
        </w:rPr>
        <w:t>Figure 4: </w:t>
      </w:r>
      <w:r>
        <w:rPr>
          <w:sz w:val="19"/>
        </w:rPr>
        <w:t>Housing starts, 2006 = 100</w:t>
      </w:r>
    </w:p>
    <w:p>
      <w:pPr>
        <w:pStyle w:val="BodyText"/>
        <w:spacing w:before="23"/>
        <w:ind w:right="8828"/>
        <w:jc w:val="right"/>
        <w:rPr>
          <w:rFonts w:ascii="Calibri"/>
        </w:rPr>
      </w:pPr>
      <w:r>
        <w:rPr/>
        <w:pict>
          <v:group style="position:absolute;margin-left:102.18pt;margin-top:7.13517pt;width:281.3pt;height:119.35pt;mso-position-horizontal-relative:page;mso-position-vertical-relative:paragraph;z-index:251679744" coordorigin="2044,143" coordsize="5626,2387">
            <v:line style="position:absolute" from="2104,150" to="2104,2530" stroked="true" strokeweight=".72pt" strokecolor="#868686">
              <v:stroke dashstyle="solid"/>
            </v:line>
            <v:shape style="position:absolute;left:2043;top:142;width:60;height:2334" coordorigin="2044,143" coordsize="60,2334" path="m2104,2462l2044,2462,2044,2477,2104,2477,2104,2462m2104,2131l2044,2131,2044,2144,2104,2144,2104,2131m2104,1800l2044,1800,2044,1813,2104,1813,2104,1800m2104,1469l2044,1469,2044,1482,2104,1482,2104,1469m2104,1138l2044,1138,2044,1151,2104,1151,2104,1138m2104,805l2044,805,2044,820,2104,820,2104,805m2104,474l2044,474,2044,487,2104,487,2104,474m2104,143l2044,143,2044,156,2104,156,2104,143e" filled="true" fillcolor="#868686" stroked="false">
              <v:path arrowok="t"/>
              <v:fill type="solid"/>
            </v:shape>
            <v:line style="position:absolute" from="2104,2470" to="7655,2470" stroked="true" strokeweight=".72pt" strokecolor="#868686">
              <v:stroke dashstyle="solid"/>
            </v:line>
            <v:shape style="position:absolute;left:2389;top:2469;width:5272;height:60" coordorigin="2389,2470" coordsize="5272,60" path="m2402,2470l2389,2470,2389,2530,2402,2530,2402,2470m2695,2470l2682,2470,2682,2530,2695,2530,2695,2470m2987,2470l2972,2470,2972,2530,2987,2530,2987,2470m3278,2470l3265,2470,3265,2530,3278,2530,3278,2470m3571,2470l3558,2470,3558,2530,3571,2530,3571,2470m3864,2470l3850,2470,3850,2530,3864,2530,3864,2470m4156,2470l4142,2470,4142,2530,4156,2530,4156,2470m4447,2470l4434,2470,4434,2530,4447,2530,4447,2470m4740,2470l4726,2470,4726,2530,4740,2530,4740,2470m5032,2470l5018,2470,5018,2530,5032,2530,5032,2470m5324,2470l5311,2470,5311,2530,5324,2530,5324,2470m5617,2470l5603,2470,5603,2530,5617,2530,5617,2470m5908,2470l5894,2470,5894,2530,5908,2530,5908,2470m6200,2470l6187,2470,6187,2530,6200,2530,6200,2470m6493,2470l6479,2470,6479,2530,6493,2530,6493,2470m6785,2470l6772,2470,6772,2530,6785,2530,6785,2470m7076,2470l7063,2470,7063,2530,7076,2530,7076,2470m7369,2470l7356,2470,7356,2530,7369,2530,7369,2470m7661,2470l7648,2470,7648,2530,7661,2530,7661,2470e" filled="true" fillcolor="#868686" stroked="false">
              <v:path arrowok="t"/>
              <v:fill type="solid"/>
            </v:shape>
            <v:shape style="position:absolute;left:2103;top:776;width:5566;height:713" coordorigin="2104,776" coordsize="5566,713" path="m2394,1247l2389,1248,2384,1252,2104,1440,2104,1489,2106,1489,2116,1483,2400,1290,2393,1289,2407,1285,2610,1285,2400,1248,2394,1247xm2610,1285l2407,1285,2400,1290,2684,1340,2976,1388,3271,1405,3276,1405,3483,1364,3268,1364,3269,1364,2983,1348,2692,1300,2610,1285xm3269,1364l3268,1364,3274,1364,3269,1364xm3559,1307l3269,1364,3274,1364,3483,1364,3569,1348,3570,1348,3571,1346,3572,1346,3669,1308,3557,1308,3559,1307xm3560,1307l3559,1307,3557,1308,3560,1307xm3672,1307l3560,1307,3557,1308,3669,1308,3672,1307xm4151,1147l4146,1147,3853,1190,3851,1190,3850,1192,3559,1307,3560,1307,3672,1307,3861,1231,3860,1231,3864,1230,3869,1230,4152,1188,4533,1188,4442,1172,4151,1147xm6247,814l6181,814,6194,818,6188,819,6473,1046,6766,1294,6769,1297,6775,1298,6781,1298,7072,1266,7076,1265,7080,1264,7082,1261,6792,1261,6776,1256,6785,1255,6499,1014,6247,814xm2407,1285l2393,1289,2400,1290,2407,1285xm7411,996l7376,996,7363,1008,7640,1259,7649,1267,7662,1266,7669,1259,7669,1229,7668,1228,7411,996xm4533,1188l4152,1188,4147,1189,4439,1213,4729,1264,4732,1265,4734,1265,4736,1264,4948,1223,4729,1223,4733,1222,4533,1188xm6785,1255l6776,1256,6792,1261,6785,1255xm7060,1225l6785,1255,6792,1261,7082,1261,7084,1260,7118,1229,7056,1229,7060,1225xm3864,1230l3860,1231,3861,1231,3864,1230xm3861,1231l3860,1231,3861,1231,3861,1231xm3869,1230l3864,1230,3861,1231,3869,1230xm7068,1224l7060,1225,7056,1229,7068,1224xm7124,1224l7068,1224,7056,1229,7118,1229,7124,1224xm7368,958l7356,958,7348,965,7060,1225,7068,1224,7124,1224,7363,1008,7349,996,7411,996,7376,965,7368,958xm4733,1222l4729,1223,4736,1223,4733,1222xm5018,1167l4733,1222,4736,1223,4948,1223,5029,1207,5032,1207,5034,1206,5035,1205,5100,1169,5015,1169,5018,1167xm5021,1166l5018,1167,5015,1169,5021,1166xm5105,1166l5021,1166,5015,1169,5100,1169,5105,1166xm6198,776l6193,776,5898,792,5606,846,5604,846,5602,847,5600,848,5308,1007,5018,1167,5021,1166,5105,1166,5328,1043,5615,887,5614,887,5620,884,5627,884,5905,833,6188,819,6181,814,6247,814,6206,781,6203,778,6198,776xm7376,996l7349,996,7363,1008,7376,996xm5620,884l5614,887,5616,886,5620,884xm5616,886l5614,887,5615,887,5616,886xm5627,884l5620,884,5616,886,5627,884xm6181,814l6188,819,6194,818,6181,814xe" filled="true" fillcolor="#416fa6" stroked="false">
              <v:path arrowok="t"/>
              <v:fill type="solid"/>
            </v:shape>
            <v:shape style="position:absolute;left:2103;top:789;width:5566;height:1494" coordorigin="2104,790" coordsize="5566,1494" path="m6175,1132l6467,1802,6469,1807,6472,1810,6763,2112,6770,2117,6775,2118,7067,2167,7360,2209,7650,2281,7661,2284,7669,2278,7669,2242,7660,2240,7366,2168,7073,2126,6817,2082,6793,2082,6782,2076,6787,2076,6507,1786,6505,1786,6502,1780,6503,1780,6222,1136,6179,1136,6175,1132xm6782,2076l6793,2082,6788,2077,6782,2076xm6788,2077l6793,2082,6817,2082,6788,2077xm6787,2076l6782,2076,6788,2077,6787,2076xm2690,1752l2686,1752,2683,1753,2393,1830,2104,1875,2104,1917,2107,1916,2399,1872,2689,1794,2687,1794,2694,1793,3050,1793,3075,1782,2971,1782,2975,1780,2690,1752xm3050,1793l2694,1793,2689,1794,2977,1822,2981,1823,2988,1820,3050,1793xm2694,1793l2687,1794,2689,1794,2694,1793xm6502,1780l6505,1786,6503,1781,6502,1780xm6503,1781l6505,1786,6507,1786,6503,1781xm2975,1780l2971,1782,2982,1781,2975,1780xm4152,1310l4147,1310,4144,1312,3848,1392,3556,1516,3264,1652,2975,1780,2982,1781,2971,1782,3075,1782,3281,1691,3574,1554,3865,1430,4148,1353,4142,1351,4276,1351,4152,1310xm6503,1780l6502,1780,6503,1781,6503,1780xm4276,1351l4154,1351,4148,1353,4434,1447,4436,1448,4441,1448,4733,1445,4736,1445,4740,1444,4742,1442,4806,1408,4447,1408,4440,1406,4443,1406,4276,1351xm4443,1406l4440,1406,4447,1408,4443,1406xm4730,1403l4443,1406,4447,1408,4806,1408,4808,1406,4723,1406,4730,1403xm4733,1403l4730,1403,4723,1406,4733,1403xm4815,1403l4733,1403,4723,1406,4808,1406,4815,1403xm5676,985l5602,985,5310,1123,5015,1247,4730,1403,4733,1403,4815,1403,5035,1283,5326,1162,5618,1024,5620,1022,5621,1022,5622,1021,5676,985xm4154,1351l4142,1351,4148,1353,4154,1351xm6174,1130l6175,1132,6179,1136,6174,1130xm6220,1130l6174,1130,6179,1136,6222,1136,6220,1130xm5943,827l5886,827,5912,829,5898,839,6175,1132,6174,1130,6220,1130,6212,1114,6212,1111,6209,1108,5943,827xm5898,790l5890,794,5598,986,5602,985,5676,985,5898,839,5886,827,5943,827,5916,798,5910,791,5898,790xm5886,827l5898,839,5912,829,5886,827xe" filled="true" fillcolor="#a8423f" stroked="false">
              <v:path arrowok="t"/>
              <v:fill type="solid"/>
            </v:shape>
            <v:shape style="position:absolute;left:2103;top:755;width:5566;height:920" coordorigin="2104,756" coordsize="5566,920" path="m2386,1386l2674,1668,2678,1674,2687,1675,2694,1674,2827,1638,2702,1638,2683,1633,2694,1630,2447,1387,2394,1387,2386,1386xm2694,1630l2683,1633,2702,1638,2694,1630xm2972,1554l2694,1630,2702,1638,2827,1638,2986,1595,2987,1594,2989,1594,2990,1592,3051,1556,2969,1556,2972,1554xm2974,1554l2972,1554,2969,1556,2974,1554xm3055,1554l2974,1554,2969,1556,3051,1556,3055,1554xm3271,1379l3266,1380,3262,1382,2972,1554,2974,1554,3055,1554,3276,1423,3268,1421,3283,1418,3435,1418,3277,1380,3271,1379xm3435,1418l3283,1418,3276,1423,3559,1492,3563,1493,3566,1493,3570,1492,3701,1452,3558,1452,3565,1450,3435,1418xm3565,1450l3558,1452,3569,1451,3565,1450xm4148,1345l3856,1362,3851,1362,3565,1450,3569,1451,3558,1452,3701,1452,3863,1403,3858,1403,4151,1387,4154,1387,4305,1346,4144,1346,4148,1345xm3283,1418l3268,1421,3276,1423,3283,1418xm6471,952l6761,1404,6764,1409,6770,1412,6776,1414,6782,1414,6790,1411,6793,1406,6817,1381,6796,1381,6763,1379,6782,1359,6523,955,6478,955,6471,952xm2381,1381l2386,1386,2394,1387,2381,1381xm2441,1381l2381,1381,2394,1387,2447,1387,2441,1381xm2104,1310l2104,1353,2386,1386,2381,1381,2441,1381,2411,1351,2407,1349,2402,1346,2399,1346,2106,1310,2104,1310xm6782,1359l6763,1379,6796,1381,6782,1359xm7356,1047l7069,1062,7063,1063,7058,1066,7055,1069,6782,1359,6796,1381,6817,1381,7079,1104,7070,1104,7085,1098,7183,1098,7363,1088,7367,1088,7372,1086,7440,1049,7352,1049,7356,1047xm4148,1345l4148,1345,4144,1346,4148,1345xm4309,1345l4148,1345,4144,1346,4305,1346,4309,1345xm4430,1269l4148,1345,4148,1345,4309,1345,4446,1308,4450,1307,4453,1304,4456,1302,4483,1273,4426,1273,4430,1269xm4435,1267l4430,1269,4426,1273,4435,1267xm4489,1267l4435,1267,4426,1273,4483,1273,4489,1267xm5318,756l5314,756,5310,757,5018,866,4723,962,4720,965,4717,967,4430,1269,4435,1267,4489,1267,4743,1002,4739,1002,4748,996,4757,996,5032,906,5319,799,5314,798,5324,797,5518,797,5322,757,5318,756xm7085,1098l7070,1104,7080,1103,7085,1098xm7080,1103l7070,1104,7079,1104,7080,1103xm7183,1098l7085,1098,7080,1103,7183,1098xm7361,1046l7356,1047,7352,1049,7361,1046xm7444,1046l7361,1046,7352,1049,7440,1049,7444,1046xm7655,884l7645,890,7356,1047,7361,1046,7444,1046,7664,926,7669,924,7669,890,7668,888,7655,884xm4748,996l4739,1002,4744,1000,4748,996xm4744,1000l4739,1002,4743,1002,4744,1000xm4757,996l4748,996,4744,1000,4757,996xm6468,948l6471,952,6478,955,6468,948xm6519,948l6468,948,6478,955,6523,955,6519,948xm6292,830l6186,830,6194,832,6189,832,6471,952,6468,948,6519,948,6504,925,6502,922,6494,917,6292,830xm5518,797l5324,797,5319,799,5606,857,5611,857,5903,833,6189,832,6186,830,6292,830,6258,816,5614,816,5518,797xm6186,830l6189,832,6194,832,6186,830xm6199,791l6193,791,5899,792,5609,815,5614,816,6258,816,6202,792,6199,791xm5324,797l5314,798,5319,799,5324,797xe" filled="true" fillcolor="#86a44a" stroked="false">
              <v:path arrowok="t"/>
              <v:fill type="solid"/>
            </v:shape>
            <v:shape style="position:absolute;left:2103;top:550;width:5566;height:1433" coordorigin="2104,551" coordsize="5566,1433" path="m5884,824l6176,1254,6469,1658,6763,1976,6768,1981,6774,1984,6780,1984,7072,1955,7145,1949,6794,1949,6776,1942,6787,1941,6503,1634,6211,1231,5937,828,5888,828,5884,824xm6787,1941l6776,1942,6794,1949,6787,1941xm7356,1889l6787,1941,6794,1949,7145,1949,7364,1931,7367,1931,7372,1928,7441,1891,7352,1891,7356,1889xm7361,1889l7356,1889,7352,1891,7361,1889xm7445,1889l7361,1889,7352,1891,7441,1891,7445,1889xm7655,1729l7645,1734,7356,1889,7361,1889,7445,1889,7664,1771,7669,1768,7669,1735,7668,1733,7655,1729xm2396,1124l2392,1126,2387,1128,2104,1265,2104,1312,2113,1308,2398,1168,2390,1166,2405,1165,2548,1165,2401,1127,2396,1124xm2548,1165l2405,1165,2398,1168,2683,1244,2687,1246,2692,1246,2813,1205,2682,1205,2689,1202,2548,1165xm2689,1202l2682,1205,2694,1204,2689,1202xm3268,1099l2980,1105,2975,1105,2972,1106,2689,1202,2694,1204,2682,1205,2813,1205,2983,1147,2980,1147,2987,1146,3038,1146,3272,1141,3278,1141,3281,1140,3365,1102,3263,1102,3268,1099xm2405,1165l2390,1166,2398,1168,2405,1165xm2987,1146l2980,1147,2983,1147,2987,1146xm2983,1147l2980,1147,2983,1147,2983,1147xm3038,1146l2987,1146,2983,1147,3038,1146xm3271,1099l3268,1099,3263,1102,3271,1099xm3370,1099l3271,1099,3263,1102,3365,1102,3370,1099xm3862,942l3856,942,3563,966,3560,967,3558,967,3556,968,3268,1099,3271,1099,3370,1099,3571,1008,3566,1008,3574,1007,3580,1007,3854,983,3852,983,4036,983,3862,942xm4036,983l3858,983,3854,983,4145,1050,4146,1051,4151,1051,4442,1026,4446,1026,4447,1025,4490,1010,4154,1010,4147,1009,4149,1009,4036,983xm4149,1009l4147,1009,4154,1010,4149,1009xm4437,984l4149,1009,4154,1010,4490,1010,4564,985,4434,985,4437,984xm3574,1007l3566,1008,3572,1007,3574,1007xm3572,1007l3566,1008,3571,1008,3572,1007xm3580,1007l3574,1007,3572,1007,3580,1007xm4439,984l4437,984,4434,985,4439,984xm4567,984l4439,984,4434,985,4564,985,4567,984xm5610,551l5603,553,5311,666,5017,755,4726,886,4437,984,4439,984,4567,984,4740,925,5034,793,5323,706,5606,597,5597,589,5663,589,5623,557,5617,552,5610,551xm3858,983l3852,983,3854,983,3858,983xm5663,589l5597,589,5617,593,5606,597,5888,828,5937,828,5918,800,5916,798,5915,796,5663,589xm5597,589l5606,597,5617,593,5597,589xe" filled="true" fillcolor="#6e548d" stroked="false">
              <v:path arrowok="t"/>
              <v:fill type="solid"/>
            </v:shape>
            <v:shape style="position:absolute;left:2103;top:790;width:5566;height:917" coordorigin="2104,791" coordsize="5566,917" path="m6178,875l6467,1537,6469,1542,6472,1546,6476,1548,6769,1704,6776,1708,6786,1706,6792,1700,6829,1669,6766,1669,6776,1660,6514,1520,6505,1520,6496,1511,6501,1511,6225,877,6191,877,6178,875xm6776,1660l6766,1669,6788,1667,6776,1660xm7367,1391l7361,1391,7068,1418,7063,1418,7060,1420,7056,1423,6776,1660,6788,1667,6766,1669,6829,1669,7078,1459,7072,1459,7084,1454,7125,1454,7358,1433,7354,1432,7465,1432,7370,1392,7367,1391xm7465,1432l7354,1432,7364,1433,7358,1433,7646,1553,7657,1558,7669,1553,7669,1517,7663,1514,7465,1432xm6496,1511l6505,1520,6503,1514,6496,1511xm6503,1514l6505,1520,6514,1520,6503,1514xm6501,1511l6496,1511,6503,1514,6501,1511xm7084,1454l7072,1459,7079,1458,7084,1454xm7079,1458l7072,1459,7078,1459,7079,1458xm7125,1454l7084,1454,7079,1458,7125,1454xm7354,1432l7358,1433,7364,1433,7354,1432xm2442,935l2382,935,2405,938,2392,944,2674,1214,2680,1220,2688,1222,2695,1219,2803,1184,2702,1184,2682,1180,2694,1176,2442,935xm2694,1176l2682,1180,2702,1184,2694,1176xm3274,967l3269,967,3264,970,2974,1086,2694,1176,2702,1184,2803,1184,2986,1126,3274,1010,3266,1008,3408,1008,3278,968,3274,967xm3408,1008l3280,1008,3274,1010,3558,1098,3563,1098,3856,1114,4147,1140,4152,1140,4442,1108,4647,1099,4147,1099,4151,1098,3858,1072,3565,1057,3570,1057,3408,1008xm4730,1054l4438,1066,4147,1099,4647,1099,4734,1096,4735,1096,4738,1094,4740,1094,4859,1055,4727,1055,4730,1054xm2395,898l2388,900,2104,1027,2104,1072,2392,944,2382,935,2442,935,2411,905,2405,899,2395,898xm4732,1054l4730,1054,4727,1055,4732,1054xm4862,1054l4732,1054,4727,1055,4859,1055,4862,1054xm5102,958l5018,958,4730,1054,4732,1054,4862,1054,5032,997,5033,996,5034,996,5035,995,5102,958xm3280,1008l3266,1008,3274,1010,3280,1008xm5318,792l5315,792,5311,793,5308,796,5015,959,5018,958,5102,958,5323,834,5317,834,5328,832,6172,832,5953,799,5610,799,5318,792xm2382,935l2392,944,2405,938,2382,935xm6174,865l6178,875,6191,877,6174,865xm6220,865l6174,865,6191,877,6225,877,6220,865xm6181,833l5902,833,5899,833,6178,875,6174,865,6220,865,6212,848,6210,841,6204,836,6197,835,6181,833xm6172,832l5328,832,5323,834,5610,841,5899,833,5898,833,6181,833,6172,832xm5328,832l5317,834,5323,834,5328,832xm5902,833l5898,833,5899,833,5902,833xm5902,791l5900,792,5610,799,5953,799,5904,792,5903,792,5902,791xe" filled="true" fillcolor="#3d96ae" stroked="false">
              <v:path arrowok="t"/>
              <v:fill type="solid"/>
            </v:shape>
            <v:shape style="position:absolute;left:4419;top:301;width:3250;height:1167" coordorigin="4420,301" coordsize="3250,1167" path="m5930,822l5882,822,5902,833,5888,833,6175,1384,6178,1388,6182,1392,6188,1393,6481,1468,6487,1468,6780,1447,6880,1427,6491,1427,6485,1426,6486,1425,6237,1363,6212,1363,6199,1354,6207,1354,5930,822xm6486,1425l6485,1426,6491,1427,6486,1425xm7061,1347l6778,1405,6486,1425,6491,1427,6880,1427,7074,1387,7076,1386,7080,1385,7082,1384,7129,1350,7057,1350,7061,1347xm6199,1354l6212,1363,6209,1356,6199,1354xm6209,1356l6212,1363,6237,1363,6209,1356xm6207,1354l6199,1354,6209,1356,6207,1354xm7066,1346l7061,1347,7057,1350,7066,1346xm7134,1346l7066,1346,7057,1350,7129,1350,7134,1346xm7360,1134l7355,1135,7350,1139,7061,1347,7066,1346,7134,1346,7367,1177,7360,1176,7374,1172,7631,1172,7366,1135,7360,1134xm7631,1172l7374,1172,7367,1177,7651,1218,7663,1219,7669,1215,7669,1178,7657,1176,7631,1172xm7374,1172l7360,1176,7367,1177,7374,1172xm5072,340l5011,340,5038,341,5024,351,5303,616,5598,830,5602,833,5605,834,5888,833,5882,822,5930,822,5920,803,5917,797,5622,797,5610,792,5615,792,5332,584,5072,340xm5882,822l5888,833,5902,833,5882,822xm5615,792l5610,792,5622,797,5615,792xm5909,791l5902,792,5615,792,5622,797,5917,797,5916,796,5909,791xm4430,515l4420,524,4420,547,4428,557,4440,558,4732,572,4736,572,4741,571,4746,568,4788,535,4720,535,4726,530,4441,516,4430,515xm4726,530l4720,535,4734,530,4726,530xm5021,301l5012,308,4726,530,4734,530,4720,535,4788,535,5024,351,5011,340,5072,340,5040,310,5032,302,5021,301xm5011,340l5024,351,5038,341,5011,340xe" filled="true" fillcolor="#da8137" stroked="false">
              <v:path arrowok="t"/>
              <v:fill type="solid"/>
            </v:shape>
            <v:shape style="position:absolute;left:4417;top:454;width:3252;height:1773" coordorigin="4417,455" coordsize="3252,1773" path="m6468,1219l6761,1739,6761,1741,6762,1742,6764,1744,7055,2023,7057,2024,7060,2027,7062,2027,7355,2140,7649,2225,7660,2227,7669,2222,7669,2187,7661,2184,7369,2100,7090,1993,7085,1993,7078,1988,7080,1988,6798,1718,6797,1718,6793,1714,6794,1714,6517,1222,6470,1222,6468,1219xm7078,1988l7085,1993,7081,1990,7078,1988xm7081,1990l7085,1993,7090,1993,7081,1990xm7080,1988l7078,1988,7081,1990,7080,1988xm6793,1714l6797,1718,6795,1715,6793,1714xm6795,1715l6797,1718,6798,1718,6795,1715xm6794,1714l6793,1714,6795,1715,6794,1714xm6183,881l6470,1222,6517,1222,6504,1199,6504,1198,6502,1195,6239,882,6191,882,6183,881xm4447,743l4434,743,4417,760,4417,773,4718,1073,4723,1079,4732,1080,4739,1079,4858,1044,4747,1044,4727,1038,4738,1035,4447,743xm4738,1035l4727,1038,4747,1044,4738,1035xm5012,956l4738,1035,4747,1044,4858,1044,5032,994,5036,992,5040,989,5044,984,5056,964,5008,964,5012,956xm5020,954l5012,956,5008,964,5020,954xm5061,954l5020,954,5008,964,5056,964,5061,954xm5323,455l5318,455,5312,456,5308,457,5303,461,5299,466,5012,956,5020,954,5061,954,5324,505,5306,494,5335,486,5375,486,5328,458,5323,455xm6178,875l6183,881,6191,882,6178,875xm6233,875l6178,875,6191,882,6239,882,6233,875xm5375,486l5335,486,5324,505,5599,667,5891,830,5896,833,5898,833,6183,881,6178,875,6233,875,6210,847,6206,844,6202,841,6197,840,5920,794,5911,794,5905,792,5907,792,5621,631,5375,486xm5905,792l5911,794,5908,792,5905,792xm5908,792l5911,794,5920,794,5908,792xm5907,792l5905,792,5908,792,5907,792xm5335,486l5306,494,5324,505,5335,486xe" filled="true" fillcolor="#8ea5cb" stroked="false">
              <v:path arrowok="t"/>
              <v:fill type="solid"/>
            </v:shape>
            <v:line style="position:absolute" from="2789,1906" to="3192,1906" stroked="true" strokeweight="2.04pt" strokecolor="#416fa6">
              <v:stroke dashstyle="solid"/>
            </v:line>
            <v:line style="position:absolute" from="4042,1906" to="4445,1906" stroked="true" strokeweight="2.04pt" strokecolor="#a8423f">
              <v:stroke dashstyle="solid"/>
            </v:line>
            <v:line style="position:absolute" from="5297,1906" to="5699,1906" stroked="true" strokeweight="2.04pt" strokecolor="#86a44a">
              <v:stroke dashstyle="solid"/>
            </v:line>
            <v:line style="position:absolute" from="2789,2114" to="3192,2114" stroked="true" strokeweight="2.1pt" strokecolor="#6e548d">
              <v:stroke dashstyle="solid"/>
            </v:line>
            <v:line style="position:absolute" from="4042,2114" to="4445,2114" stroked="true" strokeweight="2.1pt" strokecolor="#3d96ae">
              <v:stroke dashstyle="solid"/>
            </v:line>
            <v:line style="position:absolute" from="5297,2114" to="5699,2114" stroked="true" strokeweight="2.1pt" strokecolor="#da8137">
              <v:stroke dashstyle="solid"/>
            </v:line>
            <v:line style="position:absolute" from="2789,2323" to="3192,2323" stroked="true" strokeweight="2.1pt" strokecolor="#8ea5cb">
              <v:stroke dashstyle="solid"/>
            </v:line>
            <v:shape style="position:absolute;left:3208;top:1818;width:559;height:607" type="#_x0000_t202" filled="false" stroked="false">
              <v:textbox inset="0,0,0,0">
                <w:txbxContent>
                  <w:p>
                    <w:pPr>
                      <w:spacing w:line="181" w:lineRule="exact" w:before="0"/>
                      <w:ind w:left="0" w:right="0" w:firstLine="0"/>
                      <w:jc w:val="left"/>
                      <w:rPr>
                        <w:rFonts w:ascii="Calibri"/>
                        <w:sz w:val="19"/>
                      </w:rPr>
                    </w:pPr>
                    <w:r>
                      <w:rPr>
                        <w:rFonts w:ascii="Calibri"/>
                        <w:sz w:val="19"/>
                      </w:rPr>
                      <w:t>France</w:t>
                    </w:r>
                  </w:p>
                  <w:p>
                    <w:pPr>
                      <w:spacing w:line="209" w:lineRule="exact" w:before="0"/>
                      <w:ind w:left="0" w:right="0" w:firstLine="0"/>
                      <w:jc w:val="left"/>
                      <w:rPr>
                        <w:rFonts w:ascii="Calibri"/>
                        <w:sz w:val="19"/>
                      </w:rPr>
                    </w:pPr>
                    <w:r>
                      <w:rPr>
                        <w:rFonts w:ascii="Calibri"/>
                        <w:sz w:val="19"/>
                      </w:rPr>
                      <w:t>US</w:t>
                    </w:r>
                  </w:p>
                  <w:p>
                    <w:pPr>
                      <w:spacing w:line="216" w:lineRule="exact" w:before="0"/>
                      <w:ind w:left="0" w:right="0" w:firstLine="0"/>
                      <w:jc w:val="left"/>
                      <w:rPr>
                        <w:rFonts w:ascii="Calibri"/>
                        <w:sz w:val="19"/>
                      </w:rPr>
                    </w:pPr>
                    <w:r>
                      <w:rPr>
                        <w:rFonts w:ascii="Calibri"/>
                        <w:sz w:val="19"/>
                      </w:rPr>
                      <w:t>Ireland</w:t>
                    </w:r>
                  </w:p>
                </w:txbxContent>
              </v:textbox>
              <w10:wrap type="none"/>
            </v:shape>
            <v:shape style="position:absolute;left:4462;top:1818;width:437;height:398" type="#_x0000_t202" filled="false" stroked="false">
              <v:textbox inset="0,0,0,0">
                <w:txbxContent>
                  <w:p>
                    <w:pPr>
                      <w:spacing w:line="181" w:lineRule="exact" w:before="0"/>
                      <w:ind w:left="0" w:right="0" w:firstLine="0"/>
                      <w:jc w:val="left"/>
                      <w:rPr>
                        <w:rFonts w:ascii="Calibri"/>
                        <w:sz w:val="19"/>
                      </w:rPr>
                    </w:pPr>
                    <w:r>
                      <w:rPr>
                        <w:rFonts w:ascii="Calibri"/>
                        <w:sz w:val="19"/>
                      </w:rPr>
                      <w:t>Spain</w:t>
                    </w:r>
                  </w:p>
                  <w:p>
                    <w:pPr>
                      <w:spacing w:line="216" w:lineRule="exact" w:before="0"/>
                      <w:ind w:left="0" w:right="0" w:firstLine="0"/>
                      <w:jc w:val="left"/>
                      <w:rPr>
                        <w:rFonts w:ascii="Calibri"/>
                        <w:sz w:val="19"/>
                      </w:rPr>
                    </w:pPr>
                    <w:r>
                      <w:rPr>
                        <w:rFonts w:ascii="Calibri"/>
                        <w:sz w:val="19"/>
                      </w:rPr>
                      <w:t>UK</w:t>
                    </w:r>
                  </w:p>
                </w:txbxContent>
              </v:textbox>
              <w10:wrap type="none"/>
            </v:shape>
            <v:shape style="position:absolute;left:5716;top:1818;width:723;height:398" type="#_x0000_t202" filled="false" stroked="false">
              <v:textbox inset="0,0,0,0">
                <w:txbxContent>
                  <w:p>
                    <w:pPr>
                      <w:spacing w:line="181" w:lineRule="exact" w:before="0"/>
                      <w:ind w:left="0" w:right="0" w:firstLine="0"/>
                      <w:jc w:val="left"/>
                      <w:rPr>
                        <w:rFonts w:ascii="Calibri"/>
                        <w:sz w:val="19"/>
                      </w:rPr>
                    </w:pPr>
                    <w:r>
                      <w:rPr>
                        <w:rFonts w:ascii="Calibri"/>
                        <w:sz w:val="19"/>
                      </w:rPr>
                      <w:t>Canada</w:t>
                    </w:r>
                  </w:p>
                  <w:p>
                    <w:pPr>
                      <w:spacing w:line="216" w:lineRule="exact" w:before="0"/>
                      <w:ind w:left="0" w:right="0" w:firstLine="0"/>
                      <w:jc w:val="left"/>
                      <w:rPr>
                        <w:rFonts w:ascii="Calibri"/>
                        <w:sz w:val="19"/>
                      </w:rPr>
                    </w:pPr>
                    <w:r>
                      <w:rPr>
                        <w:rFonts w:ascii="Calibri"/>
                        <w:sz w:val="19"/>
                      </w:rPr>
                      <w:t>Germany</w:t>
                    </w:r>
                  </w:p>
                </w:txbxContent>
              </v:textbox>
              <w10:wrap type="none"/>
            </v:shape>
            <w10:wrap type="none"/>
          </v:group>
        </w:pict>
      </w:r>
      <w:r>
        <w:rPr>
          <w:rFonts w:ascii="Calibri"/>
          <w:spacing w:val="-1"/>
          <w:w w:val="95"/>
        </w:rPr>
        <w:t>140</w:t>
      </w:r>
    </w:p>
    <w:p>
      <w:pPr>
        <w:pStyle w:val="BodyText"/>
        <w:spacing w:before="99"/>
        <w:ind w:right="8828"/>
        <w:jc w:val="right"/>
        <w:rPr>
          <w:rFonts w:ascii="Calibri"/>
        </w:rPr>
      </w:pPr>
      <w:r>
        <w:rPr>
          <w:rFonts w:ascii="Calibri"/>
          <w:spacing w:val="-1"/>
          <w:w w:val="95"/>
        </w:rPr>
        <w:t>120</w:t>
      </w:r>
    </w:p>
    <w:p>
      <w:pPr>
        <w:pStyle w:val="BodyText"/>
        <w:spacing w:before="99"/>
        <w:ind w:right="8828"/>
        <w:jc w:val="right"/>
        <w:rPr>
          <w:rFonts w:ascii="Calibri"/>
        </w:rPr>
      </w:pPr>
      <w:r>
        <w:rPr>
          <w:rFonts w:ascii="Calibri"/>
          <w:spacing w:val="-1"/>
          <w:w w:val="95"/>
        </w:rPr>
        <w:t>100</w:t>
      </w:r>
    </w:p>
    <w:p>
      <w:pPr>
        <w:pStyle w:val="BodyText"/>
        <w:spacing w:before="101"/>
        <w:ind w:right="8827"/>
        <w:jc w:val="right"/>
        <w:rPr>
          <w:rFonts w:ascii="Calibri"/>
        </w:rPr>
      </w:pPr>
      <w:r>
        <w:rPr>
          <w:rFonts w:ascii="Calibri"/>
          <w:spacing w:val="-1"/>
        </w:rPr>
        <w:t>80</w:t>
      </w:r>
    </w:p>
    <w:p>
      <w:pPr>
        <w:pStyle w:val="BodyText"/>
        <w:spacing w:before="99"/>
        <w:ind w:right="8827"/>
        <w:jc w:val="right"/>
        <w:rPr>
          <w:rFonts w:ascii="Calibri"/>
        </w:rPr>
      </w:pPr>
      <w:r>
        <w:rPr>
          <w:rFonts w:ascii="Calibri"/>
          <w:spacing w:val="-1"/>
        </w:rPr>
        <w:t>60</w:t>
      </w:r>
    </w:p>
    <w:p>
      <w:pPr>
        <w:pStyle w:val="BodyText"/>
        <w:spacing w:before="99"/>
        <w:ind w:right="8827"/>
        <w:jc w:val="right"/>
        <w:rPr>
          <w:rFonts w:ascii="Calibri"/>
        </w:rPr>
      </w:pPr>
      <w:r>
        <w:rPr>
          <w:rFonts w:ascii="Calibri"/>
          <w:spacing w:val="-1"/>
        </w:rPr>
        <w:t>40</w:t>
      </w:r>
    </w:p>
    <w:p>
      <w:pPr>
        <w:pStyle w:val="BodyText"/>
        <w:spacing w:before="100"/>
        <w:ind w:right="8827"/>
        <w:jc w:val="right"/>
        <w:rPr>
          <w:rFonts w:ascii="Calibri"/>
        </w:rPr>
      </w:pPr>
      <w:r>
        <w:rPr>
          <w:rFonts w:ascii="Calibri"/>
          <w:spacing w:val="-1"/>
        </w:rPr>
        <w:t>20</w:t>
      </w:r>
    </w:p>
    <w:p>
      <w:pPr>
        <w:pStyle w:val="BodyText"/>
        <w:spacing w:before="100"/>
        <w:ind w:right="8828"/>
        <w:jc w:val="right"/>
        <w:rPr>
          <w:rFonts w:ascii="Calibri"/>
        </w:rPr>
      </w:pPr>
      <w:r>
        <w:rPr/>
        <w:pict>
          <v:shape style="position:absolute;margin-left:100.349747pt;margin-top:16.220110pt;width:289pt;height:21.15pt;mso-position-horizontal-relative:page;mso-position-vertical-relative:paragraph;z-index:251680768" type="#_x0000_t202" filled="false" stroked="false">
            <v:textbox inset="0,0,0,0" style="layout-flow:vertical;mso-layout-flow-alt:bottom-to-top">
              <w:txbxContent>
                <w:p>
                  <w:pPr>
                    <w:pStyle w:val="BodyText"/>
                    <w:spacing w:line="212" w:lineRule="exact"/>
                    <w:ind w:left="20"/>
                    <w:rPr>
                      <w:rFonts w:ascii="Calibri"/>
                    </w:rPr>
                  </w:pPr>
                  <w:r>
                    <w:rPr>
                      <w:rFonts w:ascii="Calibri"/>
                    </w:rPr>
                    <w:t>1993</w:t>
                  </w:r>
                </w:p>
                <w:p>
                  <w:pPr>
                    <w:pStyle w:val="BodyText"/>
                    <w:spacing w:before="59"/>
                    <w:ind w:left="20"/>
                    <w:rPr>
                      <w:rFonts w:ascii="Calibri"/>
                    </w:rPr>
                  </w:pPr>
                  <w:r>
                    <w:rPr>
                      <w:rFonts w:ascii="Calibri"/>
                    </w:rPr>
                    <w:t>1994</w:t>
                  </w:r>
                </w:p>
                <w:p>
                  <w:pPr>
                    <w:pStyle w:val="BodyText"/>
                    <w:spacing w:before="61"/>
                    <w:ind w:left="20"/>
                    <w:rPr>
                      <w:rFonts w:ascii="Calibri"/>
                    </w:rPr>
                  </w:pPr>
                  <w:r>
                    <w:rPr>
                      <w:rFonts w:ascii="Calibri"/>
                    </w:rPr>
                    <w:t>1995</w:t>
                  </w:r>
                </w:p>
                <w:p>
                  <w:pPr>
                    <w:pStyle w:val="BodyText"/>
                    <w:spacing w:before="60"/>
                    <w:ind w:left="20"/>
                    <w:rPr>
                      <w:rFonts w:ascii="Calibri"/>
                    </w:rPr>
                  </w:pPr>
                  <w:r>
                    <w:rPr>
                      <w:rFonts w:ascii="Calibri"/>
                    </w:rPr>
                    <w:t>1996</w:t>
                  </w:r>
                </w:p>
                <w:p>
                  <w:pPr>
                    <w:pStyle w:val="BodyText"/>
                    <w:spacing w:before="61"/>
                    <w:ind w:left="20"/>
                    <w:rPr>
                      <w:rFonts w:ascii="Calibri"/>
                    </w:rPr>
                  </w:pPr>
                  <w:r>
                    <w:rPr>
                      <w:rFonts w:ascii="Calibri"/>
                    </w:rPr>
                    <w:t>1997</w:t>
                  </w:r>
                </w:p>
                <w:p>
                  <w:pPr>
                    <w:pStyle w:val="BodyText"/>
                    <w:spacing w:before="59"/>
                    <w:ind w:left="20"/>
                    <w:rPr>
                      <w:rFonts w:ascii="Calibri"/>
                    </w:rPr>
                  </w:pPr>
                  <w:r>
                    <w:rPr>
                      <w:rFonts w:ascii="Calibri"/>
                    </w:rPr>
                    <w:t>1998</w:t>
                  </w:r>
                </w:p>
                <w:p>
                  <w:pPr>
                    <w:pStyle w:val="BodyText"/>
                    <w:spacing w:before="61"/>
                    <w:ind w:left="20"/>
                    <w:rPr>
                      <w:rFonts w:ascii="Calibri"/>
                    </w:rPr>
                  </w:pPr>
                  <w:r>
                    <w:rPr>
                      <w:rFonts w:ascii="Calibri"/>
                    </w:rPr>
                    <w:t>1999</w:t>
                  </w:r>
                </w:p>
                <w:p>
                  <w:pPr>
                    <w:pStyle w:val="BodyText"/>
                    <w:spacing w:before="60"/>
                    <w:ind w:left="20"/>
                    <w:rPr>
                      <w:rFonts w:ascii="Calibri"/>
                    </w:rPr>
                  </w:pPr>
                  <w:r>
                    <w:rPr>
                      <w:rFonts w:ascii="Calibri"/>
                    </w:rPr>
                    <w:t>2000</w:t>
                  </w:r>
                </w:p>
                <w:p>
                  <w:pPr>
                    <w:pStyle w:val="BodyText"/>
                    <w:spacing w:before="61"/>
                    <w:ind w:left="20"/>
                    <w:rPr>
                      <w:rFonts w:ascii="Calibri"/>
                    </w:rPr>
                  </w:pPr>
                  <w:r>
                    <w:rPr>
                      <w:rFonts w:ascii="Calibri"/>
                    </w:rPr>
                    <w:t>2001</w:t>
                  </w:r>
                </w:p>
                <w:p>
                  <w:pPr>
                    <w:pStyle w:val="BodyText"/>
                    <w:spacing w:before="59"/>
                    <w:ind w:left="20"/>
                    <w:rPr>
                      <w:rFonts w:ascii="Calibri"/>
                    </w:rPr>
                  </w:pPr>
                  <w:r>
                    <w:rPr>
                      <w:rFonts w:ascii="Calibri"/>
                    </w:rPr>
                    <w:t>2002</w:t>
                  </w:r>
                </w:p>
                <w:p>
                  <w:pPr>
                    <w:pStyle w:val="BodyText"/>
                    <w:spacing w:before="61"/>
                    <w:ind w:left="20"/>
                    <w:rPr>
                      <w:rFonts w:ascii="Calibri"/>
                    </w:rPr>
                  </w:pPr>
                  <w:r>
                    <w:rPr>
                      <w:rFonts w:ascii="Calibri"/>
                    </w:rPr>
                    <w:t>2003</w:t>
                  </w:r>
                </w:p>
                <w:p>
                  <w:pPr>
                    <w:pStyle w:val="BodyText"/>
                    <w:spacing w:before="60"/>
                    <w:ind w:left="20"/>
                    <w:rPr>
                      <w:rFonts w:ascii="Calibri"/>
                    </w:rPr>
                  </w:pPr>
                  <w:r>
                    <w:rPr>
                      <w:rFonts w:ascii="Calibri"/>
                    </w:rPr>
                    <w:t>2004</w:t>
                  </w:r>
                </w:p>
                <w:p>
                  <w:pPr>
                    <w:pStyle w:val="BodyText"/>
                    <w:spacing w:before="61"/>
                    <w:ind w:left="20"/>
                    <w:rPr>
                      <w:rFonts w:ascii="Calibri"/>
                    </w:rPr>
                  </w:pPr>
                  <w:r>
                    <w:rPr>
                      <w:rFonts w:ascii="Calibri"/>
                    </w:rPr>
                    <w:t>2005</w:t>
                  </w:r>
                </w:p>
                <w:p>
                  <w:pPr>
                    <w:pStyle w:val="BodyText"/>
                    <w:spacing w:before="60"/>
                    <w:ind w:left="20"/>
                    <w:rPr>
                      <w:rFonts w:ascii="Calibri"/>
                    </w:rPr>
                  </w:pPr>
                  <w:r>
                    <w:rPr>
                      <w:rFonts w:ascii="Calibri"/>
                    </w:rPr>
                    <w:t>2006</w:t>
                  </w:r>
                </w:p>
                <w:p>
                  <w:pPr>
                    <w:pStyle w:val="BodyText"/>
                    <w:spacing w:before="60"/>
                    <w:ind w:left="20"/>
                    <w:rPr>
                      <w:rFonts w:ascii="Calibri"/>
                    </w:rPr>
                  </w:pPr>
                  <w:r>
                    <w:rPr>
                      <w:rFonts w:ascii="Calibri"/>
                    </w:rPr>
                    <w:t>2007</w:t>
                  </w:r>
                </w:p>
                <w:p>
                  <w:pPr>
                    <w:pStyle w:val="BodyText"/>
                    <w:spacing w:before="60"/>
                    <w:ind w:left="20"/>
                    <w:rPr>
                      <w:rFonts w:ascii="Calibri"/>
                    </w:rPr>
                  </w:pPr>
                  <w:r>
                    <w:rPr>
                      <w:rFonts w:ascii="Calibri"/>
                    </w:rPr>
                    <w:t>2008</w:t>
                  </w:r>
                </w:p>
                <w:p>
                  <w:pPr>
                    <w:pStyle w:val="BodyText"/>
                    <w:spacing w:before="61"/>
                    <w:ind w:left="20"/>
                    <w:rPr>
                      <w:rFonts w:ascii="Calibri"/>
                    </w:rPr>
                  </w:pPr>
                  <w:r>
                    <w:rPr>
                      <w:rFonts w:ascii="Calibri"/>
                    </w:rPr>
                    <w:t>2009</w:t>
                  </w:r>
                </w:p>
                <w:p>
                  <w:pPr>
                    <w:pStyle w:val="BodyText"/>
                    <w:spacing w:before="60"/>
                    <w:ind w:left="20"/>
                    <w:rPr>
                      <w:rFonts w:ascii="Calibri"/>
                    </w:rPr>
                  </w:pPr>
                  <w:r>
                    <w:rPr>
                      <w:rFonts w:ascii="Calibri"/>
                    </w:rPr>
                    <w:t>2010</w:t>
                  </w:r>
                </w:p>
                <w:p>
                  <w:pPr>
                    <w:pStyle w:val="BodyText"/>
                    <w:spacing w:before="59"/>
                    <w:ind w:left="20"/>
                    <w:rPr>
                      <w:rFonts w:ascii="Calibri"/>
                    </w:rPr>
                  </w:pPr>
                  <w:r>
                    <w:rPr>
                      <w:rFonts w:ascii="Calibri"/>
                    </w:rPr>
                    <w:t>2011</w:t>
                  </w:r>
                </w:p>
                <w:p>
                  <w:pPr>
                    <w:pStyle w:val="BodyText"/>
                    <w:spacing w:before="61"/>
                    <w:ind w:left="20"/>
                    <w:rPr>
                      <w:rFonts w:ascii="Calibri"/>
                    </w:rPr>
                  </w:pPr>
                  <w:r>
                    <w:rPr>
                      <w:rFonts w:ascii="Calibri"/>
                    </w:rPr>
                    <w:t>2012</w:t>
                  </w:r>
                </w:p>
              </w:txbxContent>
            </v:textbox>
            <w10:wrap type="none"/>
          </v:shape>
        </w:pict>
      </w:r>
      <w:r>
        <w:rPr>
          <w:rFonts w:ascii="Calibri"/>
          <w:w w:val="99"/>
        </w:rPr>
        <w:t>0</w:t>
      </w:r>
    </w:p>
    <w:p>
      <w:pPr>
        <w:pStyle w:val="BodyText"/>
        <w:spacing w:before="8"/>
        <w:rPr>
          <w:rFonts w:ascii="Calibri"/>
          <w:sz w:val="29"/>
        </w:rPr>
      </w:pPr>
    </w:p>
    <w:p>
      <w:pPr>
        <w:spacing w:line="278" w:lineRule="auto" w:before="95"/>
        <w:ind w:left="226" w:right="218" w:firstLine="0"/>
        <w:jc w:val="left"/>
        <w:rPr>
          <w:sz w:val="15"/>
        </w:rPr>
      </w:pPr>
      <w:r>
        <w:rPr>
          <w:sz w:val="15"/>
        </w:rPr>
        <w:t>Sources: National Institute for Statistics and Economic Studies, Bloomberg, U.S. Census Bureau, German Federal Statistical Office, and Irish Central Statistics Office.</w:t>
      </w:r>
    </w:p>
    <w:p>
      <w:pPr>
        <w:spacing w:line="273" w:lineRule="auto" w:before="0"/>
        <w:ind w:left="226" w:right="0" w:firstLine="0"/>
        <w:jc w:val="left"/>
        <w:rPr>
          <w:sz w:val="15"/>
        </w:rPr>
      </w:pPr>
      <w:r>
        <w:rPr>
          <w:sz w:val="15"/>
        </w:rPr>
        <w:t>Note: France, Spain, Canada, US, UK information is for building (housing) starts during the period. Data for Germany and Ireland is for planning permissions granted</w:t>
      </w:r>
    </w:p>
    <w:p>
      <w:pPr>
        <w:spacing w:after="0" w:line="273" w:lineRule="auto"/>
        <w:jc w:val="left"/>
        <w:rPr>
          <w:sz w:val="15"/>
        </w:rPr>
        <w:sectPr>
          <w:pgSz w:w="12240" w:h="15840"/>
          <w:pgMar w:header="0" w:footer="1240" w:top="1380" w:bottom="1440" w:left="1360" w:right="1480"/>
        </w:sectPr>
      </w:pPr>
    </w:p>
    <w:p>
      <w:pPr>
        <w:spacing w:before="74"/>
        <w:ind w:left="226" w:right="0" w:firstLine="0"/>
        <w:jc w:val="left"/>
        <w:rPr>
          <w:sz w:val="19"/>
        </w:rPr>
      </w:pPr>
      <w:r>
        <w:rPr>
          <w:b/>
          <w:sz w:val="19"/>
        </w:rPr>
        <w:t>Figure 5: </w:t>
      </w:r>
      <w:r>
        <w:rPr>
          <w:sz w:val="19"/>
        </w:rPr>
        <w:t>Transactions, 2006 = 100</w:t>
      </w:r>
    </w:p>
    <w:p>
      <w:pPr>
        <w:pStyle w:val="BodyText"/>
        <w:spacing w:before="65"/>
        <w:ind w:right="8828"/>
        <w:jc w:val="right"/>
        <w:rPr>
          <w:rFonts w:ascii="Calibri"/>
        </w:rPr>
      </w:pPr>
      <w:r>
        <w:rPr/>
        <w:pict>
          <v:group style="position:absolute;margin-left:102.18pt;margin-top:9.236140pt;width:277.05pt;height:109.35pt;mso-position-horizontal-relative:page;mso-position-vertical-relative:paragraph;z-index:251685888" coordorigin="2044,185" coordsize="5541,2187">
            <v:line style="position:absolute" from="2104,191" to="2104,2371" stroked="true" strokeweight=".72pt" strokecolor="#868686">
              <v:stroke dashstyle="solid"/>
            </v:line>
            <v:shape style="position:absolute;left:2043;top:184;width:60;height:2134" coordorigin="2044,185" coordsize="60,2134" path="m2104,2304l2044,2304,2044,2318,2104,2318,2104,2304m2104,2002l2044,2002,2044,2016,2104,2016,2104,2002m2104,1699l2044,1699,2044,1712,2104,1712,2104,1699m2104,1396l2044,1396,2044,1409,2104,1409,2104,1396m2104,1093l2044,1093,2044,1106,2104,1106,2104,1093m2104,791l2044,791,2044,804,2104,804,2104,791m2104,487l2044,487,2044,500,2104,500,2104,487m2104,185l2044,185,2044,198,2104,198,2104,185e" filled="true" fillcolor="#868686" stroked="false">
              <v:path arrowok="t"/>
              <v:fill type="solid"/>
            </v:shape>
            <v:line style="position:absolute" from="2104,2311" to="7570,2311" stroked="true" strokeweight=".72003pt" strokecolor="#868686">
              <v:stroke dashstyle="solid"/>
            </v:line>
            <v:shape style="position:absolute;left:2552;top:2311;width:5025;height:60" coordorigin="2552,2311" coordsize="5025,60" path="m2567,2311l2552,2311,2552,2371,2567,2371,2567,2311m3022,2311l3008,2311,3008,2371,3022,2371,3022,2311m3478,2311l3464,2311,3464,2371,3478,2371,3478,2311m3932,2311l3919,2311,3919,2371,3932,2371,3932,2311m4388,2311l4375,2311,4375,2371,4388,2371,4388,2311m4843,2311l4830,2311,4830,2371,4843,2371,4843,2311m5299,2311l5286,2311,5286,2371,5299,2371,5299,2311m5754,2311l5741,2311,5741,2371,5754,2371,5754,2311m6211,2311l6197,2311,6197,2371,6211,2371,6211,2311m6666,2311l6652,2311,6652,2371,6666,2371,6666,2311m7122,2311l7108,2311,7108,2371,7122,2371,7122,2311m7577,2311l7564,2311,7564,2371,7577,2371,7577,2311e" filled="true" fillcolor="#868686" stroked="false">
              <v:path arrowok="t"/>
              <v:fill type="solid"/>
            </v:shape>
            <v:shape style="position:absolute;left:2103;top:776;width:5481;height:1338" coordorigin="2104,776" coordsize="5481,1338" path="m4890,814l4824,814,4837,818,4830,818,5280,1177,5734,1594,6191,1985,6193,1987,6197,1988,6199,1990,6655,2082,7114,2114,7118,2114,7121,2113,7265,2074,7110,2074,7115,2072,6664,2041,6231,1954,6217,1954,6208,1949,6212,1949,5762,1564,5306,1145,4890,814xm7115,2072l7110,2074,7116,2072,7115,2072xm7576,1945l7565,1948,7115,2072,7116,2072,7110,2074,7265,2074,7576,1988,7584,1986,7584,1950,7576,1945xm6208,1949l6217,1954,6213,1950,6208,1949xm6213,1950l6217,1954,6231,1954,6213,1950xm6212,1949l6208,1949,6213,1950,6212,1949xm2104,1184l2104,1228,2552,1387,2560,1390,2567,1388,2572,1385,2620,1350,2548,1350,2556,1344,2111,1187,2104,1184xm2556,1344l2548,1350,2567,1348,2556,1344xm4841,776l4836,776,4381,780,4378,780,3468,953,3012,1018,3008,1018,3005,1019,3002,1021,2556,1344,2567,1348,2548,1350,2620,1350,3021,1058,3018,1058,3026,1055,3043,1055,3474,994,4386,821,4534,821,4830,818,4824,814,4890,814,4849,781,4846,778,4841,776xm3026,1055l3018,1058,3022,1058,3026,1055xm3022,1058l3018,1058,3021,1058,3022,1058xm3043,1055l3026,1055,3022,1058,3043,1055xm4534,821l4386,821,4382,822,4534,821xm4824,814l4830,818,4837,818,4824,814xe" filled="true" fillcolor="#416fa6" stroked="false">
              <v:path arrowok="t"/>
              <v:fill type="solid"/>
            </v:shape>
            <v:shape style="position:absolute;left:2103;top:657;width:5481;height:636" coordorigin="2104,658" coordsize="5481,636" path="m4379,775l4133,817,3468,932,3012,980,3011,982,3010,982,2554,1102,2104,1249,2104,1293,2566,1141,3020,1022,3017,1022,3473,974,4385,817,4842,817,4996,778,4831,778,4836,776,4379,775xm5363,697l5282,697,5298,700,5290,702,5737,976,5742,978,5747,979,5753,978,5921,940,5759,940,5743,937,5752,935,5363,697xm5752,935l5743,937,5759,940,5752,935xm6206,833l6202,833,6199,834,5752,935,5759,940,5921,940,6203,875,6202,875,6209,874,6529,874,6206,833xm6529,874l6209,874,6203,875,6656,932,6660,932,7117,895,7584,895,7584,890,6658,890,6660,890,6529,874xm7584,895l7117,895,7570,912,7580,912,7584,909,7584,895xm6660,890l6658,890,6661,890,6660,890xm7114,853l6660,890,6661,890,7584,890,7584,872,7583,871,7571,870,7114,853xm6209,874l6202,875,6203,875,6209,874xm4842,817l4385,817,4841,818,4842,817xm4836,776l4831,778,4837,776,4836,776xm5299,658l5293,658,5287,659,4836,776,4837,776,4831,778,4996,778,5290,702,5282,697,5363,697,5304,661,5299,658xm5282,697l5290,702,5298,700,5282,697xe" filled="true" fillcolor="#a8423f" stroked="false">
              <v:path arrowok="t"/>
              <v:fill type="solid"/>
            </v:shape>
            <v:shape style="position:absolute;left:2103;top:776;width:5481;height:508" coordorigin="2104,776" coordsize="5481,508" path="m5286,836l5736,1134,5738,1135,5740,1136,5742,1136,6198,1283,6204,1284,6211,1283,6261,1246,6191,1246,6200,1239,5762,1099,5759,1099,5754,1097,5755,1097,5362,836,5292,836,5286,836xm6200,1239l6191,1246,6210,1242,6200,1239xm7118,846l7116,846,7112,847,6656,900,6653,900,6649,901,6647,904,6200,1239,6210,1242,6191,1246,6261,1246,6667,941,6661,941,6672,937,6692,937,7112,888,7108,887,7232,887,7122,847,7118,846xm5754,1097l5759,1099,5756,1097,5754,1097xm5756,1097l5759,1099,5762,1099,5756,1097xm5755,1097l5754,1097,5756,1097,5755,1097xm7232,887l7108,887,7117,888,7112,888,7562,1050,7573,1054,7584,1048,7584,1013,7577,1010,7232,887xm2104,929l2104,971,2560,983,3004,941,2560,941,2104,929xm4836,776l4380,790,3924,828,3469,875,3013,899,2560,941,3004,941,3017,940,3472,917,3928,870,4384,832,4837,818,5335,818,5304,798,5302,796,5298,794,5293,794,4836,776xm6672,937l6661,941,6668,940,6672,937xm6668,940l6661,941,6667,941,6668,940xm6692,937l6672,937,6668,940,6692,937xm7108,887l7112,888,7117,888,7108,887xm5281,833l5286,836,5292,836,5281,833xm5357,833l5281,833,5292,836,5362,836,5357,833xm5335,818l4837,818,5286,836,5281,833,5357,833,5335,818xe" filled="true" fillcolor="#86a44a" stroked="false">
              <v:path arrowok="t"/>
              <v:fill type="solid"/>
            </v:shape>
            <v:shape style="position:absolute;left:2103;top:761;width:5481;height:802" coordorigin="2104,762" coordsize="5481,802" path="m5282,861l5731,1492,5734,1496,5740,1499,5744,1500,6202,1564,6205,1564,6660,1534,7115,1530,7201,1522,6203,1522,6205,1521,5819,1468,5765,1468,5750,1458,5758,1458,5333,862,5291,862,5282,861xm6205,1521l6203,1522,6206,1522,6205,1521xm7579,1442l7568,1444,7115,1488,6658,1493,6205,1521,6206,1522,7201,1522,7584,1484,7584,1446,7579,1442xm5750,1458l5765,1468,5759,1459,5750,1458xm5759,1459l5765,1468,5819,1468,5759,1459xm5758,1458l5750,1458,5759,1459,5758,1458xm3108,979l3006,979,3019,980,3012,982,3462,1184,3469,1188,3478,1187,3484,1181,3521,1150,3457,1150,3468,1141,3108,979xm3468,1141l3457,1150,3479,1146,3468,1141xm3928,762l3918,762,3912,768,3468,1141,3479,1146,3457,1150,3521,1150,3929,809,3917,803,3940,800,4006,800,3928,762xm3019,938l3014,938,2555,1049,2558,1049,2104,1069,2104,1111,2105,1111,2561,1091,2562,1091,2563,1090,2564,1090,3012,982,3006,979,3108,979,3023,941,3019,938xm4006,800l3940,800,3929,809,4378,1030,4385,1030,4391,1027,4471,990,4373,990,4382,986,4006,800xm4382,986l4373,990,4391,990,4382,986xm4838,776l4831,776,4828,779,4382,986,4391,990,4471,990,4839,819,4835,818,4846,816,5245,816,4838,776xm3006,979l3012,982,3019,980,3006,979xm5276,853l5282,861,5291,862,5276,853xm5327,853l5276,853,5291,862,5333,862,5327,853xm5245,816l4846,816,4839,819,5282,861,5276,853,5327,853,5310,829,5306,824,5300,821,5294,821,5245,816xm4846,816l4835,818,4839,819,4846,816xm3940,800l3917,803,3929,809,3940,800xe" filled="true" fillcolor="#6e548d" stroked="false">
              <v:path arrowok="t"/>
              <v:fill type="solid"/>
            </v:shape>
            <v:shape style="position:absolute;left:3902;top:776;width:3682;height:1011" coordorigin="3902,776" coordsize="3682,1011" path="m6744,1560l6649,1560,6661,1562,6655,1563,7105,1784,7109,1787,7116,1787,7571,1763,7583,1763,7584,1761,7584,1747,7124,1747,7114,1745,7119,1744,6744,1560xm7119,1744l7114,1745,7124,1747,7119,1744xm7580,1721l7568,1722,7119,1744,7124,1747,7584,1747,7584,1724,7580,1721xm5281,1015l5734,1439,5736,1441,5741,1444,6197,1602,6200,1603,6205,1603,6655,1563,6654,1562,6211,1562,6202,1561,6206,1561,5769,1409,5762,1409,5755,1404,5757,1404,5345,1016,5285,1016,5281,1015xm6649,1560l6655,1563,6661,1562,6649,1560xm6206,1561l6202,1561,6211,1562,6206,1561xm6665,1520l6656,1520,6206,1561,6211,1562,6654,1562,6649,1560,6744,1560,6668,1523,6665,1520xm5755,1404l5762,1409,5759,1405,5755,1404xm5759,1405l5762,1409,5769,1409,5759,1405xm5757,1404l5755,1404,5759,1405,5757,1404xm5279,1013l5281,1015,5285,1016,5279,1013xm5341,1013l5279,1013,5285,1016,5345,1016,5341,1013xm4931,816l4829,816,4841,818,4836,819,5281,1015,5279,1013,5341,1013,5308,982,5303,979,5302,978,4931,816xm4841,776l4832,776,3922,956,3911,959,3902,970,3905,980,3907,992,3918,1000,4836,819,4829,816,4931,816,4846,779,4841,776xm4829,816l4836,819,4841,818,4829,816xe" filled="true" fillcolor="#da8137" stroked="false">
              <v:path arrowok="t"/>
              <v:fill type="solid"/>
            </v:shape>
            <v:shape style="position:absolute;left:2103;top:496;width:5481;height:867" coordorigin="2104,497" coordsize="5481,867" path="m6290,1144l6194,1144,6205,1146,6200,1146,6650,1362,6653,1363,6660,1363,7116,1343,7120,1343,7215,1324,6668,1324,6658,1321,6663,1321,6290,1144xm6663,1321l6658,1321,6668,1324,6663,1321xm7577,1208l7566,1211,7111,1302,7114,1302,6663,1321,6668,1324,7215,1324,7574,1252,7584,1249,7584,1213,7577,1208xm5284,945l5738,1175,5742,1177,5749,1177,6200,1146,6194,1144,6290,1144,6278,1138,5758,1138,5747,1135,5752,1135,5379,946,5287,946,5284,945xm6194,1144l6200,1146,6205,1146,6194,1144xm5752,1135l5747,1135,5758,1138,5752,1135xm6210,1104l6203,1104,5752,1135,5758,1138,6278,1138,6212,1106,6210,1104xm4384,497l4379,498,3922,576,3920,576,3919,577,3464,731,3011,871,2557,949,2104,991,2104,1033,2106,1033,2562,991,3018,913,3476,772,3929,617,3929,617,3932,616,3936,616,4377,540,4370,536,4452,536,4393,500,4388,498,4384,497xm5284,944l5284,945,5287,946,5284,944xm5376,944l5284,944,5287,946,5379,946,5376,944xm4452,536l4370,536,4385,539,4377,540,4826,815,4829,817,4831,817,5284,945,5284,944,5376,944,5303,907,5302,907,5299,906,5298,906,4851,780,4848,780,4842,778,4844,778,4452,536xm4842,778l4848,780,4846,779,4842,778xm4846,779l4848,780,4851,780,4846,779xm4844,778l4842,778,4846,779,4844,778xm3932,616l3929,617,3929,617,3932,616xm3936,616l3932,616,3929,617,3936,616xm4370,536l4377,540,4385,539,4370,536xe" filled="true" fillcolor="#b5ca92" stroked="false">
              <v:path arrowok="t"/>
              <v:fill type="solid"/>
            </v:shape>
            <v:line style="position:absolute" from="2378,1707" to="2780,1707" stroked="true" strokeweight="2.1pt" strokecolor="#416fa6">
              <v:stroke dashstyle="solid"/>
            </v:line>
            <v:line style="position:absolute" from="3478,1707" to="3881,1707" stroked="true" strokeweight="2.1pt" strokecolor="#a8423f">
              <v:stroke dashstyle="solid"/>
            </v:line>
            <v:line style="position:absolute" from="4578,1707" to="4981,1707" stroked="true" strokeweight="2.1pt" strokecolor="#86a44a">
              <v:stroke dashstyle="solid"/>
            </v:line>
            <v:line style="position:absolute" from="2378,1952" to="2780,1952" stroked="true" strokeweight="2.1pt" strokecolor="#6e548d">
              <v:stroke dashstyle="solid"/>
            </v:line>
            <v:line style="position:absolute" from="3478,1952" to="3881,1952" stroked="true" strokeweight="2.1pt" strokecolor="#da8137">
              <v:stroke dashstyle="solid"/>
            </v:line>
            <v:line style="position:absolute" from="4578,1952" to="4981,1952" stroked="true" strokeweight="2.1pt" strokecolor="#b5ca92">
              <v:stroke dashstyle="solid"/>
            </v:line>
            <v:shape style="position:absolute;left:2798;top:1620;width:559;height:434" type="#_x0000_t202" filled="false" stroked="false">
              <v:textbox inset="0,0,0,0">
                <w:txbxContent>
                  <w:p>
                    <w:pPr>
                      <w:spacing w:line="192" w:lineRule="exact" w:before="0"/>
                      <w:ind w:left="0" w:right="0" w:firstLine="0"/>
                      <w:jc w:val="left"/>
                      <w:rPr>
                        <w:rFonts w:ascii="Calibri"/>
                        <w:sz w:val="19"/>
                      </w:rPr>
                    </w:pPr>
                    <w:r>
                      <w:rPr>
                        <w:rFonts w:ascii="Calibri"/>
                        <w:sz w:val="19"/>
                      </w:rPr>
                      <w:t>Ireland</w:t>
                    </w:r>
                  </w:p>
                  <w:p>
                    <w:pPr>
                      <w:spacing w:line="228" w:lineRule="exact" w:before="13"/>
                      <w:ind w:left="0" w:right="0" w:firstLine="0"/>
                      <w:jc w:val="left"/>
                      <w:rPr>
                        <w:rFonts w:ascii="Calibri"/>
                        <w:sz w:val="19"/>
                      </w:rPr>
                    </w:pPr>
                    <w:r>
                      <w:rPr>
                        <w:rFonts w:ascii="Calibri"/>
                        <w:sz w:val="19"/>
                      </w:rPr>
                      <w:t>UK</w:t>
                    </w:r>
                  </w:p>
                </w:txbxContent>
              </v:textbox>
              <w10:wrap type="none"/>
            </v:shape>
            <v:shape style="position:absolute;left:3898;top:1620;width:589;height:434" type="#_x0000_t202" filled="false" stroked="false">
              <v:textbox inset="0,0,0,0">
                <w:txbxContent>
                  <w:p>
                    <w:pPr>
                      <w:spacing w:line="192" w:lineRule="exact" w:before="0"/>
                      <w:ind w:left="0" w:right="0" w:firstLine="0"/>
                      <w:jc w:val="left"/>
                      <w:rPr>
                        <w:rFonts w:ascii="Calibri"/>
                        <w:sz w:val="19"/>
                      </w:rPr>
                    </w:pPr>
                    <w:r>
                      <w:rPr>
                        <w:rFonts w:ascii="Calibri"/>
                        <w:sz w:val="19"/>
                      </w:rPr>
                      <w:t>Canada</w:t>
                    </w:r>
                  </w:p>
                  <w:p>
                    <w:pPr>
                      <w:spacing w:line="228" w:lineRule="exact" w:before="13"/>
                      <w:ind w:left="0" w:right="0" w:firstLine="0"/>
                      <w:jc w:val="left"/>
                      <w:rPr>
                        <w:rFonts w:ascii="Calibri"/>
                        <w:sz w:val="19"/>
                      </w:rPr>
                    </w:pPr>
                    <w:r>
                      <w:rPr>
                        <w:rFonts w:ascii="Calibri"/>
                        <w:sz w:val="19"/>
                      </w:rPr>
                      <w:t>Spain</w:t>
                    </w:r>
                  </w:p>
                </w:txbxContent>
              </v:textbox>
              <w10:wrap type="none"/>
            </v:shape>
            <v:shape style="position:absolute;left:4998;top:1620;width:536;height:434" type="#_x0000_t202" filled="false" stroked="false">
              <v:textbox inset="0,0,0,0">
                <w:txbxContent>
                  <w:p>
                    <w:pPr>
                      <w:spacing w:line="192" w:lineRule="exact" w:before="0"/>
                      <w:ind w:left="0" w:right="0" w:firstLine="0"/>
                      <w:jc w:val="left"/>
                      <w:rPr>
                        <w:rFonts w:ascii="Calibri"/>
                        <w:sz w:val="19"/>
                      </w:rPr>
                    </w:pPr>
                    <w:r>
                      <w:rPr>
                        <w:rFonts w:ascii="Calibri"/>
                        <w:sz w:val="19"/>
                      </w:rPr>
                      <w:t>France</w:t>
                    </w:r>
                  </w:p>
                  <w:p>
                    <w:pPr>
                      <w:spacing w:line="228" w:lineRule="exact" w:before="13"/>
                      <w:ind w:left="0" w:right="0" w:firstLine="0"/>
                      <w:jc w:val="left"/>
                      <w:rPr>
                        <w:rFonts w:ascii="Calibri"/>
                        <w:sz w:val="19"/>
                      </w:rPr>
                    </w:pPr>
                    <w:r>
                      <w:rPr>
                        <w:rFonts w:ascii="Calibri"/>
                        <w:sz w:val="19"/>
                      </w:rPr>
                      <w:t>US</w:t>
                    </w:r>
                  </w:p>
                </w:txbxContent>
              </v:textbox>
              <w10:wrap type="none"/>
            </v:shape>
            <w10:wrap type="none"/>
          </v:group>
        </w:pict>
      </w:r>
      <w:r>
        <w:rPr>
          <w:rFonts w:ascii="Calibri"/>
          <w:spacing w:val="-1"/>
          <w:w w:val="95"/>
        </w:rPr>
        <w:t>140</w:t>
      </w:r>
    </w:p>
    <w:p>
      <w:pPr>
        <w:pStyle w:val="BodyText"/>
        <w:spacing w:before="71"/>
        <w:ind w:right="8828"/>
        <w:jc w:val="right"/>
        <w:rPr>
          <w:rFonts w:ascii="Calibri"/>
        </w:rPr>
      </w:pPr>
      <w:r>
        <w:rPr>
          <w:rFonts w:ascii="Calibri"/>
          <w:spacing w:val="-1"/>
          <w:w w:val="95"/>
        </w:rPr>
        <w:t>120</w:t>
      </w:r>
    </w:p>
    <w:p>
      <w:pPr>
        <w:pStyle w:val="BodyText"/>
        <w:spacing w:before="71"/>
        <w:ind w:right="8828"/>
        <w:jc w:val="right"/>
        <w:rPr>
          <w:rFonts w:ascii="Calibri"/>
        </w:rPr>
      </w:pPr>
      <w:r>
        <w:rPr>
          <w:rFonts w:ascii="Calibri"/>
          <w:spacing w:val="-1"/>
          <w:w w:val="95"/>
        </w:rPr>
        <w:t>100</w:t>
      </w:r>
    </w:p>
    <w:p>
      <w:pPr>
        <w:pStyle w:val="BodyText"/>
        <w:spacing w:before="71"/>
        <w:ind w:right="8827"/>
        <w:jc w:val="right"/>
        <w:rPr>
          <w:rFonts w:ascii="Calibri"/>
        </w:rPr>
      </w:pPr>
      <w:r>
        <w:rPr>
          <w:rFonts w:ascii="Calibri"/>
          <w:spacing w:val="-1"/>
        </w:rPr>
        <w:t>80</w:t>
      </w:r>
    </w:p>
    <w:p>
      <w:pPr>
        <w:pStyle w:val="BodyText"/>
        <w:spacing w:before="71"/>
        <w:ind w:right="8827"/>
        <w:jc w:val="right"/>
        <w:rPr>
          <w:rFonts w:ascii="Calibri"/>
        </w:rPr>
      </w:pPr>
      <w:r>
        <w:rPr>
          <w:rFonts w:ascii="Calibri"/>
          <w:spacing w:val="-1"/>
        </w:rPr>
        <w:t>60</w:t>
      </w:r>
    </w:p>
    <w:p>
      <w:pPr>
        <w:pStyle w:val="BodyText"/>
        <w:spacing w:before="71"/>
        <w:ind w:right="8827"/>
        <w:jc w:val="right"/>
        <w:rPr>
          <w:rFonts w:ascii="Calibri"/>
        </w:rPr>
      </w:pPr>
      <w:r>
        <w:rPr>
          <w:rFonts w:ascii="Calibri"/>
          <w:spacing w:val="-1"/>
        </w:rPr>
        <w:t>40</w:t>
      </w:r>
    </w:p>
    <w:p>
      <w:pPr>
        <w:pStyle w:val="BodyText"/>
        <w:spacing w:before="72"/>
        <w:ind w:right="8827"/>
        <w:jc w:val="right"/>
        <w:rPr>
          <w:rFonts w:ascii="Calibri"/>
        </w:rPr>
      </w:pPr>
      <w:r>
        <w:rPr>
          <w:rFonts w:ascii="Calibri"/>
          <w:spacing w:val="-1"/>
        </w:rPr>
        <w:t>20</w:t>
      </w:r>
    </w:p>
    <w:p>
      <w:pPr>
        <w:pStyle w:val="BodyText"/>
        <w:spacing w:before="70"/>
        <w:ind w:right="8828"/>
        <w:jc w:val="right"/>
        <w:rPr>
          <w:rFonts w:ascii="Calibri"/>
        </w:rPr>
      </w:pPr>
      <w:r>
        <w:rPr>
          <w:rFonts w:ascii="Calibri"/>
          <w:w w:val="99"/>
        </w:rPr>
        <w:t>0</w:t>
      </w:r>
    </w:p>
    <w:p>
      <w:pPr>
        <w:pStyle w:val="BodyText"/>
        <w:spacing w:before="13"/>
        <w:ind w:left="552"/>
        <w:rPr>
          <w:rFonts w:ascii="Calibri"/>
        </w:rPr>
      </w:pPr>
      <w:r>
        <w:rPr>
          <w:rFonts w:ascii="Calibri"/>
        </w:rPr>
        <w:t>2000 2001 2002 2003 2004 2005 2006 2007 2008 2009 2010 2011 2012</w:t>
      </w:r>
    </w:p>
    <w:p>
      <w:pPr>
        <w:spacing w:before="48"/>
        <w:ind w:left="226" w:right="0" w:firstLine="0"/>
        <w:jc w:val="left"/>
        <w:rPr>
          <w:sz w:val="15"/>
        </w:rPr>
      </w:pPr>
      <w:r>
        <w:rPr>
          <w:sz w:val="15"/>
        </w:rPr>
        <w:t>Sources: Bloomberg, European Mortgage Federation (Hypostat 2011), HMRC, Mortgage Bankers Association, ONS, Property Services Regulatory Authority, Ministère de l’Écologie, du Développement Durable et de l'Énergie, The Canadian Real Estate Association, US Census Bureau.</w:t>
      </w:r>
    </w:p>
    <w:p>
      <w:pPr>
        <w:spacing w:before="2"/>
        <w:ind w:left="226" w:right="218" w:firstLine="0"/>
        <w:jc w:val="left"/>
        <w:rPr>
          <w:sz w:val="15"/>
        </w:rPr>
      </w:pPr>
      <w:r>
        <w:rPr>
          <w:sz w:val="15"/>
        </w:rPr>
        <w:t>Note: Data obtained for Ireland from European Mortgage Federation has been spliced forward from 2011 using growth rates from Property Services Regulatory Authority. US data are based on a combination of data from the European Mortgage Federation for 2000 to 2004, and the Mortgage Bankers Association and US Census Bureau for the period 2005 to 2012. UK data from 2000 to 2003 use a count on all Particulars Delivered forms (ONS). The UK series from 2004 to 2012 is based on a count on all transactions paying stamp duty (from the ONS between 2004 and 2006 and from HMRC between 2007 and 2012).</w:t>
      </w:r>
    </w:p>
    <w:p>
      <w:pPr>
        <w:pStyle w:val="BodyText"/>
        <w:rPr>
          <w:sz w:val="16"/>
        </w:rPr>
      </w:pPr>
    </w:p>
    <w:p>
      <w:pPr>
        <w:pStyle w:val="BodyText"/>
        <w:spacing w:before="10"/>
        <w:rPr>
          <w:sz w:val="20"/>
        </w:rPr>
      </w:pPr>
    </w:p>
    <w:p>
      <w:pPr>
        <w:pStyle w:val="BodyText"/>
        <w:spacing w:line="350" w:lineRule="auto"/>
        <w:ind w:left="226" w:right="101"/>
      </w:pPr>
      <w:r>
        <w:rPr/>
        <w:t>Houses are overwhelmingly financed by a combination of equity from the owner-occupier and by debt. For new home owners debt is by far the largest component of overall funding. The big rise in house prices in the years leading up to the crisis in many countries was only feasible because the stock of mortgage debt was rising fast. Between 2000 and 2007 the stock of mortgage debt relative to GDP rose by 22 percentage points (pp) in the US, by 58pp in Ireland</w:t>
      </w:r>
      <w:r>
        <w:rPr>
          <w:vertAlign w:val="superscript"/>
        </w:rPr>
        <w:t>2</w:t>
      </w:r>
      <w:r>
        <w:rPr>
          <w:vertAlign w:val="baseline"/>
        </w:rPr>
        <w:t>, by 36pp in Spain and by 27pp in the UK (Figure 6). Figures 7 and 8 show in more detail what happened to the stock of mortgage (and other) debt relative to household incomes in the UK and the US in the years either side of the banking crisis. There was a substantial rise in the amount of debt relative to incomes between 2000 and 2007, followed by a significant fall as new mortgage lending declined dramatically.</w:t>
      </w:r>
    </w:p>
    <w:p>
      <w:pPr>
        <w:pStyle w:val="BodyText"/>
        <w:spacing w:before="6"/>
        <w:rPr>
          <w:sz w:val="28"/>
        </w:rPr>
      </w:pPr>
    </w:p>
    <w:p>
      <w:pPr>
        <w:spacing w:before="0"/>
        <w:ind w:left="226" w:right="0" w:firstLine="0"/>
        <w:jc w:val="left"/>
        <w:rPr>
          <w:sz w:val="19"/>
        </w:rPr>
      </w:pPr>
      <w:r>
        <w:rPr>
          <w:b/>
          <w:sz w:val="19"/>
        </w:rPr>
        <w:t>Figure 6: </w:t>
      </w:r>
      <w:r>
        <w:rPr>
          <w:sz w:val="19"/>
        </w:rPr>
        <w:t>Mortgage debt to GDP ratios</w:t>
      </w:r>
    </w:p>
    <w:p>
      <w:pPr>
        <w:pStyle w:val="BodyText"/>
        <w:spacing w:before="14"/>
        <w:ind w:right="8837"/>
        <w:jc w:val="right"/>
        <w:rPr>
          <w:rFonts w:ascii="Calibri"/>
        </w:rPr>
      </w:pPr>
      <w:r>
        <w:rPr/>
        <w:pict>
          <v:group style="position:absolute;margin-left:101.760002pt;margin-top:6.154707pt;width:262.7pt;height:110.4pt;mso-position-horizontal-relative:page;mso-position-vertical-relative:paragraph;z-index:251688960" coordorigin="2035,123" coordsize="5254,2208">
            <v:line style="position:absolute" from="2096,141" to="2096,2331" stroked="true" strokeweight=".66pt" strokecolor="#868686">
              <v:stroke dashstyle="solid"/>
            </v:line>
            <v:shape style="position:absolute;left:2035;top:133;width:60;height:2145" coordorigin="2035,134" coordsize="60,2145" path="m2095,2264l2035,2264,2035,2278,2095,2278,2095,2264m2095,1959l2035,1959,2035,1973,2095,1973,2095,1959m2095,1655l2035,1655,2035,1670,2095,1670,2095,1655m2095,1351l2035,1351,2035,1365,2095,1365,2095,1351m2095,1047l2035,1047,2035,1061,2095,1061,2095,1047m2095,742l2035,742,2035,757,2095,757,2095,742m2095,439l2035,439,2035,452,2095,452,2095,439m2095,134l2035,134,2035,147,2095,147,2095,134e" filled="true" fillcolor="#868686" stroked="false">
              <v:path arrowok="t"/>
              <v:fill type="solid"/>
            </v:shape>
            <v:line style="position:absolute" from="2095,2271" to="7282,2271" stroked="true" strokeweight=".72pt" strokecolor="#868686">
              <v:stroke dashstyle="solid"/>
            </v:line>
            <v:shape style="position:absolute;left:2487;top:2270;width:4802;height:60" coordorigin="2488,2271" coordsize="4802,60" path="m2501,2271l2488,2271,2488,2331,2501,2331,2501,2271m2900,2271l2887,2271,2887,2331,2900,2331,2900,2271m3299,2271l3286,2271,3286,2331,3299,2331,3299,2271m3697,2271l3684,2271,3684,2331,3697,2331,3697,2271m4097,2271l4084,2271,4084,2331,4097,2331,4097,2271m4495,2271l4482,2271,4482,2331,4495,2331,4495,2271m4896,2271l4882,2271,4882,2331,4896,2331,4896,2271m5294,2271l5280,2271,5280,2331,5294,2331,5294,2271m5694,2271l5680,2271,5680,2331,5694,2331,5694,2271m6092,2271l6078,2271,6078,2331,6092,2331,6092,2271m6491,2271l6478,2271,6478,2331,6491,2331,6491,2271m6890,2271l6877,2271,6877,2331,6890,2331,6890,2271m7289,2271l7276,2271,7276,2331,7289,2331,7289,2271e" filled="true" fillcolor="#868686" stroked="false">
              <v:path arrowok="t"/>
              <v:fill type="solid"/>
            </v:shape>
            <v:shape style="position:absolute;left:2272;top:1415;width:4830;height:370" coordorigin="2273,1415" coordsize="4830,370" path="m7093,1415l7082,1415,6683,1423,6284,1437,5882,1460,5485,1520,5086,1551,4288,1629,3889,1673,3491,1702,3091,1721,2694,1736,2294,1743,2282,1743,2273,1753,2274,1763,2274,1777,2284,1785,2294,1785,2694,1778,3094,1763,3493,1744,3892,1715,4292,1671,5089,1593,5489,1562,5888,1502,6287,1479,6684,1465,7082,1457,7094,1457,7103,1448,7103,1425,7093,1415xe" filled="true" fillcolor="#416fa6" stroked="false">
              <v:path arrowok="t"/>
              <v:fill type="solid"/>
            </v:shape>
            <v:shape style="position:absolute;left:2272;top:1218;width:4830;height:222" coordorigin="2273,1219" coordsize="4830,222" path="m6308,1369l5887,1369,5885,1369,6283,1409,6683,1432,7081,1441,7093,1441,7103,1432,7103,1409,7094,1400,7082,1399,6685,1390,6308,1369xm4470,1261l3493,1261,3890,1276,4290,1287,4687,1321,5084,1378,5485,1405,5489,1405,5885,1369,5884,1369,6308,1369,6287,1367,6240,1363,5485,1363,5487,1362,5090,1337,4691,1280,4470,1261xm5887,1369l5884,1369,5885,1369,5887,1369xm5487,1362l5485,1363,5489,1363,5487,1362xm5887,1327l5884,1327,5487,1362,5489,1363,6240,1363,5887,1327xm2294,1219l2284,1219,2274,1227,2274,1239,2273,1250,2282,1259,2294,1261,2694,1269,3092,1269,3493,1261,4470,1261,4291,1245,3892,1234,3707,1227,2694,1227,2294,1219xm3492,1219l3092,1227,3707,1227,3492,1219xe" filled="true" fillcolor="#a8423f" stroked="false">
              <v:path arrowok="t"/>
              <v:fill type="solid"/>
            </v:shape>
            <v:shape style="position:absolute;left:2671;top:509;width:4433;height:1214" coordorigin="2671,509" coordsize="4433,1214" path="m3088,1579l2689,1679,2677,1683,2671,1694,2674,1705,2676,1717,2688,1723,2699,1720,3097,1619,3101,1619,3102,1618,3180,1581,3084,1581,3088,1579xm5887,509l5881,509,5879,511,5479,643,5082,800,4284,1027,4283,1027,4282,1028,3882,1215,3484,1390,3084,1581,3180,1581,3502,1427,3899,1252,4297,1066,4296,1066,4300,1065,4300,1065,5093,841,5495,682,5887,552,5884,551,5892,550,6287,550,5887,509xm4300,1065l4296,1066,4299,1065,4300,1065xm4299,1065l4296,1066,4297,1066,4299,1065xm4300,1065l4300,1065,4299,1065,4300,1065xm6287,550l5892,550,5887,552,6283,592,6679,682,7079,743,7091,745,7102,736,7103,725,7104,713,7097,704,7085,701,6689,643,6287,550xm5892,550l5884,551,5887,552,5892,550xe" filled="true" fillcolor="#86a44a" stroked="false">
              <v:path arrowok="t"/>
              <v:fill type="solid"/>
            </v:shape>
            <v:shape style="position:absolute;left:2272;top:986;width:4832;height:652" coordorigin="2273,987" coordsize="4832,652" path="m6286,987l5884,989,5486,1031,5084,1042,4684,1105,4285,1214,3488,1424,3090,1507,2693,1564,2293,1595,2281,1597,2273,1606,2274,1618,2274,1629,2285,1639,2296,1637,2695,1605,3096,1547,3497,1465,3896,1361,4694,1145,5090,1084,5488,1072,5887,1031,6728,1029,6685,1025,6286,987xm6728,1029l6286,1029,6682,1067,7080,1101,7092,1102,7102,1094,7104,1070,7096,1060,7084,1059,6728,1029xe" filled="true" fillcolor="#6e548d" stroked="false">
              <v:path arrowok="t"/>
              <v:fill type="solid"/>
            </v:shape>
            <v:shape style="position:absolute;left:2271;top:924;width:4832;height:520" coordorigin="2272,925" coordsize="4832,520" path="m5888,925l5882,925,5486,976,5084,992,4686,1039,4290,1101,3890,1114,3888,1114,3887,1115,3089,1280,2692,1353,2292,1401,2280,1403,2272,1413,2274,1425,2275,1436,2285,1444,2297,1443,2696,1394,3096,1321,3895,1156,3892,1156,4291,1143,4692,1079,5089,1033,5488,1018,5885,967,5882,967,6206,967,5888,925xm6206,967l5888,967,5885,967,6282,1018,6682,1051,7082,1045,7094,1045,7103,1035,7103,1012,7099,1009,6685,1009,6288,977,6206,967xm7093,1003l7082,1003,6685,1009,7099,1009,7093,1003xm5888,967l5882,967,5885,967,5888,967xe" filled="true" fillcolor="#3d96ae" stroked="false">
              <v:path arrowok="t"/>
              <v:fill type="solid"/>
            </v:shape>
            <v:shape style="position:absolute;left:2271;top:1136;width:4834;height:444" coordorigin="2272,1137" coordsize="4834,444" path="m5086,1137l4686,1163,4288,1215,3488,1337,3089,1415,2692,1489,2292,1538,2280,1539,2272,1550,2274,1562,2275,1573,2286,1581,2297,1580,2696,1529,3096,1456,3496,1378,4294,1257,4692,1204,5089,1179,5995,1179,5912,1161,5489,1161,5086,1137xm6078,1197l5886,1197,5882,1197,6281,1283,6680,1343,7079,1408,7091,1409,7100,1402,7103,1390,7105,1379,7097,1369,7086,1366,6289,1243,6078,1197xm5995,1179l5089,1179,5485,1203,5882,1197,5881,1197,6078,1197,5995,1179xm5886,1197l5881,1197,5882,1197,5886,1197xm5888,1155l5885,1155,5489,1161,5912,1161,5890,1156,5888,1155xe" filled="true" fillcolor="#da8137" stroked="false">
              <v:path arrowok="t"/>
              <v:fill type="solid"/>
            </v:shape>
            <v:shape style="position:absolute;left:2272;top:1361;width:4832;height:384" coordorigin="2273,1361" coordsize="4832,384" path="m7092,1361l7081,1361,6683,1393,6284,1401,5885,1418,5884,1418,5882,1419,5881,1419,5485,1510,5086,1552,5007,1561,4770,1587,4531,1608,4211,1631,3809,1652,3091,1679,2694,1700,2294,1703,2282,1703,2273,1713,2274,1725,2274,1737,2284,1745,2294,1745,2694,1741,3094,1720,3493,1709,4291,1667,4691,1637,5489,1551,5890,1460,5886,1460,6286,1443,6684,1435,7084,1403,7096,1402,7104,1393,7103,1381,7102,1370,7092,1361xe" filled="true" fillcolor="#8ea5cb" stroked="false">
              <v:path arrowok="t"/>
              <v:fill type="solid"/>
            </v:shape>
            <v:line style="position:absolute" from="2467,210" to="2870,210" stroked="true" strokeweight="2.1pt" strokecolor="#416fa6">
              <v:stroke dashstyle="solid"/>
            </v:line>
            <v:line style="position:absolute" from="3887,210" to="4290,210" stroked="true" strokeweight="2.1pt" strokecolor="#a8423f">
              <v:stroke dashstyle="solid"/>
            </v:line>
            <v:line style="position:absolute" from="2467,410" to="2870,410" stroked="true" strokeweight="2.1pt" strokecolor="#86a44a">
              <v:stroke dashstyle="solid"/>
            </v:line>
            <v:line style="position:absolute" from="3887,410" to="4290,410" stroked="true" strokeweight="2.1pt" strokecolor="#6e548d">
              <v:stroke dashstyle="solid"/>
            </v:line>
            <v:line style="position:absolute" from="2467,611" to="2870,611" stroked="true" strokeweight="2.1pt" strokecolor="#3d96ae">
              <v:stroke dashstyle="solid"/>
            </v:line>
            <v:line style="position:absolute" from="3887,611" to="4290,611" stroked="true" strokeweight="2.1pt" strokecolor="#da8137">
              <v:stroke dashstyle="solid"/>
            </v:line>
            <v:line style="position:absolute" from="2467,811" to="2870,811" stroked="true" strokeweight="2.1pt" strokecolor="#8ea5cb">
              <v:stroke dashstyle="solid"/>
            </v:line>
            <v:shape style="position:absolute;left:2888;top:123;width:589;height:790" type="#_x0000_t202" filled="false" stroked="false">
              <v:textbox inset="0,0,0,0">
                <w:txbxContent>
                  <w:p>
                    <w:pPr>
                      <w:spacing w:line="177" w:lineRule="exact" w:before="0"/>
                      <w:ind w:left="0" w:right="0" w:firstLine="0"/>
                      <w:jc w:val="left"/>
                      <w:rPr>
                        <w:rFonts w:ascii="Calibri"/>
                        <w:sz w:val="19"/>
                      </w:rPr>
                    </w:pPr>
                    <w:r>
                      <w:rPr>
                        <w:rFonts w:ascii="Calibri"/>
                        <w:sz w:val="19"/>
                      </w:rPr>
                      <w:t>France</w:t>
                    </w:r>
                  </w:p>
                  <w:p>
                    <w:pPr>
                      <w:spacing w:line="206" w:lineRule="auto" w:before="9"/>
                      <w:ind w:left="0" w:right="0" w:firstLine="0"/>
                      <w:jc w:val="left"/>
                      <w:rPr>
                        <w:rFonts w:ascii="Calibri"/>
                        <w:sz w:val="19"/>
                      </w:rPr>
                    </w:pPr>
                    <w:r>
                      <w:rPr>
                        <w:rFonts w:ascii="Calibri"/>
                        <w:w w:val="95"/>
                        <w:sz w:val="19"/>
                      </w:rPr>
                      <w:t>Ireland </w:t>
                    </w:r>
                    <w:r>
                      <w:rPr>
                        <w:rFonts w:ascii="Calibri"/>
                        <w:sz w:val="19"/>
                      </w:rPr>
                      <w:t>UK</w:t>
                    </w:r>
                  </w:p>
                  <w:p>
                    <w:pPr>
                      <w:spacing w:line="205" w:lineRule="exact" w:before="0"/>
                      <w:ind w:left="0" w:right="0" w:firstLine="0"/>
                      <w:jc w:val="left"/>
                      <w:rPr>
                        <w:rFonts w:ascii="Calibri"/>
                        <w:sz w:val="19"/>
                      </w:rPr>
                    </w:pPr>
                    <w:r>
                      <w:rPr>
                        <w:rFonts w:ascii="Calibri"/>
                        <w:sz w:val="19"/>
                      </w:rPr>
                      <w:t>Canada</w:t>
                    </w:r>
                  </w:p>
                </w:txbxContent>
              </v:textbox>
              <w10:wrap type="none"/>
            </v:shape>
            <v:shape style="position:absolute;left:4308;top:123;width:723;height:590" type="#_x0000_t202" filled="false" stroked="false">
              <v:textbox inset="0,0,0,0">
                <w:txbxContent>
                  <w:p>
                    <w:pPr>
                      <w:spacing w:line="177" w:lineRule="exact" w:before="0"/>
                      <w:ind w:left="0" w:right="0" w:firstLine="0"/>
                      <w:jc w:val="left"/>
                      <w:rPr>
                        <w:rFonts w:ascii="Calibri"/>
                        <w:sz w:val="19"/>
                      </w:rPr>
                    </w:pPr>
                    <w:r>
                      <w:rPr>
                        <w:rFonts w:ascii="Calibri"/>
                        <w:sz w:val="19"/>
                      </w:rPr>
                      <w:t>Germany</w:t>
                    </w:r>
                  </w:p>
                  <w:p>
                    <w:pPr>
                      <w:spacing w:line="206" w:lineRule="auto" w:before="9"/>
                      <w:ind w:left="0" w:right="2" w:firstLine="0"/>
                      <w:jc w:val="left"/>
                      <w:rPr>
                        <w:rFonts w:ascii="Calibri"/>
                        <w:sz w:val="19"/>
                      </w:rPr>
                    </w:pPr>
                    <w:r>
                      <w:rPr>
                        <w:rFonts w:ascii="Calibri"/>
                        <w:sz w:val="19"/>
                      </w:rPr>
                      <w:t>Spain USA</w:t>
                    </w:r>
                  </w:p>
                </w:txbxContent>
              </v:textbox>
              <w10:wrap type="none"/>
            </v:shape>
            <w10:wrap type="none"/>
          </v:group>
        </w:pict>
      </w:r>
      <w:r>
        <w:rPr>
          <w:rFonts w:ascii="Calibri"/>
          <w:spacing w:val="-1"/>
          <w:w w:val="95"/>
        </w:rPr>
        <w:t>140</w:t>
      </w:r>
    </w:p>
    <w:p>
      <w:pPr>
        <w:pStyle w:val="BodyText"/>
        <w:spacing w:before="73"/>
        <w:ind w:right="8837"/>
        <w:jc w:val="right"/>
        <w:rPr>
          <w:rFonts w:ascii="Calibri"/>
        </w:rPr>
      </w:pPr>
      <w:r>
        <w:rPr>
          <w:rFonts w:ascii="Calibri"/>
          <w:spacing w:val="-1"/>
          <w:w w:val="95"/>
        </w:rPr>
        <w:t>120</w:t>
      </w:r>
    </w:p>
    <w:p>
      <w:pPr>
        <w:pStyle w:val="BodyText"/>
        <w:spacing w:before="73"/>
        <w:ind w:right="8837"/>
        <w:jc w:val="right"/>
        <w:rPr>
          <w:rFonts w:ascii="Calibri"/>
        </w:rPr>
      </w:pPr>
      <w:r>
        <w:rPr>
          <w:rFonts w:ascii="Calibri"/>
          <w:spacing w:val="-1"/>
          <w:w w:val="95"/>
        </w:rPr>
        <w:t>100</w:t>
      </w:r>
    </w:p>
    <w:p>
      <w:pPr>
        <w:pStyle w:val="BodyText"/>
        <w:spacing w:before="72"/>
        <w:ind w:right="8835"/>
        <w:jc w:val="right"/>
        <w:rPr>
          <w:rFonts w:ascii="Calibri"/>
        </w:rPr>
      </w:pPr>
      <w:r>
        <w:rPr>
          <w:rFonts w:ascii="Calibri"/>
          <w:spacing w:val="-1"/>
        </w:rPr>
        <w:t>80</w:t>
      </w:r>
    </w:p>
    <w:p>
      <w:pPr>
        <w:pStyle w:val="BodyText"/>
        <w:spacing w:before="73"/>
        <w:ind w:right="8835"/>
        <w:jc w:val="right"/>
        <w:rPr>
          <w:rFonts w:ascii="Calibri"/>
        </w:rPr>
      </w:pPr>
      <w:r>
        <w:rPr>
          <w:rFonts w:ascii="Calibri"/>
          <w:spacing w:val="-1"/>
        </w:rPr>
        <w:t>60</w:t>
      </w:r>
    </w:p>
    <w:p>
      <w:pPr>
        <w:pStyle w:val="BodyText"/>
        <w:spacing w:before="71"/>
        <w:ind w:right="8835"/>
        <w:jc w:val="right"/>
        <w:rPr>
          <w:rFonts w:ascii="Calibri"/>
        </w:rPr>
      </w:pPr>
      <w:r>
        <w:rPr>
          <w:rFonts w:ascii="Calibri"/>
          <w:spacing w:val="-1"/>
        </w:rPr>
        <w:t>40</w:t>
      </w:r>
    </w:p>
    <w:p>
      <w:pPr>
        <w:pStyle w:val="BodyText"/>
        <w:spacing w:before="73"/>
        <w:ind w:right="8835"/>
        <w:jc w:val="right"/>
        <w:rPr>
          <w:rFonts w:ascii="Calibri"/>
        </w:rPr>
      </w:pPr>
      <w:r>
        <w:rPr>
          <w:rFonts w:ascii="Calibri"/>
          <w:spacing w:val="-1"/>
        </w:rPr>
        <w:t>20</w:t>
      </w:r>
    </w:p>
    <w:p>
      <w:pPr>
        <w:pStyle w:val="BodyText"/>
        <w:spacing w:before="72"/>
        <w:ind w:right="8837"/>
        <w:jc w:val="right"/>
        <w:rPr>
          <w:rFonts w:ascii="Calibri"/>
        </w:rPr>
      </w:pPr>
      <w:r>
        <w:rPr>
          <w:rFonts w:ascii="Calibri"/>
          <w:w w:val="99"/>
        </w:rPr>
        <w:t>0</w:t>
      </w:r>
    </w:p>
    <w:p>
      <w:pPr>
        <w:pStyle w:val="BodyText"/>
        <w:spacing w:before="13"/>
        <w:ind w:left="743"/>
        <w:rPr>
          <w:rFonts w:ascii="Calibri"/>
        </w:rPr>
      </w:pPr>
      <w:r>
        <w:rPr>
          <w:rFonts w:ascii="Calibri"/>
        </w:rPr>
        <w:t>2000200120022003200420052006200720082009201020112012</w:t>
      </w:r>
    </w:p>
    <w:p>
      <w:pPr>
        <w:spacing w:before="102"/>
        <w:ind w:left="226" w:right="276" w:firstLine="0"/>
        <w:jc w:val="left"/>
        <w:rPr>
          <w:sz w:val="15"/>
        </w:rPr>
      </w:pPr>
      <w:r>
        <w:rPr>
          <w:sz w:val="15"/>
        </w:rPr>
        <w:t>Sources: Bureau of Economic Analysis, Eurostat, Federal Reserve Economic Data, Statistics Canada, Bank of England calculations. Note: The series for Canada is constructed as household mortgage debt, which includes all mortgage debt, not only residential. Data for France, Germany, Ireland, Spain and the UK are based on households' long term liabilities supplied by Eurostat. US data are households' home mortgage liabilities relative to GDP.</w:t>
      </w:r>
    </w:p>
    <w:p>
      <w:pPr>
        <w:pStyle w:val="BodyText"/>
        <w:rPr>
          <w:sz w:val="20"/>
        </w:rPr>
      </w:pPr>
    </w:p>
    <w:p>
      <w:pPr>
        <w:pStyle w:val="BodyText"/>
        <w:rPr>
          <w:sz w:val="20"/>
        </w:rPr>
      </w:pPr>
    </w:p>
    <w:p>
      <w:pPr>
        <w:pStyle w:val="BodyText"/>
        <w:rPr>
          <w:sz w:val="20"/>
        </w:rPr>
      </w:pPr>
    </w:p>
    <w:p>
      <w:pPr>
        <w:pStyle w:val="BodyText"/>
        <w:spacing w:before="8"/>
        <w:rPr>
          <w:sz w:val="26"/>
        </w:rPr>
      </w:pPr>
      <w:r>
        <w:rPr/>
        <w:pict>
          <v:shape style="position:absolute;margin-left:79.320pt;margin-top:17.554165pt;width:135.5pt;height:.1pt;mso-position-horizontal-relative:page;mso-position-vertical-relative:paragraph;z-index:-251634688;mso-wrap-distance-left:0;mso-wrap-distance-right:0" coordorigin="1586,351" coordsize="2710,0" path="m1586,351l4296,351e" filled="false" stroked="true" strokeweight=".47998pt" strokecolor="#000000">
            <v:path arrowok="t"/>
            <v:stroke dashstyle="solid"/>
            <w10:wrap type="topAndBottom"/>
          </v:shape>
        </w:pict>
      </w:r>
    </w:p>
    <w:p>
      <w:pPr>
        <w:spacing w:before="26"/>
        <w:ind w:left="226" w:right="0" w:firstLine="0"/>
        <w:jc w:val="left"/>
        <w:rPr>
          <w:sz w:val="15"/>
        </w:rPr>
      </w:pPr>
      <w:r>
        <w:rPr>
          <w:position w:val="8"/>
          <w:sz w:val="9"/>
        </w:rPr>
        <w:t>2 </w:t>
      </w:r>
      <w:r>
        <w:rPr>
          <w:sz w:val="15"/>
        </w:rPr>
        <w:t>relative to 2001, data not available for 2000.</w:t>
      </w:r>
    </w:p>
    <w:p>
      <w:pPr>
        <w:spacing w:after="0"/>
        <w:jc w:val="left"/>
        <w:rPr>
          <w:sz w:val="15"/>
        </w:rPr>
        <w:sectPr>
          <w:pgSz w:w="12240" w:h="15840"/>
          <w:pgMar w:header="0" w:footer="1240" w:top="1380" w:bottom="1440" w:left="1360" w:right="1480"/>
        </w:sectPr>
      </w:pPr>
    </w:p>
    <w:p>
      <w:pPr>
        <w:pStyle w:val="BodyText"/>
        <w:spacing w:before="74"/>
        <w:ind w:left="226"/>
      </w:pPr>
      <w:r>
        <w:rPr>
          <w:b/>
        </w:rPr>
        <w:t>Figure 7: </w:t>
      </w:r>
      <w:r>
        <w:rPr/>
        <w:t>Mortgages and other household liabilities in the UK – percentage of disposable income</w:t>
      </w:r>
    </w:p>
    <w:p>
      <w:pPr>
        <w:pStyle w:val="BodyText"/>
        <w:spacing w:line="226" w:lineRule="exact" w:before="29"/>
        <w:ind w:right="8568"/>
        <w:jc w:val="right"/>
        <w:rPr>
          <w:rFonts w:ascii="Calibri"/>
        </w:rPr>
      </w:pPr>
      <w:r>
        <w:rPr/>
        <w:pict>
          <v:group style="position:absolute;margin-left:115.139999pt;margin-top:7.434358pt;width:261.55pt;height:102.55pt;mso-position-horizontal-relative:page;mso-position-vertical-relative:paragraph;z-index:251692032" coordorigin="2303,149" coordsize="5231,2051">
            <v:rect style="position:absolute;left:2473;top:1809;width:148;height:330" filled="true" fillcolor="#c0504d" stroked="false">
              <v:fill type="solid"/>
            </v:rect>
            <v:rect style="position:absolute;left:2473;top:922;width:148;height:887" filled="true" fillcolor="#4f81bd" stroked="false">
              <v:fill type="solid"/>
            </v:rect>
            <v:rect style="position:absolute;left:2841;top:1786;width:148;height:353" filled="true" fillcolor="#c0504d" stroked="false">
              <v:fill type="solid"/>
            </v:rect>
            <v:rect style="position:absolute;left:2841;top:862;width:148;height:924" filled="true" fillcolor="#4f81bd" stroked="false">
              <v:fill type="solid"/>
            </v:rect>
            <v:rect style="position:absolute;left:3210;top:1754;width:148;height:386" filled="true" fillcolor="#c0504d" stroked="false">
              <v:fill type="solid"/>
            </v:rect>
            <v:rect style="position:absolute;left:3210;top:737;width:148;height:1017" filled="true" fillcolor="#4f81bd" stroked="false">
              <v:fill type="solid"/>
            </v:rect>
            <v:rect style="position:absolute;left:3579;top:1743;width:148;height:396" filled="true" fillcolor="#c0504d" stroked="false">
              <v:fill type="solid"/>
            </v:rect>
            <v:rect style="position:absolute;left:3579;top:619;width:148;height:1125" filled="true" fillcolor="#4f81bd" stroked="false">
              <v:fill type="solid"/>
            </v:rect>
            <v:rect style="position:absolute;left:3948;top:1729;width:148;height:411" filled="true" fillcolor="#c0504d" stroked="false">
              <v:fill type="solid"/>
            </v:rect>
            <v:rect style="position:absolute;left:3948;top:497;width:148;height:1232" filled="true" fillcolor="#4f81bd" stroked="false">
              <v:fill type="solid"/>
            </v:rect>
            <v:rect style="position:absolute;left:4317;top:1724;width:147;height:416" filled="true" fillcolor="#c0504d" stroked="false">
              <v:fill type="solid"/>
            </v:rect>
            <v:rect style="position:absolute;left:4317;top:463;width:147;height:1262" filled="true" fillcolor="#4f81bd" stroked="false">
              <v:fill type="solid"/>
            </v:rect>
            <v:rect style="position:absolute;left:4686;top:1689;width:148;height:450" filled="true" fillcolor="#c0504d" stroked="false">
              <v:fill type="solid"/>
            </v:rect>
            <v:rect style="position:absolute;left:4686;top:352;width:148;height:1337" filled="true" fillcolor="#4f81bd" stroked="false">
              <v:fill type="solid"/>
            </v:rect>
            <v:rect style="position:absolute;left:5054;top:1691;width:148;height:448" filled="true" fillcolor="#c0504d" stroked="false">
              <v:fill type="solid"/>
            </v:rect>
            <v:rect style="position:absolute;left:5054;top:272;width:148;height:1420" filled="true" fillcolor="#4f81bd" stroked="false">
              <v:fill type="solid"/>
            </v:rect>
            <v:rect style="position:absolute;left:5424;top:1719;width:148;height:420" filled="true" fillcolor="#c0504d" stroked="false">
              <v:fill type="solid"/>
            </v:rect>
            <v:rect style="position:absolute;left:5424;top:301;width:148;height:1419" filled="true" fillcolor="#4f81bd" stroked="false">
              <v:fill type="solid"/>
            </v:rect>
            <v:rect style="position:absolute;left:5792;top:1753;width:149;height:387" filled="true" fillcolor="#c0504d" stroked="false">
              <v:fill type="solid"/>
            </v:rect>
            <v:rect style="position:absolute;left:5792;top:376;width:149;height:1377" filled="true" fillcolor="#4f81bd" stroked="false">
              <v:fill type="solid"/>
            </v:rect>
            <v:rect style="position:absolute;left:6162;top:1773;width:147;height:366" filled="true" fillcolor="#c0504d" stroked="false">
              <v:fill type="solid"/>
            </v:rect>
            <v:rect style="position:absolute;left:6162;top:453;width:147;height:1320" filled="true" fillcolor="#4f81bd" stroked="false">
              <v:fill type="solid"/>
            </v:rect>
            <v:rect style="position:absolute;left:6530;top:1787;width:148;height:352" filled="true" fillcolor="#c0504d" stroked="false">
              <v:fill type="solid"/>
            </v:rect>
            <v:rect style="position:absolute;left:6530;top:497;width:148;height:1290" filled="true" fillcolor="#4f81bd" stroked="false">
              <v:fill type="solid"/>
            </v:rect>
            <v:rect style="position:absolute;left:6898;top:1807;width:149;height:333" filled="true" fillcolor="#c0504d" stroked="false">
              <v:fill type="solid"/>
            </v:rect>
            <v:rect style="position:absolute;left:6898;top:547;width:149;height:1260" filled="true" fillcolor="#4f81bd" stroked="false">
              <v:fill type="solid"/>
            </v:rect>
            <v:rect style="position:absolute;left:7268;top:1811;width:148;height:328" filled="true" fillcolor="#c0504d" stroked="false">
              <v:fill type="solid"/>
            </v:rect>
            <v:rect style="position:absolute;left:7268;top:568;width:148;height:1244" filled="true" fillcolor="#4f81bd" stroked="false">
              <v:fill type="solid"/>
            </v:rect>
            <v:line style="position:absolute" from="2362,156" to="2362,2199" stroked="true" strokeweight=".65999pt" strokecolor="#868686">
              <v:stroke dashstyle="solid"/>
            </v:line>
            <v:shape style="position:absolute;left:2302;top:148;width:59;height:1998" coordorigin="2303,149" coordsize="59,1998" path="m2362,2132l2303,2132,2303,2147,2362,2147,2362,2132m2362,1913l2303,1913,2303,1926,2362,1926,2362,1913m2362,1692l2303,1692,2303,1705,2362,1705,2362,1692m2362,1471l2303,1471,2303,1484,2362,1484,2362,1471m2362,1251l2303,1251,2303,1265,2362,1265,2362,1251m2362,1031l2303,1031,2303,1044,2362,1044,2362,1031m2362,810l2303,810,2303,823,2362,823,2362,810m2362,589l2303,589,2303,603,2362,603,2362,589m2362,369l2303,369,2303,383,2362,383,2362,369m2362,149l2303,149,2303,163,2362,163,2362,149e" filled="true" fillcolor="#868686" stroked="false">
              <v:path arrowok="t"/>
              <v:fill type="solid"/>
            </v:shape>
            <v:line style="position:absolute" from="2362,2139" to="7528,2139" stroked="true" strokeweight=".71997pt" strokecolor="#868686">
              <v:stroke dashstyle="solid"/>
            </v:line>
            <v:shape style="position:absolute;left:2724;top:2139;width:4810;height:60" coordorigin="2724,2139" coordsize="4810,60" path="m2738,2139l2724,2139,2724,2199,2738,2199,2738,2139m3106,2139l3092,2139,3092,2199,3106,2199,3106,2139m3475,2139l3462,2139,3462,2199,3475,2199,3475,2139m3845,2139l3830,2139,3830,2199,3845,2199,3845,2139m4213,2139l4200,2139,4200,2199,4213,2199,4213,2139m4583,2139l4570,2139,4570,2199,4583,2199,4583,2139m4951,2139l4937,2139,4937,2199,4951,2199,4951,2139m5320,2139l5306,2139,5306,2199,5320,2199,5320,2139m5689,2139l5676,2139,5676,2199,5689,2199,5689,2139m6059,2139l6044,2139,6044,2199,6059,2199,6059,2139m6426,2139l6413,2139,6413,2199,6426,2199,6426,2139m6796,2139l6782,2139,6782,2199,6796,2199,6796,2139m7165,2139l7151,2139,7151,2199,7165,2199,7165,2139m7534,2139l7520,2139,7520,2199,7534,2199,7534,2139e" filled="true" fillcolor="#868686" stroked="false">
              <v:path arrowok="t"/>
              <v:fill type="solid"/>
            </v:shape>
            <v:rect style="position:absolute;left:2493;top:205;width:102;height:104" filled="true" fillcolor="#4f81bd" stroked="false">
              <v:fill type="solid"/>
            </v:rect>
            <v:rect style="position:absolute;left:2493;top:467;width:102;height:104" filled="true" fillcolor="#c0504d" stroked="false">
              <v:fill type="solid"/>
            </v:rect>
            <v:shape style="position:absolute;left:2641;top:170;width:1187;height:452" type="#_x0000_t202" filled="false" stroked="false">
              <v:textbox inset="0,0,0,0">
                <w:txbxContent>
                  <w:p>
                    <w:pPr>
                      <w:spacing w:line="192" w:lineRule="exact" w:before="0"/>
                      <w:ind w:left="0" w:right="0" w:firstLine="0"/>
                      <w:jc w:val="left"/>
                      <w:rPr>
                        <w:rFonts w:ascii="Calibri"/>
                        <w:sz w:val="19"/>
                      </w:rPr>
                    </w:pPr>
                    <w:r>
                      <w:rPr>
                        <w:rFonts w:ascii="Calibri"/>
                        <w:sz w:val="19"/>
                      </w:rPr>
                      <w:t>Mortgages</w:t>
                    </w:r>
                  </w:p>
                  <w:p>
                    <w:pPr>
                      <w:spacing w:line="228" w:lineRule="exact" w:before="31"/>
                      <w:ind w:left="0" w:right="0" w:firstLine="0"/>
                      <w:jc w:val="left"/>
                      <w:rPr>
                        <w:rFonts w:ascii="Calibri"/>
                        <w:sz w:val="19"/>
                      </w:rPr>
                    </w:pPr>
                    <w:r>
                      <w:rPr>
                        <w:rFonts w:ascii="Calibri"/>
                        <w:sz w:val="19"/>
                      </w:rPr>
                      <w:t>Other liabilities</w:t>
                    </w:r>
                  </w:p>
                </w:txbxContent>
              </v:textbox>
              <w10:wrap type="none"/>
            </v:shape>
            <w10:wrap type="none"/>
          </v:group>
        </w:pict>
      </w:r>
      <w:r>
        <w:rPr>
          <w:rFonts w:ascii="Calibri"/>
          <w:spacing w:val="-1"/>
          <w:w w:val="95"/>
        </w:rPr>
        <w:t>180%</w:t>
      </w:r>
    </w:p>
    <w:p>
      <w:pPr>
        <w:pStyle w:val="BodyText"/>
        <w:spacing w:line="221" w:lineRule="exact"/>
        <w:ind w:right="8568"/>
        <w:jc w:val="right"/>
        <w:rPr>
          <w:rFonts w:ascii="Calibri"/>
        </w:rPr>
      </w:pPr>
      <w:r>
        <w:rPr>
          <w:rFonts w:ascii="Calibri"/>
          <w:spacing w:val="-1"/>
          <w:w w:val="95"/>
        </w:rPr>
        <w:t>160%</w:t>
      </w:r>
    </w:p>
    <w:p>
      <w:pPr>
        <w:pStyle w:val="BodyText"/>
        <w:spacing w:line="221" w:lineRule="exact"/>
        <w:ind w:right="8568"/>
        <w:jc w:val="right"/>
        <w:rPr>
          <w:rFonts w:ascii="Calibri"/>
        </w:rPr>
      </w:pPr>
      <w:r>
        <w:rPr>
          <w:rFonts w:ascii="Calibri"/>
          <w:spacing w:val="-1"/>
          <w:w w:val="95"/>
        </w:rPr>
        <w:t>140%</w:t>
      </w:r>
    </w:p>
    <w:p>
      <w:pPr>
        <w:pStyle w:val="BodyText"/>
        <w:spacing w:line="220" w:lineRule="exact"/>
        <w:ind w:right="8568"/>
        <w:jc w:val="right"/>
        <w:rPr>
          <w:rFonts w:ascii="Calibri"/>
        </w:rPr>
      </w:pPr>
      <w:r>
        <w:rPr>
          <w:rFonts w:ascii="Calibri"/>
          <w:spacing w:val="-1"/>
          <w:w w:val="95"/>
        </w:rPr>
        <w:t>120%</w:t>
      </w:r>
    </w:p>
    <w:p>
      <w:pPr>
        <w:pStyle w:val="BodyText"/>
        <w:spacing w:line="220" w:lineRule="exact"/>
        <w:ind w:right="8568"/>
        <w:jc w:val="right"/>
        <w:rPr>
          <w:rFonts w:ascii="Calibri"/>
        </w:rPr>
      </w:pPr>
      <w:r>
        <w:rPr>
          <w:rFonts w:ascii="Calibri"/>
          <w:spacing w:val="-1"/>
          <w:w w:val="95"/>
        </w:rPr>
        <w:t>100%</w:t>
      </w:r>
    </w:p>
    <w:p>
      <w:pPr>
        <w:pStyle w:val="BodyText"/>
        <w:spacing w:line="221" w:lineRule="exact"/>
        <w:ind w:right="8569"/>
        <w:jc w:val="right"/>
        <w:rPr>
          <w:rFonts w:ascii="Calibri"/>
        </w:rPr>
      </w:pPr>
      <w:r>
        <w:rPr>
          <w:rFonts w:ascii="Calibri"/>
          <w:spacing w:val="-1"/>
          <w:w w:val="95"/>
        </w:rPr>
        <w:t>80%</w:t>
      </w:r>
    </w:p>
    <w:p>
      <w:pPr>
        <w:pStyle w:val="BodyText"/>
        <w:spacing w:line="220" w:lineRule="exact"/>
        <w:ind w:right="8569"/>
        <w:jc w:val="right"/>
        <w:rPr>
          <w:rFonts w:ascii="Calibri"/>
        </w:rPr>
      </w:pPr>
      <w:r>
        <w:rPr>
          <w:rFonts w:ascii="Calibri"/>
          <w:spacing w:val="-1"/>
          <w:w w:val="95"/>
        </w:rPr>
        <w:t>60%</w:t>
      </w:r>
    </w:p>
    <w:p>
      <w:pPr>
        <w:pStyle w:val="BodyText"/>
        <w:spacing w:line="220" w:lineRule="exact"/>
        <w:ind w:right="8569"/>
        <w:jc w:val="right"/>
        <w:rPr>
          <w:rFonts w:ascii="Calibri"/>
        </w:rPr>
      </w:pPr>
      <w:r>
        <w:rPr>
          <w:rFonts w:ascii="Calibri"/>
          <w:spacing w:val="-1"/>
          <w:w w:val="95"/>
        </w:rPr>
        <w:t>40%</w:t>
      </w:r>
    </w:p>
    <w:p>
      <w:pPr>
        <w:pStyle w:val="BodyText"/>
        <w:spacing w:line="221" w:lineRule="exact"/>
        <w:ind w:right="8569"/>
        <w:jc w:val="right"/>
        <w:rPr>
          <w:rFonts w:ascii="Calibri"/>
        </w:rPr>
      </w:pPr>
      <w:r>
        <w:rPr>
          <w:rFonts w:ascii="Calibri"/>
          <w:spacing w:val="-1"/>
          <w:w w:val="95"/>
        </w:rPr>
        <w:t>20%</w:t>
      </w:r>
    </w:p>
    <w:p>
      <w:pPr>
        <w:pStyle w:val="BodyText"/>
        <w:spacing w:line="226" w:lineRule="exact"/>
        <w:ind w:right="8568"/>
        <w:jc w:val="right"/>
        <w:rPr>
          <w:rFonts w:ascii="Calibri"/>
        </w:rPr>
      </w:pPr>
      <w:r>
        <w:rPr/>
        <w:drawing>
          <wp:anchor distT="0" distB="0" distL="0" distR="0" allowOverlap="1" layoutInCell="1" locked="0" behindDoc="0" simplePos="0" relativeHeight="31">
            <wp:simplePos x="0" y="0"/>
            <wp:positionH relativeFrom="page">
              <wp:posOffset>1431797</wp:posOffset>
            </wp:positionH>
            <wp:positionV relativeFrom="paragraph">
              <wp:posOffset>185255</wp:posOffset>
            </wp:positionV>
            <wp:extent cx="3272162" cy="3810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272162" cy="381000"/>
                    </a:xfrm>
                    <a:prstGeom prst="rect">
                      <a:avLst/>
                    </a:prstGeom>
                  </pic:spPr>
                </pic:pic>
              </a:graphicData>
            </a:graphic>
          </wp:anchor>
        </w:drawing>
      </w:r>
      <w:r>
        <w:rPr>
          <w:rFonts w:ascii="Calibri"/>
          <w:w w:val="95"/>
        </w:rPr>
        <w:t>0%</w:t>
      </w:r>
    </w:p>
    <w:p>
      <w:pPr>
        <w:spacing w:before="64"/>
        <w:ind w:left="226" w:right="0" w:firstLine="0"/>
        <w:jc w:val="left"/>
        <w:rPr>
          <w:sz w:val="15"/>
        </w:rPr>
      </w:pPr>
      <w:r>
        <w:rPr>
          <w:sz w:val="15"/>
        </w:rPr>
        <w:t>Sources: ONS, Bank of England calculations.</w:t>
      </w:r>
    </w:p>
    <w:p>
      <w:pPr>
        <w:spacing w:before="0"/>
        <w:ind w:left="226" w:right="218" w:firstLine="0"/>
        <w:jc w:val="left"/>
        <w:rPr>
          <w:sz w:val="15"/>
        </w:rPr>
      </w:pPr>
      <w:r>
        <w:rPr>
          <w:sz w:val="15"/>
        </w:rPr>
        <w:t>Note: Data cover households and non-profit institutions serving households. ONS's gross disposable income figures (QWND), which excludes taxes on income, social contributions and other transfers. Other liabilities are the difference between households' total financial liabilities and loans secured on dwellings. 2013 H1 data are second quarter liabilities over the annualised sum of seasonally adjusted first and second quarter gross disposable income data.</w:t>
      </w:r>
    </w:p>
    <w:p>
      <w:pPr>
        <w:pStyle w:val="BodyText"/>
        <w:rPr>
          <w:sz w:val="16"/>
        </w:rPr>
      </w:pPr>
    </w:p>
    <w:p>
      <w:pPr>
        <w:pStyle w:val="BodyText"/>
        <w:spacing w:before="8"/>
        <w:rPr>
          <w:sz w:val="20"/>
        </w:rPr>
      </w:pPr>
    </w:p>
    <w:p>
      <w:pPr>
        <w:pStyle w:val="BodyText"/>
        <w:ind w:left="226"/>
      </w:pPr>
      <w:r>
        <w:rPr>
          <w:b/>
        </w:rPr>
        <w:t>Figure 8: </w:t>
      </w:r>
      <w:r>
        <w:rPr/>
        <w:t>Mortgages and other household liabilities in the US – percentage of disposable income</w:t>
      </w:r>
    </w:p>
    <w:p>
      <w:pPr>
        <w:pStyle w:val="BodyText"/>
        <w:spacing w:before="30"/>
        <w:ind w:right="8641"/>
        <w:jc w:val="right"/>
        <w:rPr>
          <w:rFonts w:ascii="Calibri"/>
        </w:rPr>
      </w:pPr>
      <w:r>
        <w:rPr/>
        <w:pict>
          <v:group style="position:absolute;margin-left:111.480003pt;margin-top:7.483551pt;width:272.55pt;height:113.1pt;mso-position-horizontal-relative:page;mso-position-vertical-relative:paragraph;z-index:251694080" coordorigin="2230,150" coordsize="5451,2262">
            <v:rect style="position:absolute;left:2404;top:1881;width:154;height:472" filled="true" fillcolor="#c0504d" stroked="false">
              <v:fill type="solid"/>
            </v:rect>
            <v:rect style="position:absolute;left:2404;top:988;width:154;height:893" filled="true" fillcolor="#4f81bd" stroked="false">
              <v:fill type="solid"/>
            </v:rect>
            <v:rect style="position:absolute;left:2788;top:1882;width:155;height:471" filled="true" fillcolor="#c0504d" stroked="false">
              <v:fill type="solid"/>
            </v:rect>
            <v:rect style="position:absolute;left:2788;top:940;width:155;height:942" filled="true" fillcolor="#4f81bd" stroked="false">
              <v:fill type="solid"/>
            </v:rect>
            <v:rect style="position:absolute;left:3174;top:1889;width:154;height:464" filled="true" fillcolor="#c0504d" stroked="false">
              <v:fill type="solid"/>
            </v:rect>
            <v:rect style="position:absolute;left:3174;top:867;width:154;height:1023" filled="true" fillcolor="#4f81bd" stroked="false">
              <v:fill type="solid"/>
            </v:rect>
            <v:rect style="position:absolute;left:3559;top:1880;width:154;height:473" filled="true" fillcolor="#c0504d" stroked="false">
              <v:fill type="solid"/>
            </v:rect>
            <v:rect style="position:absolute;left:3559;top:764;width:154;height:1116" filled="true" fillcolor="#4f81bd" stroked="false">
              <v:fill type="solid"/>
            </v:rect>
            <v:rect style="position:absolute;left:3942;top:1874;width:154;height:479" filled="true" fillcolor="#c0504d" stroked="false">
              <v:fill type="solid"/>
            </v:rect>
            <v:rect style="position:absolute;left:3942;top:676;width:154;height:1198" filled="true" fillcolor="#4f81bd" stroked="false">
              <v:fill type="solid"/>
            </v:rect>
            <v:rect style="position:absolute;left:4327;top:1877;width:154;height:476" filled="true" fillcolor="#c0504d" stroked="false">
              <v:fill type="solid"/>
            </v:rect>
            <v:rect style="position:absolute;left:4327;top:578;width:154;height:1300" filled="true" fillcolor="#4f81bd" stroked="false">
              <v:fill type="solid"/>
            </v:rect>
            <v:rect style="position:absolute;left:4711;top:1866;width:155;height:486" filled="true" fillcolor="#c0504d" stroked="false">
              <v:fill type="solid"/>
            </v:rect>
            <v:rect style="position:absolute;left:4711;top:513;width:155;height:1354" filled="true" fillcolor="#4f81bd" stroked="false">
              <v:fill type="solid"/>
            </v:rect>
            <v:rect style="position:absolute;left:5096;top:1857;width:154;height:496" filled="true" fillcolor="#c0504d" stroked="false">
              <v:fill type="solid"/>
            </v:rect>
            <v:rect style="position:absolute;left:5096;top:476;width:154;height:1382" filled="true" fillcolor="#4f81bd" stroked="false">
              <v:fill type="solid"/>
            </v:rect>
            <v:rect style="position:absolute;left:5481;top:1890;width:154;height:462" filled="true" fillcolor="#c0504d" stroked="false">
              <v:fill type="solid"/>
            </v:rect>
            <v:rect style="position:absolute;left:5481;top:575;width:154;height:1316" filled="true" fillcolor="#4f81bd" stroked="false">
              <v:fill type="solid"/>
            </v:rect>
            <v:rect style="position:absolute;left:5865;top:1895;width:155;height:458" filled="true" fillcolor="#c0504d" stroked="false">
              <v:fill type="solid"/>
            </v:rect>
            <v:rect style="position:absolute;left:5865;top:594;width:155;height:1301" filled="true" fillcolor="#4f81bd" stroked="false">
              <v:fill type="solid"/>
            </v:rect>
            <v:rect style="position:absolute;left:6249;top:1880;width:154;height:473" filled="true" fillcolor="#c0504d" stroked="false">
              <v:fill type="solid"/>
            </v:rect>
            <v:rect style="position:absolute;left:6249;top:671;width:154;height:1209" filled="true" fillcolor="#4f81bd" stroked="false">
              <v:fill type="solid"/>
            </v:rect>
            <v:rect style="position:absolute;left:6634;top:1899;width:154;height:454" filled="true" fillcolor="#c0504d" stroked="false">
              <v:fill type="solid"/>
            </v:rect>
            <v:rect style="position:absolute;left:6634;top:772;width:154;height:1127" filled="true" fillcolor="#4f81bd" stroked="false">
              <v:fill type="solid"/>
            </v:rect>
            <v:rect style="position:absolute;left:7018;top:1886;width:154;height:467" filled="true" fillcolor="#c0504d" stroked="false">
              <v:fill type="solid"/>
            </v:rect>
            <v:rect style="position:absolute;left:7018;top:827;width:154;height:1059" filled="true" fillcolor="#4f81bd" stroked="false">
              <v:fill type="solid"/>
            </v:rect>
            <v:rect style="position:absolute;left:7404;top:1887;width:154;height:466" filled="true" fillcolor="#c0504d" stroked="false">
              <v:fill type="solid"/>
            </v:rect>
            <v:rect style="position:absolute;left:7404;top:852;width:154;height:1035" filled="true" fillcolor="#4f81bd" stroked="false">
              <v:fill type="solid"/>
            </v:rect>
            <v:line style="position:absolute" from="2289,157" to="2289,2412" stroked="true" strokeweight=".66pt" strokecolor="#868686">
              <v:stroke dashstyle="solid"/>
            </v:line>
            <v:shape style="position:absolute;left:2229;top:149;width:59;height:2210" coordorigin="2230,150" coordsize="59,2210" path="m2288,2346l2230,2346,2230,2359,2288,2359,2288,2346m2288,2071l2230,2071,2230,2085,2288,2085,2288,2071m2288,1797l2230,1797,2230,1810,2288,1810,2288,1797m2288,1522l2230,1522,2230,1536,2288,1536,2288,1522m2288,1248l2230,1248,2230,1262,2288,1262,2288,1248m2288,973l2230,973,2230,986,2288,986,2288,973m2288,698l2230,698,2230,712,2288,712,2288,698m2288,424l2230,424,2230,438,2288,438,2288,424m2288,150l2230,150,2230,163,2288,163,2288,150e" filled="true" fillcolor="#868686" stroked="false">
              <v:path arrowok="t"/>
              <v:fill type="solid"/>
            </v:shape>
            <v:line style="position:absolute" from="2288,2352" to="7673,2352" stroked="true" strokeweight=".65997pt" strokecolor="#868686">
              <v:stroke dashstyle="solid"/>
            </v:line>
            <v:shape style="position:absolute;left:2666;top:2352;width:5014;height:59" coordorigin="2666,2353" coordsize="5014,59" path="m2681,2353l2666,2353,2666,2412,2681,2412,2681,2353m3065,2353l3052,2353,3052,2412,3065,2412,3065,2353m3449,2353l3436,2353,3436,2412,3449,2412,3449,2353m3834,2353l3821,2353,3821,2412,3834,2412,3834,2353m4219,2353l4206,2353,4206,2412,4219,2412,4219,2353m4603,2353l4590,2353,4590,2412,4603,2412,4603,2353m4988,2353l4974,2353,4974,2412,4988,2412,4988,2353m5372,2353l5358,2353,5358,2412,5372,2412,5372,2353m5756,2353l5743,2353,5743,2412,5756,2412,5756,2353m6142,2353l6128,2353,6128,2412,6142,2412,6142,2353m6526,2353l6512,2353,6512,2412,6526,2412,6526,2353m6911,2353l6898,2353,6898,2412,6911,2412,6911,2353m7296,2353l7282,2353,7282,2412,7296,2412,7296,2353m7680,2353l7666,2353,7666,2412,7680,2412,7680,2353e" filled="true" fillcolor="#868686" stroked="false">
              <v:path arrowok="t"/>
              <v:fill type="solid"/>
            </v:shape>
            <v:rect style="position:absolute;left:2488;top:185;width:102;height:105" filled="true" fillcolor="#4f81bd" stroked="false">
              <v:fill type="solid"/>
            </v:rect>
            <v:rect style="position:absolute;left:2488;top:436;width:102;height:104" filled="true" fillcolor="#c0504d" stroked="false">
              <v:fill type="solid"/>
            </v:rect>
            <v:shape style="position:absolute;left:2636;top:149;width:1337;height:440" type="#_x0000_t202" filled="false" stroked="false">
              <v:textbox inset="0,0,0,0">
                <w:txbxContent>
                  <w:p>
                    <w:pPr>
                      <w:spacing w:line="192" w:lineRule="exact" w:before="0"/>
                      <w:ind w:left="0" w:right="0" w:firstLine="0"/>
                      <w:jc w:val="left"/>
                      <w:rPr>
                        <w:rFonts w:ascii="Calibri"/>
                        <w:sz w:val="19"/>
                      </w:rPr>
                    </w:pPr>
                    <w:r>
                      <w:rPr>
                        <w:rFonts w:ascii="Calibri"/>
                        <w:sz w:val="19"/>
                      </w:rPr>
                      <w:t>Home mortgages</w:t>
                    </w:r>
                  </w:p>
                  <w:p>
                    <w:pPr>
                      <w:spacing w:line="228" w:lineRule="exact" w:before="19"/>
                      <w:ind w:left="0" w:right="0" w:firstLine="0"/>
                      <w:jc w:val="left"/>
                      <w:rPr>
                        <w:rFonts w:ascii="Calibri"/>
                        <w:sz w:val="19"/>
                      </w:rPr>
                    </w:pPr>
                    <w:r>
                      <w:rPr>
                        <w:rFonts w:ascii="Calibri"/>
                        <w:sz w:val="19"/>
                      </w:rPr>
                      <w:t>Other liabilities</w:t>
                    </w:r>
                  </w:p>
                </w:txbxContent>
              </v:textbox>
              <w10:wrap type="none"/>
            </v:shape>
            <w10:wrap type="none"/>
          </v:group>
        </w:pict>
      </w:r>
      <w:r>
        <w:rPr>
          <w:rFonts w:ascii="Calibri"/>
          <w:spacing w:val="-1"/>
          <w:w w:val="95"/>
        </w:rPr>
        <w:t>160%</w:t>
      </w:r>
    </w:p>
    <w:p>
      <w:pPr>
        <w:pStyle w:val="BodyText"/>
        <w:spacing w:before="43"/>
        <w:ind w:right="8641"/>
        <w:jc w:val="right"/>
        <w:rPr>
          <w:rFonts w:ascii="Calibri"/>
        </w:rPr>
      </w:pPr>
      <w:r>
        <w:rPr>
          <w:rFonts w:ascii="Calibri"/>
          <w:spacing w:val="-1"/>
          <w:w w:val="95"/>
        </w:rPr>
        <w:t>140%</w:t>
      </w:r>
    </w:p>
    <w:p>
      <w:pPr>
        <w:pStyle w:val="BodyText"/>
        <w:spacing w:before="42"/>
        <w:ind w:right="8641"/>
        <w:jc w:val="right"/>
        <w:rPr>
          <w:rFonts w:ascii="Calibri"/>
        </w:rPr>
      </w:pPr>
      <w:r>
        <w:rPr>
          <w:rFonts w:ascii="Calibri"/>
          <w:spacing w:val="-1"/>
          <w:w w:val="95"/>
        </w:rPr>
        <w:t>120%</w:t>
      </w:r>
    </w:p>
    <w:p>
      <w:pPr>
        <w:pStyle w:val="BodyText"/>
        <w:spacing w:before="43"/>
        <w:ind w:right="8641"/>
        <w:jc w:val="right"/>
        <w:rPr>
          <w:rFonts w:ascii="Calibri"/>
        </w:rPr>
      </w:pPr>
      <w:r>
        <w:rPr>
          <w:rFonts w:ascii="Calibri"/>
          <w:spacing w:val="-1"/>
          <w:w w:val="95"/>
        </w:rPr>
        <w:t>100%</w:t>
      </w:r>
    </w:p>
    <w:p>
      <w:pPr>
        <w:pStyle w:val="BodyText"/>
        <w:spacing w:before="42"/>
        <w:ind w:right="8643"/>
        <w:jc w:val="right"/>
        <w:rPr>
          <w:rFonts w:ascii="Calibri"/>
        </w:rPr>
      </w:pPr>
      <w:r>
        <w:rPr>
          <w:rFonts w:ascii="Calibri"/>
          <w:spacing w:val="-1"/>
          <w:w w:val="95"/>
        </w:rPr>
        <w:t>80%</w:t>
      </w:r>
    </w:p>
    <w:p>
      <w:pPr>
        <w:pStyle w:val="BodyText"/>
        <w:spacing w:before="43"/>
        <w:ind w:right="8643"/>
        <w:jc w:val="right"/>
        <w:rPr>
          <w:rFonts w:ascii="Calibri"/>
        </w:rPr>
      </w:pPr>
      <w:r>
        <w:rPr>
          <w:rFonts w:ascii="Calibri"/>
          <w:spacing w:val="-1"/>
          <w:w w:val="95"/>
        </w:rPr>
        <w:t>60%</w:t>
      </w:r>
    </w:p>
    <w:p>
      <w:pPr>
        <w:pStyle w:val="BodyText"/>
        <w:spacing w:before="42"/>
        <w:ind w:right="8643"/>
        <w:jc w:val="right"/>
        <w:rPr>
          <w:rFonts w:ascii="Calibri"/>
        </w:rPr>
      </w:pPr>
      <w:r>
        <w:rPr>
          <w:rFonts w:ascii="Calibri"/>
          <w:spacing w:val="-1"/>
          <w:w w:val="95"/>
        </w:rPr>
        <w:t>40%</w:t>
      </w:r>
    </w:p>
    <w:p>
      <w:pPr>
        <w:pStyle w:val="BodyText"/>
        <w:spacing w:before="43"/>
        <w:ind w:right="8643"/>
        <w:jc w:val="right"/>
        <w:rPr>
          <w:rFonts w:ascii="Calibri"/>
        </w:rPr>
      </w:pPr>
      <w:r>
        <w:rPr>
          <w:rFonts w:ascii="Calibri"/>
          <w:spacing w:val="-1"/>
          <w:w w:val="95"/>
        </w:rPr>
        <w:t>20%</w:t>
      </w:r>
    </w:p>
    <w:p>
      <w:pPr>
        <w:pStyle w:val="BodyText"/>
        <w:spacing w:before="43"/>
        <w:ind w:right="8641"/>
        <w:jc w:val="right"/>
        <w:rPr>
          <w:rFonts w:ascii="Calibri"/>
        </w:rPr>
      </w:pPr>
      <w:r>
        <w:rPr>
          <w:rFonts w:ascii="Calibri"/>
          <w:w w:val="95"/>
        </w:rPr>
        <w:t>0%</w:t>
      </w:r>
    </w:p>
    <w:p>
      <w:pPr>
        <w:pStyle w:val="BodyText"/>
        <w:spacing w:line="231" w:lineRule="exact" w:before="13"/>
        <w:ind w:right="3083"/>
        <w:jc w:val="right"/>
        <w:rPr>
          <w:rFonts w:ascii="Calibri"/>
        </w:rPr>
      </w:pPr>
      <w:r>
        <w:rPr>
          <w:rFonts w:ascii="Calibri"/>
          <w:w w:val="95"/>
        </w:rPr>
        <w:t>20002001200220032004200520062007200820092010201120122013</w:t>
      </w:r>
    </w:p>
    <w:p>
      <w:pPr>
        <w:pStyle w:val="BodyText"/>
        <w:spacing w:line="231" w:lineRule="exact"/>
        <w:ind w:right="3112"/>
        <w:jc w:val="right"/>
        <w:rPr>
          <w:rFonts w:ascii="Calibri"/>
        </w:rPr>
      </w:pPr>
      <w:r>
        <w:rPr>
          <w:rFonts w:ascii="Calibri"/>
          <w:spacing w:val="-1"/>
          <w:w w:val="95"/>
        </w:rPr>
        <w:t>(H1)</w:t>
      </w:r>
    </w:p>
    <w:p>
      <w:pPr>
        <w:spacing w:before="60"/>
        <w:ind w:left="226" w:right="0" w:firstLine="0"/>
        <w:jc w:val="left"/>
        <w:rPr>
          <w:sz w:val="15"/>
        </w:rPr>
      </w:pPr>
      <w:r>
        <w:rPr>
          <w:sz w:val="15"/>
        </w:rPr>
        <w:t>Sources: Bureau of Economic Analysis, Federal Reserve, Bank of England calculations.</w:t>
      </w:r>
    </w:p>
    <w:p>
      <w:pPr>
        <w:spacing w:before="0"/>
        <w:ind w:left="226" w:right="105" w:firstLine="0"/>
        <w:jc w:val="left"/>
        <w:rPr>
          <w:sz w:val="15"/>
        </w:rPr>
      </w:pPr>
      <w:r>
        <w:rPr>
          <w:sz w:val="15"/>
        </w:rPr>
        <w:t>Note: Liabilities of households and non-profit organisations relative to disposable personal income (net of taxes and contributions for government social insurance). Other liabilities calculated as the difference between total liabilities and home mortgages. 2013 H1 data are second quarter liabilities over second quarter disposable income data seasonally adjusted at annual rates.</w:t>
      </w:r>
    </w:p>
    <w:p>
      <w:pPr>
        <w:pStyle w:val="BodyText"/>
        <w:rPr>
          <w:sz w:val="16"/>
        </w:rPr>
      </w:pPr>
    </w:p>
    <w:p>
      <w:pPr>
        <w:pStyle w:val="BodyText"/>
        <w:spacing w:before="10"/>
        <w:rPr>
          <w:sz w:val="20"/>
        </w:rPr>
      </w:pPr>
    </w:p>
    <w:p>
      <w:pPr>
        <w:pStyle w:val="BodyText"/>
        <w:spacing w:line="350" w:lineRule="auto"/>
        <w:ind w:left="226"/>
      </w:pPr>
      <w:r>
        <w:rPr/>
        <w:t>Those</w:t>
      </w:r>
      <w:r>
        <w:rPr>
          <w:spacing w:val="-9"/>
        </w:rPr>
        <w:t> </w:t>
      </w:r>
      <w:r>
        <w:rPr/>
        <w:t>countries</w:t>
      </w:r>
      <w:r>
        <w:rPr>
          <w:spacing w:val="-7"/>
        </w:rPr>
        <w:t> </w:t>
      </w:r>
      <w:r>
        <w:rPr/>
        <w:t>where</w:t>
      </w:r>
      <w:r>
        <w:rPr>
          <w:spacing w:val="-9"/>
        </w:rPr>
        <w:t> </w:t>
      </w:r>
      <w:r>
        <w:rPr/>
        <w:t>mortgage</w:t>
      </w:r>
      <w:r>
        <w:rPr>
          <w:spacing w:val="-8"/>
        </w:rPr>
        <w:t> </w:t>
      </w:r>
      <w:r>
        <w:rPr/>
        <w:t>debt</w:t>
      </w:r>
      <w:r>
        <w:rPr>
          <w:spacing w:val="-9"/>
        </w:rPr>
        <w:t> </w:t>
      </w:r>
      <w:r>
        <w:rPr/>
        <w:t>rose</w:t>
      </w:r>
      <w:r>
        <w:rPr>
          <w:spacing w:val="-9"/>
        </w:rPr>
        <w:t> </w:t>
      </w:r>
      <w:r>
        <w:rPr/>
        <w:t>fastest</w:t>
      </w:r>
      <w:r>
        <w:rPr>
          <w:spacing w:val="-9"/>
        </w:rPr>
        <w:t> </w:t>
      </w:r>
      <w:r>
        <w:rPr/>
        <w:t>were</w:t>
      </w:r>
      <w:r>
        <w:rPr>
          <w:spacing w:val="-9"/>
        </w:rPr>
        <w:t> </w:t>
      </w:r>
      <w:r>
        <w:rPr/>
        <w:t>those</w:t>
      </w:r>
      <w:r>
        <w:rPr>
          <w:spacing w:val="-8"/>
        </w:rPr>
        <w:t> </w:t>
      </w:r>
      <w:r>
        <w:rPr/>
        <w:t>where</w:t>
      </w:r>
      <w:r>
        <w:rPr>
          <w:spacing w:val="-9"/>
        </w:rPr>
        <w:t> </w:t>
      </w:r>
      <w:r>
        <w:rPr/>
        <w:t>the</w:t>
      </w:r>
      <w:r>
        <w:rPr>
          <w:spacing w:val="-9"/>
        </w:rPr>
        <w:t> </w:t>
      </w:r>
      <w:r>
        <w:rPr/>
        <w:t>subsequent</w:t>
      </w:r>
      <w:r>
        <w:rPr>
          <w:spacing w:val="-7"/>
        </w:rPr>
        <w:t> </w:t>
      </w:r>
      <w:r>
        <w:rPr/>
        <w:t>falls</w:t>
      </w:r>
      <w:r>
        <w:rPr>
          <w:spacing w:val="-9"/>
        </w:rPr>
        <w:t> </w:t>
      </w:r>
      <w:r>
        <w:rPr/>
        <w:t>in</w:t>
      </w:r>
      <w:r>
        <w:rPr>
          <w:spacing w:val="-8"/>
        </w:rPr>
        <w:t> </w:t>
      </w:r>
      <w:r>
        <w:rPr/>
        <w:t>house</w:t>
      </w:r>
      <w:r>
        <w:rPr>
          <w:spacing w:val="-9"/>
        </w:rPr>
        <w:t> </w:t>
      </w:r>
      <w:r>
        <w:rPr/>
        <w:t>prices,</w:t>
      </w:r>
      <w:r>
        <w:rPr>
          <w:spacing w:val="-7"/>
        </w:rPr>
        <w:t> </w:t>
      </w:r>
      <w:r>
        <w:rPr/>
        <w:t>in transactions and in housing starts were</w:t>
      </w:r>
      <w:r>
        <w:rPr>
          <w:spacing w:val="-10"/>
        </w:rPr>
        <w:t> </w:t>
      </w:r>
      <w:r>
        <w:rPr/>
        <w:t>greatest.</w:t>
      </w:r>
    </w:p>
    <w:p>
      <w:pPr>
        <w:pStyle w:val="BodyText"/>
        <w:spacing w:before="11"/>
        <w:rPr>
          <w:sz w:val="27"/>
        </w:rPr>
      </w:pPr>
    </w:p>
    <w:p>
      <w:pPr>
        <w:pStyle w:val="BodyText"/>
        <w:spacing w:line="350" w:lineRule="auto"/>
        <w:ind w:left="226" w:right="218"/>
      </w:pPr>
      <w:r>
        <w:rPr/>
        <w:t>The fact that houses are bought with large amounts of outside debt is one reason why housing market outcomes over the past ten years have been so volatile. In an upswing when expectations are that house values will continue to rise, the returns from using debt to finance house purchase look very high – gearing scales up those returns. And supplying mortgages will be a low risk business </w:t>
      </w:r>
      <w:r>
        <w:rPr>
          <w:b/>
          <w:i/>
        </w:rPr>
        <w:t>if </w:t>
      </w:r>
      <w:r>
        <w:rPr/>
        <w:t>house values continue to rise. All those forces go into reverse once the expectation that house prices will rise evaporates and the perceived probability that prices might fall substantially becomes significant. That is why transactions, new home starts and mortgage lending fell so very sharply after 2007 in the countries where lending and prices had risen so fast in the years that came before.</w:t>
      </w:r>
    </w:p>
    <w:p>
      <w:pPr>
        <w:spacing w:after="0" w:line="350" w:lineRule="auto"/>
        <w:sectPr>
          <w:pgSz w:w="12240" w:h="15840"/>
          <w:pgMar w:header="0" w:footer="1240" w:top="1380" w:bottom="1440" w:left="1360" w:right="1480"/>
        </w:sectPr>
      </w:pPr>
    </w:p>
    <w:p>
      <w:pPr>
        <w:pStyle w:val="BodyText"/>
        <w:spacing w:line="350" w:lineRule="auto" w:before="75"/>
        <w:ind w:left="226" w:right="120"/>
      </w:pPr>
      <w:r>
        <w:rPr/>
        <w:t>High leverage (or gearing) – given the other features of housing (in particular the relative fixity in the total stock</w:t>
      </w:r>
      <w:r>
        <w:rPr>
          <w:spacing w:val="-8"/>
        </w:rPr>
        <w:t> </w:t>
      </w:r>
      <w:r>
        <w:rPr/>
        <w:t>of</w:t>
      </w:r>
      <w:r>
        <w:rPr>
          <w:spacing w:val="-7"/>
        </w:rPr>
        <w:t> </w:t>
      </w:r>
      <w:r>
        <w:rPr/>
        <w:t>housing</w:t>
      </w:r>
      <w:r>
        <w:rPr>
          <w:spacing w:val="-7"/>
        </w:rPr>
        <w:t> </w:t>
      </w:r>
      <w:r>
        <w:rPr/>
        <w:t>over</w:t>
      </w:r>
      <w:r>
        <w:rPr>
          <w:spacing w:val="-7"/>
        </w:rPr>
        <w:t> </w:t>
      </w:r>
      <w:r>
        <w:rPr/>
        <w:t>a</w:t>
      </w:r>
      <w:r>
        <w:rPr>
          <w:spacing w:val="-7"/>
        </w:rPr>
        <w:t> </w:t>
      </w:r>
      <w:r>
        <w:rPr/>
        <w:t>short</w:t>
      </w:r>
      <w:r>
        <w:rPr>
          <w:spacing w:val="-7"/>
        </w:rPr>
        <w:t> </w:t>
      </w:r>
      <w:r>
        <w:rPr/>
        <w:t>period)</w:t>
      </w:r>
      <w:r>
        <w:rPr>
          <w:spacing w:val="-7"/>
        </w:rPr>
        <w:t> </w:t>
      </w:r>
      <w:r>
        <w:rPr/>
        <w:t>–</w:t>
      </w:r>
      <w:r>
        <w:rPr>
          <w:spacing w:val="-7"/>
        </w:rPr>
        <w:t> </w:t>
      </w:r>
      <w:r>
        <w:rPr/>
        <w:t>can</w:t>
      </w:r>
      <w:r>
        <w:rPr>
          <w:spacing w:val="-8"/>
        </w:rPr>
        <w:t> </w:t>
      </w:r>
      <w:r>
        <w:rPr/>
        <w:t>create</w:t>
      </w:r>
      <w:r>
        <w:rPr>
          <w:spacing w:val="-7"/>
        </w:rPr>
        <w:t> </w:t>
      </w:r>
      <w:r>
        <w:rPr/>
        <w:t>all</w:t>
      </w:r>
      <w:r>
        <w:rPr>
          <w:spacing w:val="-7"/>
        </w:rPr>
        <w:t> </w:t>
      </w:r>
      <w:r>
        <w:rPr/>
        <w:t>sorts</w:t>
      </w:r>
      <w:r>
        <w:rPr>
          <w:spacing w:val="-7"/>
        </w:rPr>
        <w:t> </w:t>
      </w:r>
      <w:r>
        <w:rPr/>
        <w:t>of</w:t>
      </w:r>
      <w:r>
        <w:rPr>
          <w:spacing w:val="-7"/>
        </w:rPr>
        <w:t> </w:t>
      </w:r>
      <w:r>
        <w:rPr/>
        <w:t>problems:</w:t>
      </w:r>
      <w:r>
        <w:rPr>
          <w:spacing w:val="-7"/>
        </w:rPr>
        <w:t> </w:t>
      </w:r>
      <w:r>
        <w:rPr/>
        <w:t>it</w:t>
      </w:r>
      <w:r>
        <w:rPr>
          <w:spacing w:val="-8"/>
        </w:rPr>
        <w:t> </w:t>
      </w:r>
      <w:r>
        <w:rPr/>
        <w:t>creates</w:t>
      </w:r>
      <w:r>
        <w:rPr>
          <w:spacing w:val="-6"/>
        </w:rPr>
        <w:t> </w:t>
      </w:r>
      <w:r>
        <w:rPr/>
        <w:t>highly</w:t>
      </w:r>
      <w:r>
        <w:rPr>
          <w:spacing w:val="-8"/>
        </w:rPr>
        <w:t> </w:t>
      </w:r>
      <w:r>
        <w:rPr/>
        <w:t>volatile</w:t>
      </w:r>
      <w:r>
        <w:rPr>
          <w:spacing w:val="-7"/>
        </w:rPr>
        <w:t> </w:t>
      </w:r>
      <w:r>
        <w:rPr/>
        <w:t>paths</w:t>
      </w:r>
      <w:r>
        <w:rPr>
          <w:spacing w:val="-5"/>
        </w:rPr>
        <w:t> </w:t>
      </w:r>
      <w:r>
        <w:rPr/>
        <w:t>for</w:t>
      </w:r>
      <w:r>
        <w:rPr>
          <w:spacing w:val="-7"/>
        </w:rPr>
        <w:t> </w:t>
      </w:r>
      <w:r>
        <w:rPr/>
        <w:t>the net wealth of home owners; it creates incentive problems at close to zero equity; it increases affordability issues</w:t>
      </w:r>
      <w:r>
        <w:rPr>
          <w:spacing w:val="-8"/>
        </w:rPr>
        <w:t> </w:t>
      </w:r>
      <w:r>
        <w:rPr/>
        <w:t>for</w:t>
      </w:r>
      <w:r>
        <w:rPr>
          <w:spacing w:val="-7"/>
        </w:rPr>
        <w:t> </w:t>
      </w:r>
      <w:r>
        <w:rPr/>
        <w:t>borrowers</w:t>
      </w:r>
      <w:r>
        <w:rPr>
          <w:spacing w:val="-6"/>
        </w:rPr>
        <w:t> </w:t>
      </w:r>
      <w:r>
        <w:rPr/>
        <w:t>because</w:t>
      </w:r>
      <w:r>
        <w:rPr>
          <w:spacing w:val="-7"/>
        </w:rPr>
        <w:t> </w:t>
      </w:r>
      <w:r>
        <w:rPr/>
        <w:t>the</w:t>
      </w:r>
      <w:r>
        <w:rPr>
          <w:spacing w:val="-7"/>
        </w:rPr>
        <w:t> </w:t>
      </w:r>
      <w:r>
        <w:rPr/>
        <w:t>servicing</w:t>
      </w:r>
      <w:r>
        <w:rPr>
          <w:spacing w:val="-8"/>
        </w:rPr>
        <w:t> </w:t>
      </w:r>
      <w:r>
        <w:rPr/>
        <w:t>cost</w:t>
      </w:r>
      <w:r>
        <w:rPr>
          <w:spacing w:val="-5"/>
        </w:rPr>
        <w:t> </w:t>
      </w:r>
      <w:r>
        <w:rPr/>
        <w:t>of</w:t>
      </w:r>
      <w:r>
        <w:rPr>
          <w:spacing w:val="-7"/>
        </w:rPr>
        <w:t> </w:t>
      </w:r>
      <w:r>
        <w:rPr/>
        <w:t>debt</w:t>
      </w:r>
      <w:r>
        <w:rPr>
          <w:spacing w:val="-5"/>
        </w:rPr>
        <w:t> </w:t>
      </w:r>
      <w:r>
        <w:rPr/>
        <w:t>is</w:t>
      </w:r>
      <w:r>
        <w:rPr>
          <w:spacing w:val="-8"/>
        </w:rPr>
        <w:t> </w:t>
      </w:r>
      <w:r>
        <w:rPr/>
        <w:t>unrelated</w:t>
      </w:r>
      <w:r>
        <w:rPr>
          <w:spacing w:val="-7"/>
        </w:rPr>
        <w:t> </w:t>
      </w:r>
      <w:r>
        <w:rPr/>
        <w:t>to</w:t>
      </w:r>
      <w:r>
        <w:rPr>
          <w:spacing w:val="-7"/>
        </w:rPr>
        <w:t> </w:t>
      </w:r>
      <w:r>
        <w:rPr/>
        <w:t>changes</w:t>
      </w:r>
      <w:r>
        <w:rPr>
          <w:spacing w:val="-7"/>
        </w:rPr>
        <w:t> </w:t>
      </w:r>
      <w:r>
        <w:rPr/>
        <w:t>in</w:t>
      </w:r>
      <w:r>
        <w:rPr>
          <w:spacing w:val="-7"/>
        </w:rPr>
        <w:t> </w:t>
      </w:r>
      <w:r>
        <w:rPr/>
        <w:t>the</w:t>
      </w:r>
      <w:r>
        <w:rPr>
          <w:spacing w:val="-7"/>
        </w:rPr>
        <w:t> </w:t>
      </w:r>
      <w:r>
        <w:rPr/>
        <w:t>value</w:t>
      </w:r>
      <w:r>
        <w:rPr>
          <w:spacing w:val="-8"/>
        </w:rPr>
        <w:t> </w:t>
      </w:r>
      <w:r>
        <w:rPr/>
        <w:t>of</w:t>
      </w:r>
      <w:r>
        <w:rPr>
          <w:spacing w:val="-6"/>
        </w:rPr>
        <w:t> </w:t>
      </w:r>
      <w:r>
        <w:rPr/>
        <w:t>their</w:t>
      </w:r>
      <w:r>
        <w:rPr>
          <w:spacing w:val="-7"/>
        </w:rPr>
        <w:t> </w:t>
      </w:r>
      <w:r>
        <w:rPr/>
        <w:t>home</w:t>
      </w:r>
      <w:r>
        <w:rPr>
          <w:spacing w:val="-8"/>
        </w:rPr>
        <w:t> </w:t>
      </w:r>
      <w:r>
        <w:rPr/>
        <w:t>or to their income. The affordability issues are not solved by changing the extent to which the interest rate on mortgage debt is variable or fixed – affordability issues still arise because whether the future interest rate is known or not, it is not indexed to the value of the house or to the income of the home owner. In terms of reducing</w:t>
      </w:r>
      <w:r>
        <w:rPr>
          <w:spacing w:val="-10"/>
        </w:rPr>
        <w:t> </w:t>
      </w:r>
      <w:r>
        <w:rPr/>
        <w:t>volatility</w:t>
      </w:r>
      <w:r>
        <w:rPr>
          <w:spacing w:val="-9"/>
        </w:rPr>
        <w:t> </w:t>
      </w:r>
      <w:r>
        <w:rPr/>
        <w:t>and</w:t>
      </w:r>
      <w:r>
        <w:rPr>
          <w:spacing w:val="-9"/>
        </w:rPr>
        <w:t> </w:t>
      </w:r>
      <w:r>
        <w:rPr/>
        <w:t>uncertainty</w:t>
      </w:r>
      <w:r>
        <w:rPr>
          <w:spacing w:val="-8"/>
        </w:rPr>
        <w:t> </w:t>
      </w:r>
      <w:r>
        <w:rPr/>
        <w:t>about</w:t>
      </w:r>
      <w:r>
        <w:rPr>
          <w:spacing w:val="-9"/>
        </w:rPr>
        <w:t> </w:t>
      </w:r>
      <w:r>
        <w:rPr/>
        <w:t>the</w:t>
      </w:r>
      <w:r>
        <w:rPr>
          <w:spacing w:val="-9"/>
        </w:rPr>
        <w:t> </w:t>
      </w:r>
      <w:r>
        <w:rPr/>
        <w:t>cost</w:t>
      </w:r>
      <w:r>
        <w:rPr>
          <w:spacing w:val="-8"/>
        </w:rPr>
        <w:t> </w:t>
      </w:r>
      <w:r>
        <w:rPr/>
        <w:t>of</w:t>
      </w:r>
      <w:r>
        <w:rPr>
          <w:spacing w:val="-8"/>
        </w:rPr>
        <w:t> </w:t>
      </w:r>
      <w:r>
        <w:rPr/>
        <w:t>mortgage</w:t>
      </w:r>
      <w:r>
        <w:rPr>
          <w:spacing w:val="-9"/>
        </w:rPr>
        <w:t> </w:t>
      </w:r>
      <w:r>
        <w:rPr/>
        <w:t>debt</w:t>
      </w:r>
      <w:r>
        <w:rPr>
          <w:spacing w:val="-8"/>
        </w:rPr>
        <w:t> </w:t>
      </w:r>
      <w:r>
        <w:rPr/>
        <w:t>neither</w:t>
      </w:r>
      <w:r>
        <w:rPr>
          <w:spacing w:val="-9"/>
        </w:rPr>
        <w:t> </w:t>
      </w:r>
      <w:r>
        <w:rPr/>
        <w:t>fixed</w:t>
      </w:r>
      <w:r>
        <w:rPr>
          <w:spacing w:val="-9"/>
        </w:rPr>
        <w:t> </w:t>
      </w:r>
      <w:r>
        <w:rPr/>
        <w:t>nor</w:t>
      </w:r>
      <w:r>
        <w:rPr>
          <w:spacing w:val="-9"/>
        </w:rPr>
        <w:t> </w:t>
      </w:r>
      <w:r>
        <w:rPr/>
        <w:t>variable</w:t>
      </w:r>
      <w:r>
        <w:rPr>
          <w:spacing w:val="-9"/>
        </w:rPr>
        <w:t> </w:t>
      </w:r>
      <w:r>
        <w:rPr/>
        <w:t>interest</w:t>
      </w:r>
      <w:r>
        <w:rPr>
          <w:spacing w:val="-8"/>
        </w:rPr>
        <w:t> </w:t>
      </w:r>
      <w:r>
        <w:rPr/>
        <w:t>rates</w:t>
      </w:r>
      <w:r>
        <w:rPr>
          <w:spacing w:val="-8"/>
        </w:rPr>
        <w:t> </w:t>
      </w:r>
      <w:r>
        <w:rPr/>
        <w:t>on mortgage debt are sensitive in the right way to house price or income risk, because those risks are significantly</w:t>
      </w:r>
      <w:r>
        <w:rPr>
          <w:spacing w:val="-4"/>
        </w:rPr>
        <w:t> </w:t>
      </w:r>
      <w:r>
        <w:rPr/>
        <w:t>idiosyncratic</w:t>
      </w:r>
      <w:r>
        <w:rPr>
          <w:spacing w:val="-3"/>
        </w:rPr>
        <w:t> </w:t>
      </w:r>
      <w:r>
        <w:rPr/>
        <w:t>(or</w:t>
      </w:r>
      <w:r>
        <w:rPr>
          <w:spacing w:val="-4"/>
        </w:rPr>
        <w:t> </w:t>
      </w:r>
      <w:r>
        <w:rPr/>
        <w:t>at</w:t>
      </w:r>
      <w:r>
        <w:rPr>
          <w:spacing w:val="-2"/>
        </w:rPr>
        <w:t> </w:t>
      </w:r>
      <w:r>
        <w:rPr/>
        <w:t>least</w:t>
      </w:r>
      <w:r>
        <w:rPr>
          <w:spacing w:val="-4"/>
        </w:rPr>
        <w:t> </w:t>
      </w:r>
      <w:r>
        <w:rPr/>
        <w:t>regionally</w:t>
      </w:r>
      <w:r>
        <w:rPr>
          <w:spacing w:val="-3"/>
        </w:rPr>
        <w:t> </w:t>
      </w:r>
      <w:r>
        <w:rPr/>
        <w:t>specific</w:t>
      </w:r>
      <w:r>
        <w:rPr>
          <w:spacing w:val="-3"/>
        </w:rPr>
        <w:t> </w:t>
      </w:r>
      <w:r>
        <w:rPr/>
        <w:t>within</w:t>
      </w:r>
      <w:r>
        <w:rPr>
          <w:spacing w:val="-4"/>
        </w:rPr>
        <w:t> </w:t>
      </w:r>
      <w:r>
        <w:rPr/>
        <w:t>a</w:t>
      </w:r>
      <w:r>
        <w:rPr>
          <w:spacing w:val="-5"/>
        </w:rPr>
        <w:t> </w:t>
      </w:r>
      <w:r>
        <w:rPr/>
        <w:t>common</w:t>
      </w:r>
      <w:r>
        <w:rPr>
          <w:spacing w:val="-4"/>
        </w:rPr>
        <w:t> </w:t>
      </w:r>
      <w:r>
        <w:rPr/>
        <w:t>monetary</w:t>
      </w:r>
      <w:r>
        <w:rPr>
          <w:spacing w:val="-5"/>
        </w:rPr>
        <w:t> </w:t>
      </w:r>
      <w:r>
        <w:rPr/>
        <w:t>policy</w:t>
      </w:r>
      <w:r>
        <w:rPr>
          <w:spacing w:val="-4"/>
        </w:rPr>
        <w:t> </w:t>
      </w:r>
      <w:r>
        <w:rPr/>
        <w:t>area).</w:t>
      </w:r>
    </w:p>
    <w:p>
      <w:pPr>
        <w:pStyle w:val="BodyText"/>
        <w:spacing w:before="7"/>
        <w:rPr>
          <w:sz w:val="28"/>
        </w:rPr>
      </w:pPr>
    </w:p>
    <w:p>
      <w:pPr>
        <w:pStyle w:val="BodyText"/>
        <w:spacing w:line="350" w:lineRule="auto" w:before="1"/>
        <w:ind w:left="226"/>
      </w:pPr>
      <w:r>
        <w:rPr/>
        <w:t>Asset</w:t>
      </w:r>
      <w:r>
        <w:rPr>
          <w:spacing w:val="-8"/>
        </w:rPr>
        <w:t> </w:t>
      </w:r>
      <w:r>
        <w:rPr/>
        <w:t>prices</w:t>
      </w:r>
      <w:r>
        <w:rPr>
          <w:spacing w:val="-7"/>
        </w:rPr>
        <w:t> </w:t>
      </w:r>
      <w:r>
        <w:rPr/>
        <w:t>and</w:t>
      </w:r>
      <w:r>
        <w:rPr>
          <w:spacing w:val="-9"/>
        </w:rPr>
        <w:t> </w:t>
      </w:r>
      <w:r>
        <w:rPr/>
        <w:t>transactions</w:t>
      </w:r>
      <w:r>
        <w:rPr>
          <w:spacing w:val="-6"/>
        </w:rPr>
        <w:t> </w:t>
      </w:r>
      <w:r>
        <w:rPr/>
        <w:t>volumes</w:t>
      </w:r>
      <w:r>
        <w:rPr>
          <w:spacing w:val="-7"/>
        </w:rPr>
        <w:t> </w:t>
      </w:r>
      <w:r>
        <w:rPr/>
        <w:t>in</w:t>
      </w:r>
      <w:r>
        <w:rPr>
          <w:spacing w:val="-8"/>
        </w:rPr>
        <w:t> </w:t>
      </w:r>
      <w:r>
        <w:rPr/>
        <w:t>asset</w:t>
      </w:r>
      <w:r>
        <w:rPr>
          <w:spacing w:val="-8"/>
        </w:rPr>
        <w:t> </w:t>
      </w:r>
      <w:r>
        <w:rPr/>
        <w:t>markets</w:t>
      </w:r>
      <w:r>
        <w:rPr>
          <w:spacing w:val="-7"/>
        </w:rPr>
        <w:t> </w:t>
      </w:r>
      <w:r>
        <w:rPr/>
        <w:t>should</w:t>
      </w:r>
      <w:r>
        <w:rPr>
          <w:spacing w:val="-8"/>
        </w:rPr>
        <w:t> </w:t>
      </w:r>
      <w:r>
        <w:rPr/>
        <w:t>not</w:t>
      </w:r>
      <w:r>
        <w:rPr>
          <w:spacing w:val="-7"/>
        </w:rPr>
        <w:t> </w:t>
      </w:r>
      <w:r>
        <w:rPr/>
        <w:t>be</w:t>
      </w:r>
      <w:r>
        <w:rPr>
          <w:spacing w:val="-8"/>
        </w:rPr>
        <w:t> </w:t>
      </w:r>
      <w:r>
        <w:rPr/>
        <w:t>expected</w:t>
      </w:r>
      <w:r>
        <w:rPr>
          <w:spacing w:val="-7"/>
        </w:rPr>
        <w:t> </w:t>
      </w:r>
      <w:r>
        <w:rPr/>
        <w:t>to</w:t>
      </w:r>
      <w:r>
        <w:rPr>
          <w:spacing w:val="-8"/>
        </w:rPr>
        <w:t> </w:t>
      </w:r>
      <w:r>
        <w:rPr/>
        <w:t>be</w:t>
      </w:r>
      <w:r>
        <w:rPr>
          <w:spacing w:val="-8"/>
        </w:rPr>
        <w:t> </w:t>
      </w:r>
      <w:r>
        <w:rPr/>
        <w:t>constant</w:t>
      </w:r>
      <w:r>
        <w:rPr>
          <w:spacing w:val="-7"/>
        </w:rPr>
        <w:t> </w:t>
      </w:r>
      <w:r>
        <w:rPr/>
        <w:t>in</w:t>
      </w:r>
      <w:r>
        <w:rPr>
          <w:spacing w:val="-8"/>
        </w:rPr>
        <w:t> </w:t>
      </w:r>
      <w:r>
        <w:rPr/>
        <w:t>an</w:t>
      </w:r>
      <w:r>
        <w:rPr>
          <w:spacing w:val="-8"/>
        </w:rPr>
        <w:t> </w:t>
      </w:r>
      <w:r>
        <w:rPr/>
        <w:t>efficient market. But to believe that the very volatile outcomes we briefly reviewed above are consistent with an efficient allocation of resources is not plausible. It is very hard to believe that the volatility in housing market outcomes, and the rise in defaults on mortgages (figure 9), we have seen in recent years in many rich countries is anything other than</w:t>
      </w:r>
      <w:r>
        <w:rPr>
          <w:spacing w:val="-7"/>
        </w:rPr>
        <w:t> </w:t>
      </w:r>
      <w:r>
        <w:rPr/>
        <w:t>harmful.</w:t>
      </w:r>
    </w:p>
    <w:p>
      <w:pPr>
        <w:pStyle w:val="BodyText"/>
        <w:spacing w:before="1"/>
        <w:rPr>
          <w:sz w:val="28"/>
        </w:rPr>
      </w:pPr>
    </w:p>
    <w:p>
      <w:pPr>
        <w:pStyle w:val="BodyText"/>
        <w:spacing w:line="350" w:lineRule="auto"/>
        <w:ind w:left="226" w:right="514"/>
      </w:pPr>
      <w:r>
        <w:rPr/>
        <w:t>So how could the housing market become less volatile in a way which does not create substantial distortions? I want to consider two ways in which that might happen: through the use of monetary (and possibly macro-prudential) policy and as a result of house purchases being financed with some outside equity and less debt.</w:t>
      </w:r>
    </w:p>
    <w:p>
      <w:pPr>
        <w:pStyle w:val="BodyText"/>
        <w:spacing w:before="1"/>
        <w:rPr>
          <w:sz w:val="28"/>
        </w:rPr>
      </w:pPr>
    </w:p>
    <w:p>
      <w:pPr>
        <w:spacing w:before="0"/>
        <w:ind w:left="226" w:right="0" w:firstLine="0"/>
        <w:jc w:val="left"/>
        <w:rPr>
          <w:sz w:val="19"/>
        </w:rPr>
      </w:pPr>
      <w:r>
        <w:rPr>
          <w:b/>
          <w:sz w:val="19"/>
        </w:rPr>
        <w:t>Figure 9: </w:t>
      </w:r>
      <w:r>
        <w:rPr>
          <w:sz w:val="19"/>
        </w:rPr>
        <w:t>Mortgage arrears</w:t>
      </w:r>
    </w:p>
    <w:p>
      <w:pPr>
        <w:pStyle w:val="BodyText"/>
        <w:spacing w:before="39"/>
        <w:ind w:left="305"/>
        <w:rPr>
          <w:rFonts w:ascii="Calibri"/>
        </w:rPr>
      </w:pPr>
      <w:r>
        <w:rPr/>
        <w:pict>
          <v:group style="position:absolute;margin-left:105.300003pt;margin-top:7.995512pt;width:277.45pt;height:109.15pt;mso-position-horizontal-relative:page;mso-position-vertical-relative:paragraph;z-index:251698176" coordorigin="2106,160" coordsize="5549,2183">
            <v:line style="position:absolute" from="2165,166" to="2165,2343" stroked="true" strokeweight=".66pt" strokecolor="#868686">
              <v:stroke dashstyle="solid"/>
            </v:line>
            <v:shape style="position:absolute;left:2106;top:159;width:60;height:2130" coordorigin="2106,160" coordsize="60,2130" path="m2166,2277l2106,2277,2106,2290,2166,2290,2166,2277m2166,1974l2106,1974,2106,1988,2166,1988,2166,1974m2166,1672l2106,1672,2106,1685,2166,1685,2166,1672m2166,1368l2106,1368,2106,1383,2166,1383,2166,1368m2166,1066l2106,1066,2106,1080,2166,1080,2166,1066m2166,764l2106,764,2106,777,2166,777,2166,764m2166,461l2106,461,2106,474,2166,474,2166,461m2166,160l2106,160,2106,173,2166,173,2166,160e" filled="true" fillcolor="#868686" stroked="false">
              <v:path arrowok="t"/>
              <v:fill type="solid"/>
            </v:shape>
            <v:line style="position:absolute" from="2166,2283" to="7649,2283" stroked="true" strokeweight=".65999pt" strokecolor="#868686">
              <v:stroke dashstyle="solid"/>
            </v:line>
            <v:shape style="position:absolute;left:2467;top:2282;width:4948;height:60" coordorigin="2467,2283" coordsize="4948,60" path="m2480,2283l2467,2283,2467,2343,2480,2343,2480,2283m2789,2283l2776,2283,2776,2343,2789,2343,2789,2283m3098,2283l3084,2283,3084,2343,3098,2343,3098,2283m3407,2283l3392,2283,3392,2343,3407,2343,3407,2283m3714,2283l3701,2283,3701,2343,3714,2343,3714,2283m4022,2283l4009,2283,4009,2343,4022,2343,4022,2283m4331,2283l4318,2283,4318,2343,4331,2343,4331,2283m4640,2283l4627,2283,4627,2343,4640,2343,4640,2283m4949,2283l4934,2283,4934,2343,4949,2343,4949,2283m5257,2283l5243,2283,5243,2343,5257,2343,5257,2283m5564,2283l5551,2283,5551,2343,5564,2343,5564,2283m5873,2283l5860,2283,5860,2343,5873,2343,5873,2283m6181,2283l6168,2283,6168,2343,6181,2343,6181,2283m6491,2283l6478,2283,6478,2343,6491,2343,6491,2283m6799,2283l6785,2283,6785,2343,6799,2343,6799,2283m7108,2283l7093,2283,7093,2343,7108,2343,7108,2283m7415,2283l7402,2283,7402,2343,7415,2343,7415,2283e" filled="true" fillcolor="#868686" stroked="false">
              <v:path arrowok="t"/>
              <v:fill type="solid"/>
            </v:shape>
            <v:shape style="position:absolute;left:6066;top:338;width:1589;height:1468" coordorigin="6066,339" coordsize="1589,1468" path="m6183,1719l6071,1769,6066,1781,6071,1792,6076,1802,6088,1806,6098,1803,6202,1757,6203,1757,6205,1755,6253,1721,6180,1721,6183,1719xm6184,1719l6183,1719,6180,1721,6184,1719xm6256,1719l6184,1719,6180,1721,6253,1721,6256,1719xm7631,339l7620,345,7518,405,7415,461,7312,526,7309,527,7308,530,7306,531,7205,666,7100,772,6998,906,6895,1040,6793,1185,6691,1310,6590,1412,6488,1491,6385,1569,6283,1649,6183,1719,6184,1719,6256,1719,6307,1683,6410,1602,6514,1524,6617,1444,6721,1340,6826,1211,6929,1064,7031,933,7134,798,7235,696,7336,561,7333,561,7339,556,7341,556,7436,497,7538,441,7642,381,7651,375,7655,363,7649,352,7643,342,7631,339xm7339,556l7333,561,7338,558,7339,556xm7338,558l7333,561,7336,561,7338,558xm7341,556l7339,556,7338,558,7341,556xe" filled="true" fillcolor="#416fa6" stroked="false">
              <v:path arrowok="t"/>
              <v:fill type="solid"/>
            </v:shape>
            <v:shape style="position:absolute;left:3394;top:917;width:4260;height:1258" coordorigin="3395,917" coordsize="4260,1258" path="m4795,2163l4548,2163,4650,2165,4751,2175,4757,2175,4759,2174,4795,2163xm4869,2140l4135,2140,4236,2152,4338,2171,4340,2172,4343,2172,4446,2166,4548,2163,4795,2163,4862,2142,4869,2140xm3407,2079l3397,2087,3396,2099,3395,2110,3403,2120,3517,2132,3620,2139,3724,2144,3826,2152,3930,2153,4036,2140,4869,2140,4885,2134,4747,2134,4752,2132,4730,2130,4342,2130,4345,2130,4247,2111,3930,2111,3829,2110,3726,2102,3623,2097,3521,2090,3407,2079xm4752,2132l4747,2134,4756,2133,4752,2132xm5155,1998l5054,2027,4951,2066,4849,2102,4752,2132,4756,2133,4747,2134,4885,2134,4966,2104,5069,2067,5170,2037,5172,2037,5174,2036,5176,2034,5225,2000,5153,2000,5155,1998xm4345,2130l4342,2130,4346,2130,4345,2130xm4547,2121l4444,2124,4345,2130,4346,2130,4730,2130,4651,2123,4547,2121xm4135,2099l4031,2099,3930,2111,4247,2111,4241,2110,4135,2099xm5158,1997l5155,1998,5153,2000,5158,1997xm5229,1997l5158,1997,5153,2000,5225,2000,5229,1997xm5255,1929l5155,1998,5158,1997,5229,1997,5279,1962,5280,1962,5282,1960,5310,1931,5252,1931,5255,1929xm5255,1929l5255,1929,5252,1931,5255,1929xm5313,1929l5255,1929,5252,1931,5310,1931,5313,1929xm5404,1826l5354,1826,5255,1929,5255,1929,5313,1929,5384,1854,5387,1852,5387,1851,5404,1826xm5565,1636l5466,1667,5461,1668,5458,1672,5455,1676,5352,1828,5354,1826,5404,1826,5484,1707,5479,1707,5490,1698,5506,1698,5581,1674,5588,1671,5627,1638,5562,1638,5565,1636xm5490,1698l5479,1707,5486,1705,5490,1698xm5486,1705l5479,1707,5484,1707,5486,1705xm5506,1698l5490,1698,5486,1705,5506,1698xm5569,1635l5565,1636,5562,1638,5569,1635xm5631,1635l5569,1635,5562,1638,5627,1638,5631,1635xm5662,1553l5565,1636,5569,1635,5631,1635,5692,1583,5693,1583,5693,1582,5694,1581,5715,1554,5662,1554,5662,1553xm7517,1492l7620,1554,7630,1560,7643,1557,7649,1547,7655,1536,7651,1524,7642,1518,7600,1493,7522,1493,7517,1492xm5664,1552l5662,1553,5662,1554,5664,1552xm5717,1552l5664,1552,5662,1554,5715,1554,5717,1552xm5762,1427l5662,1553,5664,1552,5717,1552,5797,1451,5798,1450,5798,1449,5800,1446,5808,1428,5761,1428,5762,1427xm7108,1293l7211,1344,7312,1409,7417,1458,7522,1493,7600,1493,7538,1456,7537,1455,7536,1455,7535,1454,7434,1420,7334,1374,7229,1307,7203,1294,7111,1294,7108,1293xm5764,1425l5762,1427,5761,1428,5764,1425xm5810,1425l5764,1425,5761,1428,5808,1428,5810,1425xm6080,1030l5980,1065,5976,1066,5972,1068,5970,1072,5867,1217,5866,1217,5866,1218,5864,1220,5762,1427,5764,1425,5810,1425,5902,1238,5903,1238,5998,1104,5994,1104,6004,1097,6015,1097,6097,1068,6102,1066,6103,1064,6140,1032,6077,1032,6080,1030xm7108,1293l7108,1293,7111,1294,7108,1293xm7200,1293l7108,1293,7111,1294,7203,1294,7200,1293xm7139,1262l7016,1262,7010,1262,7108,1293,7108,1293,7200,1293,7139,1262xm6699,1176l6796,1254,6799,1257,6806,1259,6910,1271,6913,1271,7010,1262,7008,1262,7139,1262,7127,1256,7126,1254,7123,1254,7044,1229,6910,1229,6912,1229,6852,1222,6822,1222,6811,1217,6816,1217,6765,1176,6702,1176,6699,1176xm7016,1262l7008,1262,7010,1262,7016,1262xm5903,1238l5902,1238,5900,1241,5903,1238xm6912,1229l6910,1229,6914,1229,6912,1229xm7018,1221l7013,1221,6912,1229,6914,1229,7044,1229,7021,1222,7018,1221xm6811,1217l6822,1222,6817,1218,6811,1217xm6817,1218l6822,1222,6852,1222,6817,1218xm6816,1217l6811,1217,6817,1218,6816,1217xm6694,1172l6699,1176,6702,1176,6694,1172xm6759,1172l6694,1172,6702,1176,6765,1176,6759,1172xm6351,956l6282,956,6300,959,6290,961,6385,1035,6488,1116,6490,1118,6494,1120,6598,1152,6699,1176,6694,1172,6759,1172,6719,1139,6716,1137,6714,1136,6710,1136,6610,1113,6519,1084,6514,1084,6508,1080,6509,1080,6351,956xm6004,1097l5994,1104,6000,1102,6004,1097xm6000,1102l5994,1104,5998,1104,6000,1102xm6015,1097l6004,1097,6000,1102,6015,1097xm6508,1080l6514,1084,6510,1081,6508,1080xm6510,1081l6514,1084,6519,1084,6510,1081xm6509,1080l6508,1080,6510,1081,6509,1080xm6083,1029l6080,1030,6077,1032,6083,1029xm6144,1029l6083,1029,6077,1032,6140,1032,6144,1029xm6298,917l6188,940,6185,940,6181,942,6179,945,6080,1030,6083,1029,6144,1029,6201,981,6197,981,6206,976,6220,976,6290,961,6282,956,6351,956,6308,922,6304,918,6298,917xm6206,976l6197,981,6202,980,6206,976xm6202,980l6197,981,6201,981,6202,980xm6220,976l6206,976,6202,980,6220,976xm6282,956l6290,961,6300,959,6282,956xe" filled="true" fillcolor="#a8423f" stroked="false">
              <v:path arrowok="t"/>
              <v:fill type="solid"/>
            </v:shape>
            <v:shape style="position:absolute;left:2166;top:1868;width:5488;height:299" coordorigin="2166,1869" coordsize="5488,299" path="m4345,2153l3516,2153,3619,2168,4238,2168,4345,2153xm3102,2106l3205,2138,3208,2138,3311,2153,5374,2153,5376,2152,5461,2127,4087,2127,4009,2126,3625,2126,3522,2111,3317,2111,3291,2108,3108,2108,3102,2106xm5368,2111l4339,2111,4261,2122,4176,2127,4087,2127,5461,2127,5478,2122,5476,2122,5544,2112,5364,2112,5368,2111xm3910,2124l3828,2126,4009,2126,3910,2124xm5752,2037l5672,2037,5569,2067,5572,2067,5470,2081,5466,2081,5364,2112,5370,2111,5552,2111,5578,2108,5580,2108,5581,2106,5683,2076,5686,2076,5688,2074,5752,2037xm5552,2111l5370,2111,5364,2112,5544,2112,5552,2111xm2174,2020l2166,2026,2166,2058,2168,2061,2179,2062,2282,2078,2491,2078,2592,2092,2797,2092,2899,2108,3106,2108,3102,2106,3282,2106,3214,2097,3217,2097,3114,2067,2906,2067,2803,2050,2598,2050,2491,2036,2288,2036,2185,2021,2174,2020xm3282,2106l3102,2106,3108,2108,3291,2108,3282,2106xm3110,2066l2903,2066,2906,2067,3113,2067,3110,2066xm5987,1869l5984,1870,5982,1870,5878,1900,5875,1900,5873,1901,5870,1904,5770,1978,5668,2038,5672,2037,5752,2037,5791,2014,5892,1940,5888,1940,5896,1937,5897,1937,5990,1912,5984,1911,6275,1911,6196,1899,5990,1870,5987,1869xm6275,1911l5993,1911,5990,1912,6086,1926,6190,1941,6292,1956,6395,1971,6600,1971,6703,1986,6908,1986,7012,2002,7115,2002,7217,2016,7525,2016,7627,2032,7639,2033,7650,2026,7651,2014,7654,2003,7645,1992,7634,1991,7531,1974,7223,1974,7120,1960,7018,1960,6914,1946,6709,1946,6607,1930,6401,1930,6275,1911xm6908,1986l6704,1986,6706,1988,6912,1988,6908,1986xm5896,1937l5888,1940,5895,1938,5896,1937xm5895,1938l5888,1940,5892,1940,5895,1938xm5897,1937l5896,1937,5895,1938,5897,1937xm5993,1911l5984,1911,5990,1912,5993,1911xe" filled="true" fillcolor="#86a44a" stroked="false">
              <v:path arrowok="t"/>
              <v:fill type="solid"/>
            </v:shape>
            <v:shape style="position:absolute;left:2166;top:2193;width:5486;height:70" coordorigin="2166,2194" coordsize="5486,70" path="m7651,2252l6629,2252,6860,2253,7528,2264,7643,2264,7651,2254,7651,2252xm7651,2248l5717,2248,5954,2249,6192,2253,6295,2254,7651,2252,7651,2248xm7651,2235l4437,2235,4595,2236,4855,2241,4958,2244,5480,2248,7651,2248,7651,2235xm2172,2195l2166,2201,2166,2232,2171,2237,2182,2237,2285,2240,2388,2241,2490,2246,3282,2237,4143,2237,7651,2235,7651,2231,7643,2222,7529,2222,7322,2217,7220,2217,7118,2214,7084,2213,6810,2213,6758,2212,6295,2212,5897,2206,5378,2206,5141,2205,5062,2204,2491,2204,2388,2199,2183,2196,2172,2195xm4143,2237l3361,2237,3622,2240,3725,2242,4143,2237xm7014,2211l6911,2211,6810,2213,7084,2213,7014,2211xm6604,2210l6500,2210,6295,2212,6758,2212,6707,2211,6604,2210xm5694,2206l5378,2206,5897,2206,5694,2206xm3339,2196l2491,2204,5062,2204,4960,2202,4862,2199,3780,2199,3416,2196,3339,2196xm4414,2194l3780,2199,4862,2199,4856,2199,4753,2196,4651,2196,4493,2194,4414,2194xe" filled="true" fillcolor="#6e548d" stroked="false">
              <v:path arrowok="t"/>
              <v:fill type="solid"/>
            </v:shape>
            <v:shape style="position:absolute;left:4318;top:1943;width:2924;height:149" coordorigin="4319,1943" coordsize="2924,149" path="m4336,1943l4325,1950,4322,1961,4319,1972,4326,1984,4337,1986,4398,2002,4542,2038,4645,2066,4748,2091,4751,2092,4757,2092,4860,2074,4981,2051,4758,2051,4750,2050,4752,2050,4565,2001,4400,1959,4348,1946,4336,1943xm7188,2032l6810,2032,6808,2032,6910,2043,7012,2055,7115,2066,7229,2079,7240,2070,7241,2058,7242,2048,7234,2037,7188,2032xm6269,2001l5806,2001,5884,2002,5984,2002,6190,2032,6293,2046,6395,2062,6396,2063,6398,2063,6400,2062,6503,2055,6605,2046,6808,2032,6806,2032,7188,2032,7120,2025,7089,2021,6396,2021,6399,2021,6299,2006,6269,2001xm4752,2050l4750,2050,4758,2051,4752,2050xm5805,1959l5728,1959,5574,1961,5164,1974,5160,1974,4853,2032,4752,2050,4758,2051,4981,2051,5168,2016,5165,2016,5499,2005,5652,2002,6269,2001,6196,1991,6092,1974,5990,1960,5884,1960,5805,1959xm6810,2032l6806,2032,6808,2032,6810,2032xm6399,2021l6396,2021,6401,2021,6399,2021xm6811,1990l6808,1990,6704,1997,6602,2006,6499,2013,6399,2021,6401,2021,7089,2021,7016,2013,6914,2002,6811,1990xe" filled="true" fillcolor="#3d96ae" stroked="false">
              <v:path arrowok="t"/>
              <v:fill type="solid"/>
            </v:shape>
            <v:shape style="position:absolute;left:4321;top:1425;width:3334;height:819" coordorigin="4321,1426" coordsize="3334,819" path="m4856,2240l4445,2240,4547,2244,4651,2243,4779,2243,4856,2240xm4779,2243l4651,2243,4753,2244,4779,2243xm4445,2198l4342,2199,4331,2199,4321,2208,4321,2232,4331,2241,4343,2241,4445,2240,4856,2240,4958,2238,5166,2224,5270,2205,5291,2202,4549,2202,4445,2198xm4650,2201l4549,2202,4753,2202,4650,2201xm5363,2151l5263,2164,5162,2182,4958,2196,4855,2198,4753,2202,5291,2202,5372,2193,5374,2192,5377,2192,5477,2152,5362,2152,5363,2151xm5368,2151l5363,2151,5362,2152,5368,2151xm5480,2151l5368,2151,5362,2152,5477,2152,5480,2151xm5563,2066l5465,2111,5363,2151,5368,2151,5480,2151,5584,2103,5585,2102,5586,2102,5587,2100,5632,2067,5562,2067,5563,2066xm5567,2064l5563,2066,5562,2067,5567,2064xm5635,2064l5567,2064,5562,2067,5632,2067,5635,2064xm6092,1803l6090,1803,5987,1805,5983,1805,5982,1806,5879,1830,5875,1832,5870,1834,5767,1910,5665,1989,5563,2066,5567,2064,5635,2064,5690,2022,5794,1943,5891,1871,5888,1871,5896,1868,5903,1868,5992,1846,6039,1846,6086,1845,6085,1845,6337,1845,6298,1838,6197,1824,6094,1804,6092,1803xm6840,1894l6502,1894,6497,1894,6599,1916,6605,1916,6708,1910,6810,1902,6814,1902,6815,1901,6840,1894xm6337,1845l6090,1845,6086,1845,6188,1865,6293,1878,6395,1898,6398,1898,6497,1894,6497,1894,6840,1894,6906,1875,6608,1875,6602,1874,6603,1873,6522,1857,6402,1857,6337,1845xm6502,1894l6497,1894,6497,1894,6502,1894xm6603,1873l6602,1874,6608,1875,6603,1873xm6807,1860l6704,1868,6603,1873,6608,1875,6906,1875,6918,1871,6945,1862,6803,1862,6807,1860xm5896,1868l5888,1871,5892,1870,5896,1868xm5892,1870l5888,1871,5891,1871,5892,1870xm5903,1868l5896,1868,5892,1870,5903,1868xm6808,1860l6807,1860,6803,1862,6808,1860xm6948,1860l6808,1860,6803,1862,6945,1862,6948,1860xm7108,1764l7008,1796,6906,1830,6807,1860,6808,1860,6948,1860,7021,1834,7123,1803,7126,1803,7127,1802,7202,1764,7108,1764,7108,1764xm6505,1853l6500,1853,6397,1856,6402,1857,6522,1857,6505,1853xm6039,1846l5992,1846,5988,1847,6039,1846xm6090,1845l6085,1845,6086,1845,6090,1845xm7111,1763l7108,1764,7108,1764,7111,1763xm7205,1763l7111,1763,7108,1764,7202,1764,7205,1763xm7516,1567l7416,1608,7313,1658,7211,1714,7108,1764,7111,1763,7205,1763,7229,1751,7333,1695,7434,1647,7536,1604,7540,1602,7544,1598,7564,1572,7512,1572,7516,1567xm7520,1565l7516,1567,7512,1572,7520,1565xm7569,1565l7520,1565,7512,1572,7564,1572,7569,1565xm7634,1426l7621,1427,7516,1567,7520,1565,7569,1565,7648,1462,7655,1452,7652,1439,7644,1432,7634,1426xe" filled="true" fillcolor="#da8137" stroked="false">
              <v:path arrowok="t"/>
              <v:fill type="solid"/>
            </v:shape>
            <v:shape style="position:absolute;left:3906;top:1427;width:3336;height:410" coordorigin="3906,1427" coordsize="3336,410" path="m6392,1668l6595,1751,6698,1792,6802,1834,6809,1836,6812,1835,6914,1820,7018,1805,7081,1796,6817,1796,6806,1794,6812,1793,6509,1670,6506,1668,6397,1668,6392,1668xm6812,1793l6806,1794,6817,1796,6812,1793xm7229,1732l7217,1733,7114,1748,6812,1793,6817,1796,7081,1796,7223,1774,7235,1773,7242,1762,7241,1751,7238,1739,7229,1732xm6390,1667l6392,1668,6397,1668,6390,1667xm6503,1667l6390,1667,6397,1668,6506,1668,6503,1667xm6432,1639l5849,1639,5934,1639,6019,1641,6104,1646,6191,1654,6294,1662,6392,1668,6390,1667,6503,1667,6432,1639xm3928,1427l3916,1432,3906,1454,3911,1466,4304,1640,4334,1653,4338,1654,4345,1654,4448,1640,4550,1623,4611,1614,4350,1614,4339,1612,4343,1611,3928,1427xm5517,1590l5044,1590,5129,1593,5215,1599,5300,1607,5470,1626,5573,1640,5764,1640,6432,1639,6406,1629,6404,1628,6402,1628,6400,1626,6296,1620,6106,1604,6020,1600,5936,1598,5578,1598,5517,1590xm4343,1611l4339,1612,4350,1614,4343,1611xm5164,1551l4751,1551,4750,1552,4648,1568,4544,1582,4442,1598,4343,1611,4350,1614,4611,1614,4654,1608,4757,1593,4958,1593,5044,1590,5517,1590,5372,1574,5164,1551xm5851,1597l5677,1598,5908,1598,5851,1597xe" filled="true" fillcolor="#8ea5cb" stroked="false">
              <v:path arrowok="t"/>
              <v:fill type="solid"/>
            </v:shape>
            <v:line style="position:absolute" from="2423,373" to="2826,373" stroked="true" strokeweight="2.1pt" strokecolor="#416fa6">
              <v:stroke dashstyle="solid"/>
            </v:line>
            <v:line style="position:absolute" from="3694,373" to="4096,373" stroked="true" strokeweight="2.1pt" strokecolor="#a8423f">
              <v:stroke dashstyle="solid"/>
            </v:line>
            <v:line style="position:absolute" from="4963,373" to="5366,373" stroked="true" strokeweight="2.1pt" strokecolor="#86a44a">
              <v:stroke dashstyle="solid"/>
            </v:line>
            <v:line style="position:absolute" from="2423,651" to="2826,651" stroked="true" strokeweight="2.1pt" strokecolor="#6e548d">
              <v:stroke dashstyle="solid"/>
            </v:line>
            <v:line style="position:absolute" from="3694,651" to="4096,651" stroked="true" strokeweight="2.1pt" strokecolor="#3d96ae">
              <v:stroke dashstyle="solid"/>
            </v:line>
            <v:line style="position:absolute" from="4963,651" to="5366,651" stroked="true" strokeweight="2.1pt" strokecolor="#da8137">
              <v:stroke dashstyle="solid"/>
            </v:line>
            <v:line style="position:absolute" from="2423,931" to="2826,931" stroked="true" strokeweight="2.1pt" strokecolor="#8ea5cb">
              <v:stroke dashstyle="solid"/>
            </v:line>
            <v:shape style="position:absolute;left:2844;top:284;width:590;height:748" type="#_x0000_t202" filled="false" stroked="false">
              <v:textbox inset="0,0,0,0">
                <w:txbxContent>
                  <w:p>
                    <w:pPr>
                      <w:spacing w:line="192" w:lineRule="exact" w:before="0"/>
                      <w:ind w:left="0" w:right="0" w:firstLine="0"/>
                      <w:jc w:val="left"/>
                      <w:rPr>
                        <w:rFonts w:ascii="Calibri"/>
                        <w:sz w:val="19"/>
                      </w:rPr>
                    </w:pPr>
                    <w:r>
                      <w:rPr>
                        <w:rFonts w:ascii="Calibri"/>
                        <w:sz w:val="19"/>
                      </w:rPr>
                      <w:t>Ireland</w:t>
                    </w:r>
                  </w:p>
                  <w:p>
                    <w:pPr>
                      <w:spacing w:line="280" w:lineRule="atLeast" w:before="0"/>
                      <w:ind w:left="0" w:right="2" w:firstLine="0"/>
                      <w:jc w:val="left"/>
                      <w:rPr>
                        <w:rFonts w:ascii="Calibri"/>
                        <w:sz w:val="19"/>
                      </w:rPr>
                    </w:pPr>
                    <w:r>
                      <w:rPr>
                        <w:rFonts w:ascii="Calibri"/>
                        <w:spacing w:val="-1"/>
                        <w:sz w:val="19"/>
                      </w:rPr>
                      <w:t>Canada </w:t>
                    </w:r>
                    <w:r>
                      <w:rPr>
                        <w:rFonts w:ascii="Calibri"/>
                        <w:sz w:val="19"/>
                      </w:rPr>
                      <w:t>France</w:t>
                    </w:r>
                  </w:p>
                </w:txbxContent>
              </v:textbox>
              <w10:wrap type="none"/>
            </v:shape>
            <v:shape style="position:absolute;left:4113;top:284;width:724;height:469" type="#_x0000_t202" filled="false" stroked="false">
              <v:textbox inset="0,0,0,0">
                <w:txbxContent>
                  <w:p>
                    <w:pPr>
                      <w:spacing w:line="192" w:lineRule="exact" w:before="0"/>
                      <w:ind w:left="0" w:right="0" w:firstLine="0"/>
                      <w:jc w:val="left"/>
                      <w:rPr>
                        <w:rFonts w:ascii="Calibri"/>
                        <w:sz w:val="19"/>
                      </w:rPr>
                    </w:pPr>
                    <w:r>
                      <w:rPr>
                        <w:rFonts w:ascii="Calibri"/>
                        <w:sz w:val="19"/>
                      </w:rPr>
                      <w:t>US</w:t>
                    </w:r>
                  </w:p>
                  <w:p>
                    <w:pPr>
                      <w:spacing w:line="228" w:lineRule="exact" w:before="47"/>
                      <w:ind w:left="0" w:right="0" w:firstLine="0"/>
                      <w:jc w:val="left"/>
                      <w:rPr>
                        <w:rFonts w:ascii="Calibri"/>
                        <w:sz w:val="19"/>
                      </w:rPr>
                    </w:pPr>
                    <w:r>
                      <w:rPr>
                        <w:rFonts w:ascii="Calibri"/>
                        <w:sz w:val="19"/>
                      </w:rPr>
                      <w:t>Germany</w:t>
                    </w:r>
                  </w:p>
                </w:txbxContent>
              </v:textbox>
              <w10:wrap type="none"/>
            </v:shape>
            <v:shape style="position:absolute;left:5383;top:284;width:437;height:469" type="#_x0000_t202" filled="false" stroked="false">
              <v:textbox inset="0,0,0,0">
                <w:txbxContent>
                  <w:p>
                    <w:pPr>
                      <w:spacing w:line="192" w:lineRule="exact" w:before="0"/>
                      <w:ind w:left="0" w:right="0" w:firstLine="0"/>
                      <w:jc w:val="left"/>
                      <w:rPr>
                        <w:rFonts w:ascii="Calibri"/>
                        <w:sz w:val="19"/>
                      </w:rPr>
                    </w:pPr>
                    <w:r>
                      <w:rPr>
                        <w:rFonts w:ascii="Calibri"/>
                        <w:sz w:val="19"/>
                      </w:rPr>
                      <w:t>UK</w:t>
                    </w:r>
                  </w:p>
                  <w:p>
                    <w:pPr>
                      <w:spacing w:line="228" w:lineRule="exact" w:before="47"/>
                      <w:ind w:left="0" w:right="0" w:firstLine="0"/>
                      <w:jc w:val="left"/>
                      <w:rPr>
                        <w:rFonts w:ascii="Calibri"/>
                        <w:sz w:val="19"/>
                      </w:rPr>
                    </w:pPr>
                    <w:r>
                      <w:rPr>
                        <w:rFonts w:ascii="Calibri"/>
                        <w:sz w:val="19"/>
                      </w:rPr>
                      <w:t>Spain</w:t>
                    </w:r>
                  </w:p>
                </w:txbxContent>
              </v:textbox>
              <w10:wrap type="none"/>
            </v:shape>
            <w10:wrap type="none"/>
          </v:group>
        </w:pict>
      </w:r>
      <w:r>
        <w:rPr>
          <w:rFonts w:ascii="Calibri"/>
        </w:rPr>
        <w:t>14%</w:t>
      </w:r>
    </w:p>
    <w:p>
      <w:pPr>
        <w:pStyle w:val="BodyText"/>
        <w:spacing w:before="71"/>
        <w:ind w:left="305"/>
        <w:rPr>
          <w:rFonts w:ascii="Calibri"/>
        </w:rPr>
      </w:pPr>
      <w:r>
        <w:rPr>
          <w:rFonts w:ascii="Calibri"/>
        </w:rPr>
        <w:t>12%</w:t>
      </w:r>
    </w:p>
    <w:p>
      <w:pPr>
        <w:pStyle w:val="BodyText"/>
        <w:spacing w:before="70"/>
        <w:ind w:left="305"/>
        <w:rPr>
          <w:rFonts w:ascii="Calibri"/>
        </w:rPr>
      </w:pPr>
      <w:r>
        <w:rPr>
          <w:rFonts w:ascii="Calibri"/>
        </w:rPr>
        <w:t>10%</w:t>
      </w:r>
    </w:p>
    <w:p>
      <w:pPr>
        <w:pStyle w:val="BodyText"/>
        <w:spacing w:before="71"/>
        <w:ind w:left="401"/>
        <w:rPr>
          <w:rFonts w:ascii="Calibri"/>
        </w:rPr>
      </w:pPr>
      <w:r>
        <w:rPr>
          <w:rFonts w:ascii="Calibri"/>
        </w:rPr>
        <w:t>8%</w:t>
      </w:r>
    </w:p>
    <w:p>
      <w:pPr>
        <w:pStyle w:val="BodyText"/>
        <w:spacing w:before="71"/>
        <w:ind w:left="401"/>
        <w:rPr>
          <w:rFonts w:ascii="Calibri"/>
        </w:rPr>
      </w:pPr>
      <w:r>
        <w:rPr>
          <w:rFonts w:ascii="Calibri"/>
        </w:rPr>
        <w:t>6%</w:t>
      </w:r>
    </w:p>
    <w:p>
      <w:pPr>
        <w:pStyle w:val="BodyText"/>
        <w:spacing w:before="71"/>
        <w:ind w:left="401"/>
        <w:rPr>
          <w:rFonts w:ascii="Calibri"/>
        </w:rPr>
      </w:pPr>
      <w:r>
        <w:rPr>
          <w:rFonts w:ascii="Calibri"/>
        </w:rPr>
        <w:t>4%</w:t>
      </w:r>
    </w:p>
    <w:p>
      <w:pPr>
        <w:pStyle w:val="BodyText"/>
        <w:spacing w:before="70"/>
        <w:ind w:left="401"/>
        <w:rPr>
          <w:rFonts w:ascii="Calibri"/>
        </w:rPr>
      </w:pPr>
      <w:r>
        <w:rPr>
          <w:rFonts w:ascii="Calibri"/>
        </w:rPr>
        <w:t>2%</w:t>
      </w:r>
    </w:p>
    <w:p>
      <w:pPr>
        <w:pStyle w:val="BodyText"/>
        <w:spacing w:before="71"/>
        <w:ind w:left="401"/>
        <w:rPr>
          <w:rFonts w:ascii="Calibri"/>
        </w:rPr>
      </w:pPr>
      <w:r>
        <w:rPr/>
        <w:pict>
          <v:shape style="position:absolute;margin-left:104.309753pt;margin-top:14.772933pt;width:273.6pt;height:30.35pt;mso-position-horizontal-relative:page;mso-position-vertical-relative:paragraph;z-index:251699200" type="#_x0000_t202" filled="false" stroked="false">
            <v:textbox inset="0,0,0,0" style="layout-flow:vertical;mso-layout-flow-alt:bottom-to-top">
              <w:txbxContent>
                <w:p>
                  <w:pPr>
                    <w:pStyle w:val="BodyText"/>
                    <w:spacing w:line="212" w:lineRule="exact"/>
                    <w:ind w:left="20"/>
                    <w:rPr>
                      <w:rFonts w:ascii="Calibri" w:hAnsi="Calibri"/>
                    </w:rPr>
                  </w:pPr>
                  <w:r>
                    <w:rPr>
                      <w:rFonts w:ascii="Calibri" w:hAnsi="Calibri"/>
                    </w:rPr>
                    <w:t>Mar‐00</w:t>
                  </w:r>
                </w:p>
                <w:p>
                  <w:pPr>
                    <w:pStyle w:val="BodyText"/>
                    <w:spacing w:line="310" w:lineRule="atLeast"/>
                    <w:ind w:left="20" w:right="18" w:firstLine="27"/>
                    <w:jc w:val="both"/>
                    <w:rPr>
                      <w:rFonts w:ascii="Calibri" w:hAnsi="Calibri"/>
                    </w:rPr>
                  </w:pPr>
                  <w:r>
                    <w:rPr>
                      <w:rFonts w:ascii="Calibri" w:hAnsi="Calibri"/>
                      <w:w w:val="95"/>
                    </w:rPr>
                    <w:t>Dec‐00 </w:t>
                  </w:r>
                  <w:r>
                    <w:rPr>
                      <w:rFonts w:ascii="Calibri" w:hAnsi="Calibri"/>
                    </w:rPr>
                    <w:t>Sep‐01 Jun‐02 </w:t>
                  </w:r>
                  <w:r>
                    <w:rPr>
                      <w:rFonts w:ascii="Calibri" w:hAnsi="Calibri"/>
                      <w:w w:val="95"/>
                    </w:rPr>
                    <w:t>Mar‐03 </w:t>
                  </w:r>
                  <w:r>
                    <w:rPr>
                      <w:rFonts w:ascii="Calibri" w:hAnsi="Calibri"/>
                    </w:rPr>
                    <w:t>Dec‐03 Sep‐04 Jun‐05 </w:t>
                  </w:r>
                  <w:r>
                    <w:rPr>
                      <w:rFonts w:ascii="Calibri" w:hAnsi="Calibri"/>
                      <w:w w:val="95"/>
                    </w:rPr>
                    <w:t>Mar‐06 </w:t>
                  </w:r>
                  <w:r>
                    <w:rPr>
                      <w:rFonts w:ascii="Calibri" w:hAnsi="Calibri"/>
                    </w:rPr>
                    <w:t>Dec‐06 Sep‐07 Jun‐08 </w:t>
                  </w:r>
                  <w:r>
                    <w:rPr>
                      <w:rFonts w:ascii="Calibri" w:hAnsi="Calibri"/>
                      <w:w w:val="95"/>
                    </w:rPr>
                    <w:t>Mar‐09 </w:t>
                  </w:r>
                  <w:r>
                    <w:rPr>
                      <w:rFonts w:ascii="Calibri" w:hAnsi="Calibri"/>
                    </w:rPr>
                    <w:t>Dec‐09 Sep‐10 Jun‐11 </w:t>
                  </w:r>
                  <w:r>
                    <w:rPr>
                      <w:rFonts w:ascii="Calibri" w:hAnsi="Calibri"/>
                      <w:w w:val="95"/>
                    </w:rPr>
                    <w:t>Mar‐12 </w:t>
                  </w:r>
                  <w:r>
                    <w:rPr>
                      <w:rFonts w:ascii="Calibri" w:hAnsi="Calibri"/>
                    </w:rPr>
                    <w:t>Dec‐12</w:t>
                  </w:r>
                </w:p>
              </w:txbxContent>
            </v:textbox>
            <w10:wrap type="none"/>
          </v:shape>
        </w:pict>
      </w:r>
      <w:r>
        <w:rPr>
          <w:rFonts w:ascii="Calibri"/>
        </w:rPr>
        <w:t>0%</w:t>
      </w:r>
    </w:p>
    <w:p>
      <w:pPr>
        <w:pStyle w:val="BodyText"/>
        <w:rPr>
          <w:rFonts w:ascii="Calibri"/>
          <w:sz w:val="20"/>
        </w:rPr>
      </w:pPr>
    </w:p>
    <w:p>
      <w:pPr>
        <w:pStyle w:val="BodyText"/>
        <w:rPr>
          <w:rFonts w:ascii="Calibri"/>
          <w:sz w:val="20"/>
        </w:rPr>
      </w:pPr>
    </w:p>
    <w:p>
      <w:pPr>
        <w:pStyle w:val="BodyText"/>
        <w:spacing w:before="4"/>
        <w:rPr>
          <w:rFonts w:ascii="Calibri"/>
          <w:sz w:val="18"/>
        </w:rPr>
      </w:pPr>
    </w:p>
    <w:p>
      <w:pPr>
        <w:spacing w:before="95"/>
        <w:ind w:left="226" w:right="0" w:firstLine="0"/>
        <w:jc w:val="left"/>
        <w:rPr>
          <w:sz w:val="15"/>
        </w:rPr>
      </w:pPr>
      <w:r>
        <w:rPr>
          <w:sz w:val="15"/>
        </w:rPr>
        <w:t>Sources: Bank of Ireland, Bank of Spain, Canadian Bankers' Association, CML, Eurostat, Federal Reserve Bank of New York.</w:t>
      </w:r>
    </w:p>
    <w:p>
      <w:pPr>
        <w:spacing w:before="1"/>
        <w:ind w:left="226" w:right="152" w:firstLine="0"/>
        <w:jc w:val="left"/>
        <w:rPr>
          <w:sz w:val="15"/>
        </w:rPr>
      </w:pPr>
      <w:r>
        <w:rPr>
          <w:sz w:val="15"/>
        </w:rPr>
        <w:t>Note: Data for Canada, Ireland, Spain and the UK are the number of mortgages in arrears for more than 3 months as a proportion of total mortgage accounts. Data for the US are the proportion of mortgage balance 90+ days delinquent. Data for France and Germany are the proportion of population who are in arrears on both mortgages and rent. Underlying data for Canada are monthly; the chart plots end-quarter figures. Data for France and Germany are annual. The rest of the data is quarterly.</w:t>
      </w:r>
    </w:p>
    <w:p>
      <w:pPr>
        <w:spacing w:after="0"/>
        <w:jc w:val="left"/>
        <w:rPr>
          <w:sz w:val="15"/>
        </w:rPr>
        <w:sectPr>
          <w:pgSz w:w="12240" w:h="15840"/>
          <w:pgMar w:header="0" w:footer="1240" w:top="1380" w:bottom="1440" w:left="1360" w:right="1480"/>
        </w:sectPr>
      </w:pPr>
    </w:p>
    <w:p>
      <w:pPr>
        <w:pStyle w:val="Heading1"/>
        <w:spacing w:before="74"/>
      </w:pPr>
      <w:r>
        <w:rPr/>
        <w:t>Monetary Policy</w:t>
      </w:r>
    </w:p>
    <w:p>
      <w:pPr>
        <w:pStyle w:val="BodyText"/>
        <w:rPr>
          <w:b/>
          <w:sz w:val="20"/>
        </w:rPr>
      </w:pPr>
    </w:p>
    <w:p>
      <w:pPr>
        <w:pStyle w:val="BodyText"/>
        <w:spacing w:before="9"/>
        <w:rPr>
          <w:b/>
          <w:sz w:val="16"/>
        </w:rPr>
      </w:pPr>
    </w:p>
    <w:p>
      <w:pPr>
        <w:pStyle w:val="BodyText"/>
        <w:spacing w:line="350" w:lineRule="auto"/>
        <w:ind w:left="226" w:right="105"/>
      </w:pPr>
      <w:r>
        <w:rPr/>
        <w:t>Because</w:t>
      </w:r>
      <w:r>
        <w:rPr>
          <w:spacing w:val="-8"/>
        </w:rPr>
        <w:t> </w:t>
      </w:r>
      <w:r>
        <w:rPr/>
        <w:t>a</w:t>
      </w:r>
      <w:r>
        <w:rPr>
          <w:spacing w:val="-8"/>
        </w:rPr>
        <w:t> </w:t>
      </w:r>
      <w:r>
        <w:rPr/>
        <w:t>high</w:t>
      </w:r>
      <w:r>
        <w:rPr>
          <w:spacing w:val="-9"/>
        </w:rPr>
        <w:t> </w:t>
      </w:r>
      <w:r>
        <w:rPr/>
        <w:t>proportion</w:t>
      </w:r>
      <w:r>
        <w:rPr>
          <w:spacing w:val="-7"/>
        </w:rPr>
        <w:t> </w:t>
      </w:r>
      <w:r>
        <w:rPr/>
        <w:t>of</w:t>
      </w:r>
      <w:r>
        <w:rPr>
          <w:spacing w:val="-8"/>
        </w:rPr>
        <w:t> </w:t>
      </w:r>
      <w:r>
        <w:rPr/>
        <w:t>house</w:t>
      </w:r>
      <w:r>
        <w:rPr>
          <w:spacing w:val="-8"/>
        </w:rPr>
        <w:t> </w:t>
      </w:r>
      <w:r>
        <w:rPr/>
        <w:t>purchases</w:t>
      </w:r>
      <w:r>
        <w:rPr>
          <w:spacing w:val="-8"/>
        </w:rPr>
        <w:t> </w:t>
      </w:r>
      <w:r>
        <w:rPr/>
        <w:t>–</w:t>
      </w:r>
      <w:r>
        <w:rPr>
          <w:spacing w:val="-8"/>
        </w:rPr>
        <w:t> </w:t>
      </w:r>
      <w:r>
        <w:rPr/>
        <w:t>especially</w:t>
      </w:r>
      <w:r>
        <w:rPr>
          <w:spacing w:val="-8"/>
        </w:rPr>
        <w:t> </w:t>
      </w:r>
      <w:r>
        <w:rPr/>
        <w:t>for</w:t>
      </w:r>
      <w:r>
        <w:rPr>
          <w:spacing w:val="-8"/>
        </w:rPr>
        <w:t> </w:t>
      </w:r>
      <w:r>
        <w:rPr/>
        <w:t>marginal</w:t>
      </w:r>
      <w:r>
        <w:rPr>
          <w:spacing w:val="-7"/>
        </w:rPr>
        <w:t> </w:t>
      </w:r>
      <w:r>
        <w:rPr/>
        <w:t>buyers</w:t>
      </w:r>
      <w:r>
        <w:rPr>
          <w:spacing w:val="-8"/>
        </w:rPr>
        <w:t> </w:t>
      </w:r>
      <w:r>
        <w:rPr/>
        <w:t>–</w:t>
      </w:r>
      <w:r>
        <w:rPr>
          <w:spacing w:val="-8"/>
        </w:rPr>
        <w:t> </w:t>
      </w:r>
      <w:r>
        <w:rPr/>
        <w:t>are</w:t>
      </w:r>
      <w:r>
        <w:rPr>
          <w:spacing w:val="-8"/>
        </w:rPr>
        <w:t> </w:t>
      </w:r>
      <w:r>
        <w:rPr/>
        <w:t>financed</w:t>
      </w:r>
      <w:r>
        <w:rPr>
          <w:spacing w:val="-8"/>
        </w:rPr>
        <w:t> </w:t>
      </w:r>
      <w:r>
        <w:rPr/>
        <w:t>through</w:t>
      </w:r>
      <w:r>
        <w:rPr>
          <w:spacing w:val="-8"/>
        </w:rPr>
        <w:t> </w:t>
      </w:r>
      <w:r>
        <w:rPr/>
        <w:t>debt, changes in the level of interest rates can have a substantial impact upon the housing market. But variations in interest rates that central banks can control are rather a blunt instrument to stabilise the housing market. Indeed the impact on assets other than houses, and the effects on borrowing and spending unrelated to housing, may well be far greater than the impact on housing. Changes in interest rates have an effect on a high proportion of people throughout the economy and impact the value of a wide range of assets. The majority</w:t>
      </w:r>
      <w:r>
        <w:rPr>
          <w:spacing w:val="-9"/>
        </w:rPr>
        <w:t> </w:t>
      </w:r>
      <w:r>
        <w:rPr/>
        <w:t>of</w:t>
      </w:r>
      <w:r>
        <w:rPr>
          <w:spacing w:val="-7"/>
        </w:rPr>
        <w:t> </w:t>
      </w:r>
      <w:r>
        <w:rPr/>
        <w:t>non</w:t>
      </w:r>
      <w:r>
        <w:rPr>
          <w:spacing w:val="-9"/>
        </w:rPr>
        <w:t> </w:t>
      </w:r>
      <w:r>
        <w:rPr/>
        <w:t>financial</w:t>
      </w:r>
      <w:r>
        <w:rPr>
          <w:spacing w:val="-9"/>
        </w:rPr>
        <w:t> </w:t>
      </w:r>
      <w:r>
        <w:rPr/>
        <w:t>companies</w:t>
      </w:r>
      <w:r>
        <w:rPr>
          <w:spacing w:val="-8"/>
        </w:rPr>
        <w:t> </w:t>
      </w:r>
      <w:r>
        <w:rPr/>
        <w:t>are</w:t>
      </w:r>
      <w:r>
        <w:rPr>
          <w:spacing w:val="-9"/>
        </w:rPr>
        <w:t> </w:t>
      </w:r>
      <w:r>
        <w:rPr/>
        <w:t>affected;</w:t>
      </w:r>
      <w:r>
        <w:rPr>
          <w:spacing w:val="-8"/>
        </w:rPr>
        <w:t> </w:t>
      </w:r>
      <w:r>
        <w:rPr/>
        <w:t>most</w:t>
      </w:r>
      <w:r>
        <w:rPr>
          <w:spacing w:val="-9"/>
        </w:rPr>
        <w:t> </w:t>
      </w:r>
      <w:r>
        <w:rPr/>
        <w:t>savers</w:t>
      </w:r>
      <w:r>
        <w:rPr>
          <w:spacing w:val="-8"/>
        </w:rPr>
        <w:t> </w:t>
      </w:r>
      <w:r>
        <w:rPr/>
        <w:t>will</w:t>
      </w:r>
      <w:r>
        <w:rPr>
          <w:spacing w:val="-7"/>
        </w:rPr>
        <w:t> </w:t>
      </w:r>
      <w:r>
        <w:rPr/>
        <w:t>be;</w:t>
      </w:r>
      <w:r>
        <w:rPr>
          <w:spacing w:val="-8"/>
        </w:rPr>
        <w:t> </w:t>
      </w:r>
      <w:r>
        <w:rPr/>
        <w:t>anyone</w:t>
      </w:r>
      <w:r>
        <w:rPr>
          <w:spacing w:val="-7"/>
        </w:rPr>
        <w:t> </w:t>
      </w:r>
      <w:r>
        <w:rPr/>
        <w:t>who</w:t>
      </w:r>
      <w:r>
        <w:rPr>
          <w:spacing w:val="-9"/>
        </w:rPr>
        <w:t> </w:t>
      </w:r>
      <w:r>
        <w:rPr/>
        <w:t>has</w:t>
      </w:r>
      <w:r>
        <w:rPr>
          <w:spacing w:val="-7"/>
        </w:rPr>
        <w:t> </w:t>
      </w:r>
      <w:r>
        <w:rPr/>
        <w:t>borrowed</w:t>
      </w:r>
      <w:r>
        <w:rPr>
          <w:spacing w:val="-9"/>
        </w:rPr>
        <w:t> </w:t>
      </w:r>
      <w:r>
        <w:rPr/>
        <w:t>at</w:t>
      </w:r>
      <w:r>
        <w:rPr>
          <w:spacing w:val="-7"/>
        </w:rPr>
        <w:t> </w:t>
      </w:r>
      <w:r>
        <w:rPr/>
        <w:t>a</w:t>
      </w:r>
      <w:r>
        <w:rPr>
          <w:spacing w:val="-8"/>
        </w:rPr>
        <w:t> </w:t>
      </w:r>
      <w:r>
        <w:rPr/>
        <w:t>variable rate will feel an impact. In a country like the US with predominantly longer term fixed rate mortgages variations in the short term nominal rates of interest set by the central bank might have a rather small effect on the housing market (Figure</w:t>
      </w:r>
      <w:r>
        <w:rPr>
          <w:spacing w:val="-6"/>
        </w:rPr>
        <w:t> </w:t>
      </w:r>
      <w:r>
        <w:rPr/>
        <w:t>10).</w:t>
      </w:r>
    </w:p>
    <w:p>
      <w:pPr>
        <w:pStyle w:val="BodyText"/>
        <w:spacing w:before="6"/>
        <w:rPr>
          <w:sz w:val="28"/>
        </w:rPr>
      </w:pPr>
    </w:p>
    <w:p>
      <w:pPr>
        <w:pStyle w:val="BodyText"/>
        <w:spacing w:line="350" w:lineRule="auto" w:before="1"/>
        <w:ind w:left="226" w:right="102"/>
      </w:pPr>
      <w:r>
        <w:rPr/>
        <w:t>Even</w:t>
      </w:r>
      <w:r>
        <w:rPr>
          <w:spacing w:val="-7"/>
        </w:rPr>
        <w:t> </w:t>
      </w:r>
      <w:r>
        <w:rPr/>
        <w:t>in</w:t>
      </w:r>
      <w:r>
        <w:rPr>
          <w:spacing w:val="-8"/>
        </w:rPr>
        <w:t> </w:t>
      </w:r>
      <w:r>
        <w:rPr/>
        <w:t>an</w:t>
      </w:r>
      <w:r>
        <w:rPr>
          <w:spacing w:val="-7"/>
        </w:rPr>
        <w:t> </w:t>
      </w:r>
      <w:r>
        <w:rPr/>
        <w:t>economy</w:t>
      </w:r>
      <w:r>
        <w:rPr>
          <w:spacing w:val="-7"/>
        </w:rPr>
        <w:t> </w:t>
      </w:r>
      <w:r>
        <w:rPr/>
        <w:t>like</w:t>
      </w:r>
      <w:r>
        <w:rPr>
          <w:spacing w:val="-8"/>
        </w:rPr>
        <w:t> </w:t>
      </w:r>
      <w:r>
        <w:rPr/>
        <w:t>the</w:t>
      </w:r>
      <w:r>
        <w:rPr>
          <w:spacing w:val="-7"/>
        </w:rPr>
        <w:t> </w:t>
      </w:r>
      <w:r>
        <w:rPr/>
        <w:t>UK,</w:t>
      </w:r>
      <w:r>
        <w:rPr>
          <w:spacing w:val="-7"/>
        </w:rPr>
        <w:t> </w:t>
      </w:r>
      <w:r>
        <w:rPr/>
        <w:t>where</w:t>
      </w:r>
      <w:r>
        <w:rPr>
          <w:spacing w:val="-7"/>
        </w:rPr>
        <w:t> </w:t>
      </w:r>
      <w:r>
        <w:rPr/>
        <w:t>most</w:t>
      </w:r>
      <w:r>
        <w:rPr>
          <w:spacing w:val="-7"/>
        </w:rPr>
        <w:t> </w:t>
      </w:r>
      <w:r>
        <w:rPr/>
        <w:t>mortgages</w:t>
      </w:r>
      <w:r>
        <w:rPr>
          <w:spacing w:val="-6"/>
        </w:rPr>
        <w:t> </w:t>
      </w:r>
      <w:r>
        <w:rPr/>
        <w:t>are</w:t>
      </w:r>
      <w:r>
        <w:rPr>
          <w:spacing w:val="-7"/>
        </w:rPr>
        <w:t> </w:t>
      </w:r>
      <w:r>
        <w:rPr/>
        <w:t>variable</w:t>
      </w:r>
      <w:r>
        <w:rPr>
          <w:spacing w:val="-7"/>
        </w:rPr>
        <w:t> </w:t>
      </w:r>
      <w:r>
        <w:rPr/>
        <w:t>rate,</w:t>
      </w:r>
      <w:r>
        <w:rPr>
          <w:spacing w:val="-8"/>
        </w:rPr>
        <w:t> </w:t>
      </w:r>
      <w:r>
        <w:rPr/>
        <w:t>or</w:t>
      </w:r>
      <w:r>
        <w:rPr>
          <w:spacing w:val="-7"/>
        </w:rPr>
        <w:t> </w:t>
      </w:r>
      <w:r>
        <w:rPr/>
        <w:t>fixed</w:t>
      </w:r>
      <w:r>
        <w:rPr>
          <w:spacing w:val="-7"/>
        </w:rPr>
        <w:t> </w:t>
      </w:r>
      <w:r>
        <w:rPr/>
        <w:t>for</w:t>
      </w:r>
      <w:r>
        <w:rPr>
          <w:spacing w:val="-7"/>
        </w:rPr>
        <w:t> </w:t>
      </w:r>
      <w:r>
        <w:rPr/>
        <w:t>a</w:t>
      </w:r>
      <w:r>
        <w:rPr>
          <w:spacing w:val="-7"/>
        </w:rPr>
        <w:t> </w:t>
      </w:r>
      <w:r>
        <w:rPr/>
        <w:t>very</w:t>
      </w:r>
      <w:r>
        <w:rPr>
          <w:spacing w:val="-7"/>
        </w:rPr>
        <w:t> </w:t>
      </w:r>
      <w:r>
        <w:rPr/>
        <w:t>short</w:t>
      </w:r>
      <w:r>
        <w:rPr>
          <w:spacing w:val="-7"/>
        </w:rPr>
        <w:t> </w:t>
      </w:r>
      <w:r>
        <w:rPr/>
        <w:t>period,</w:t>
      </w:r>
      <w:r>
        <w:rPr>
          <w:spacing w:val="-5"/>
        </w:rPr>
        <w:t> </w:t>
      </w:r>
      <w:r>
        <w:rPr/>
        <w:t>the expected rate of return on houses in an expectations-driven housing boom may be much higher than any level of interest rates that can be sustained for more than a very short period. That problem with using monetary policy to stabilise the housing market would be acute if housing markets were overheating when the</w:t>
      </w:r>
      <w:r>
        <w:rPr>
          <w:spacing w:val="-8"/>
        </w:rPr>
        <w:t> </w:t>
      </w:r>
      <w:r>
        <w:rPr/>
        <w:t>wider</w:t>
      </w:r>
      <w:r>
        <w:rPr>
          <w:spacing w:val="-8"/>
        </w:rPr>
        <w:t> </w:t>
      </w:r>
      <w:r>
        <w:rPr/>
        <w:t>economy</w:t>
      </w:r>
      <w:r>
        <w:rPr>
          <w:spacing w:val="-6"/>
        </w:rPr>
        <w:t> </w:t>
      </w:r>
      <w:r>
        <w:rPr/>
        <w:t>was</w:t>
      </w:r>
      <w:r>
        <w:rPr>
          <w:spacing w:val="-7"/>
        </w:rPr>
        <w:t> </w:t>
      </w:r>
      <w:r>
        <w:rPr/>
        <w:t>not</w:t>
      </w:r>
      <w:r>
        <w:rPr>
          <w:spacing w:val="-7"/>
        </w:rPr>
        <w:t> </w:t>
      </w:r>
      <w:r>
        <w:rPr/>
        <w:t>and</w:t>
      </w:r>
      <w:r>
        <w:rPr>
          <w:spacing w:val="-8"/>
        </w:rPr>
        <w:t> </w:t>
      </w:r>
      <w:r>
        <w:rPr/>
        <w:t>consumer</w:t>
      </w:r>
      <w:r>
        <w:rPr>
          <w:spacing w:val="-9"/>
        </w:rPr>
        <w:t> </w:t>
      </w:r>
      <w:r>
        <w:rPr/>
        <w:t>price</w:t>
      </w:r>
      <w:r>
        <w:rPr>
          <w:spacing w:val="-8"/>
        </w:rPr>
        <w:t> </w:t>
      </w:r>
      <w:r>
        <w:rPr/>
        <w:t>inflation</w:t>
      </w:r>
      <w:r>
        <w:rPr>
          <w:spacing w:val="-7"/>
        </w:rPr>
        <w:t> </w:t>
      </w:r>
      <w:r>
        <w:rPr/>
        <w:t>was</w:t>
      </w:r>
      <w:r>
        <w:rPr>
          <w:spacing w:val="-7"/>
        </w:rPr>
        <w:t> </w:t>
      </w:r>
      <w:r>
        <w:rPr/>
        <w:t>low</w:t>
      </w:r>
      <w:r>
        <w:rPr>
          <w:spacing w:val="-9"/>
        </w:rPr>
        <w:t> </w:t>
      </w:r>
      <w:r>
        <w:rPr/>
        <w:t>even</w:t>
      </w:r>
      <w:r>
        <w:rPr>
          <w:spacing w:val="-8"/>
        </w:rPr>
        <w:t> </w:t>
      </w:r>
      <w:r>
        <w:rPr/>
        <w:t>though</w:t>
      </w:r>
      <w:r>
        <w:rPr>
          <w:spacing w:val="-9"/>
        </w:rPr>
        <w:t> </w:t>
      </w:r>
      <w:r>
        <w:rPr/>
        <w:t>house</w:t>
      </w:r>
      <w:r>
        <w:rPr>
          <w:spacing w:val="-9"/>
        </w:rPr>
        <w:t> </w:t>
      </w:r>
      <w:r>
        <w:rPr/>
        <w:t>price</w:t>
      </w:r>
      <w:r>
        <w:rPr>
          <w:spacing w:val="-8"/>
        </w:rPr>
        <w:t> </w:t>
      </w:r>
      <w:r>
        <w:rPr/>
        <w:t>inflation</w:t>
      </w:r>
      <w:r>
        <w:rPr>
          <w:spacing w:val="-7"/>
        </w:rPr>
        <w:t> </w:t>
      </w:r>
      <w:r>
        <w:rPr/>
        <w:t>was</w:t>
      </w:r>
      <w:r>
        <w:rPr>
          <w:spacing w:val="-8"/>
        </w:rPr>
        <w:t> </w:t>
      </w:r>
      <w:r>
        <w:rPr/>
        <w:t>high. Unless one gave a weight to house prices in a measure of consumer prices that was very high – and far higher than could be justified by an ideal price index – this tension between using monetary policy to control general price inflation and stabilise housing markets is unavoidable. (The weight on owners’ equivalent rent in</w:t>
      </w:r>
      <w:r>
        <w:rPr>
          <w:spacing w:val="-7"/>
        </w:rPr>
        <w:t> </w:t>
      </w:r>
      <w:r>
        <w:rPr/>
        <w:t>the</w:t>
      </w:r>
      <w:r>
        <w:rPr>
          <w:spacing w:val="-6"/>
        </w:rPr>
        <w:t> </w:t>
      </w:r>
      <w:r>
        <w:rPr/>
        <w:t>US</w:t>
      </w:r>
      <w:r>
        <w:rPr>
          <w:spacing w:val="-6"/>
        </w:rPr>
        <w:t> </w:t>
      </w:r>
      <w:r>
        <w:rPr/>
        <w:t>PCE</w:t>
      </w:r>
      <w:r>
        <w:rPr>
          <w:spacing w:val="-6"/>
        </w:rPr>
        <w:t> </w:t>
      </w:r>
      <w:r>
        <w:rPr/>
        <w:t>deflator</w:t>
      </w:r>
      <w:r>
        <w:rPr>
          <w:spacing w:val="-7"/>
        </w:rPr>
        <w:t> </w:t>
      </w:r>
      <w:r>
        <w:rPr/>
        <w:t>is</w:t>
      </w:r>
      <w:r>
        <w:rPr>
          <w:spacing w:val="-5"/>
        </w:rPr>
        <w:t> </w:t>
      </w:r>
      <w:r>
        <w:rPr/>
        <w:t>around</w:t>
      </w:r>
      <w:r>
        <w:rPr>
          <w:spacing w:val="-7"/>
        </w:rPr>
        <w:t> </w:t>
      </w:r>
      <w:r>
        <w:rPr/>
        <w:t>11.5%</w:t>
      </w:r>
      <w:r>
        <w:rPr>
          <w:spacing w:val="-7"/>
        </w:rPr>
        <w:t> </w:t>
      </w:r>
      <w:r>
        <w:rPr/>
        <w:t>which</w:t>
      </w:r>
      <w:r>
        <w:rPr>
          <w:spacing w:val="-7"/>
        </w:rPr>
        <w:t> </w:t>
      </w:r>
      <w:r>
        <w:rPr/>
        <w:t>is</w:t>
      </w:r>
      <w:r>
        <w:rPr>
          <w:spacing w:val="-5"/>
        </w:rPr>
        <w:t> </w:t>
      </w:r>
      <w:r>
        <w:rPr/>
        <w:t>just</w:t>
      </w:r>
      <w:r>
        <w:rPr>
          <w:spacing w:val="-8"/>
        </w:rPr>
        <w:t> </w:t>
      </w:r>
      <w:r>
        <w:rPr/>
        <w:t>a</w:t>
      </w:r>
      <w:r>
        <w:rPr>
          <w:spacing w:val="-6"/>
        </w:rPr>
        <w:t> </w:t>
      </w:r>
      <w:r>
        <w:rPr/>
        <w:t>little</w:t>
      </w:r>
      <w:r>
        <w:rPr>
          <w:spacing w:val="-6"/>
        </w:rPr>
        <w:t> </w:t>
      </w:r>
      <w:r>
        <w:rPr/>
        <w:t>lower</w:t>
      </w:r>
      <w:r>
        <w:rPr>
          <w:spacing w:val="-7"/>
        </w:rPr>
        <w:t> </w:t>
      </w:r>
      <w:r>
        <w:rPr/>
        <w:t>than</w:t>
      </w:r>
      <w:r>
        <w:rPr>
          <w:spacing w:val="-6"/>
        </w:rPr>
        <w:t> </w:t>
      </w:r>
      <w:r>
        <w:rPr/>
        <w:t>the</w:t>
      </w:r>
      <w:r>
        <w:rPr>
          <w:spacing w:val="-5"/>
        </w:rPr>
        <w:t> </w:t>
      </w:r>
      <w:r>
        <w:rPr/>
        <w:t>weight</w:t>
      </w:r>
      <w:r>
        <w:rPr>
          <w:spacing w:val="-5"/>
        </w:rPr>
        <w:t> </w:t>
      </w:r>
      <w:r>
        <w:rPr/>
        <w:t>in</w:t>
      </w:r>
      <w:r>
        <w:rPr>
          <w:spacing w:val="-7"/>
        </w:rPr>
        <w:t> </w:t>
      </w:r>
      <w:r>
        <w:rPr/>
        <w:t>the</w:t>
      </w:r>
      <w:r>
        <w:rPr>
          <w:spacing w:val="-6"/>
        </w:rPr>
        <w:t> </w:t>
      </w:r>
      <w:r>
        <w:rPr/>
        <w:t>UK’s</w:t>
      </w:r>
      <w:r>
        <w:rPr>
          <w:spacing w:val="-7"/>
        </w:rPr>
        <w:t> </w:t>
      </w:r>
      <w:r>
        <w:rPr/>
        <w:t>CPIH,</w:t>
      </w:r>
      <w:r>
        <w:rPr>
          <w:spacing w:val="-6"/>
        </w:rPr>
        <w:t> </w:t>
      </w:r>
      <w:r>
        <w:rPr/>
        <w:t>an</w:t>
      </w:r>
      <w:r>
        <w:rPr>
          <w:spacing w:val="-7"/>
        </w:rPr>
        <w:t> </w:t>
      </w:r>
      <w:r>
        <w:rPr/>
        <w:t>index which includes costs for owner-occupiers. With those weights, if house prices were rising at 10% – and assuming that drove up owners’ equivalent rent by the same amount – while all other prices rise at 2% the overall rate of inflation would still be under</w:t>
      </w:r>
      <w:r>
        <w:rPr>
          <w:spacing w:val="-10"/>
        </w:rPr>
        <w:t> </w:t>
      </w:r>
      <w:r>
        <w:rPr/>
        <w:t>3%.)</w:t>
      </w:r>
    </w:p>
    <w:p>
      <w:pPr>
        <w:pStyle w:val="BodyText"/>
        <w:spacing w:before="9"/>
        <w:rPr>
          <w:sz w:val="28"/>
        </w:rPr>
      </w:pPr>
    </w:p>
    <w:p>
      <w:pPr>
        <w:pStyle w:val="BodyText"/>
        <w:spacing w:line="350" w:lineRule="auto"/>
        <w:ind w:left="226" w:right="50"/>
      </w:pPr>
      <w:r>
        <w:rPr/>
        <w:t>A set of policy instruments more precisely targeted at the housing market can be helpful in dealing with situations where the level of interest rates that might be best suited to the wider economic situation is not the same as the rate that might be needed to stabilise the housing market. A range of macro-prudential policy levers could be used to mitigate risks to financial stability emanating from housing markets, graduating from more intensive supervision of underwriting standards through variations in capital requirements on mortgage lending to limits on loan to income (LTI) and loan to value (LTV) ratios. Monetary policy can be retained as a ‘last line of defence’ against risks to financial stability. Indeed this is essentially the position taken in the UK today. The Financial Policy Committee of the Bank of England has macro-prudential levers to help maintain financial stability. The FPC can ask the Monetary Policy Committee (MPC) to adjust its policy (specifically to modify its forward guidance) should it judge that the stance of monetary policy poses a significant threat to financial stability that cannot be contained by the policy actions available to it.</w:t>
      </w:r>
    </w:p>
    <w:p>
      <w:pPr>
        <w:pStyle w:val="BodyText"/>
        <w:spacing w:before="7"/>
        <w:rPr>
          <w:sz w:val="28"/>
        </w:rPr>
      </w:pPr>
    </w:p>
    <w:p>
      <w:pPr>
        <w:pStyle w:val="BodyText"/>
        <w:spacing w:line="352" w:lineRule="auto"/>
        <w:ind w:left="226"/>
      </w:pPr>
      <w:r>
        <w:rPr/>
        <w:t>Central</w:t>
      </w:r>
      <w:r>
        <w:rPr>
          <w:spacing w:val="-7"/>
        </w:rPr>
        <w:t> </w:t>
      </w:r>
      <w:r>
        <w:rPr/>
        <w:t>to</w:t>
      </w:r>
      <w:r>
        <w:rPr>
          <w:spacing w:val="-8"/>
        </w:rPr>
        <w:t> </w:t>
      </w:r>
      <w:r>
        <w:rPr/>
        <w:t>volatility</w:t>
      </w:r>
      <w:r>
        <w:rPr>
          <w:spacing w:val="-7"/>
        </w:rPr>
        <w:t> </w:t>
      </w:r>
      <w:r>
        <w:rPr/>
        <w:t>in</w:t>
      </w:r>
      <w:r>
        <w:rPr>
          <w:spacing w:val="-8"/>
        </w:rPr>
        <w:t> </w:t>
      </w:r>
      <w:r>
        <w:rPr/>
        <w:t>housing</w:t>
      </w:r>
      <w:r>
        <w:rPr>
          <w:spacing w:val="-8"/>
        </w:rPr>
        <w:t> </w:t>
      </w:r>
      <w:r>
        <w:rPr/>
        <w:t>markets,</w:t>
      </w:r>
      <w:r>
        <w:rPr>
          <w:spacing w:val="-7"/>
        </w:rPr>
        <w:t> </w:t>
      </w:r>
      <w:r>
        <w:rPr/>
        <w:t>and</w:t>
      </w:r>
      <w:r>
        <w:rPr>
          <w:spacing w:val="-9"/>
        </w:rPr>
        <w:t> </w:t>
      </w:r>
      <w:r>
        <w:rPr/>
        <w:t>the</w:t>
      </w:r>
      <w:r>
        <w:rPr>
          <w:spacing w:val="-8"/>
        </w:rPr>
        <w:t> </w:t>
      </w:r>
      <w:r>
        <w:rPr/>
        <w:t>impacts</w:t>
      </w:r>
      <w:r>
        <w:rPr>
          <w:spacing w:val="-8"/>
        </w:rPr>
        <w:t> </w:t>
      </w:r>
      <w:r>
        <w:rPr/>
        <w:t>that</w:t>
      </w:r>
      <w:r>
        <w:rPr>
          <w:spacing w:val="-6"/>
        </w:rPr>
        <w:t> </w:t>
      </w:r>
      <w:r>
        <w:rPr/>
        <w:t>has</w:t>
      </w:r>
      <w:r>
        <w:rPr>
          <w:spacing w:val="-7"/>
        </w:rPr>
        <w:t> </w:t>
      </w:r>
      <w:r>
        <w:rPr/>
        <w:t>on</w:t>
      </w:r>
      <w:r>
        <w:rPr>
          <w:spacing w:val="-8"/>
        </w:rPr>
        <w:t> </w:t>
      </w:r>
      <w:r>
        <w:rPr/>
        <w:t>the</w:t>
      </w:r>
      <w:r>
        <w:rPr>
          <w:spacing w:val="-6"/>
        </w:rPr>
        <w:t> </w:t>
      </w:r>
      <w:r>
        <w:rPr/>
        <w:t>wider</w:t>
      </w:r>
      <w:r>
        <w:rPr>
          <w:spacing w:val="-8"/>
        </w:rPr>
        <w:t> </w:t>
      </w:r>
      <w:r>
        <w:rPr/>
        <w:t>economy</w:t>
      </w:r>
      <w:r>
        <w:rPr>
          <w:spacing w:val="-8"/>
        </w:rPr>
        <w:t> </w:t>
      </w:r>
      <w:r>
        <w:rPr/>
        <w:t>and</w:t>
      </w:r>
      <w:r>
        <w:rPr>
          <w:spacing w:val="-8"/>
        </w:rPr>
        <w:t> </w:t>
      </w:r>
      <w:r>
        <w:rPr/>
        <w:t>upon</w:t>
      </w:r>
      <w:r>
        <w:rPr>
          <w:spacing w:val="-8"/>
        </w:rPr>
        <w:t> </w:t>
      </w:r>
      <w:r>
        <w:rPr/>
        <w:t>welfare,</w:t>
      </w:r>
      <w:r>
        <w:rPr>
          <w:spacing w:val="-8"/>
        </w:rPr>
        <w:t> </w:t>
      </w:r>
      <w:r>
        <w:rPr/>
        <w:t>is leverage,</w:t>
      </w:r>
      <w:r>
        <w:rPr>
          <w:spacing w:val="-5"/>
        </w:rPr>
        <w:t> </w:t>
      </w:r>
      <w:r>
        <w:rPr/>
        <w:t>or</w:t>
      </w:r>
      <w:r>
        <w:rPr>
          <w:spacing w:val="-6"/>
        </w:rPr>
        <w:t> </w:t>
      </w:r>
      <w:r>
        <w:rPr/>
        <w:t>debt</w:t>
      </w:r>
      <w:r>
        <w:rPr>
          <w:spacing w:val="-6"/>
        </w:rPr>
        <w:t> </w:t>
      </w:r>
      <w:r>
        <w:rPr/>
        <w:t>gearing.</w:t>
      </w:r>
      <w:r>
        <w:rPr>
          <w:spacing w:val="41"/>
        </w:rPr>
        <w:t> </w:t>
      </w:r>
      <w:r>
        <w:rPr/>
        <w:t>Variations</w:t>
      </w:r>
      <w:r>
        <w:rPr>
          <w:spacing w:val="-4"/>
        </w:rPr>
        <w:t> </w:t>
      </w:r>
      <w:r>
        <w:rPr/>
        <w:t>in</w:t>
      </w:r>
      <w:r>
        <w:rPr>
          <w:spacing w:val="-7"/>
        </w:rPr>
        <w:t> </w:t>
      </w:r>
      <w:r>
        <w:rPr/>
        <w:t>permitted</w:t>
      </w:r>
      <w:r>
        <w:rPr>
          <w:spacing w:val="-7"/>
        </w:rPr>
        <w:t> </w:t>
      </w:r>
      <w:r>
        <w:rPr/>
        <w:t>loan</w:t>
      </w:r>
      <w:r>
        <w:rPr>
          <w:spacing w:val="-6"/>
        </w:rPr>
        <w:t> </w:t>
      </w:r>
      <w:r>
        <w:rPr/>
        <w:t>to</w:t>
      </w:r>
      <w:r>
        <w:rPr>
          <w:spacing w:val="-6"/>
        </w:rPr>
        <w:t> </w:t>
      </w:r>
      <w:r>
        <w:rPr/>
        <w:t>value</w:t>
      </w:r>
      <w:r>
        <w:rPr>
          <w:spacing w:val="-7"/>
        </w:rPr>
        <w:t> </w:t>
      </w:r>
      <w:r>
        <w:rPr/>
        <w:t>ratios,</w:t>
      </w:r>
      <w:r>
        <w:rPr>
          <w:spacing w:val="-6"/>
        </w:rPr>
        <w:t> </w:t>
      </w:r>
      <w:r>
        <w:rPr/>
        <w:t>in</w:t>
      </w:r>
      <w:r>
        <w:rPr>
          <w:spacing w:val="-6"/>
        </w:rPr>
        <w:t> </w:t>
      </w:r>
      <w:r>
        <w:rPr/>
        <w:t>loan</w:t>
      </w:r>
      <w:r>
        <w:rPr>
          <w:spacing w:val="-7"/>
        </w:rPr>
        <w:t> </w:t>
      </w:r>
      <w:r>
        <w:rPr/>
        <w:t>to</w:t>
      </w:r>
      <w:r>
        <w:rPr>
          <w:spacing w:val="-7"/>
        </w:rPr>
        <w:t> </w:t>
      </w:r>
      <w:r>
        <w:rPr/>
        <w:t>income</w:t>
      </w:r>
      <w:r>
        <w:rPr>
          <w:spacing w:val="-6"/>
        </w:rPr>
        <w:t> </w:t>
      </w:r>
      <w:r>
        <w:rPr/>
        <w:t>ratios,</w:t>
      </w:r>
      <w:r>
        <w:rPr>
          <w:spacing w:val="-7"/>
        </w:rPr>
        <w:t> </w:t>
      </w:r>
      <w:r>
        <w:rPr/>
        <w:t>in</w:t>
      </w:r>
      <w:r>
        <w:rPr>
          <w:spacing w:val="-7"/>
        </w:rPr>
        <w:t> </w:t>
      </w:r>
      <w:r>
        <w:rPr/>
        <w:t>capital</w:t>
      </w:r>
    </w:p>
    <w:p>
      <w:pPr>
        <w:spacing w:after="0" w:line="352" w:lineRule="auto"/>
        <w:sectPr>
          <w:pgSz w:w="12240" w:h="15840"/>
          <w:pgMar w:header="0" w:footer="1240" w:top="1380" w:bottom="1440" w:left="1360" w:right="1480"/>
        </w:sectPr>
      </w:pPr>
    </w:p>
    <w:p>
      <w:pPr>
        <w:pStyle w:val="BodyText"/>
        <w:spacing w:line="350" w:lineRule="auto" w:before="75"/>
        <w:ind w:left="226" w:right="105"/>
      </w:pPr>
      <w:r>
        <w:rPr/>
        <w:t>requirements and in interest rates set by the central bank are all likely to have some impact on leverage which is why they can help stabilise housing market outcomes. But a world in which people could rely less upon standard debt contracts to finance house purchases would probably be one in which both individual household risk and aggregate housing market volatility was lower. In that sense developments that increased</w:t>
      </w:r>
      <w:r>
        <w:rPr>
          <w:spacing w:val="-10"/>
        </w:rPr>
        <w:t> </w:t>
      </w:r>
      <w:r>
        <w:rPr/>
        <w:t>the</w:t>
      </w:r>
      <w:r>
        <w:rPr>
          <w:spacing w:val="-8"/>
        </w:rPr>
        <w:t> </w:t>
      </w:r>
      <w:r>
        <w:rPr/>
        <w:t>scope</w:t>
      </w:r>
      <w:r>
        <w:rPr>
          <w:spacing w:val="-10"/>
        </w:rPr>
        <w:t> </w:t>
      </w:r>
      <w:r>
        <w:rPr/>
        <w:t>for</w:t>
      </w:r>
      <w:r>
        <w:rPr>
          <w:spacing w:val="-9"/>
        </w:rPr>
        <w:t> </w:t>
      </w:r>
      <w:r>
        <w:rPr/>
        <w:t>non-debt</w:t>
      </w:r>
      <w:r>
        <w:rPr>
          <w:spacing w:val="-9"/>
        </w:rPr>
        <w:t> </w:t>
      </w:r>
      <w:r>
        <w:rPr/>
        <w:t>funding</w:t>
      </w:r>
      <w:r>
        <w:rPr>
          <w:spacing w:val="-9"/>
        </w:rPr>
        <w:t> </w:t>
      </w:r>
      <w:r>
        <w:rPr/>
        <w:t>and</w:t>
      </w:r>
      <w:r>
        <w:rPr>
          <w:spacing w:val="-9"/>
        </w:rPr>
        <w:t> </w:t>
      </w:r>
      <w:r>
        <w:rPr/>
        <w:t>which</w:t>
      </w:r>
      <w:r>
        <w:rPr>
          <w:spacing w:val="-8"/>
        </w:rPr>
        <w:t> </w:t>
      </w:r>
      <w:r>
        <w:rPr/>
        <w:t>permanently</w:t>
      </w:r>
      <w:r>
        <w:rPr>
          <w:spacing w:val="-10"/>
        </w:rPr>
        <w:t> </w:t>
      </w:r>
      <w:r>
        <w:rPr/>
        <w:t>reduced</w:t>
      </w:r>
      <w:r>
        <w:rPr>
          <w:spacing w:val="-9"/>
        </w:rPr>
        <w:t> </w:t>
      </w:r>
      <w:r>
        <w:rPr/>
        <w:t>the</w:t>
      </w:r>
      <w:r>
        <w:rPr>
          <w:spacing w:val="-9"/>
        </w:rPr>
        <w:t> </w:t>
      </w:r>
      <w:r>
        <w:rPr/>
        <w:t>average</w:t>
      </w:r>
      <w:r>
        <w:rPr>
          <w:spacing w:val="-9"/>
        </w:rPr>
        <w:t> </w:t>
      </w:r>
      <w:r>
        <w:rPr/>
        <w:t>level</w:t>
      </w:r>
      <w:r>
        <w:rPr>
          <w:spacing w:val="-9"/>
        </w:rPr>
        <w:t> </w:t>
      </w:r>
      <w:r>
        <w:rPr/>
        <w:t>of</w:t>
      </w:r>
      <w:r>
        <w:rPr>
          <w:spacing w:val="-7"/>
        </w:rPr>
        <w:t> </w:t>
      </w:r>
      <w:r>
        <w:rPr/>
        <w:t>gearing</w:t>
      </w:r>
      <w:r>
        <w:rPr>
          <w:spacing w:val="-10"/>
        </w:rPr>
        <w:t> </w:t>
      </w:r>
      <w:r>
        <w:rPr/>
        <w:t>might much reduce the need to rely on macro-prudential or monetary policy levers to be pulled hard in cyclical upswings because those upswings, and their consequences, would be less</w:t>
      </w:r>
      <w:r>
        <w:rPr>
          <w:spacing w:val="-26"/>
        </w:rPr>
        <w:t> </w:t>
      </w:r>
      <w:r>
        <w:rPr/>
        <w:t>severe.</w:t>
      </w:r>
    </w:p>
    <w:p>
      <w:pPr>
        <w:pStyle w:val="BodyText"/>
        <w:spacing w:before="4"/>
        <w:rPr>
          <w:sz w:val="28"/>
        </w:rPr>
      </w:pPr>
    </w:p>
    <w:p>
      <w:pPr>
        <w:pStyle w:val="BodyText"/>
        <w:spacing w:line="352" w:lineRule="auto"/>
        <w:ind w:left="226"/>
      </w:pPr>
      <w:r>
        <w:rPr/>
        <w:t>In</w:t>
      </w:r>
      <w:r>
        <w:rPr>
          <w:spacing w:val="-7"/>
        </w:rPr>
        <w:t> </w:t>
      </w:r>
      <w:r>
        <w:rPr/>
        <w:t>the</w:t>
      </w:r>
      <w:r>
        <w:rPr>
          <w:spacing w:val="-7"/>
        </w:rPr>
        <w:t> </w:t>
      </w:r>
      <w:r>
        <w:rPr/>
        <w:t>rest</w:t>
      </w:r>
      <w:r>
        <w:rPr>
          <w:spacing w:val="-6"/>
        </w:rPr>
        <w:t> </w:t>
      </w:r>
      <w:r>
        <w:rPr/>
        <w:t>of</w:t>
      </w:r>
      <w:r>
        <w:rPr>
          <w:spacing w:val="-7"/>
        </w:rPr>
        <w:t> </w:t>
      </w:r>
      <w:r>
        <w:rPr/>
        <w:t>this</w:t>
      </w:r>
      <w:r>
        <w:rPr>
          <w:spacing w:val="-6"/>
        </w:rPr>
        <w:t> </w:t>
      </w:r>
      <w:r>
        <w:rPr/>
        <w:t>paper</w:t>
      </w:r>
      <w:r>
        <w:rPr>
          <w:spacing w:val="-7"/>
        </w:rPr>
        <w:t> </w:t>
      </w:r>
      <w:r>
        <w:rPr/>
        <w:t>I</w:t>
      </w:r>
      <w:r>
        <w:rPr>
          <w:spacing w:val="-5"/>
        </w:rPr>
        <w:t> </w:t>
      </w:r>
      <w:r>
        <w:rPr/>
        <w:t>want</w:t>
      </w:r>
      <w:r>
        <w:rPr>
          <w:spacing w:val="-7"/>
        </w:rPr>
        <w:t> </w:t>
      </w:r>
      <w:r>
        <w:rPr/>
        <w:t>to</w:t>
      </w:r>
      <w:r>
        <w:rPr>
          <w:spacing w:val="-7"/>
        </w:rPr>
        <w:t> </w:t>
      </w:r>
      <w:r>
        <w:rPr/>
        <w:t>consider</w:t>
      </w:r>
      <w:r>
        <w:rPr>
          <w:spacing w:val="-7"/>
        </w:rPr>
        <w:t> </w:t>
      </w:r>
      <w:r>
        <w:rPr/>
        <w:t>ways</w:t>
      </w:r>
      <w:r>
        <w:rPr>
          <w:spacing w:val="-6"/>
        </w:rPr>
        <w:t> </w:t>
      </w:r>
      <w:r>
        <w:rPr/>
        <w:t>in</w:t>
      </w:r>
      <w:r>
        <w:rPr>
          <w:spacing w:val="-4"/>
        </w:rPr>
        <w:t> </w:t>
      </w:r>
      <w:r>
        <w:rPr/>
        <w:t>which</w:t>
      </w:r>
      <w:r>
        <w:rPr>
          <w:spacing w:val="-7"/>
        </w:rPr>
        <w:t> </w:t>
      </w:r>
      <w:r>
        <w:rPr/>
        <w:t>households</w:t>
      </w:r>
      <w:r>
        <w:rPr>
          <w:spacing w:val="-5"/>
        </w:rPr>
        <w:t> </w:t>
      </w:r>
      <w:r>
        <w:rPr/>
        <w:t>could</w:t>
      </w:r>
      <w:r>
        <w:rPr>
          <w:spacing w:val="-8"/>
        </w:rPr>
        <w:t> </w:t>
      </w:r>
      <w:r>
        <w:rPr/>
        <w:t>come</w:t>
      </w:r>
      <w:r>
        <w:rPr>
          <w:spacing w:val="-6"/>
        </w:rPr>
        <w:t> </w:t>
      </w:r>
      <w:r>
        <w:rPr/>
        <w:t>to</w:t>
      </w:r>
      <w:r>
        <w:rPr>
          <w:spacing w:val="-7"/>
        </w:rPr>
        <w:t> </w:t>
      </w:r>
      <w:r>
        <w:rPr/>
        <w:t>rely</w:t>
      </w:r>
      <w:r>
        <w:rPr>
          <w:spacing w:val="-6"/>
        </w:rPr>
        <w:t> </w:t>
      </w:r>
      <w:r>
        <w:rPr/>
        <w:t>less</w:t>
      </w:r>
      <w:r>
        <w:rPr>
          <w:spacing w:val="-6"/>
        </w:rPr>
        <w:t> </w:t>
      </w:r>
      <w:r>
        <w:rPr/>
        <w:t>upon</w:t>
      </w:r>
      <w:r>
        <w:rPr>
          <w:spacing w:val="-7"/>
        </w:rPr>
        <w:t> </w:t>
      </w:r>
      <w:r>
        <w:rPr/>
        <w:t>debt,</w:t>
      </w:r>
      <w:r>
        <w:rPr>
          <w:spacing w:val="-6"/>
        </w:rPr>
        <w:t> </w:t>
      </w:r>
      <w:r>
        <w:rPr/>
        <w:t>and more on equity, to finance house purchase. Can we expect this to happen and if so</w:t>
      </w:r>
      <w:r>
        <w:rPr>
          <w:spacing w:val="-4"/>
        </w:rPr>
        <w:t> </w:t>
      </w:r>
      <w:r>
        <w:rPr/>
        <w:t>how?</w:t>
      </w:r>
    </w:p>
    <w:p>
      <w:pPr>
        <w:pStyle w:val="BodyText"/>
        <w:spacing w:before="6"/>
        <w:rPr>
          <w:sz w:val="27"/>
        </w:rPr>
      </w:pPr>
    </w:p>
    <w:p>
      <w:pPr>
        <w:spacing w:before="0"/>
        <w:ind w:left="226" w:right="0" w:firstLine="0"/>
        <w:jc w:val="left"/>
        <w:rPr>
          <w:sz w:val="19"/>
        </w:rPr>
      </w:pPr>
      <w:r>
        <w:rPr>
          <w:b/>
          <w:sz w:val="19"/>
        </w:rPr>
        <w:t>Figure 10: </w:t>
      </w:r>
      <w:r>
        <w:rPr>
          <w:sz w:val="19"/>
        </w:rPr>
        <w:t>Mortgage product interest variability</w:t>
      </w:r>
    </w:p>
    <w:p>
      <w:pPr>
        <w:pStyle w:val="BodyText"/>
        <w:spacing w:before="30"/>
        <w:ind w:left="295"/>
        <w:rPr>
          <w:rFonts w:ascii="Calibri"/>
        </w:rPr>
      </w:pPr>
      <w:r>
        <w:rPr/>
        <w:pict>
          <v:group style="position:absolute;margin-left:109.559998pt;margin-top:7.483645pt;width:269.5pt;height:112.45pt;mso-position-horizontal-relative:page;mso-position-vertical-relative:paragraph;z-index:251701248" coordorigin="2191,150" coordsize="5390,2249">
            <v:rect style="position:absolute;left:2479;top:1575;width:304;height:764" filled="true" fillcolor="#628341" stroked="false">
              <v:fill type="solid"/>
            </v:rect>
            <v:rect style="position:absolute;left:2479;top:374;width:304;height:1202" filled="true" fillcolor="#23c7dd" stroked="false">
              <v:fill type="solid"/>
            </v:rect>
            <v:rect style="position:absolute;left:2479;top:156;width:304;height:218" filled="true" fillcolor="#6d3a8c" stroked="false">
              <v:fill type="solid"/>
            </v:rect>
            <v:rect style="position:absolute;left:3238;top:1618;width:305;height:720" filled="true" fillcolor="#628341" stroked="false">
              <v:fill type="solid"/>
            </v:rect>
            <v:rect style="position:absolute;left:3238;top:156;width:305;height:1462" filled="true" fillcolor="#6d3a8c" stroked="false">
              <v:fill type="solid"/>
            </v:rect>
            <v:rect style="position:absolute;left:3999;top:1989;width:305;height:350" filled="true" fillcolor="#628341" stroked="false">
              <v:fill type="solid"/>
            </v:rect>
            <v:rect style="position:absolute;left:3999;top:1618;width:305;height:371" filled="true" fillcolor="#e88518" stroked="false">
              <v:fill type="solid"/>
            </v:rect>
            <v:rect style="position:absolute;left:3999;top:789;width:305;height:830" filled="true" fillcolor="#23c7dd" stroked="false">
              <v:fill type="solid"/>
            </v:rect>
            <v:rect style="position:absolute;left:3999;top:156;width:305;height:633" filled="true" fillcolor="#6d3a8c" stroked="false">
              <v:fill type="solid"/>
            </v:rect>
            <v:rect style="position:absolute;left:4760;top:352;width:305;height:1986" filled="true" fillcolor="#628341" stroked="false">
              <v:fill type="solid"/>
            </v:rect>
            <v:rect style="position:absolute;left:4760;top:156;width:305;height:196" filled="true" fillcolor="#23c7dd" stroked="false">
              <v:fill type="solid"/>
            </v:rect>
            <v:rect style="position:absolute;left:5521;top:352;width:304;height:1986" filled="true" fillcolor="#628341" stroked="false">
              <v:fill type="solid"/>
            </v:rect>
            <v:rect style="position:absolute;left:5521;top:177;width:304;height:176" filled="true" fillcolor="#e88518" stroked="false">
              <v:fill type="solid"/>
            </v:rect>
            <v:rect style="position:absolute;left:5521;top:156;width:304;height:21" filled="true" fillcolor="#6d3a8c" stroked="false">
              <v:fill type="solid"/>
            </v:rect>
            <v:rect style="position:absolute;left:6280;top:1313;width:305;height:1025" filled="true" fillcolor="#628341" stroked="false">
              <v:fill type="solid"/>
            </v:rect>
            <v:rect style="position:absolute;left:6280;top:156;width:305;height:1157" filled="true" fillcolor="#e88518" stroked="false">
              <v:fill type="solid"/>
            </v:rect>
            <v:rect style="position:absolute;left:7041;top:2230;width:304;height:108" filled="true" fillcolor="#628341" stroked="false">
              <v:fill type="solid"/>
            </v:rect>
            <v:rect style="position:absolute;left:7041;top:156;width:304;height:2074" filled="true" fillcolor="#6d3a8c" stroked="false">
              <v:fill type="solid"/>
            </v:rect>
            <v:line style="position:absolute" from="2252,157" to="2252,2398" stroked="true" strokeweight=".66pt" strokecolor="#868686">
              <v:stroke dashstyle="solid"/>
            </v:line>
            <v:shape style="position:absolute;left:2191;top:149;width:60;height:2196" coordorigin="2191,150" coordsize="60,2196" path="m2251,2331l2191,2331,2191,2346,2251,2346,2251,2331m2251,1896l2191,1896,2191,1910,2251,1910,2251,1896m2251,1459l2191,1459,2191,1473,2251,1473,2251,1459m2251,1022l2191,1022,2191,1035,2251,1035,2251,1022m2251,585l2191,585,2191,598,2251,598,2251,585m2251,150l2191,150,2191,163,2251,163,2251,150e" filled="true" fillcolor="#868686" stroked="false">
              <v:path arrowok="t"/>
              <v:fill type="solid"/>
            </v:shape>
            <v:line style="position:absolute" from="2251,2338" to="7573,2338" stroked="true" strokeweight=".72pt" strokecolor="#868686">
              <v:stroke dashstyle="solid"/>
            </v:line>
            <v:shape style="position:absolute;left:3004;top:2338;width:4576;height:60" coordorigin="3005,2338" coordsize="4576,60" path="m3018,2338l3005,2338,3005,2398,3018,2398,3018,2338m3779,2338l3766,2338,3766,2398,3779,2398,3779,2338m4538,2338l4525,2338,4525,2398,4538,2398,4538,2338m5299,2338l5286,2338,5286,2398,5299,2398,5299,2338m6059,2338l6046,2338,6046,2398,6059,2398,6059,2338m6821,2338l6806,2338,6806,2398,6821,2398,6821,2338m7580,2338l7566,2338,7566,2398,7580,2398,7580,2338e" filled="true" fillcolor="#868686" stroked="false">
              <v:path arrowok="t"/>
              <v:fill type="solid"/>
            </v:shape>
            <w10:wrap type="none"/>
          </v:group>
        </w:pict>
      </w:r>
      <w:r>
        <w:rPr>
          <w:rFonts w:ascii="Calibri"/>
        </w:rPr>
        <w:t>100%</w:t>
      </w:r>
    </w:p>
    <w:p>
      <w:pPr>
        <w:pStyle w:val="BodyText"/>
        <w:spacing w:before="10"/>
        <w:rPr>
          <w:rFonts w:ascii="Calibri"/>
          <w:sz w:val="11"/>
        </w:rPr>
      </w:pPr>
    </w:p>
    <w:p>
      <w:pPr>
        <w:pStyle w:val="BodyText"/>
        <w:spacing w:before="61"/>
        <w:ind w:left="392"/>
        <w:rPr>
          <w:rFonts w:ascii="Calibri"/>
        </w:rPr>
      </w:pPr>
      <w:r>
        <w:rPr>
          <w:rFonts w:ascii="Calibri"/>
        </w:rPr>
        <w:t>80%</w:t>
      </w:r>
    </w:p>
    <w:p>
      <w:pPr>
        <w:pStyle w:val="BodyText"/>
        <w:spacing w:before="8"/>
        <w:rPr>
          <w:rFonts w:ascii="Calibri"/>
          <w:sz w:val="11"/>
        </w:rPr>
      </w:pPr>
    </w:p>
    <w:p>
      <w:pPr>
        <w:pStyle w:val="BodyText"/>
        <w:spacing w:before="61"/>
        <w:ind w:left="392"/>
        <w:rPr>
          <w:rFonts w:ascii="Calibri"/>
        </w:rPr>
      </w:pPr>
      <w:r>
        <w:rPr>
          <w:rFonts w:ascii="Calibri"/>
        </w:rPr>
        <w:t>60%</w:t>
      </w:r>
    </w:p>
    <w:p>
      <w:pPr>
        <w:pStyle w:val="BodyText"/>
        <w:spacing w:before="10"/>
        <w:rPr>
          <w:rFonts w:ascii="Calibri"/>
          <w:sz w:val="11"/>
        </w:rPr>
      </w:pPr>
    </w:p>
    <w:p>
      <w:pPr>
        <w:pStyle w:val="BodyText"/>
        <w:spacing w:before="61"/>
        <w:ind w:left="392"/>
        <w:rPr>
          <w:rFonts w:ascii="Calibri"/>
        </w:rPr>
      </w:pPr>
      <w:r>
        <w:rPr>
          <w:rFonts w:ascii="Calibri"/>
        </w:rPr>
        <w:t>40%</w:t>
      </w:r>
    </w:p>
    <w:p>
      <w:pPr>
        <w:pStyle w:val="BodyText"/>
        <w:spacing w:before="10"/>
        <w:rPr>
          <w:rFonts w:ascii="Calibri"/>
          <w:sz w:val="11"/>
        </w:rPr>
      </w:pPr>
    </w:p>
    <w:p>
      <w:pPr>
        <w:pStyle w:val="BodyText"/>
        <w:spacing w:before="60"/>
        <w:ind w:left="392"/>
        <w:rPr>
          <w:rFonts w:ascii="Calibri"/>
        </w:rPr>
      </w:pPr>
      <w:r>
        <w:rPr>
          <w:rFonts w:ascii="Calibri"/>
        </w:rPr>
        <w:t>20%</w:t>
      </w:r>
    </w:p>
    <w:p>
      <w:pPr>
        <w:pStyle w:val="BodyText"/>
        <w:spacing w:before="10"/>
        <w:rPr>
          <w:rFonts w:ascii="Calibri"/>
          <w:sz w:val="11"/>
        </w:rPr>
      </w:pPr>
    </w:p>
    <w:p>
      <w:pPr>
        <w:pStyle w:val="BodyText"/>
        <w:spacing w:before="61"/>
        <w:ind w:left="486"/>
        <w:rPr>
          <w:rFonts w:ascii="Calibri"/>
        </w:rPr>
      </w:pPr>
      <w:r>
        <w:rPr>
          <w:rFonts w:ascii="Calibri"/>
        </w:rPr>
        <w:t>0%</w:t>
      </w:r>
    </w:p>
    <w:p>
      <w:pPr>
        <w:pStyle w:val="BodyText"/>
        <w:tabs>
          <w:tab w:pos="1775" w:val="left" w:leader="none"/>
          <w:tab w:pos="4103" w:val="left" w:leader="none"/>
          <w:tab w:pos="4963" w:val="left" w:leader="none"/>
          <w:tab w:pos="5729" w:val="left" w:leader="none"/>
        </w:tabs>
        <w:spacing w:line="226" w:lineRule="exact" w:before="13"/>
        <w:ind w:left="987"/>
        <w:rPr>
          <w:rFonts w:ascii="Calibri"/>
        </w:rPr>
      </w:pPr>
      <w:r>
        <w:rPr>
          <w:rFonts w:ascii="Calibri"/>
        </w:rPr>
        <w:t>Canada</w:t>
        <w:tab/>
        <w:t>France  </w:t>
      </w:r>
      <w:r>
        <w:rPr>
          <w:rFonts w:ascii="Calibri"/>
          <w:spacing w:val="13"/>
        </w:rPr>
        <w:t> </w:t>
      </w:r>
      <w:r>
        <w:rPr>
          <w:rFonts w:ascii="Calibri"/>
        </w:rPr>
        <w:t>Germany  </w:t>
      </w:r>
      <w:r>
        <w:rPr>
          <w:rFonts w:ascii="Calibri"/>
          <w:spacing w:val="3"/>
        </w:rPr>
        <w:t> </w:t>
      </w:r>
      <w:r>
        <w:rPr>
          <w:rFonts w:ascii="Calibri"/>
        </w:rPr>
        <w:t>Ireland</w:t>
        <w:tab/>
        <w:t>Spain</w:t>
        <w:tab/>
        <w:t>UK</w:t>
        <w:tab/>
        <w:t>US</w:t>
      </w:r>
    </w:p>
    <w:p>
      <w:pPr>
        <w:pStyle w:val="BodyText"/>
        <w:tabs>
          <w:tab w:pos="2195" w:val="left" w:leader="none"/>
          <w:tab w:pos="3904" w:val="left" w:leader="none"/>
          <w:tab w:pos="5380" w:val="left" w:leader="none"/>
        </w:tabs>
        <w:spacing w:line="226" w:lineRule="exact"/>
        <w:ind w:left="724"/>
        <w:rPr>
          <w:rFonts w:ascii="Calibri"/>
        </w:rPr>
      </w:pPr>
      <w:r>
        <w:rPr/>
        <w:pict>
          <v:rect style="position:absolute;margin-left:96.839996pt;margin-top:3.396119pt;width:5.16pt;height:5.16pt;mso-position-horizontal-relative:page;mso-position-vertical-relative:paragraph;z-index:251702272" filled="true" fillcolor="#6d3a8c" stroked="false">
            <v:fill type="solid"/>
            <w10:wrap type="none"/>
          </v:rect>
        </w:pict>
      </w:r>
      <w:r>
        <w:rPr/>
        <w:pict>
          <v:rect style="position:absolute;margin-left:170.399994pt;margin-top:3.396119pt;width:5.16pt;height:5.16pt;mso-position-horizontal-relative:page;mso-position-vertical-relative:paragraph;z-index:-252869632" filled="true" fillcolor="#23c7dd" stroked="false">
            <v:fill type="solid"/>
            <w10:wrap type="none"/>
          </v:rect>
        </w:pict>
      </w:r>
      <w:r>
        <w:rPr/>
        <w:pict>
          <v:rect style="position:absolute;margin-left:255.779999pt;margin-top:3.396119pt;width:5.22pt;height:5.16pt;mso-position-horizontal-relative:page;mso-position-vertical-relative:paragraph;z-index:-252868608" filled="true" fillcolor="#e88518" stroked="false">
            <v:fill type="solid"/>
            <w10:wrap type="none"/>
          </v:rect>
        </w:pict>
      </w:r>
      <w:r>
        <w:rPr/>
        <w:pict>
          <v:rect style="position:absolute;margin-left:329.640015pt;margin-top:3.396119pt;width:5.1pt;height:5.16pt;mso-position-horizontal-relative:page;mso-position-vertical-relative:paragraph;z-index:-252867584" filled="true" fillcolor="#628341" stroked="false">
            <v:fill type="solid"/>
            <w10:wrap type="none"/>
          </v:rect>
        </w:pict>
      </w:r>
      <w:r>
        <w:rPr>
          <w:rFonts w:ascii="Calibri"/>
        </w:rPr>
        <w:t>Long</w:t>
      </w:r>
      <w:r>
        <w:rPr>
          <w:rFonts w:ascii="Calibri"/>
          <w:spacing w:val="-4"/>
        </w:rPr>
        <w:t> </w:t>
      </w:r>
      <w:r>
        <w:rPr>
          <w:rFonts w:ascii="Calibri"/>
        </w:rPr>
        <w:t>term</w:t>
      </w:r>
      <w:r>
        <w:rPr>
          <w:rFonts w:ascii="Calibri"/>
          <w:spacing w:val="-5"/>
        </w:rPr>
        <w:t> </w:t>
      </w:r>
      <w:r>
        <w:rPr>
          <w:rFonts w:ascii="Calibri"/>
        </w:rPr>
        <w:t>fixed</w:t>
        <w:tab/>
        <w:t>Medium</w:t>
      </w:r>
      <w:r>
        <w:rPr>
          <w:rFonts w:ascii="Calibri"/>
          <w:spacing w:val="-5"/>
        </w:rPr>
        <w:t> </w:t>
      </w:r>
      <w:r>
        <w:rPr>
          <w:rFonts w:ascii="Calibri"/>
        </w:rPr>
        <w:t>term</w:t>
      </w:r>
      <w:r>
        <w:rPr>
          <w:rFonts w:ascii="Calibri"/>
          <w:spacing w:val="-6"/>
        </w:rPr>
        <w:t> </w:t>
      </w:r>
      <w:r>
        <w:rPr>
          <w:rFonts w:ascii="Calibri"/>
        </w:rPr>
        <w:t>fixed</w:t>
        <w:tab/>
        <w:t>Short</w:t>
      </w:r>
      <w:r>
        <w:rPr>
          <w:rFonts w:ascii="Calibri"/>
          <w:spacing w:val="-2"/>
        </w:rPr>
        <w:t> </w:t>
      </w:r>
      <w:r>
        <w:rPr>
          <w:rFonts w:ascii="Calibri"/>
        </w:rPr>
        <w:t>term</w:t>
      </w:r>
      <w:r>
        <w:rPr>
          <w:rFonts w:ascii="Calibri"/>
          <w:spacing w:val="-6"/>
        </w:rPr>
        <w:t> </w:t>
      </w:r>
      <w:r>
        <w:rPr>
          <w:rFonts w:ascii="Calibri"/>
        </w:rPr>
        <w:t>fixed</w:t>
        <w:tab/>
        <w:t>Variable</w:t>
      </w:r>
      <w:r>
        <w:rPr>
          <w:rFonts w:ascii="Calibri"/>
          <w:spacing w:val="-2"/>
        </w:rPr>
        <w:t> </w:t>
      </w:r>
      <w:r>
        <w:rPr>
          <w:rFonts w:ascii="Calibri"/>
        </w:rPr>
        <w:t>rate</w:t>
      </w:r>
    </w:p>
    <w:p>
      <w:pPr>
        <w:spacing w:before="95"/>
        <w:ind w:left="226" w:right="218" w:firstLine="0"/>
        <w:jc w:val="left"/>
        <w:rPr>
          <w:sz w:val="15"/>
        </w:rPr>
      </w:pPr>
      <w:r>
        <w:rPr>
          <w:sz w:val="15"/>
        </w:rPr>
        <w:t>Source: Lea, M. (2010), “International comparison of mortgage product offerings”, Report, Research Institute for Housing America, Washington, September, available at </w:t>
      </w:r>
      <w:hyperlink r:id="rId10">
        <w:r>
          <w:rPr>
            <w:color w:val="0000FF"/>
            <w:sz w:val="15"/>
            <w:u w:val="single" w:color="0000FF"/>
          </w:rPr>
          <w:t>www.housingamerica.org/RIHA/RIHA/Publications/74023_10122_Research_RIHA_Lea_Report.pdf</w:t>
        </w:r>
      </w:hyperlink>
      <w:r>
        <w:rPr>
          <w:color w:val="0000FF"/>
          <w:sz w:val="15"/>
        </w:rPr>
        <w:t> </w:t>
      </w:r>
      <w:r>
        <w:rPr>
          <w:sz w:val="15"/>
        </w:rPr>
        <w:t>(accessed 23 October 2013).</w:t>
      </w:r>
    </w:p>
    <w:p>
      <w:pPr>
        <w:pStyle w:val="BodyText"/>
        <w:spacing w:before="7"/>
        <w:rPr>
          <w:sz w:val="28"/>
        </w:rPr>
      </w:pPr>
    </w:p>
    <w:p>
      <w:pPr>
        <w:pStyle w:val="Heading1"/>
        <w:spacing w:before="93"/>
      </w:pPr>
      <w:r>
        <w:rPr/>
        <w:t>Lower Leverage through greater use of outside equity</w:t>
      </w:r>
    </w:p>
    <w:p>
      <w:pPr>
        <w:pStyle w:val="BodyText"/>
        <w:rPr>
          <w:b/>
          <w:sz w:val="20"/>
        </w:rPr>
      </w:pPr>
    </w:p>
    <w:p>
      <w:pPr>
        <w:pStyle w:val="BodyText"/>
        <w:spacing w:before="8"/>
        <w:rPr>
          <w:b/>
          <w:sz w:val="16"/>
        </w:rPr>
      </w:pPr>
    </w:p>
    <w:p>
      <w:pPr>
        <w:pStyle w:val="BodyText"/>
        <w:spacing w:line="350" w:lineRule="auto"/>
        <w:ind w:left="226" w:right="156"/>
      </w:pPr>
      <w:r>
        <w:rPr/>
        <w:t>One answer is just to have people provide more own equity; that is to use more of their own funds and less debt to buy houses. This could be achieved by direct controls; more-or-less permanent limits on LTV ratios. But</w:t>
      </w:r>
      <w:r>
        <w:rPr>
          <w:spacing w:val="-6"/>
        </w:rPr>
        <w:t> </w:t>
      </w:r>
      <w:r>
        <w:rPr/>
        <w:t>if</w:t>
      </w:r>
      <w:r>
        <w:rPr>
          <w:spacing w:val="-8"/>
        </w:rPr>
        <w:t> </w:t>
      </w:r>
      <w:r>
        <w:rPr/>
        <w:t>the</w:t>
      </w:r>
      <w:r>
        <w:rPr>
          <w:spacing w:val="-7"/>
        </w:rPr>
        <w:t> </w:t>
      </w:r>
      <w:r>
        <w:rPr/>
        <w:t>only</w:t>
      </w:r>
      <w:r>
        <w:rPr>
          <w:spacing w:val="-6"/>
        </w:rPr>
        <w:t> </w:t>
      </w:r>
      <w:r>
        <w:rPr/>
        <w:t>source</w:t>
      </w:r>
      <w:r>
        <w:rPr>
          <w:spacing w:val="-7"/>
        </w:rPr>
        <w:t> </w:t>
      </w:r>
      <w:r>
        <w:rPr/>
        <w:t>of</w:t>
      </w:r>
      <w:r>
        <w:rPr>
          <w:spacing w:val="-7"/>
        </w:rPr>
        <w:t> </w:t>
      </w:r>
      <w:r>
        <w:rPr/>
        <w:t>equity</w:t>
      </w:r>
      <w:r>
        <w:rPr>
          <w:spacing w:val="-7"/>
        </w:rPr>
        <w:t> </w:t>
      </w:r>
      <w:r>
        <w:rPr/>
        <w:t>is</w:t>
      </w:r>
      <w:r>
        <w:rPr>
          <w:spacing w:val="-7"/>
        </w:rPr>
        <w:t> </w:t>
      </w:r>
      <w:r>
        <w:rPr/>
        <w:t>from</w:t>
      </w:r>
      <w:r>
        <w:rPr>
          <w:spacing w:val="-7"/>
        </w:rPr>
        <w:t> </w:t>
      </w:r>
      <w:r>
        <w:rPr/>
        <w:t>the</w:t>
      </w:r>
      <w:r>
        <w:rPr>
          <w:spacing w:val="-8"/>
        </w:rPr>
        <w:t> </w:t>
      </w:r>
      <w:r>
        <w:rPr/>
        <w:t>potential</w:t>
      </w:r>
      <w:r>
        <w:rPr>
          <w:spacing w:val="-7"/>
        </w:rPr>
        <w:t> </w:t>
      </w:r>
      <w:r>
        <w:rPr/>
        <w:t>home</w:t>
      </w:r>
      <w:r>
        <w:rPr>
          <w:spacing w:val="-7"/>
        </w:rPr>
        <w:t> </w:t>
      </w:r>
      <w:r>
        <w:rPr/>
        <w:t>owner</w:t>
      </w:r>
      <w:r>
        <w:rPr>
          <w:spacing w:val="-7"/>
        </w:rPr>
        <w:t> </w:t>
      </w:r>
      <w:r>
        <w:rPr/>
        <w:t>the</w:t>
      </w:r>
      <w:r>
        <w:rPr>
          <w:spacing w:val="-6"/>
        </w:rPr>
        <w:t> </w:t>
      </w:r>
      <w:r>
        <w:rPr/>
        <w:t>impact</w:t>
      </w:r>
      <w:r>
        <w:rPr>
          <w:spacing w:val="-7"/>
        </w:rPr>
        <w:t> </w:t>
      </w:r>
      <w:r>
        <w:rPr/>
        <w:t>of</w:t>
      </w:r>
      <w:r>
        <w:rPr>
          <w:spacing w:val="-7"/>
        </w:rPr>
        <w:t> </w:t>
      </w:r>
      <w:r>
        <w:rPr/>
        <w:t>much</w:t>
      </w:r>
      <w:r>
        <w:rPr>
          <w:spacing w:val="-8"/>
        </w:rPr>
        <w:t> </w:t>
      </w:r>
      <w:r>
        <w:rPr/>
        <w:t>higher</w:t>
      </w:r>
      <w:r>
        <w:rPr>
          <w:spacing w:val="-7"/>
        </w:rPr>
        <w:t> </w:t>
      </w:r>
      <w:r>
        <w:rPr/>
        <w:t>equity</w:t>
      </w:r>
      <w:r>
        <w:rPr>
          <w:spacing w:val="-8"/>
        </w:rPr>
        <w:t> </w:t>
      </w:r>
      <w:r>
        <w:rPr/>
        <w:t>funding</w:t>
      </w:r>
      <w:r>
        <w:rPr>
          <w:spacing w:val="-7"/>
        </w:rPr>
        <w:t> </w:t>
      </w:r>
      <w:r>
        <w:rPr/>
        <w:t>on home ownership could be dramatic and unwelcome. In many countries average house prices are around 4 or 5 times average annual incomes – in some countries the ratio is higher.</w:t>
      </w:r>
      <w:r>
        <w:rPr>
          <w:vertAlign w:val="superscript"/>
        </w:rPr>
        <w:t>3</w:t>
      </w:r>
      <w:r>
        <w:rPr>
          <w:vertAlign w:val="baseline"/>
        </w:rPr>
        <w:t> Suppose the typical price to income ratio is 5 and it is desirable to have 30% of own equity at purchase (which would still be a high gearing</w:t>
      </w:r>
      <w:r>
        <w:rPr>
          <w:spacing w:val="-9"/>
          <w:vertAlign w:val="baseline"/>
        </w:rPr>
        <w:t> </w:t>
      </w:r>
      <w:r>
        <w:rPr>
          <w:vertAlign w:val="baseline"/>
        </w:rPr>
        <w:t>rate</w:t>
      </w:r>
      <w:r>
        <w:rPr>
          <w:spacing w:val="-6"/>
          <w:vertAlign w:val="baseline"/>
        </w:rPr>
        <w:t> </w:t>
      </w:r>
      <w:r>
        <w:rPr>
          <w:vertAlign w:val="baseline"/>
        </w:rPr>
        <w:t>for</w:t>
      </w:r>
      <w:r>
        <w:rPr>
          <w:spacing w:val="-8"/>
          <w:vertAlign w:val="baseline"/>
        </w:rPr>
        <w:t> </w:t>
      </w:r>
      <w:r>
        <w:rPr>
          <w:vertAlign w:val="baseline"/>
        </w:rPr>
        <w:t>most</w:t>
      </w:r>
      <w:r>
        <w:rPr>
          <w:spacing w:val="-6"/>
          <w:vertAlign w:val="baseline"/>
        </w:rPr>
        <w:t> </w:t>
      </w:r>
      <w:r>
        <w:rPr>
          <w:vertAlign w:val="baseline"/>
        </w:rPr>
        <w:t>non-financial</w:t>
      </w:r>
      <w:r>
        <w:rPr>
          <w:spacing w:val="-7"/>
          <w:vertAlign w:val="baseline"/>
        </w:rPr>
        <w:t> </w:t>
      </w:r>
      <w:r>
        <w:rPr>
          <w:vertAlign w:val="baseline"/>
        </w:rPr>
        <w:t>companies).</w:t>
      </w:r>
      <w:r>
        <w:rPr>
          <w:spacing w:val="40"/>
          <w:vertAlign w:val="baseline"/>
        </w:rPr>
        <w:t> </w:t>
      </w:r>
      <w:r>
        <w:rPr>
          <w:vertAlign w:val="baseline"/>
        </w:rPr>
        <w:t>If</w:t>
      </w:r>
      <w:r>
        <w:rPr>
          <w:spacing w:val="-7"/>
          <w:vertAlign w:val="baseline"/>
        </w:rPr>
        <w:t> </w:t>
      </w:r>
      <w:r>
        <w:rPr>
          <w:vertAlign w:val="baseline"/>
        </w:rPr>
        <w:t>potential</w:t>
      </w:r>
      <w:r>
        <w:rPr>
          <w:spacing w:val="-7"/>
          <w:vertAlign w:val="baseline"/>
        </w:rPr>
        <w:t> </w:t>
      </w:r>
      <w:r>
        <w:rPr>
          <w:vertAlign w:val="baseline"/>
        </w:rPr>
        <w:t>home</w:t>
      </w:r>
      <w:r>
        <w:rPr>
          <w:spacing w:val="-7"/>
          <w:vertAlign w:val="baseline"/>
        </w:rPr>
        <w:t> </w:t>
      </w:r>
      <w:r>
        <w:rPr>
          <w:vertAlign w:val="baseline"/>
        </w:rPr>
        <w:t>owners</w:t>
      </w:r>
      <w:r>
        <w:rPr>
          <w:spacing w:val="-7"/>
          <w:vertAlign w:val="baseline"/>
        </w:rPr>
        <w:t> </w:t>
      </w:r>
      <w:r>
        <w:rPr>
          <w:vertAlign w:val="baseline"/>
        </w:rPr>
        <w:t>can</w:t>
      </w:r>
      <w:r>
        <w:rPr>
          <w:spacing w:val="-6"/>
          <w:vertAlign w:val="baseline"/>
        </w:rPr>
        <w:t> </w:t>
      </w:r>
      <w:r>
        <w:rPr>
          <w:vertAlign w:val="baseline"/>
        </w:rPr>
        <w:t>save</w:t>
      </w:r>
      <w:r>
        <w:rPr>
          <w:spacing w:val="-8"/>
          <w:vertAlign w:val="baseline"/>
        </w:rPr>
        <w:t> </w:t>
      </w:r>
      <w:r>
        <w:rPr>
          <w:vertAlign w:val="baseline"/>
        </w:rPr>
        <w:t>10%</w:t>
      </w:r>
      <w:r>
        <w:rPr>
          <w:spacing w:val="-5"/>
          <w:vertAlign w:val="baseline"/>
        </w:rPr>
        <w:t> </w:t>
      </w:r>
      <w:r>
        <w:rPr>
          <w:vertAlign w:val="baseline"/>
        </w:rPr>
        <w:t>of</w:t>
      </w:r>
      <w:r>
        <w:rPr>
          <w:spacing w:val="-7"/>
          <w:vertAlign w:val="baseline"/>
        </w:rPr>
        <w:t> </w:t>
      </w:r>
      <w:r>
        <w:rPr>
          <w:vertAlign w:val="baseline"/>
        </w:rPr>
        <w:t>income</w:t>
      </w:r>
      <w:r>
        <w:rPr>
          <w:spacing w:val="-7"/>
          <w:vertAlign w:val="baseline"/>
        </w:rPr>
        <w:t> </w:t>
      </w:r>
      <w:r>
        <w:rPr>
          <w:vertAlign w:val="baseline"/>
        </w:rPr>
        <w:t>from</w:t>
      </w:r>
      <w:r>
        <w:rPr>
          <w:spacing w:val="-6"/>
          <w:vertAlign w:val="baseline"/>
        </w:rPr>
        <w:t> </w:t>
      </w:r>
      <w:r>
        <w:rPr>
          <w:vertAlign w:val="baseline"/>
        </w:rPr>
        <w:t>age 25</w:t>
      </w:r>
      <w:r>
        <w:rPr>
          <w:spacing w:val="-7"/>
          <w:vertAlign w:val="baseline"/>
        </w:rPr>
        <w:t> </w:t>
      </w:r>
      <w:r>
        <w:rPr>
          <w:vertAlign w:val="baseline"/>
        </w:rPr>
        <w:t>it</w:t>
      </w:r>
      <w:r>
        <w:rPr>
          <w:spacing w:val="-2"/>
          <w:vertAlign w:val="baseline"/>
        </w:rPr>
        <w:t> </w:t>
      </w:r>
      <w:r>
        <w:rPr>
          <w:vertAlign w:val="baseline"/>
        </w:rPr>
        <w:t>would</w:t>
      </w:r>
      <w:r>
        <w:rPr>
          <w:spacing w:val="-5"/>
          <w:vertAlign w:val="baseline"/>
        </w:rPr>
        <w:t> </w:t>
      </w:r>
      <w:r>
        <w:rPr>
          <w:vertAlign w:val="baseline"/>
        </w:rPr>
        <w:t>take</w:t>
      </w:r>
      <w:r>
        <w:rPr>
          <w:spacing w:val="-4"/>
          <w:vertAlign w:val="baseline"/>
        </w:rPr>
        <w:t> </w:t>
      </w:r>
      <w:r>
        <w:rPr>
          <w:vertAlign w:val="baseline"/>
        </w:rPr>
        <w:t>close</w:t>
      </w:r>
      <w:r>
        <w:rPr>
          <w:spacing w:val="-6"/>
          <w:vertAlign w:val="baseline"/>
        </w:rPr>
        <w:t> </w:t>
      </w:r>
      <w:r>
        <w:rPr>
          <w:vertAlign w:val="baseline"/>
        </w:rPr>
        <w:t>to</w:t>
      </w:r>
      <w:r>
        <w:rPr>
          <w:spacing w:val="-5"/>
          <w:vertAlign w:val="baseline"/>
        </w:rPr>
        <w:t> </w:t>
      </w:r>
      <w:r>
        <w:rPr>
          <w:vertAlign w:val="baseline"/>
        </w:rPr>
        <w:t>15</w:t>
      </w:r>
      <w:r>
        <w:rPr>
          <w:spacing w:val="-6"/>
          <w:vertAlign w:val="baseline"/>
        </w:rPr>
        <w:t> </w:t>
      </w:r>
      <w:r>
        <w:rPr>
          <w:vertAlign w:val="baseline"/>
        </w:rPr>
        <w:t>years</w:t>
      </w:r>
      <w:r>
        <w:rPr>
          <w:spacing w:val="-3"/>
          <w:vertAlign w:val="baseline"/>
        </w:rPr>
        <w:t> </w:t>
      </w:r>
      <w:r>
        <w:rPr>
          <w:vertAlign w:val="baseline"/>
        </w:rPr>
        <w:t>to</w:t>
      </w:r>
      <w:r>
        <w:rPr>
          <w:spacing w:val="-6"/>
          <w:vertAlign w:val="baseline"/>
        </w:rPr>
        <w:t> </w:t>
      </w:r>
      <w:r>
        <w:rPr>
          <w:vertAlign w:val="baseline"/>
        </w:rPr>
        <w:t>get</w:t>
      </w:r>
      <w:r>
        <w:rPr>
          <w:spacing w:val="-4"/>
          <w:vertAlign w:val="baseline"/>
        </w:rPr>
        <w:t> </w:t>
      </w:r>
      <w:r>
        <w:rPr>
          <w:vertAlign w:val="baseline"/>
        </w:rPr>
        <w:t>the</w:t>
      </w:r>
      <w:r>
        <w:rPr>
          <w:spacing w:val="-5"/>
          <w:vertAlign w:val="baseline"/>
        </w:rPr>
        <w:t> </w:t>
      </w:r>
      <w:r>
        <w:rPr>
          <w:vertAlign w:val="baseline"/>
        </w:rPr>
        <w:t>equity</w:t>
      </w:r>
      <w:r>
        <w:rPr>
          <w:spacing w:val="-5"/>
          <w:vertAlign w:val="baseline"/>
        </w:rPr>
        <w:t> </w:t>
      </w:r>
      <w:r>
        <w:rPr>
          <w:vertAlign w:val="baseline"/>
        </w:rPr>
        <w:t>assuming</w:t>
      </w:r>
      <w:r>
        <w:rPr>
          <w:spacing w:val="-5"/>
          <w:vertAlign w:val="baseline"/>
        </w:rPr>
        <w:t> </w:t>
      </w:r>
      <w:r>
        <w:rPr>
          <w:vertAlign w:val="baseline"/>
        </w:rPr>
        <w:t>they</w:t>
      </w:r>
      <w:r>
        <w:rPr>
          <w:spacing w:val="-5"/>
          <w:vertAlign w:val="baseline"/>
        </w:rPr>
        <w:t> </w:t>
      </w:r>
      <w:r>
        <w:rPr>
          <w:vertAlign w:val="baseline"/>
        </w:rPr>
        <w:t>can</w:t>
      </w:r>
      <w:r>
        <w:rPr>
          <w:spacing w:val="-6"/>
          <w:vertAlign w:val="baseline"/>
        </w:rPr>
        <w:t> </w:t>
      </w:r>
      <w:r>
        <w:rPr>
          <w:vertAlign w:val="baseline"/>
        </w:rPr>
        <w:t>earn</w:t>
      </w:r>
      <w:r>
        <w:rPr>
          <w:spacing w:val="-5"/>
          <w:vertAlign w:val="baseline"/>
        </w:rPr>
        <w:t> </w:t>
      </w:r>
      <w:r>
        <w:rPr>
          <w:vertAlign w:val="baseline"/>
        </w:rPr>
        <w:t>a</w:t>
      </w:r>
      <w:r>
        <w:rPr>
          <w:spacing w:val="-5"/>
          <w:vertAlign w:val="baseline"/>
        </w:rPr>
        <w:t> </w:t>
      </w:r>
      <w:r>
        <w:rPr>
          <w:vertAlign w:val="baseline"/>
        </w:rPr>
        <w:t>return</w:t>
      </w:r>
      <w:r>
        <w:rPr>
          <w:spacing w:val="-6"/>
          <w:vertAlign w:val="baseline"/>
        </w:rPr>
        <w:t> </w:t>
      </w:r>
      <w:r>
        <w:rPr>
          <w:vertAlign w:val="baseline"/>
        </w:rPr>
        <w:t>on</w:t>
      </w:r>
      <w:r>
        <w:rPr>
          <w:spacing w:val="-5"/>
          <w:vertAlign w:val="baseline"/>
        </w:rPr>
        <w:t> </w:t>
      </w:r>
      <w:r>
        <w:rPr>
          <w:vertAlign w:val="baseline"/>
        </w:rPr>
        <w:t>savings</w:t>
      </w:r>
      <w:r>
        <w:rPr>
          <w:spacing w:val="-3"/>
          <w:vertAlign w:val="baseline"/>
        </w:rPr>
        <w:t> </w:t>
      </w:r>
      <w:r>
        <w:rPr>
          <w:vertAlign w:val="baseline"/>
        </w:rPr>
        <w:t>close</w:t>
      </w:r>
      <w:r>
        <w:rPr>
          <w:spacing w:val="-7"/>
          <w:vertAlign w:val="baseline"/>
        </w:rPr>
        <w:t> </w:t>
      </w:r>
      <w:r>
        <w:rPr>
          <w:vertAlign w:val="baseline"/>
        </w:rPr>
        <w:t>to</w:t>
      </w:r>
      <w:r>
        <w:rPr>
          <w:spacing w:val="-6"/>
          <w:vertAlign w:val="baseline"/>
        </w:rPr>
        <w:t> </w:t>
      </w:r>
      <w:r>
        <w:rPr>
          <w:vertAlign w:val="baseline"/>
        </w:rPr>
        <w:t>the</w:t>
      </w:r>
    </w:p>
    <w:p>
      <w:pPr>
        <w:pStyle w:val="BodyText"/>
        <w:spacing w:before="5"/>
        <w:rPr>
          <w:sz w:val="26"/>
        </w:rPr>
      </w:pPr>
      <w:r>
        <w:rPr/>
        <w:pict>
          <v:shape style="position:absolute;margin-left:79.320pt;margin-top:17.411695pt;width:135.5pt;height:.1pt;mso-position-horizontal-relative:page;mso-position-vertical-relative:paragraph;z-index:-251616256;mso-wrap-distance-left:0;mso-wrap-distance-right:0" coordorigin="1586,348" coordsize="2710,0" path="m1586,348l4296,348e" filled="false" stroked="true" strokeweight=".48pt" strokecolor="#000000">
            <v:path arrowok="t"/>
            <v:stroke dashstyle="solid"/>
            <w10:wrap type="topAndBottom"/>
          </v:shape>
        </w:pict>
      </w:r>
    </w:p>
    <w:p>
      <w:pPr>
        <w:spacing w:before="27"/>
        <w:ind w:left="226" w:right="133" w:firstLine="0"/>
        <w:jc w:val="left"/>
        <w:rPr>
          <w:sz w:val="15"/>
        </w:rPr>
      </w:pPr>
      <w:r>
        <w:rPr>
          <w:position w:val="8"/>
          <w:sz w:val="9"/>
        </w:rPr>
        <w:t>3 </w:t>
      </w:r>
      <w:r>
        <w:rPr>
          <w:sz w:val="15"/>
        </w:rPr>
        <w:t>The median sale price for new houses sold in the US (from St. Louis Fed) relative to nominal gross disposable income per household (population/average household size) is about 3. In comparison, taking data from Numbeo.com, which is a database of user contributed data, for the 20 largest US cities (excluding El Paso as data are not available) and weighting by population yields a figure close to 5. For the UK, Land Registry data gives an estimate of around 4. But dividing average UK house prices (published by the DCLG) by the average disposable income per household gives a figure of 6.7 for 2010. Numbeo.com also puts the UK ratio at close to 7 based on user supplied data. The Numbeo data implies the typical house price to income ratio for Germany Ireland and Canada is around 5; for France and Spain it appears to be rather higher. According to a study recently published by the Reserve Bank of Australia on Dwelling Prices and Household Income (see Graph 5 in </w:t>
      </w:r>
      <w:hyperlink r:id="rId11">
        <w:r>
          <w:rPr>
            <w:sz w:val="15"/>
          </w:rPr>
          <w:t>http://www.rba.gov.au/publications/bulletin/2012/dec/2.html), </w:t>
        </w:r>
      </w:hyperlink>
      <w:r>
        <w:rPr>
          <w:sz w:val="15"/>
        </w:rPr>
        <w:t>average dwelling prices are 4-5 times of the average household disposable income in many developed</w:t>
      </w:r>
      <w:r>
        <w:rPr>
          <w:spacing w:val="-9"/>
          <w:sz w:val="15"/>
        </w:rPr>
        <w:t> </w:t>
      </w:r>
      <w:r>
        <w:rPr>
          <w:sz w:val="15"/>
        </w:rPr>
        <w:t>countries.</w:t>
      </w:r>
    </w:p>
    <w:p>
      <w:pPr>
        <w:spacing w:after="0"/>
        <w:jc w:val="left"/>
        <w:rPr>
          <w:sz w:val="15"/>
        </w:rPr>
        <w:sectPr>
          <w:footerReference w:type="default" r:id="rId9"/>
          <w:pgSz w:w="12240" w:h="15840"/>
          <w:pgMar w:footer="1240" w:header="0" w:top="1380" w:bottom="1440" w:left="1360" w:right="1480"/>
          <w:pgNumType w:start="9"/>
        </w:sectPr>
      </w:pPr>
    </w:p>
    <w:p>
      <w:pPr>
        <w:pStyle w:val="BodyText"/>
        <w:spacing w:line="352" w:lineRule="auto" w:before="75"/>
        <w:ind w:left="226"/>
      </w:pPr>
      <w:r>
        <w:rPr/>
        <w:t>average rate of house price increase. That would mean that the date of becoming an owner occupier gets driven</w:t>
      </w:r>
      <w:r>
        <w:rPr>
          <w:spacing w:val="-8"/>
        </w:rPr>
        <w:t> </w:t>
      </w:r>
      <w:r>
        <w:rPr/>
        <w:t>back</w:t>
      </w:r>
      <w:r>
        <w:rPr>
          <w:spacing w:val="-8"/>
        </w:rPr>
        <w:t> </w:t>
      </w:r>
      <w:r>
        <w:rPr/>
        <w:t>to</w:t>
      </w:r>
      <w:r>
        <w:rPr>
          <w:spacing w:val="-7"/>
        </w:rPr>
        <w:t> </w:t>
      </w:r>
      <w:r>
        <w:rPr/>
        <w:t>around</w:t>
      </w:r>
      <w:r>
        <w:rPr>
          <w:spacing w:val="-8"/>
        </w:rPr>
        <w:t> </w:t>
      </w:r>
      <w:r>
        <w:rPr/>
        <w:t>40,</w:t>
      </w:r>
      <w:r>
        <w:rPr>
          <w:spacing w:val="-8"/>
        </w:rPr>
        <w:t> </w:t>
      </w:r>
      <w:r>
        <w:rPr/>
        <w:t>which</w:t>
      </w:r>
      <w:r>
        <w:rPr>
          <w:spacing w:val="-6"/>
        </w:rPr>
        <w:t> </w:t>
      </w:r>
      <w:r>
        <w:rPr/>
        <w:t>would</w:t>
      </w:r>
      <w:r>
        <w:rPr>
          <w:spacing w:val="-7"/>
        </w:rPr>
        <w:t> </w:t>
      </w:r>
      <w:r>
        <w:rPr/>
        <w:t>mean</w:t>
      </w:r>
      <w:r>
        <w:rPr>
          <w:spacing w:val="-8"/>
        </w:rPr>
        <w:t> </w:t>
      </w:r>
      <w:r>
        <w:rPr/>
        <w:t>that</w:t>
      </w:r>
      <w:r>
        <w:rPr>
          <w:spacing w:val="-7"/>
        </w:rPr>
        <w:t> </w:t>
      </w:r>
      <w:r>
        <w:rPr/>
        <w:t>owner</w:t>
      </w:r>
      <w:r>
        <w:rPr>
          <w:spacing w:val="-8"/>
        </w:rPr>
        <w:t> </w:t>
      </w:r>
      <w:r>
        <w:rPr/>
        <w:t>occupation</w:t>
      </w:r>
      <w:r>
        <w:rPr>
          <w:spacing w:val="-8"/>
        </w:rPr>
        <w:t> </w:t>
      </w:r>
      <w:r>
        <w:rPr/>
        <w:t>rates</w:t>
      </w:r>
      <w:r>
        <w:rPr>
          <w:spacing w:val="-5"/>
        </w:rPr>
        <w:t> </w:t>
      </w:r>
      <w:r>
        <w:rPr/>
        <w:t>would</w:t>
      </w:r>
      <w:r>
        <w:rPr>
          <w:spacing w:val="-7"/>
        </w:rPr>
        <w:t> </w:t>
      </w:r>
      <w:r>
        <w:rPr/>
        <w:t>need</w:t>
      </w:r>
      <w:r>
        <w:rPr>
          <w:spacing w:val="-7"/>
        </w:rPr>
        <w:t> </w:t>
      </w:r>
      <w:r>
        <w:rPr/>
        <w:t>to</w:t>
      </w:r>
      <w:r>
        <w:rPr>
          <w:spacing w:val="-8"/>
        </w:rPr>
        <w:t> </w:t>
      </w:r>
      <w:r>
        <w:rPr/>
        <w:t>look</w:t>
      </w:r>
      <w:r>
        <w:rPr>
          <w:spacing w:val="-7"/>
        </w:rPr>
        <w:t> </w:t>
      </w:r>
      <w:r>
        <w:rPr/>
        <w:t>much</w:t>
      </w:r>
      <w:r>
        <w:rPr>
          <w:spacing w:val="-8"/>
        </w:rPr>
        <w:t> </w:t>
      </w:r>
      <w:r>
        <w:rPr/>
        <w:t>more</w:t>
      </w:r>
      <w:r>
        <w:rPr>
          <w:spacing w:val="-8"/>
        </w:rPr>
        <w:t> </w:t>
      </w:r>
      <w:r>
        <w:rPr/>
        <w:t>like those in Germany than in the US or the</w:t>
      </w:r>
      <w:r>
        <w:rPr>
          <w:spacing w:val="-11"/>
        </w:rPr>
        <w:t> </w:t>
      </w:r>
      <w:r>
        <w:rPr/>
        <w:t>UK.</w:t>
      </w:r>
    </w:p>
    <w:p>
      <w:pPr>
        <w:pStyle w:val="BodyText"/>
        <w:spacing w:before="5"/>
        <w:rPr>
          <w:sz w:val="27"/>
        </w:rPr>
      </w:pPr>
    </w:p>
    <w:p>
      <w:pPr>
        <w:pStyle w:val="BodyText"/>
        <w:spacing w:line="352" w:lineRule="auto"/>
        <w:ind w:left="226" w:right="105"/>
      </w:pPr>
      <w:r>
        <w:rPr/>
        <w:t>But if outside equity (or equity-like funding) were more readily available gearing might be significantly reduced yet have a limited impact on home ownership patterns. It is the scope for different types of outside equity type funding that I consider in the rest of this paper.</w:t>
      </w:r>
    </w:p>
    <w:p>
      <w:pPr>
        <w:pStyle w:val="BodyText"/>
        <w:spacing w:before="6"/>
        <w:rPr>
          <w:sz w:val="27"/>
        </w:rPr>
      </w:pPr>
    </w:p>
    <w:p>
      <w:pPr>
        <w:pStyle w:val="BodyText"/>
        <w:spacing w:line="350" w:lineRule="auto"/>
        <w:ind w:left="226"/>
      </w:pPr>
      <w:r>
        <w:rPr/>
        <w:t>The idea of equity type funding of house purchase which shares risk between owner-occupiers and outside providers of funding is not a new one. There have been several attempts to develop markets for types of shared equity funding – most notably in Australia, and to a lesser extent in the UK and the US (See Whitehead (2010), Caplin et al (1997, 2007, 2008), and Shiller (1998, 2003)). But outside equity funding remains a very small part of the financing of house purchase. I want to explore the type of contracts that – in principle – might be feasible and their potential advantages. The main point I make is that a continuum of contracts – where home owners face a menu of choices over how much house price risk (much of which is idiosyncratic) they want to take – could be envisaged. Practical issues with the implementation of such idealised contracts are significant and I will briefly discuss them too. I start by describing a particular type of flexible, risk-sharing funding.</w:t>
      </w:r>
    </w:p>
    <w:p>
      <w:pPr>
        <w:pStyle w:val="BodyText"/>
        <w:spacing w:before="6"/>
        <w:rPr>
          <w:sz w:val="28"/>
        </w:rPr>
      </w:pPr>
    </w:p>
    <w:p>
      <w:pPr>
        <w:pStyle w:val="Heading1"/>
      </w:pPr>
      <w:r>
        <w:rPr/>
        <w:t>Risk sharing funding</w:t>
      </w:r>
      <w:r>
        <w:rPr>
          <w:vertAlign w:val="superscript"/>
        </w:rPr>
        <w:t>4</w:t>
      </w:r>
    </w:p>
    <w:p>
      <w:pPr>
        <w:pStyle w:val="BodyText"/>
        <w:rPr>
          <w:b/>
          <w:sz w:val="24"/>
        </w:rPr>
      </w:pPr>
    </w:p>
    <w:p>
      <w:pPr>
        <w:pStyle w:val="BodyText"/>
        <w:spacing w:line="352" w:lineRule="auto" w:before="146"/>
        <w:ind w:left="226" w:right="166"/>
        <w:jc w:val="both"/>
      </w:pPr>
      <w:r>
        <w:rPr/>
        <w:t>Saving</w:t>
      </w:r>
      <w:r>
        <w:rPr>
          <w:spacing w:val="-9"/>
        </w:rPr>
        <w:t> </w:t>
      </w:r>
      <w:r>
        <w:rPr/>
        <w:t>by</w:t>
      </w:r>
      <w:r>
        <w:rPr>
          <w:spacing w:val="-8"/>
        </w:rPr>
        <w:t> </w:t>
      </w:r>
      <w:r>
        <w:rPr/>
        <w:t>the</w:t>
      </w:r>
      <w:r>
        <w:rPr>
          <w:spacing w:val="-7"/>
        </w:rPr>
        <w:t> </w:t>
      </w:r>
      <w:r>
        <w:rPr/>
        <w:t>prospective</w:t>
      </w:r>
      <w:r>
        <w:rPr>
          <w:spacing w:val="-10"/>
        </w:rPr>
        <w:t> </w:t>
      </w:r>
      <w:r>
        <w:rPr/>
        <w:t>home</w:t>
      </w:r>
      <w:r>
        <w:rPr>
          <w:spacing w:val="-8"/>
        </w:rPr>
        <w:t> </w:t>
      </w:r>
      <w:r>
        <w:rPr/>
        <w:t>owner</w:t>
      </w:r>
      <w:r>
        <w:rPr>
          <w:spacing w:val="-9"/>
        </w:rPr>
        <w:t> </w:t>
      </w:r>
      <w:r>
        <w:rPr/>
        <w:t>–</w:t>
      </w:r>
      <w:r>
        <w:rPr>
          <w:spacing w:val="-8"/>
        </w:rPr>
        <w:t> </w:t>
      </w:r>
      <w:r>
        <w:rPr/>
        <w:t>the</w:t>
      </w:r>
      <w:r>
        <w:rPr>
          <w:spacing w:val="-8"/>
        </w:rPr>
        <w:t> </w:t>
      </w:r>
      <w:r>
        <w:rPr/>
        <w:t>provision</w:t>
      </w:r>
      <w:r>
        <w:rPr>
          <w:spacing w:val="-8"/>
        </w:rPr>
        <w:t> </w:t>
      </w:r>
      <w:r>
        <w:rPr/>
        <w:t>of</w:t>
      </w:r>
      <w:r>
        <w:rPr>
          <w:spacing w:val="-7"/>
        </w:rPr>
        <w:t> </w:t>
      </w:r>
      <w:r>
        <w:rPr/>
        <w:t>internal</w:t>
      </w:r>
      <w:r>
        <w:rPr>
          <w:spacing w:val="-7"/>
        </w:rPr>
        <w:t> </w:t>
      </w:r>
      <w:r>
        <w:rPr/>
        <w:t>equity</w:t>
      </w:r>
      <w:r>
        <w:rPr>
          <w:spacing w:val="-8"/>
        </w:rPr>
        <w:t> </w:t>
      </w:r>
      <w:r>
        <w:rPr/>
        <w:t>–</w:t>
      </w:r>
      <w:r>
        <w:rPr>
          <w:spacing w:val="-9"/>
        </w:rPr>
        <w:t> </w:t>
      </w:r>
      <w:r>
        <w:rPr/>
        <w:t>has</w:t>
      </w:r>
      <w:r>
        <w:rPr>
          <w:spacing w:val="-6"/>
        </w:rPr>
        <w:t> </w:t>
      </w:r>
      <w:r>
        <w:rPr/>
        <w:t>historically</w:t>
      </w:r>
      <w:r>
        <w:rPr>
          <w:spacing w:val="-8"/>
        </w:rPr>
        <w:t> </w:t>
      </w:r>
      <w:r>
        <w:rPr/>
        <w:t>been</w:t>
      </w:r>
      <w:r>
        <w:rPr>
          <w:spacing w:val="-9"/>
        </w:rPr>
        <w:t> </w:t>
      </w:r>
      <w:r>
        <w:rPr/>
        <w:t>the</w:t>
      </w:r>
      <w:r>
        <w:rPr>
          <w:spacing w:val="-8"/>
        </w:rPr>
        <w:t> </w:t>
      </w:r>
      <w:r>
        <w:rPr/>
        <w:t>dominant form of equity. But there are feasible sources of external equity where the financial contracts are analogous to home owners issuing equity (shares) in their own</w:t>
      </w:r>
      <w:r>
        <w:rPr>
          <w:spacing w:val="-14"/>
        </w:rPr>
        <w:t> </w:t>
      </w:r>
      <w:r>
        <w:rPr/>
        <w:t>home.</w:t>
      </w:r>
    </w:p>
    <w:p>
      <w:pPr>
        <w:pStyle w:val="BodyText"/>
        <w:spacing w:before="5"/>
        <w:rPr>
          <w:sz w:val="27"/>
        </w:rPr>
      </w:pPr>
    </w:p>
    <w:p>
      <w:pPr>
        <w:pStyle w:val="BodyText"/>
        <w:spacing w:line="350" w:lineRule="auto"/>
        <w:ind w:left="226" w:right="120"/>
      </w:pPr>
      <w:r>
        <w:rPr/>
        <w:t>I take the key feature of outside equity financing to be that it is a form of funding where the repayment value is explicitly linked to the value of the home. From the point of view of the funder this means that their rate of return depends on the value of the property whose purchase they help finance. I consider a type of contract where</w:t>
      </w:r>
      <w:r>
        <w:rPr>
          <w:spacing w:val="-7"/>
        </w:rPr>
        <w:t> </w:t>
      </w:r>
      <w:r>
        <w:rPr/>
        <w:t>the</w:t>
      </w:r>
      <w:r>
        <w:rPr>
          <w:spacing w:val="-6"/>
        </w:rPr>
        <w:t> </w:t>
      </w:r>
      <w:r>
        <w:rPr/>
        <w:t>return</w:t>
      </w:r>
      <w:r>
        <w:rPr>
          <w:spacing w:val="-6"/>
        </w:rPr>
        <w:t> </w:t>
      </w:r>
      <w:r>
        <w:rPr/>
        <w:t>to</w:t>
      </w:r>
      <w:r>
        <w:rPr>
          <w:spacing w:val="-7"/>
        </w:rPr>
        <w:t> </w:t>
      </w:r>
      <w:r>
        <w:rPr/>
        <w:t>the</w:t>
      </w:r>
      <w:r>
        <w:rPr>
          <w:spacing w:val="-6"/>
        </w:rPr>
        <w:t> </w:t>
      </w:r>
      <w:r>
        <w:rPr/>
        <w:t>funder</w:t>
      </w:r>
      <w:r>
        <w:rPr>
          <w:spacing w:val="-6"/>
        </w:rPr>
        <w:t> </w:t>
      </w:r>
      <w:r>
        <w:rPr/>
        <w:t>comes</w:t>
      </w:r>
      <w:r>
        <w:rPr>
          <w:spacing w:val="-5"/>
        </w:rPr>
        <w:t> </w:t>
      </w:r>
      <w:r>
        <w:rPr/>
        <w:t>in</w:t>
      </w:r>
      <w:r>
        <w:rPr>
          <w:spacing w:val="-7"/>
        </w:rPr>
        <w:t> </w:t>
      </w:r>
      <w:r>
        <w:rPr/>
        <w:t>the</w:t>
      </w:r>
      <w:r>
        <w:rPr>
          <w:spacing w:val="-6"/>
        </w:rPr>
        <w:t> </w:t>
      </w:r>
      <w:r>
        <w:rPr/>
        <w:t>form</w:t>
      </w:r>
      <w:r>
        <w:rPr>
          <w:spacing w:val="-6"/>
        </w:rPr>
        <w:t> </w:t>
      </w:r>
      <w:r>
        <w:rPr/>
        <w:t>of</w:t>
      </w:r>
      <w:r>
        <w:rPr>
          <w:spacing w:val="-6"/>
        </w:rPr>
        <w:t> </w:t>
      </w:r>
      <w:r>
        <w:rPr/>
        <w:t>a</w:t>
      </w:r>
      <w:r>
        <w:rPr>
          <w:spacing w:val="-7"/>
        </w:rPr>
        <w:t> </w:t>
      </w:r>
      <w:r>
        <w:rPr/>
        <w:t>final</w:t>
      </w:r>
      <w:r>
        <w:rPr>
          <w:spacing w:val="-7"/>
        </w:rPr>
        <w:t> </w:t>
      </w:r>
      <w:r>
        <w:rPr/>
        <w:t>payout</w:t>
      </w:r>
      <w:r>
        <w:rPr>
          <w:spacing w:val="-4"/>
        </w:rPr>
        <w:t> </w:t>
      </w:r>
      <w:r>
        <w:rPr/>
        <w:t>which</w:t>
      </w:r>
      <w:r>
        <w:rPr>
          <w:spacing w:val="-7"/>
        </w:rPr>
        <w:t> </w:t>
      </w:r>
      <w:r>
        <w:rPr/>
        <w:t>is</w:t>
      </w:r>
      <w:r>
        <w:rPr>
          <w:spacing w:val="-5"/>
        </w:rPr>
        <w:t> </w:t>
      </w:r>
      <w:r>
        <w:rPr/>
        <w:t>linked</w:t>
      </w:r>
      <w:r>
        <w:rPr>
          <w:spacing w:val="-7"/>
        </w:rPr>
        <w:t> </w:t>
      </w:r>
      <w:r>
        <w:rPr/>
        <w:t>to</w:t>
      </w:r>
      <w:r>
        <w:rPr>
          <w:spacing w:val="-6"/>
        </w:rPr>
        <w:t> </w:t>
      </w:r>
      <w:r>
        <w:rPr/>
        <w:t>the</w:t>
      </w:r>
      <w:r>
        <w:rPr>
          <w:spacing w:val="-7"/>
        </w:rPr>
        <w:t> </w:t>
      </w:r>
      <w:r>
        <w:rPr/>
        <w:t>value</w:t>
      </w:r>
      <w:r>
        <w:rPr>
          <w:spacing w:val="-6"/>
        </w:rPr>
        <w:t> </w:t>
      </w:r>
      <w:r>
        <w:rPr/>
        <w:t>of</w:t>
      </w:r>
      <w:r>
        <w:rPr>
          <w:spacing w:val="-6"/>
        </w:rPr>
        <w:t> </w:t>
      </w:r>
      <w:r>
        <w:rPr/>
        <w:t>the</w:t>
      </w:r>
      <w:r>
        <w:rPr>
          <w:spacing w:val="-6"/>
        </w:rPr>
        <w:t> </w:t>
      </w:r>
      <w:r>
        <w:rPr/>
        <w:t>property at the relevant horizon (which might be the point at which a property is sold). A periodic payment – which is analogous to a dividend and in this context could be considered a rental payment from the occupier for that part of the property which is funded by external equity – can be zero so long as the expected overall return from</w:t>
      </w:r>
      <w:r>
        <w:rPr>
          <w:spacing w:val="-6"/>
        </w:rPr>
        <w:t> </w:t>
      </w:r>
      <w:r>
        <w:rPr/>
        <w:t>the</w:t>
      </w:r>
      <w:r>
        <w:rPr>
          <w:spacing w:val="-7"/>
        </w:rPr>
        <w:t> </w:t>
      </w:r>
      <w:r>
        <w:rPr/>
        <w:t>contract</w:t>
      </w:r>
      <w:r>
        <w:rPr>
          <w:spacing w:val="-6"/>
        </w:rPr>
        <w:t> </w:t>
      </w:r>
      <w:r>
        <w:rPr/>
        <w:t>is</w:t>
      </w:r>
      <w:r>
        <w:rPr>
          <w:spacing w:val="-6"/>
        </w:rPr>
        <w:t> </w:t>
      </w:r>
      <w:r>
        <w:rPr/>
        <w:t>equal</w:t>
      </w:r>
      <w:r>
        <w:rPr>
          <w:spacing w:val="-6"/>
        </w:rPr>
        <w:t> </w:t>
      </w:r>
      <w:r>
        <w:rPr/>
        <w:t>to</w:t>
      </w:r>
      <w:r>
        <w:rPr>
          <w:spacing w:val="-7"/>
        </w:rPr>
        <w:t> </w:t>
      </w:r>
      <w:r>
        <w:rPr/>
        <w:t>the</w:t>
      </w:r>
      <w:r>
        <w:rPr>
          <w:spacing w:val="-7"/>
        </w:rPr>
        <w:t> </w:t>
      </w:r>
      <w:r>
        <w:rPr/>
        <w:t>required</w:t>
      </w:r>
      <w:r>
        <w:rPr>
          <w:spacing w:val="-8"/>
        </w:rPr>
        <w:t> </w:t>
      </w:r>
      <w:r>
        <w:rPr/>
        <w:t>rate.</w:t>
      </w:r>
      <w:r>
        <w:rPr>
          <w:spacing w:val="42"/>
        </w:rPr>
        <w:t> </w:t>
      </w:r>
      <w:r>
        <w:rPr/>
        <w:t>The</w:t>
      </w:r>
      <w:r>
        <w:rPr>
          <w:spacing w:val="-8"/>
        </w:rPr>
        <w:t> </w:t>
      </w:r>
      <w:r>
        <w:rPr/>
        <w:t>Help</w:t>
      </w:r>
      <w:r>
        <w:rPr>
          <w:spacing w:val="-7"/>
        </w:rPr>
        <w:t> </w:t>
      </w:r>
      <w:r>
        <w:rPr/>
        <w:t>to</w:t>
      </w:r>
      <w:r>
        <w:rPr>
          <w:spacing w:val="-8"/>
        </w:rPr>
        <w:t> </w:t>
      </w:r>
      <w:r>
        <w:rPr/>
        <w:t>Buy</w:t>
      </w:r>
      <w:r>
        <w:rPr>
          <w:spacing w:val="-6"/>
        </w:rPr>
        <w:t> </w:t>
      </w:r>
      <w:r>
        <w:rPr/>
        <w:t>equity</w:t>
      </w:r>
      <w:r>
        <w:rPr>
          <w:spacing w:val="-6"/>
        </w:rPr>
        <w:t> </w:t>
      </w:r>
      <w:r>
        <w:rPr/>
        <w:t>loan</w:t>
      </w:r>
      <w:r>
        <w:rPr>
          <w:spacing w:val="-7"/>
        </w:rPr>
        <w:t> </w:t>
      </w:r>
      <w:r>
        <w:rPr/>
        <w:t>scheme</w:t>
      </w:r>
      <w:r>
        <w:rPr>
          <w:spacing w:val="-7"/>
        </w:rPr>
        <w:t> </w:t>
      </w:r>
      <w:r>
        <w:rPr/>
        <w:t>recently</w:t>
      </w:r>
      <w:r>
        <w:rPr>
          <w:spacing w:val="-6"/>
        </w:rPr>
        <w:t> </w:t>
      </w:r>
      <w:r>
        <w:rPr/>
        <w:t>launched</w:t>
      </w:r>
      <w:r>
        <w:rPr>
          <w:spacing w:val="-6"/>
        </w:rPr>
        <w:t> </w:t>
      </w:r>
      <w:r>
        <w:rPr/>
        <w:t>by</w:t>
      </w:r>
      <w:r>
        <w:rPr>
          <w:spacing w:val="-6"/>
        </w:rPr>
        <w:t> </w:t>
      </w:r>
      <w:r>
        <w:rPr/>
        <w:t>the UK government is something of a hybrid in this respect. It is a loan whose repayment value is a given proportion</w:t>
      </w:r>
      <w:r>
        <w:rPr>
          <w:spacing w:val="-8"/>
        </w:rPr>
        <w:t> </w:t>
      </w:r>
      <w:r>
        <w:rPr/>
        <w:t>of</w:t>
      </w:r>
      <w:r>
        <w:rPr>
          <w:spacing w:val="-7"/>
        </w:rPr>
        <w:t> </w:t>
      </w:r>
      <w:r>
        <w:rPr/>
        <w:t>the</w:t>
      </w:r>
      <w:r>
        <w:rPr>
          <w:spacing w:val="-7"/>
        </w:rPr>
        <w:t> </w:t>
      </w:r>
      <w:r>
        <w:rPr/>
        <w:t>value</w:t>
      </w:r>
      <w:r>
        <w:rPr>
          <w:spacing w:val="-7"/>
        </w:rPr>
        <w:t> </w:t>
      </w:r>
      <w:r>
        <w:rPr/>
        <w:t>of</w:t>
      </w:r>
      <w:r>
        <w:rPr>
          <w:spacing w:val="-8"/>
        </w:rPr>
        <w:t> </w:t>
      </w:r>
      <w:r>
        <w:rPr/>
        <w:t>the</w:t>
      </w:r>
      <w:r>
        <w:rPr>
          <w:spacing w:val="-7"/>
        </w:rPr>
        <w:t> </w:t>
      </w:r>
      <w:r>
        <w:rPr/>
        <w:t>property</w:t>
      </w:r>
      <w:r>
        <w:rPr>
          <w:spacing w:val="-7"/>
        </w:rPr>
        <w:t> </w:t>
      </w:r>
      <w:r>
        <w:rPr/>
        <w:t>and</w:t>
      </w:r>
      <w:r>
        <w:rPr>
          <w:spacing w:val="-7"/>
        </w:rPr>
        <w:t> </w:t>
      </w:r>
      <w:r>
        <w:rPr/>
        <w:t>on</w:t>
      </w:r>
      <w:r>
        <w:rPr>
          <w:spacing w:val="-6"/>
        </w:rPr>
        <w:t> </w:t>
      </w:r>
      <w:r>
        <w:rPr/>
        <w:t>which</w:t>
      </w:r>
      <w:r>
        <w:rPr>
          <w:spacing w:val="-5"/>
        </w:rPr>
        <w:t> </w:t>
      </w:r>
      <w:r>
        <w:rPr/>
        <w:t>no</w:t>
      </w:r>
      <w:r>
        <w:rPr>
          <w:spacing w:val="-9"/>
        </w:rPr>
        <w:t> </w:t>
      </w:r>
      <w:r>
        <w:rPr/>
        <w:t>regular</w:t>
      </w:r>
      <w:r>
        <w:rPr>
          <w:spacing w:val="-7"/>
        </w:rPr>
        <w:t> </w:t>
      </w:r>
      <w:r>
        <w:rPr/>
        <w:t>payments</w:t>
      </w:r>
      <w:r>
        <w:rPr>
          <w:spacing w:val="-7"/>
        </w:rPr>
        <w:t> </w:t>
      </w:r>
      <w:r>
        <w:rPr/>
        <w:t>are</w:t>
      </w:r>
      <w:r>
        <w:rPr>
          <w:spacing w:val="-8"/>
        </w:rPr>
        <w:t> </w:t>
      </w:r>
      <w:r>
        <w:rPr/>
        <w:t>needed</w:t>
      </w:r>
      <w:r>
        <w:rPr>
          <w:spacing w:val="-7"/>
        </w:rPr>
        <w:t> </w:t>
      </w:r>
      <w:r>
        <w:rPr/>
        <w:t>for</w:t>
      </w:r>
      <w:r>
        <w:rPr>
          <w:spacing w:val="-8"/>
        </w:rPr>
        <w:t> </w:t>
      </w:r>
      <w:r>
        <w:rPr/>
        <w:t>5</w:t>
      </w:r>
      <w:r>
        <w:rPr>
          <w:spacing w:val="-8"/>
        </w:rPr>
        <w:t> </w:t>
      </w:r>
      <w:r>
        <w:rPr/>
        <w:t>years,</w:t>
      </w:r>
      <w:r>
        <w:rPr>
          <w:spacing w:val="-5"/>
        </w:rPr>
        <w:t> </w:t>
      </w:r>
      <w:r>
        <w:rPr/>
        <w:t>after</w:t>
      </w:r>
      <w:r>
        <w:rPr>
          <w:spacing w:val="-6"/>
        </w:rPr>
        <w:t> </w:t>
      </w:r>
      <w:r>
        <w:rPr/>
        <w:t>which a</w:t>
      </w:r>
      <w:r>
        <w:rPr>
          <w:spacing w:val="-7"/>
        </w:rPr>
        <w:t> </w:t>
      </w:r>
      <w:r>
        <w:rPr/>
        <w:t>regular</w:t>
      </w:r>
      <w:r>
        <w:rPr>
          <w:spacing w:val="-6"/>
        </w:rPr>
        <w:t> </w:t>
      </w:r>
      <w:r>
        <w:rPr/>
        <w:t>payment</w:t>
      </w:r>
      <w:r>
        <w:rPr>
          <w:spacing w:val="-4"/>
        </w:rPr>
        <w:t> </w:t>
      </w:r>
      <w:r>
        <w:rPr/>
        <w:t>is</w:t>
      </w:r>
      <w:r>
        <w:rPr>
          <w:spacing w:val="-6"/>
        </w:rPr>
        <w:t> </w:t>
      </w:r>
      <w:r>
        <w:rPr/>
        <w:t>paid</w:t>
      </w:r>
      <w:r>
        <w:rPr>
          <w:spacing w:val="-7"/>
        </w:rPr>
        <w:t> </w:t>
      </w:r>
      <w:r>
        <w:rPr/>
        <w:t>until</w:t>
      </w:r>
      <w:r>
        <w:rPr>
          <w:spacing w:val="-6"/>
        </w:rPr>
        <w:t> </w:t>
      </w:r>
      <w:r>
        <w:rPr/>
        <w:t>the</w:t>
      </w:r>
      <w:r>
        <w:rPr>
          <w:spacing w:val="-7"/>
        </w:rPr>
        <w:t> </w:t>
      </w:r>
      <w:r>
        <w:rPr/>
        <w:t>property</w:t>
      </w:r>
      <w:r>
        <w:rPr>
          <w:spacing w:val="-6"/>
        </w:rPr>
        <w:t> </w:t>
      </w:r>
      <w:r>
        <w:rPr/>
        <w:t>is</w:t>
      </w:r>
      <w:r>
        <w:rPr>
          <w:spacing w:val="-5"/>
        </w:rPr>
        <w:t> </w:t>
      </w:r>
      <w:r>
        <w:rPr/>
        <w:t>sold.</w:t>
      </w:r>
      <w:r>
        <w:rPr>
          <w:spacing w:val="41"/>
        </w:rPr>
        <w:t> </w:t>
      </w:r>
      <w:r>
        <w:rPr/>
        <w:t>This</w:t>
      </w:r>
      <w:r>
        <w:rPr>
          <w:spacing w:val="-6"/>
        </w:rPr>
        <w:t> </w:t>
      </w:r>
      <w:r>
        <w:rPr/>
        <w:t>scheme,</w:t>
      </w:r>
      <w:r>
        <w:rPr>
          <w:spacing w:val="-4"/>
        </w:rPr>
        <w:t> </w:t>
      </w:r>
      <w:r>
        <w:rPr/>
        <w:t>where</w:t>
      </w:r>
      <w:r>
        <w:rPr>
          <w:spacing w:val="-7"/>
        </w:rPr>
        <w:t> </w:t>
      </w:r>
      <w:r>
        <w:rPr/>
        <w:t>up</w:t>
      </w:r>
      <w:r>
        <w:rPr>
          <w:spacing w:val="-6"/>
        </w:rPr>
        <w:t> </w:t>
      </w:r>
      <w:r>
        <w:rPr/>
        <w:t>to</w:t>
      </w:r>
      <w:r>
        <w:rPr>
          <w:spacing w:val="-6"/>
        </w:rPr>
        <w:t> </w:t>
      </w:r>
      <w:r>
        <w:rPr/>
        <w:t>20%</w:t>
      </w:r>
      <w:r>
        <w:rPr>
          <w:spacing w:val="-6"/>
        </w:rPr>
        <w:t> </w:t>
      </w:r>
      <w:r>
        <w:rPr/>
        <w:t>of</w:t>
      </w:r>
      <w:r>
        <w:rPr>
          <w:spacing w:val="-6"/>
        </w:rPr>
        <w:t> </w:t>
      </w:r>
      <w:r>
        <w:rPr/>
        <w:t>the</w:t>
      </w:r>
      <w:r>
        <w:rPr>
          <w:spacing w:val="-6"/>
        </w:rPr>
        <w:t> </w:t>
      </w:r>
      <w:r>
        <w:rPr/>
        <w:t>value</w:t>
      </w:r>
      <w:r>
        <w:rPr>
          <w:spacing w:val="-7"/>
        </w:rPr>
        <w:t> </w:t>
      </w:r>
      <w:r>
        <w:rPr/>
        <w:t>of</w:t>
      </w:r>
      <w:r>
        <w:rPr>
          <w:spacing w:val="-5"/>
        </w:rPr>
        <w:t> </w:t>
      </w:r>
      <w:r>
        <w:rPr/>
        <w:t>a</w:t>
      </w:r>
      <w:r>
        <w:rPr>
          <w:spacing w:val="-7"/>
        </w:rPr>
        <w:t> </w:t>
      </w:r>
      <w:r>
        <w:rPr/>
        <w:t>property can</w:t>
      </w:r>
      <w:r>
        <w:rPr>
          <w:spacing w:val="-10"/>
        </w:rPr>
        <w:t> </w:t>
      </w:r>
      <w:r>
        <w:rPr/>
        <w:t>be</w:t>
      </w:r>
      <w:r>
        <w:rPr>
          <w:spacing w:val="-8"/>
        </w:rPr>
        <w:t> </w:t>
      </w:r>
      <w:r>
        <w:rPr/>
        <w:t>financed</w:t>
      </w:r>
      <w:r>
        <w:rPr>
          <w:spacing w:val="-7"/>
        </w:rPr>
        <w:t> </w:t>
      </w:r>
      <w:r>
        <w:rPr/>
        <w:t>with</w:t>
      </w:r>
      <w:r>
        <w:rPr>
          <w:spacing w:val="-8"/>
        </w:rPr>
        <w:t> </w:t>
      </w:r>
      <w:r>
        <w:rPr/>
        <w:t>external</w:t>
      </w:r>
      <w:r>
        <w:rPr>
          <w:spacing w:val="-8"/>
        </w:rPr>
        <w:t> </w:t>
      </w:r>
      <w:r>
        <w:rPr/>
        <w:t>equity,</w:t>
      </w:r>
      <w:r>
        <w:rPr>
          <w:spacing w:val="-7"/>
        </w:rPr>
        <w:t> </w:t>
      </w:r>
      <w:r>
        <w:rPr/>
        <w:t>is</w:t>
      </w:r>
      <w:r>
        <w:rPr>
          <w:spacing w:val="-8"/>
        </w:rPr>
        <w:t> </w:t>
      </w:r>
      <w:r>
        <w:rPr/>
        <w:t>only</w:t>
      </w:r>
      <w:r>
        <w:rPr>
          <w:spacing w:val="-8"/>
        </w:rPr>
        <w:t> </w:t>
      </w:r>
      <w:r>
        <w:rPr/>
        <w:t>available</w:t>
      </w:r>
      <w:r>
        <w:rPr>
          <w:spacing w:val="-8"/>
        </w:rPr>
        <w:t> </w:t>
      </w:r>
      <w:r>
        <w:rPr/>
        <w:t>for</w:t>
      </w:r>
      <w:r>
        <w:rPr>
          <w:spacing w:val="-9"/>
        </w:rPr>
        <w:t> </w:t>
      </w:r>
      <w:r>
        <w:rPr/>
        <w:t>the</w:t>
      </w:r>
      <w:r>
        <w:rPr>
          <w:spacing w:val="-9"/>
        </w:rPr>
        <w:t> </w:t>
      </w:r>
      <w:r>
        <w:rPr/>
        <w:t>purchase</w:t>
      </w:r>
      <w:r>
        <w:rPr>
          <w:spacing w:val="-8"/>
        </w:rPr>
        <w:t> </w:t>
      </w:r>
      <w:r>
        <w:rPr/>
        <w:t>of</w:t>
      </w:r>
      <w:r>
        <w:rPr>
          <w:spacing w:val="-6"/>
        </w:rPr>
        <w:t> </w:t>
      </w:r>
      <w:r>
        <w:rPr/>
        <w:t>newly</w:t>
      </w:r>
      <w:r>
        <w:rPr>
          <w:spacing w:val="-6"/>
        </w:rPr>
        <w:t> </w:t>
      </w:r>
      <w:r>
        <w:rPr/>
        <w:t>built</w:t>
      </w:r>
      <w:r>
        <w:rPr>
          <w:spacing w:val="-6"/>
        </w:rPr>
        <w:t> </w:t>
      </w:r>
      <w:r>
        <w:rPr/>
        <w:t>houses</w:t>
      </w:r>
      <w:r>
        <w:rPr>
          <w:spacing w:val="-8"/>
        </w:rPr>
        <w:t> </w:t>
      </w:r>
      <w:r>
        <w:rPr/>
        <w:t>and</w:t>
      </w:r>
      <w:r>
        <w:rPr>
          <w:spacing w:val="-8"/>
        </w:rPr>
        <w:t> </w:t>
      </w:r>
      <w:r>
        <w:rPr/>
        <w:t>apartments.</w:t>
      </w:r>
    </w:p>
    <w:p>
      <w:pPr>
        <w:pStyle w:val="BodyText"/>
        <w:rPr>
          <w:sz w:val="20"/>
        </w:rPr>
      </w:pPr>
    </w:p>
    <w:p>
      <w:pPr>
        <w:pStyle w:val="BodyText"/>
        <w:spacing w:before="1"/>
        <w:rPr>
          <w:sz w:val="24"/>
        </w:rPr>
      </w:pPr>
      <w:r>
        <w:rPr/>
        <w:pict>
          <v:shape style="position:absolute;margin-left:79.320pt;margin-top:16.051716pt;width:135.5pt;height:.1pt;mso-position-horizontal-relative:page;mso-position-vertical-relative:paragraph;z-index:-251610112;mso-wrap-distance-left:0;mso-wrap-distance-right:0" coordorigin="1586,321" coordsize="2710,0" path="m1586,321l4296,321e" filled="false" stroked="true" strokeweight=".48001pt" strokecolor="#000000">
            <v:path arrowok="t"/>
            <v:stroke dashstyle="solid"/>
            <w10:wrap type="topAndBottom"/>
          </v:shape>
        </w:pict>
      </w:r>
    </w:p>
    <w:p>
      <w:pPr>
        <w:spacing w:before="27"/>
        <w:ind w:left="226" w:right="0" w:firstLine="0"/>
        <w:jc w:val="left"/>
        <w:rPr>
          <w:sz w:val="15"/>
        </w:rPr>
      </w:pPr>
      <w:r>
        <w:rPr>
          <w:position w:val="8"/>
          <w:sz w:val="9"/>
        </w:rPr>
        <w:t>4 </w:t>
      </w:r>
      <w:r>
        <w:rPr>
          <w:sz w:val="15"/>
        </w:rPr>
        <w:t>This section draws upon Miles (2012).</w:t>
      </w:r>
    </w:p>
    <w:p>
      <w:pPr>
        <w:spacing w:after="0"/>
        <w:jc w:val="left"/>
        <w:rPr>
          <w:sz w:val="15"/>
        </w:rPr>
        <w:sectPr>
          <w:footerReference w:type="default" r:id="rId12"/>
          <w:pgSz w:w="12240" w:h="15840"/>
          <w:pgMar w:footer="1240" w:header="0" w:top="1380" w:bottom="1440" w:left="1360" w:right="1480"/>
          <w:pgNumType w:start="10"/>
        </w:sectPr>
      </w:pPr>
    </w:p>
    <w:p>
      <w:pPr>
        <w:pStyle w:val="BodyText"/>
        <w:spacing w:line="350" w:lineRule="auto" w:before="75"/>
        <w:ind w:left="226" w:right="105"/>
      </w:pPr>
      <w:r>
        <w:rPr/>
        <w:t>The UK government’s Help to Buy scheme is an example of what has been called an equity loan. Unlike with</w:t>
      </w:r>
      <w:r>
        <w:rPr>
          <w:spacing w:val="-8"/>
        </w:rPr>
        <w:t> </w:t>
      </w:r>
      <w:r>
        <w:rPr/>
        <w:t>shared</w:t>
      </w:r>
      <w:r>
        <w:rPr>
          <w:spacing w:val="-8"/>
        </w:rPr>
        <w:t> </w:t>
      </w:r>
      <w:r>
        <w:rPr/>
        <w:t>ownership</w:t>
      </w:r>
      <w:r>
        <w:rPr>
          <w:spacing w:val="-8"/>
        </w:rPr>
        <w:t> </w:t>
      </w:r>
      <w:r>
        <w:rPr/>
        <w:t>schemes</w:t>
      </w:r>
      <w:r>
        <w:rPr>
          <w:spacing w:val="-7"/>
        </w:rPr>
        <w:t> </w:t>
      </w:r>
      <w:r>
        <w:rPr/>
        <w:t>–</w:t>
      </w:r>
      <w:r>
        <w:rPr>
          <w:spacing w:val="-7"/>
        </w:rPr>
        <w:t> </w:t>
      </w:r>
      <w:r>
        <w:rPr/>
        <w:t>which</w:t>
      </w:r>
      <w:r>
        <w:rPr>
          <w:spacing w:val="-7"/>
        </w:rPr>
        <w:t> </w:t>
      </w:r>
      <w:r>
        <w:rPr/>
        <w:t>has</w:t>
      </w:r>
      <w:r>
        <w:rPr>
          <w:spacing w:val="-7"/>
        </w:rPr>
        <w:t> </w:t>
      </w:r>
      <w:r>
        <w:rPr/>
        <w:t>been</w:t>
      </w:r>
      <w:r>
        <w:rPr>
          <w:spacing w:val="-8"/>
        </w:rPr>
        <w:t> </w:t>
      </w:r>
      <w:r>
        <w:rPr/>
        <w:t>the</w:t>
      </w:r>
      <w:r>
        <w:rPr>
          <w:spacing w:val="-7"/>
        </w:rPr>
        <w:t> </w:t>
      </w:r>
      <w:r>
        <w:rPr/>
        <w:t>more</w:t>
      </w:r>
      <w:r>
        <w:rPr>
          <w:spacing w:val="-8"/>
        </w:rPr>
        <w:t> </w:t>
      </w:r>
      <w:r>
        <w:rPr/>
        <w:t>common</w:t>
      </w:r>
      <w:r>
        <w:rPr>
          <w:spacing w:val="-8"/>
        </w:rPr>
        <w:t> </w:t>
      </w:r>
      <w:r>
        <w:rPr/>
        <w:t>form</w:t>
      </w:r>
      <w:r>
        <w:rPr>
          <w:spacing w:val="-8"/>
        </w:rPr>
        <w:t> </w:t>
      </w:r>
      <w:r>
        <w:rPr/>
        <w:t>of</w:t>
      </w:r>
      <w:r>
        <w:rPr>
          <w:spacing w:val="-6"/>
        </w:rPr>
        <w:t> </w:t>
      </w:r>
      <w:r>
        <w:rPr/>
        <w:t>external</w:t>
      </w:r>
      <w:r>
        <w:rPr>
          <w:spacing w:val="-8"/>
        </w:rPr>
        <w:t> </w:t>
      </w:r>
      <w:r>
        <w:rPr/>
        <w:t>equity</w:t>
      </w:r>
      <w:r>
        <w:rPr>
          <w:spacing w:val="-7"/>
        </w:rPr>
        <w:t> </w:t>
      </w:r>
      <w:r>
        <w:rPr/>
        <w:t>financing</w:t>
      </w:r>
      <w:r>
        <w:rPr>
          <w:spacing w:val="-8"/>
        </w:rPr>
        <w:t> </w:t>
      </w:r>
      <w:r>
        <w:rPr/>
        <w:t>–</w:t>
      </w:r>
      <w:r>
        <w:rPr>
          <w:spacing w:val="-7"/>
        </w:rPr>
        <w:t> </w:t>
      </w:r>
      <w:r>
        <w:rPr/>
        <w:t>with equity loans the buyer retains the ownership of the entire property. Equity loans share an important characteristic with an outright equity stake taken by an outside funder, namely that the outside funder takes on some of the risk of a fall in the value of the house, which becomes a risk shared with the owner. This is different</w:t>
      </w:r>
      <w:r>
        <w:rPr>
          <w:spacing w:val="-10"/>
        </w:rPr>
        <w:t> </w:t>
      </w:r>
      <w:r>
        <w:rPr/>
        <w:t>from</w:t>
      </w:r>
      <w:r>
        <w:rPr>
          <w:spacing w:val="-11"/>
        </w:rPr>
        <w:t> </w:t>
      </w:r>
      <w:r>
        <w:rPr/>
        <w:t>Shared</w:t>
      </w:r>
      <w:r>
        <w:rPr>
          <w:spacing w:val="-11"/>
        </w:rPr>
        <w:t> </w:t>
      </w:r>
      <w:r>
        <w:rPr/>
        <w:t>Appreciation</w:t>
      </w:r>
      <w:r>
        <w:rPr>
          <w:spacing w:val="-11"/>
        </w:rPr>
        <w:t> </w:t>
      </w:r>
      <w:r>
        <w:rPr/>
        <w:t>Mortgages</w:t>
      </w:r>
      <w:r>
        <w:rPr>
          <w:spacing w:val="-10"/>
        </w:rPr>
        <w:t> </w:t>
      </w:r>
      <w:r>
        <w:rPr/>
        <w:t>(SAMs)</w:t>
      </w:r>
      <w:r>
        <w:rPr>
          <w:spacing w:val="-11"/>
        </w:rPr>
        <w:t> </w:t>
      </w:r>
      <w:r>
        <w:rPr/>
        <w:t>in</w:t>
      </w:r>
      <w:r>
        <w:rPr>
          <w:spacing w:val="-10"/>
        </w:rPr>
        <w:t> </w:t>
      </w:r>
      <w:r>
        <w:rPr/>
        <w:t>which</w:t>
      </w:r>
      <w:r>
        <w:rPr>
          <w:spacing w:val="-11"/>
        </w:rPr>
        <w:t> </w:t>
      </w:r>
      <w:r>
        <w:rPr/>
        <w:t>the</w:t>
      </w:r>
      <w:r>
        <w:rPr>
          <w:spacing w:val="-11"/>
        </w:rPr>
        <w:t> </w:t>
      </w:r>
      <w:r>
        <w:rPr/>
        <w:t>home-owner</w:t>
      </w:r>
      <w:r>
        <w:rPr>
          <w:spacing w:val="-11"/>
        </w:rPr>
        <w:t> </w:t>
      </w:r>
      <w:r>
        <w:rPr/>
        <w:t>shares</w:t>
      </w:r>
      <w:r>
        <w:rPr>
          <w:spacing w:val="-9"/>
        </w:rPr>
        <w:t> </w:t>
      </w:r>
      <w:r>
        <w:rPr/>
        <w:t>any</w:t>
      </w:r>
      <w:r>
        <w:rPr>
          <w:spacing w:val="-11"/>
        </w:rPr>
        <w:t> </w:t>
      </w:r>
      <w:r>
        <w:rPr/>
        <w:t>appreciation</w:t>
      </w:r>
      <w:r>
        <w:rPr>
          <w:spacing w:val="-10"/>
        </w:rPr>
        <w:t> </w:t>
      </w:r>
      <w:r>
        <w:rPr/>
        <w:t>with the lender but does not get any insurance against house price falls. (For discussion of SAMS and other ways of sharing house price risk see Sanders and Slawson (2005)). Equity loans are comparable to Home Appreciation Participation Notes (HAPNs) in creating true risk sharing (for details of HAPNs see Cassidy et al</w:t>
      </w:r>
      <w:r>
        <w:rPr>
          <w:spacing w:val="-1"/>
        </w:rPr>
        <w:t> </w:t>
      </w:r>
      <w:r>
        <w:rPr/>
        <w:t>(2008)).</w:t>
      </w:r>
    </w:p>
    <w:p>
      <w:pPr>
        <w:pStyle w:val="BodyText"/>
        <w:spacing w:before="7"/>
        <w:rPr>
          <w:sz w:val="28"/>
        </w:rPr>
      </w:pPr>
    </w:p>
    <w:p>
      <w:pPr>
        <w:pStyle w:val="BodyText"/>
        <w:spacing w:line="350" w:lineRule="auto" w:before="1"/>
        <w:ind w:left="226" w:right="105"/>
      </w:pPr>
      <w:r>
        <w:rPr/>
        <w:t>With an equity loan the interest rate on the funding is effectively tied to the evolution of the value of the house. Equity loans are hybrid instruments, with characteristics somewhere between straightforward debt and equity.</w:t>
      </w:r>
    </w:p>
    <w:p>
      <w:pPr>
        <w:pStyle w:val="BodyText"/>
        <w:spacing w:before="1"/>
        <w:rPr>
          <w:sz w:val="28"/>
        </w:rPr>
      </w:pPr>
    </w:p>
    <w:p>
      <w:pPr>
        <w:spacing w:before="0"/>
        <w:ind w:left="226" w:right="0" w:firstLine="0"/>
        <w:jc w:val="left"/>
        <w:rPr>
          <w:i/>
          <w:sz w:val="19"/>
        </w:rPr>
      </w:pPr>
      <w:r>
        <w:rPr>
          <w:i/>
          <w:sz w:val="19"/>
        </w:rPr>
        <w:t>The nature of equity loans</w:t>
      </w:r>
    </w:p>
    <w:p>
      <w:pPr>
        <w:pStyle w:val="BodyText"/>
        <w:rPr>
          <w:i/>
          <w:sz w:val="20"/>
        </w:rPr>
      </w:pPr>
    </w:p>
    <w:p>
      <w:pPr>
        <w:pStyle w:val="BodyText"/>
        <w:spacing w:before="6"/>
        <w:rPr>
          <w:i/>
          <w:sz w:val="16"/>
        </w:rPr>
      </w:pPr>
    </w:p>
    <w:p>
      <w:pPr>
        <w:pStyle w:val="BodyText"/>
        <w:spacing w:line="350" w:lineRule="auto"/>
        <w:ind w:left="226" w:right="101"/>
      </w:pPr>
      <w:r>
        <w:rPr/>
        <w:t>I consider a funding contract with the following features: the outside provider of funds provides some proportion, g, of the purchase price of the house. When a property is sold the outside funder receives a single (final) payment which is equal to the original amount provided plus a proportion of the capital gain or loss on the property. The proportion of the gain or loss need not equal g (and in fact to generate an expected</w:t>
      </w:r>
      <w:r>
        <w:rPr>
          <w:spacing w:val="-8"/>
        </w:rPr>
        <w:t> </w:t>
      </w:r>
      <w:r>
        <w:rPr/>
        <w:t>return</w:t>
      </w:r>
      <w:r>
        <w:rPr>
          <w:spacing w:val="-5"/>
        </w:rPr>
        <w:t> </w:t>
      </w:r>
      <w:r>
        <w:rPr/>
        <w:t>equal</w:t>
      </w:r>
      <w:r>
        <w:rPr>
          <w:spacing w:val="-6"/>
        </w:rPr>
        <w:t> </w:t>
      </w:r>
      <w:r>
        <w:rPr/>
        <w:t>to</w:t>
      </w:r>
      <w:r>
        <w:rPr>
          <w:spacing w:val="-5"/>
        </w:rPr>
        <w:t> </w:t>
      </w:r>
      <w:r>
        <w:rPr/>
        <w:t>the</w:t>
      </w:r>
      <w:r>
        <w:rPr>
          <w:spacing w:val="-7"/>
        </w:rPr>
        <w:t> </w:t>
      </w:r>
      <w:r>
        <w:rPr/>
        <w:t>required</w:t>
      </w:r>
      <w:r>
        <w:rPr>
          <w:spacing w:val="-6"/>
        </w:rPr>
        <w:t> </w:t>
      </w:r>
      <w:r>
        <w:rPr/>
        <w:t>rate</w:t>
      </w:r>
      <w:r>
        <w:rPr>
          <w:spacing w:val="-6"/>
        </w:rPr>
        <w:t> </w:t>
      </w:r>
      <w:r>
        <w:rPr/>
        <w:t>it</w:t>
      </w:r>
      <w:r>
        <w:rPr>
          <w:spacing w:val="-5"/>
        </w:rPr>
        <w:t> </w:t>
      </w:r>
      <w:r>
        <w:rPr/>
        <w:t>will</w:t>
      </w:r>
      <w:r>
        <w:rPr>
          <w:spacing w:val="-6"/>
        </w:rPr>
        <w:t> </w:t>
      </w:r>
      <w:r>
        <w:rPr/>
        <w:t>be</w:t>
      </w:r>
      <w:r>
        <w:rPr>
          <w:spacing w:val="-5"/>
        </w:rPr>
        <w:t> </w:t>
      </w:r>
      <w:r>
        <w:rPr/>
        <w:t>very</w:t>
      </w:r>
      <w:r>
        <w:rPr>
          <w:spacing w:val="-5"/>
        </w:rPr>
        <w:t> </w:t>
      </w:r>
      <w:r>
        <w:rPr/>
        <w:t>unlikely</w:t>
      </w:r>
      <w:r>
        <w:rPr>
          <w:spacing w:val="-5"/>
        </w:rPr>
        <w:t> </w:t>
      </w:r>
      <w:r>
        <w:rPr/>
        <w:t>that</w:t>
      </w:r>
      <w:r>
        <w:rPr>
          <w:spacing w:val="-4"/>
        </w:rPr>
        <w:t> </w:t>
      </w:r>
      <w:r>
        <w:rPr/>
        <w:t>the</w:t>
      </w:r>
      <w:r>
        <w:rPr>
          <w:spacing w:val="-8"/>
        </w:rPr>
        <w:t> </w:t>
      </w:r>
      <w:r>
        <w:rPr/>
        <w:t>portion</w:t>
      </w:r>
      <w:r>
        <w:rPr>
          <w:spacing w:val="-7"/>
        </w:rPr>
        <w:t> </w:t>
      </w:r>
      <w:r>
        <w:rPr/>
        <w:t>could</w:t>
      </w:r>
      <w:r>
        <w:rPr>
          <w:spacing w:val="-5"/>
        </w:rPr>
        <w:t> </w:t>
      </w:r>
      <w:r>
        <w:rPr/>
        <w:t>be</w:t>
      </w:r>
      <w:r>
        <w:rPr>
          <w:spacing w:val="-8"/>
        </w:rPr>
        <w:t> </w:t>
      </w:r>
      <w:r>
        <w:rPr/>
        <w:t>g).</w:t>
      </w:r>
      <w:r>
        <w:rPr>
          <w:spacing w:val="42"/>
        </w:rPr>
        <w:t> </w:t>
      </w:r>
      <w:r>
        <w:rPr/>
        <w:t>Furthermore</w:t>
      </w:r>
      <w:r>
        <w:rPr>
          <w:spacing w:val="-6"/>
        </w:rPr>
        <w:t> </w:t>
      </w:r>
      <w:r>
        <w:rPr/>
        <w:t>the proportion that is taken of a positive capital gain may be different from the proportion of a capital loss that is taken. In general there will be an infinite set of combinations of a share of any capital gain and a share of a capital loss that will generate a given expected rate of return on the equity</w:t>
      </w:r>
      <w:r>
        <w:rPr>
          <w:spacing w:val="-18"/>
        </w:rPr>
        <w:t> </w:t>
      </w:r>
      <w:r>
        <w:rPr/>
        <w:t>loan.</w:t>
      </w:r>
    </w:p>
    <w:p>
      <w:pPr>
        <w:pStyle w:val="BodyText"/>
        <w:spacing w:before="6"/>
        <w:rPr>
          <w:sz w:val="28"/>
        </w:rPr>
      </w:pPr>
    </w:p>
    <w:p>
      <w:pPr>
        <w:pStyle w:val="BodyText"/>
        <w:spacing w:line="350" w:lineRule="auto"/>
        <w:ind w:left="226" w:right="105"/>
      </w:pPr>
      <w:r>
        <w:rPr/>
        <w:t>The</w:t>
      </w:r>
      <w:r>
        <w:rPr>
          <w:spacing w:val="-9"/>
        </w:rPr>
        <w:t> </w:t>
      </w:r>
      <w:r>
        <w:rPr/>
        <w:t>shares</w:t>
      </w:r>
      <w:r>
        <w:rPr>
          <w:spacing w:val="-6"/>
        </w:rPr>
        <w:t> </w:t>
      </w:r>
      <w:r>
        <w:rPr/>
        <w:t>in</w:t>
      </w:r>
      <w:r>
        <w:rPr>
          <w:spacing w:val="-6"/>
        </w:rPr>
        <w:t> </w:t>
      </w:r>
      <w:r>
        <w:rPr/>
        <w:t>the</w:t>
      </w:r>
      <w:r>
        <w:rPr>
          <w:spacing w:val="-7"/>
        </w:rPr>
        <w:t> </w:t>
      </w:r>
      <w:r>
        <w:rPr/>
        <w:t>upside</w:t>
      </w:r>
      <w:r>
        <w:rPr>
          <w:spacing w:val="-8"/>
        </w:rPr>
        <w:t> </w:t>
      </w:r>
      <w:r>
        <w:rPr/>
        <w:t>(rises</w:t>
      </w:r>
      <w:r>
        <w:rPr>
          <w:spacing w:val="-7"/>
        </w:rPr>
        <w:t> </w:t>
      </w:r>
      <w:r>
        <w:rPr/>
        <w:t>in</w:t>
      </w:r>
      <w:r>
        <w:rPr>
          <w:spacing w:val="-7"/>
        </w:rPr>
        <w:t> </w:t>
      </w:r>
      <w:r>
        <w:rPr/>
        <w:t>house</w:t>
      </w:r>
      <w:r>
        <w:rPr>
          <w:spacing w:val="-8"/>
        </w:rPr>
        <w:t> </w:t>
      </w:r>
      <w:r>
        <w:rPr/>
        <w:t>values)</w:t>
      </w:r>
      <w:r>
        <w:rPr>
          <w:spacing w:val="-8"/>
        </w:rPr>
        <w:t> </w:t>
      </w:r>
      <w:r>
        <w:rPr/>
        <w:t>and</w:t>
      </w:r>
      <w:r>
        <w:rPr>
          <w:spacing w:val="-7"/>
        </w:rPr>
        <w:t> </w:t>
      </w:r>
      <w:r>
        <w:rPr/>
        <w:t>the</w:t>
      </w:r>
      <w:r>
        <w:rPr>
          <w:spacing w:val="-8"/>
        </w:rPr>
        <w:t> </w:t>
      </w:r>
      <w:r>
        <w:rPr/>
        <w:t>downside</w:t>
      </w:r>
      <w:r>
        <w:rPr>
          <w:spacing w:val="-7"/>
        </w:rPr>
        <w:t> </w:t>
      </w:r>
      <w:r>
        <w:rPr/>
        <w:t>(falls</w:t>
      </w:r>
      <w:r>
        <w:rPr>
          <w:spacing w:val="-7"/>
        </w:rPr>
        <w:t> </w:t>
      </w:r>
      <w:r>
        <w:rPr/>
        <w:t>in</w:t>
      </w:r>
      <w:r>
        <w:rPr>
          <w:spacing w:val="-7"/>
        </w:rPr>
        <w:t> </w:t>
      </w:r>
      <w:r>
        <w:rPr/>
        <w:t>house</w:t>
      </w:r>
      <w:r>
        <w:rPr>
          <w:spacing w:val="-8"/>
        </w:rPr>
        <w:t> </w:t>
      </w:r>
      <w:r>
        <w:rPr/>
        <w:t>values)</w:t>
      </w:r>
      <w:r>
        <w:rPr>
          <w:spacing w:val="-8"/>
        </w:rPr>
        <w:t> </w:t>
      </w:r>
      <w:r>
        <w:rPr/>
        <w:t>that</w:t>
      </w:r>
      <w:r>
        <w:rPr>
          <w:spacing w:val="-4"/>
        </w:rPr>
        <w:t> </w:t>
      </w:r>
      <w:r>
        <w:rPr/>
        <w:t>the</w:t>
      </w:r>
      <w:r>
        <w:rPr>
          <w:spacing w:val="-8"/>
        </w:rPr>
        <w:t> </w:t>
      </w:r>
      <w:r>
        <w:rPr/>
        <w:t>provider</w:t>
      </w:r>
      <w:r>
        <w:rPr>
          <w:spacing w:val="-5"/>
        </w:rPr>
        <w:t> </w:t>
      </w:r>
      <w:r>
        <w:rPr/>
        <w:t>of an</w:t>
      </w:r>
      <w:r>
        <w:rPr>
          <w:spacing w:val="-8"/>
        </w:rPr>
        <w:t> </w:t>
      </w:r>
      <w:r>
        <w:rPr/>
        <w:t>equity</w:t>
      </w:r>
      <w:r>
        <w:rPr>
          <w:spacing w:val="-6"/>
        </w:rPr>
        <w:t> </w:t>
      </w:r>
      <w:r>
        <w:rPr/>
        <w:t>loan</w:t>
      </w:r>
      <w:r>
        <w:rPr>
          <w:spacing w:val="-4"/>
        </w:rPr>
        <w:t> </w:t>
      </w:r>
      <w:r>
        <w:rPr/>
        <w:t>would</w:t>
      </w:r>
      <w:r>
        <w:rPr>
          <w:spacing w:val="-7"/>
        </w:rPr>
        <w:t> </w:t>
      </w:r>
      <w:r>
        <w:rPr/>
        <w:t>need</w:t>
      </w:r>
      <w:r>
        <w:rPr>
          <w:spacing w:val="-6"/>
        </w:rPr>
        <w:t> </w:t>
      </w:r>
      <w:r>
        <w:rPr/>
        <w:t>to</w:t>
      </w:r>
      <w:r>
        <w:rPr>
          <w:spacing w:val="-7"/>
        </w:rPr>
        <w:t> </w:t>
      </w:r>
      <w:r>
        <w:rPr/>
        <w:t>take</w:t>
      </w:r>
      <w:r>
        <w:rPr>
          <w:spacing w:val="-8"/>
        </w:rPr>
        <w:t> </w:t>
      </w:r>
      <w:r>
        <w:rPr/>
        <w:t>to</w:t>
      </w:r>
      <w:r>
        <w:rPr>
          <w:spacing w:val="-7"/>
        </w:rPr>
        <w:t> </w:t>
      </w:r>
      <w:r>
        <w:rPr/>
        <w:t>make</w:t>
      </w:r>
      <w:r>
        <w:rPr>
          <w:spacing w:val="-6"/>
        </w:rPr>
        <w:t> </w:t>
      </w:r>
      <w:r>
        <w:rPr/>
        <w:t>it</w:t>
      </w:r>
      <w:r>
        <w:rPr>
          <w:spacing w:val="-6"/>
        </w:rPr>
        <w:t> </w:t>
      </w:r>
      <w:r>
        <w:rPr/>
        <w:t>a</w:t>
      </w:r>
      <w:r>
        <w:rPr>
          <w:spacing w:val="-6"/>
        </w:rPr>
        <w:t> </w:t>
      </w:r>
      <w:r>
        <w:rPr/>
        <w:t>reasonable</w:t>
      </w:r>
      <w:r>
        <w:rPr>
          <w:spacing w:val="-7"/>
        </w:rPr>
        <w:t> </w:t>
      </w:r>
      <w:r>
        <w:rPr/>
        <w:t>deal</w:t>
      </w:r>
      <w:r>
        <w:rPr>
          <w:spacing w:val="-6"/>
        </w:rPr>
        <w:t> </w:t>
      </w:r>
      <w:r>
        <w:rPr/>
        <w:t>–</w:t>
      </w:r>
      <w:r>
        <w:rPr>
          <w:spacing w:val="-6"/>
        </w:rPr>
        <w:t> </w:t>
      </w:r>
      <w:r>
        <w:rPr/>
        <w:t>given</w:t>
      </w:r>
      <w:r>
        <w:rPr>
          <w:spacing w:val="-7"/>
        </w:rPr>
        <w:t> </w:t>
      </w:r>
      <w:r>
        <w:rPr/>
        <w:t>that</w:t>
      </w:r>
      <w:r>
        <w:rPr>
          <w:spacing w:val="-6"/>
        </w:rPr>
        <w:t> </w:t>
      </w:r>
      <w:r>
        <w:rPr/>
        <w:t>the</w:t>
      </w:r>
      <w:r>
        <w:rPr>
          <w:spacing w:val="-6"/>
        </w:rPr>
        <w:t> </w:t>
      </w:r>
      <w:r>
        <w:rPr/>
        <w:t>loan</w:t>
      </w:r>
      <w:r>
        <w:rPr>
          <w:spacing w:val="-8"/>
        </w:rPr>
        <w:t> </w:t>
      </w:r>
      <w:r>
        <w:rPr/>
        <w:t>pays</w:t>
      </w:r>
      <w:r>
        <w:rPr>
          <w:spacing w:val="-4"/>
        </w:rPr>
        <w:t> </w:t>
      </w:r>
      <w:r>
        <w:rPr/>
        <w:t>no</w:t>
      </w:r>
      <w:r>
        <w:rPr>
          <w:spacing w:val="-6"/>
        </w:rPr>
        <w:t> </w:t>
      </w:r>
      <w:r>
        <w:rPr/>
        <w:t>regular</w:t>
      </w:r>
      <w:r>
        <w:rPr>
          <w:spacing w:val="-6"/>
        </w:rPr>
        <w:t> </w:t>
      </w:r>
      <w:r>
        <w:rPr/>
        <w:t>interest</w:t>
      </w:r>
    </w:p>
    <w:p>
      <w:pPr>
        <w:pStyle w:val="ListParagraph"/>
        <w:numPr>
          <w:ilvl w:val="0"/>
          <w:numId w:val="1"/>
        </w:numPr>
        <w:tabs>
          <w:tab w:pos="384" w:val="left" w:leader="none"/>
        </w:tabs>
        <w:spacing w:line="352" w:lineRule="auto" w:before="1" w:after="0"/>
        <w:ind w:left="226" w:right="617" w:firstLine="0"/>
        <w:jc w:val="left"/>
        <w:rPr>
          <w:sz w:val="19"/>
        </w:rPr>
      </w:pPr>
      <w:r>
        <w:rPr>
          <w:sz w:val="19"/>
        </w:rPr>
        <w:t>depends on the probabilities of house price changes over long periods. There are a continuum of contracts</w:t>
      </w:r>
      <w:r>
        <w:rPr>
          <w:spacing w:val="-8"/>
          <w:sz w:val="19"/>
        </w:rPr>
        <w:t> </w:t>
      </w:r>
      <w:r>
        <w:rPr>
          <w:sz w:val="19"/>
        </w:rPr>
        <w:t>that</w:t>
      </w:r>
      <w:r>
        <w:rPr>
          <w:spacing w:val="-8"/>
          <w:sz w:val="19"/>
        </w:rPr>
        <w:t> </w:t>
      </w:r>
      <w:r>
        <w:rPr>
          <w:sz w:val="19"/>
        </w:rPr>
        <w:t>could</w:t>
      </w:r>
      <w:r>
        <w:rPr>
          <w:spacing w:val="-9"/>
          <w:sz w:val="19"/>
        </w:rPr>
        <w:t> </w:t>
      </w:r>
      <w:r>
        <w:rPr>
          <w:sz w:val="19"/>
        </w:rPr>
        <w:t>be</w:t>
      </w:r>
      <w:r>
        <w:rPr>
          <w:spacing w:val="-8"/>
          <w:sz w:val="19"/>
        </w:rPr>
        <w:t> </w:t>
      </w:r>
      <w:r>
        <w:rPr>
          <w:sz w:val="19"/>
        </w:rPr>
        <w:t>acceptable</w:t>
      </w:r>
      <w:r>
        <w:rPr>
          <w:spacing w:val="-8"/>
          <w:sz w:val="19"/>
        </w:rPr>
        <w:t> </w:t>
      </w:r>
      <w:r>
        <w:rPr>
          <w:sz w:val="19"/>
        </w:rPr>
        <w:t>to</w:t>
      </w:r>
      <w:r>
        <w:rPr>
          <w:spacing w:val="-8"/>
          <w:sz w:val="19"/>
        </w:rPr>
        <w:t> </w:t>
      </w:r>
      <w:r>
        <w:rPr>
          <w:sz w:val="19"/>
        </w:rPr>
        <w:t>lenders;</w:t>
      </w:r>
      <w:r>
        <w:rPr>
          <w:spacing w:val="-7"/>
          <w:sz w:val="19"/>
        </w:rPr>
        <w:t> </w:t>
      </w:r>
      <w:r>
        <w:rPr>
          <w:sz w:val="19"/>
        </w:rPr>
        <w:t>those</w:t>
      </w:r>
      <w:r>
        <w:rPr>
          <w:spacing w:val="-7"/>
          <w:sz w:val="19"/>
        </w:rPr>
        <w:t> </w:t>
      </w:r>
      <w:r>
        <w:rPr>
          <w:sz w:val="19"/>
        </w:rPr>
        <w:t>which</w:t>
      </w:r>
      <w:r>
        <w:rPr>
          <w:spacing w:val="-8"/>
          <w:sz w:val="19"/>
        </w:rPr>
        <w:t> </w:t>
      </w:r>
      <w:r>
        <w:rPr>
          <w:sz w:val="19"/>
        </w:rPr>
        <w:t>have</w:t>
      </w:r>
      <w:r>
        <w:rPr>
          <w:spacing w:val="-8"/>
          <w:sz w:val="19"/>
        </w:rPr>
        <w:t> </w:t>
      </w:r>
      <w:r>
        <w:rPr>
          <w:sz w:val="19"/>
        </w:rPr>
        <w:t>smaller</w:t>
      </w:r>
      <w:r>
        <w:rPr>
          <w:spacing w:val="-8"/>
          <w:sz w:val="19"/>
        </w:rPr>
        <w:t> </w:t>
      </w:r>
      <w:r>
        <w:rPr>
          <w:sz w:val="19"/>
        </w:rPr>
        <w:t>shares</w:t>
      </w:r>
      <w:r>
        <w:rPr>
          <w:spacing w:val="-7"/>
          <w:sz w:val="19"/>
        </w:rPr>
        <w:t> </w:t>
      </w:r>
      <w:r>
        <w:rPr>
          <w:sz w:val="19"/>
        </w:rPr>
        <w:t>of</w:t>
      </w:r>
      <w:r>
        <w:rPr>
          <w:spacing w:val="-9"/>
          <w:sz w:val="19"/>
        </w:rPr>
        <w:t> </w:t>
      </w:r>
      <w:r>
        <w:rPr>
          <w:sz w:val="19"/>
        </w:rPr>
        <w:t>the</w:t>
      </w:r>
      <w:r>
        <w:rPr>
          <w:spacing w:val="-8"/>
          <w:sz w:val="19"/>
        </w:rPr>
        <w:t> </w:t>
      </w:r>
      <w:r>
        <w:rPr>
          <w:sz w:val="19"/>
        </w:rPr>
        <w:t>upside</w:t>
      </w:r>
      <w:r>
        <w:rPr>
          <w:spacing w:val="-8"/>
          <w:sz w:val="19"/>
        </w:rPr>
        <w:t> </w:t>
      </w:r>
      <w:r>
        <w:rPr>
          <w:sz w:val="19"/>
        </w:rPr>
        <w:t>also</w:t>
      </w:r>
      <w:r>
        <w:rPr>
          <w:spacing w:val="-8"/>
          <w:sz w:val="19"/>
        </w:rPr>
        <w:t> </w:t>
      </w:r>
      <w:r>
        <w:rPr>
          <w:sz w:val="19"/>
        </w:rPr>
        <w:t>have smaller shares of the</w:t>
      </w:r>
      <w:r>
        <w:rPr>
          <w:spacing w:val="-6"/>
          <w:sz w:val="19"/>
        </w:rPr>
        <w:t> </w:t>
      </w:r>
      <w:r>
        <w:rPr>
          <w:sz w:val="19"/>
        </w:rPr>
        <w:t>downside.</w:t>
      </w:r>
    </w:p>
    <w:p>
      <w:pPr>
        <w:pStyle w:val="BodyText"/>
        <w:spacing w:before="6"/>
        <w:rPr>
          <w:sz w:val="27"/>
        </w:rPr>
      </w:pPr>
    </w:p>
    <w:p>
      <w:pPr>
        <w:pStyle w:val="BodyText"/>
        <w:spacing w:line="350" w:lineRule="auto"/>
        <w:ind w:left="226"/>
      </w:pPr>
      <w:r>
        <w:rPr/>
        <w:t>To</w:t>
      </w:r>
      <w:r>
        <w:rPr>
          <w:spacing w:val="-8"/>
        </w:rPr>
        <w:t> </w:t>
      </w:r>
      <w:r>
        <w:rPr/>
        <w:t>show</w:t>
      </w:r>
      <w:r>
        <w:rPr>
          <w:spacing w:val="-8"/>
        </w:rPr>
        <w:t> </w:t>
      </w:r>
      <w:r>
        <w:rPr/>
        <w:t>what</w:t>
      </w:r>
      <w:r>
        <w:rPr>
          <w:spacing w:val="-7"/>
        </w:rPr>
        <w:t> </w:t>
      </w:r>
      <w:r>
        <w:rPr/>
        <w:t>type</w:t>
      </w:r>
      <w:r>
        <w:rPr>
          <w:spacing w:val="-8"/>
        </w:rPr>
        <w:t> </w:t>
      </w:r>
      <w:r>
        <w:rPr/>
        <w:t>of</w:t>
      </w:r>
      <w:r>
        <w:rPr>
          <w:spacing w:val="-7"/>
        </w:rPr>
        <w:t> </w:t>
      </w:r>
      <w:r>
        <w:rPr/>
        <w:t>contracts</w:t>
      </w:r>
      <w:r>
        <w:rPr>
          <w:spacing w:val="-8"/>
        </w:rPr>
        <w:t> </w:t>
      </w:r>
      <w:r>
        <w:rPr/>
        <w:t>might</w:t>
      </w:r>
      <w:r>
        <w:rPr>
          <w:spacing w:val="-5"/>
        </w:rPr>
        <w:t> </w:t>
      </w:r>
      <w:r>
        <w:rPr/>
        <w:t>be</w:t>
      </w:r>
      <w:r>
        <w:rPr>
          <w:spacing w:val="-8"/>
        </w:rPr>
        <w:t> </w:t>
      </w:r>
      <w:r>
        <w:rPr/>
        <w:t>feasible</w:t>
      </w:r>
      <w:r>
        <w:rPr>
          <w:spacing w:val="-8"/>
        </w:rPr>
        <w:t> </w:t>
      </w:r>
      <w:r>
        <w:rPr/>
        <w:t>I</w:t>
      </w:r>
      <w:r>
        <w:rPr>
          <w:spacing w:val="-5"/>
        </w:rPr>
        <w:t> </w:t>
      </w:r>
      <w:r>
        <w:rPr/>
        <w:t>will</w:t>
      </w:r>
      <w:r>
        <w:rPr>
          <w:spacing w:val="-6"/>
        </w:rPr>
        <w:t> </w:t>
      </w:r>
      <w:r>
        <w:rPr/>
        <w:t>assume</w:t>
      </w:r>
      <w:r>
        <w:rPr>
          <w:spacing w:val="-8"/>
        </w:rPr>
        <w:t> </w:t>
      </w:r>
      <w:r>
        <w:rPr/>
        <w:t>that</w:t>
      </w:r>
      <w:r>
        <w:rPr>
          <w:spacing w:val="-7"/>
        </w:rPr>
        <w:t> </w:t>
      </w:r>
      <w:r>
        <w:rPr/>
        <w:t>house</w:t>
      </w:r>
      <w:r>
        <w:rPr>
          <w:spacing w:val="-8"/>
        </w:rPr>
        <w:t> </w:t>
      </w:r>
      <w:r>
        <w:rPr/>
        <w:t>price</w:t>
      </w:r>
      <w:r>
        <w:rPr>
          <w:spacing w:val="-7"/>
        </w:rPr>
        <w:t> </w:t>
      </w:r>
      <w:r>
        <w:rPr/>
        <w:t>changes</w:t>
      </w:r>
      <w:r>
        <w:rPr>
          <w:spacing w:val="-7"/>
        </w:rPr>
        <w:t> </w:t>
      </w:r>
      <w:r>
        <w:rPr/>
        <w:t>follow</w:t>
      </w:r>
      <w:r>
        <w:rPr>
          <w:spacing w:val="-7"/>
        </w:rPr>
        <w:t> </w:t>
      </w:r>
      <w:r>
        <w:rPr/>
        <w:t>a</w:t>
      </w:r>
      <w:r>
        <w:rPr>
          <w:spacing w:val="-8"/>
        </w:rPr>
        <w:t> </w:t>
      </w:r>
      <w:r>
        <w:rPr/>
        <w:t>log</w:t>
      </w:r>
      <w:r>
        <w:rPr>
          <w:spacing w:val="-7"/>
        </w:rPr>
        <w:t> </w:t>
      </w:r>
      <w:r>
        <w:rPr/>
        <w:t>normal distribution and are generated</w:t>
      </w:r>
      <w:r>
        <w:rPr>
          <w:spacing w:val="-8"/>
        </w:rPr>
        <w:t> </w:t>
      </w:r>
      <w:r>
        <w:rPr/>
        <w:t>by:</w:t>
      </w:r>
    </w:p>
    <w:p>
      <w:pPr>
        <w:pStyle w:val="BodyText"/>
        <w:rPr>
          <w:sz w:val="28"/>
        </w:rPr>
      </w:pPr>
    </w:p>
    <w:p>
      <w:pPr>
        <w:pStyle w:val="BodyText"/>
        <w:ind w:left="121"/>
        <w:jc w:val="center"/>
      </w:pPr>
      <w:r>
        <w:rPr/>
        <w:t>ln(P)t = </w:t>
      </w:r>
      <w:r>
        <w:rPr>
          <w:i/>
        </w:rPr>
        <w:t>a </w:t>
      </w:r>
      <w:r>
        <w:rPr/>
        <w:t>+ </w:t>
      </w:r>
      <w:r>
        <w:rPr>
          <w:i/>
        </w:rPr>
        <w:t>b </w:t>
      </w:r>
      <w:r>
        <w:rPr/>
        <w:t>ln(P)t-1 + e</w:t>
      </w:r>
    </w:p>
    <w:p>
      <w:pPr>
        <w:pStyle w:val="BodyText"/>
        <w:rPr>
          <w:sz w:val="20"/>
        </w:rPr>
      </w:pPr>
    </w:p>
    <w:p>
      <w:pPr>
        <w:pStyle w:val="BodyText"/>
        <w:spacing w:before="6"/>
        <w:rPr>
          <w:sz w:val="16"/>
        </w:rPr>
      </w:pPr>
    </w:p>
    <w:p>
      <w:pPr>
        <w:pStyle w:val="BodyText"/>
        <w:spacing w:line="352" w:lineRule="auto"/>
        <w:ind w:left="226"/>
      </w:pPr>
      <w:r>
        <w:rPr/>
        <w:t>e is a random shock that follows a normal distribution. We should think of this as a model for the evolution of the price of a single property and so e is a house-specific shock. Some element of house specific shocks</w:t>
      </w:r>
    </w:p>
    <w:p>
      <w:pPr>
        <w:spacing w:after="0" w:line="352" w:lineRule="auto"/>
        <w:sectPr>
          <w:pgSz w:w="12240" w:h="15840"/>
          <w:pgMar w:header="0" w:footer="1240" w:top="1380" w:bottom="1440" w:left="1360" w:right="1480"/>
        </w:sectPr>
      </w:pPr>
    </w:p>
    <w:p>
      <w:pPr>
        <w:pStyle w:val="BodyText"/>
        <w:spacing w:line="352" w:lineRule="auto" w:before="75"/>
        <w:ind w:left="226"/>
      </w:pPr>
      <w:r>
        <w:rPr/>
        <w:t>may be common across a region or a whole country. But a significant element of such shocks is likely to be house (or at least neighbourhood) specific.</w:t>
      </w:r>
    </w:p>
    <w:p>
      <w:pPr>
        <w:pStyle w:val="BodyText"/>
        <w:spacing w:before="7"/>
        <w:rPr>
          <w:sz w:val="27"/>
        </w:rPr>
      </w:pPr>
    </w:p>
    <w:p>
      <w:pPr>
        <w:pStyle w:val="BodyText"/>
        <w:spacing w:line="350" w:lineRule="auto"/>
        <w:ind w:left="226" w:right="672"/>
      </w:pPr>
      <w:r>
        <w:rPr/>
        <w:t>If (as seems likely) </w:t>
      </w:r>
      <w:r>
        <w:rPr>
          <w:i/>
        </w:rPr>
        <w:t>b </w:t>
      </w:r>
      <w:r>
        <w:rPr/>
        <w:t>is very close to unity then </w:t>
      </w:r>
      <w:r>
        <w:rPr>
          <w:i/>
        </w:rPr>
        <w:t>a </w:t>
      </w:r>
      <w:r>
        <w:rPr/>
        <w:t>is the expected rate of house price inflation. We will assume from here that </w:t>
      </w:r>
      <w:r>
        <w:rPr>
          <w:i/>
        </w:rPr>
        <w:t>b </w:t>
      </w:r>
      <w:r>
        <w:rPr/>
        <w:t>is 1.</w:t>
      </w:r>
    </w:p>
    <w:p>
      <w:pPr>
        <w:pStyle w:val="BodyText"/>
        <w:rPr>
          <w:sz w:val="28"/>
        </w:rPr>
      </w:pPr>
    </w:p>
    <w:p>
      <w:pPr>
        <w:pStyle w:val="BodyText"/>
        <w:spacing w:line="350" w:lineRule="auto"/>
        <w:ind w:left="226" w:right="105"/>
      </w:pPr>
      <w:r>
        <w:rPr/>
        <w:t>I denote the proportion of any house value appreciation that is paid to the provider of an equity loan by </w:t>
      </w:r>
      <w:r>
        <w:rPr>
          <w:i/>
        </w:rPr>
        <w:t>u </w:t>
      </w:r>
      <w:r>
        <w:rPr/>
        <w:t>(</w:t>
      </w:r>
      <w:r>
        <w:rPr>
          <w:i/>
        </w:rPr>
        <w:t>u </w:t>
      </w:r>
      <w:r>
        <w:rPr/>
        <w:t>for upside share). Let the proportion of any house price fall that is taken by the equity loan be </w:t>
      </w:r>
      <w:r>
        <w:rPr>
          <w:i/>
        </w:rPr>
        <w:t>d </w:t>
      </w:r>
      <w:r>
        <w:rPr/>
        <w:t>(</w:t>
      </w:r>
      <w:r>
        <w:rPr>
          <w:i/>
        </w:rPr>
        <w:t>d </w:t>
      </w:r>
      <w:r>
        <w:rPr/>
        <w:t>for downside share). I denote </w:t>
      </w:r>
      <w:r>
        <w:rPr>
          <w:rFonts w:ascii="Times New Roman"/>
        </w:rPr>
        <w:t>the </w:t>
      </w:r>
      <w:r>
        <w:rPr/>
        <w:t>percentage change in house prices by p and the level of house prices by P. Let the required expected rate of return on the equity loan be Re. As noted above the value of the equity loan as a proportion of the value of the house when purchased is denoted by g.</w:t>
      </w:r>
    </w:p>
    <w:p>
      <w:pPr>
        <w:pStyle w:val="BodyText"/>
        <w:spacing w:before="1"/>
        <w:rPr>
          <w:sz w:val="28"/>
        </w:rPr>
      </w:pPr>
    </w:p>
    <w:p>
      <w:pPr>
        <w:pStyle w:val="BodyText"/>
        <w:ind w:left="226"/>
      </w:pPr>
      <w:r>
        <w:rPr/>
        <w:t>The rate of return (ex post) on an equity loan is then given by:</w:t>
      </w:r>
    </w:p>
    <w:p>
      <w:pPr>
        <w:pStyle w:val="BodyText"/>
        <w:spacing w:before="8"/>
        <w:rPr>
          <w:sz w:val="28"/>
        </w:rPr>
      </w:pPr>
    </w:p>
    <w:p>
      <w:pPr>
        <w:pStyle w:val="BodyText"/>
        <w:tabs>
          <w:tab w:pos="1528" w:val="left" w:leader="none"/>
        </w:tabs>
        <w:spacing w:before="92"/>
        <w:ind w:left="121"/>
        <w:jc w:val="center"/>
      </w:pPr>
      <w:r>
        <w:rPr/>
        <w:t>p</w:t>
      </w:r>
      <w:r>
        <w:rPr>
          <w:i/>
        </w:rPr>
        <w:t>u</w:t>
      </w:r>
      <w:r>
        <w:rPr/>
        <w:t>/g</w:t>
        <w:tab/>
        <w:t>if p&gt;</w:t>
      </w:r>
      <w:r>
        <w:rPr>
          <w:spacing w:val="-7"/>
        </w:rPr>
        <w:t> </w:t>
      </w:r>
      <w:r>
        <w:rPr/>
        <w:t>0</w:t>
      </w:r>
    </w:p>
    <w:p>
      <w:pPr>
        <w:pStyle w:val="BodyText"/>
        <w:tabs>
          <w:tab w:pos="1530" w:val="left" w:leader="none"/>
        </w:tabs>
        <w:spacing w:before="101"/>
        <w:ind w:left="121"/>
        <w:jc w:val="center"/>
      </w:pPr>
      <w:r>
        <w:rPr/>
        <w:t>p</w:t>
      </w:r>
      <w:r>
        <w:rPr>
          <w:i/>
        </w:rPr>
        <w:t>d</w:t>
      </w:r>
      <w:r>
        <w:rPr/>
        <w:t>/g</w:t>
        <w:tab/>
        <w:t>if p &lt;</w:t>
      </w:r>
      <w:r>
        <w:rPr>
          <w:spacing w:val="-8"/>
        </w:rPr>
        <w:t> </w:t>
      </w:r>
      <w:r>
        <w:rPr/>
        <w:t>0</w:t>
      </w:r>
    </w:p>
    <w:p>
      <w:pPr>
        <w:pStyle w:val="BodyText"/>
        <w:spacing w:before="101"/>
        <w:ind w:left="196" w:right="6439"/>
        <w:jc w:val="center"/>
      </w:pPr>
      <w:r>
        <w:rPr/>
        <w:t>The equilibrium condition is that:</w:t>
      </w:r>
    </w:p>
    <w:p>
      <w:pPr>
        <w:pStyle w:val="BodyText"/>
        <w:spacing w:before="8"/>
        <w:rPr>
          <w:sz w:val="28"/>
        </w:rPr>
      </w:pPr>
    </w:p>
    <w:p>
      <w:pPr>
        <w:pStyle w:val="BodyText"/>
        <w:spacing w:before="92"/>
        <w:ind w:right="2184"/>
        <w:jc w:val="right"/>
      </w:pPr>
      <w:r>
        <w:rPr/>
        <w:t>Re = E( p</w:t>
      </w:r>
      <w:r>
        <w:rPr>
          <w:i/>
        </w:rPr>
        <w:t>u</w:t>
      </w:r>
      <w:r>
        <w:rPr/>
        <w:t>/g| p &gt; 0).prob (p&gt;0) + E( p</w:t>
      </w:r>
      <w:r>
        <w:rPr>
          <w:i/>
        </w:rPr>
        <w:t>d</w:t>
      </w:r>
      <w:r>
        <w:rPr/>
        <w:t>/g| p &lt; 0).prob (p&lt;0)</w:t>
      </w:r>
    </w:p>
    <w:p>
      <w:pPr>
        <w:pStyle w:val="BodyText"/>
        <w:rPr>
          <w:sz w:val="20"/>
        </w:rPr>
      </w:pPr>
    </w:p>
    <w:p>
      <w:pPr>
        <w:pStyle w:val="BodyText"/>
        <w:spacing w:before="7"/>
        <w:rPr>
          <w:sz w:val="16"/>
        </w:rPr>
      </w:pPr>
    </w:p>
    <w:p>
      <w:pPr>
        <w:pStyle w:val="BodyText"/>
        <w:tabs>
          <w:tab w:pos="802" w:val="left" w:leader="none"/>
        </w:tabs>
        <w:spacing w:line="350" w:lineRule="auto"/>
        <w:ind w:left="279" w:right="3516" w:hanging="53"/>
      </w:pPr>
      <w:r>
        <w:rPr/>
        <w:t>where E( p</w:t>
      </w:r>
      <w:r>
        <w:rPr>
          <w:i/>
        </w:rPr>
        <w:t>u</w:t>
      </w:r>
      <w:r>
        <w:rPr/>
        <w:t>/g| p &gt; 0) is the expectation of p</w:t>
      </w:r>
      <w:r>
        <w:rPr>
          <w:i/>
        </w:rPr>
        <w:t>u</w:t>
      </w:r>
      <w:r>
        <w:rPr/>
        <w:t>/g conditional on p &gt; 0 and</w:t>
        <w:tab/>
        <w:t>E( p</w:t>
      </w:r>
      <w:r>
        <w:rPr>
          <w:i/>
        </w:rPr>
        <w:t>d</w:t>
      </w:r>
      <w:r>
        <w:rPr/>
        <w:t>/g| p &lt; 0) is the expectation of p</w:t>
      </w:r>
      <w:r>
        <w:rPr>
          <w:i/>
        </w:rPr>
        <w:t>d</w:t>
      </w:r>
      <w:r>
        <w:rPr/>
        <w:t>/g conditional on p &lt;</w:t>
      </w:r>
      <w:r>
        <w:rPr>
          <w:spacing w:val="-22"/>
        </w:rPr>
        <w:t> </w:t>
      </w:r>
      <w:r>
        <w:rPr/>
        <w:t>0</w:t>
      </w:r>
    </w:p>
    <w:p>
      <w:pPr>
        <w:pStyle w:val="BodyText"/>
        <w:rPr>
          <w:sz w:val="28"/>
        </w:rPr>
      </w:pPr>
    </w:p>
    <w:p>
      <w:pPr>
        <w:pStyle w:val="BodyText"/>
        <w:ind w:right="2229"/>
        <w:jc w:val="right"/>
      </w:pPr>
      <w:r>
        <w:rPr/>
        <w:t>I calibrate the simple model of house prices by reference to UK and US experience.</w:t>
      </w:r>
    </w:p>
    <w:p>
      <w:pPr>
        <w:pStyle w:val="BodyText"/>
        <w:rPr>
          <w:sz w:val="20"/>
        </w:rPr>
      </w:pPr>
    </w:p>
    <w:p>
      <w:pPr>
        <w:pStyle w:val="BodyText"/>
        <w:spacing w:before="6"/>
        <w:rPr>
          <w:sz w:val="16"/>
        </w:rPr>
      </w:pPr>
    </w:p>
    <w:p>
      <w:pPr>
        <w:pStyle w:val="BodyText"/>
        <w:spacing w:line="352" w:lineRule="auto"/>
        <w:ind w:left="226" w:right="276" w:hanging="1"/>
      </w:pPr>
      <w:r>
        <w:rPr/>
        <w:t>Based on quarterly data of regional house price indices</w:t>
      </w:r>
      <w:r>
        <w:rPr>
          <w:vertAlign w:val="superscript"/>
        </w:rPr>
        <w:t>5</w:t>
      </w:r>
      <w:r>
        <w:rPr>
          <w:vertAlign w:val="baseline"/>
        </w:rPr>
        <w:t> for the UK over the period 1990-2013(Q3) the average (across regions) of the mean and standard deviation of quarterly changes in log (nominal) house prices are 1.1% and 3.3%. Based on Case-Shiller data for house prices in major US cities over the period 1990-2013(Q2) the averages of mean and standard deviation of quarterly changes in log house prices are 0.8% and 2.9%.</w:t>
      </w:r>
    </w:p>
    <w:p>
      <w:pPr>
        <w:pStyle w:val="BodyText"/>
        <w:spacing w:before="4"/>
        <w:rPr>
          <w:sz w:val="27"/>
        </w:rPr>
      </w:pPr>
    </w:p>
    <w:p>
      <w:pPr>
        <w:pStyle w:val="BodyText"/>
        <w:spacing w:line="350" w:lineRule="auto"/>
        <w:ind w:left="226" w:right="105"/>
      </w:pPr>
      <w:r>
        <w:rPr/>
        <w:pict>
          <v:shape style="position:absolute;margin-left:79.320pt;margin-top:134.431046pt;width:135.5pt;height:.1pt;mso-position-horizontal-relative:page;mso-position-vertical-relative:paragraph;z-index:-251609088;mso-wrap-distance-left:0;mso-wrap-distance-right:0" coordorigin="1586,2689" coordsize="2710,0" path="m1586,2689l4296,2689e" filled="false" stroked="true" strokeweight=".47998pt" strokecolor="#000000">
            <v:path arrowok="t"/>
            <v:stroke dashstyle="solid"/>
            <w10:wrap type="topAndBottom"/>
          </v:shape>
        </w:pict>
      </w:r>
      <w:r>
        <w:rPr/>
        <w:t>The</w:t>
      </w:r>
      <w:r>
        <w:rPr>
          <w:spacing w:val="-9"/>
        </w:rPr>
        <w:t> </w:t>
      </w:r>
      <w:r>
        <w:rPr/>
        <w:t>mean</w:t>
      </w:r>
      <w:r>
        <w:rPr>
          <w:spacing w:val="-8"/>
        </w:rPr>
        <w:t> </w:t>
      </w:r>
      <w:r>
        <w:rPr/>
        <w:t>changes</w:t>
      </w:r>
      <w:r>
        <w:rPr>
          <w:spacing w:val="-7"/>
        </w:rPr>
        <w:t> </w:t>
      </w:r>
      <w:r>
        <w:rPr/>
        <w:t>aggregate</w:t>
      </w:r>
      <w:r>
        <w:rPr>
          <w:spacing w:val="-7"/>
        </w:rPr>
        <w:t> </w:t>
      </w:r>
      <w:r>
        <w:rPr/>
        <w:t>easily</w:t>
      </w:r>
      <w:r>
        <w:rPr>
          <w:spacing w:val="-8"/>
        </w:rPr>
        <w:t> </w:t>
      </w:r>
      <w:r>
        <w:rPr/>
        <w:t>for</w:t>
      </w:r>
      <w:r>
        <w:rPr>
          <w:spacing w:val="-8"/>
        </w:rPr>
        <w:t> </w:t>
      </w:r>
      <w:r>
        <w:rPr/>
        <w:t>different</w:t>
      </w:r>
      <w:r>
        <w:rPr>
          <w:spacing w:val="-7"/>
        </w:rPr>
        <w:t> </w:t>
      </w:r>
      <w:r>
        <w:rPr/>
        <w:t>time</w:t>
      </w:r>
      <w:r>
        <w:rPr>
          <w:spacing w:val="-9"/>
        </w:rPr>
        <w:t> </w:t>
      </w:r>
      <w:r>
        <w:rPr/>
        <w:t>periods</w:t>
      </w:r>
      <w:r>
        <w:rPr>
          <w:spacing w:val="-7"/>
        </w:rPr>
        <w:t> </w:t>
      </w:r>
      <w:r>
        <w:rPr/>
        <w:t>–</w:t>
      </w:r>
      <w:r>
        <w:rPr>
          <w:spacing w:val="-7"/>
        </w:rPr>
        <w:t> </w:t>
      </w:r>
      <w:r>
        <w:rPr/>
        <w:t>so</w:t>
      </w:r>
      <w:r>
        <w:rPr>
          <w:spacing w:val="-9"/>
        </w:rPr>
        <w:t> </w:t>
      </w:r>
      <w:r>
        <w:rPr/>
        <w:t>the</w:t>
      </w:r>
      <w:r>
        <w:rPr>
          <w:spacing w:val="-8"/>
        </w:rPr>
        <w:t> </w:t>
      </w:r>
      <w:r>
        <w:rPr/>
        <w:t>average</w:t>
      </w:r>
      <w:r>
        <w:rPr>
          <w:spacing w:val="-7"/>
        </w:rPr>
        <w:t> </w:t>
      </w:r>
      <w:r>
        <w:rPr/>
        <w:t>return</w:t>
      </w:r>
      <w:r>
        <w:rPr>
          <w:spacing w:val="-8"/>
        </w:rPr>
        <w:t> </w:t>
      </w:r>
      <w:r>
        <w:rPr/>
        <w:t>over</w:t>
      </w:r>
      <w:r>
        <w:rPr>
          <w:spacing w:val="-8"/>
        </w:rPr>
        <w:t> </w:t>
      </w:r>
      <w:r>
        <w:rPr/>
        <w:t>5</w:t>
      </w:r>
      <w:r>
        <w:rPr>
          <w:spacing w:val="-8"/>
        </w:rPr>
        <w:t> </w:t>
      </w:r>
      <w:r>
        <w:rPr/>
        <w:t>years</w:t>
      </w:r>
      <w:r>
        <w:rPr>
          <w:spacing w:val="-6"/>
        </w:rPr>
        <w:t> </w:t>
      </w:r>
      <w:r>
        <w:rPr/>
        <w:t>is</w:t>
      </w:r>
      <w:r>
        <w:rPr>
          <w:spacing w:val="-9"/>
        </w:rPr>
        <w:t> </w:t>
      </w:r>
      <w:r>
        <w:rPr/>
        <w:t>simply 20 times the average quarterly return. This is not true for standard deviations – only under the assumption that the quarterly random shocks (e) are independent and of constant volatility will the five year return variance be 20 times the quarterly variance. (In fact the UK data suggest that the 5 year variance is rather more than 20 times the quarterly variance.) That variance is only a guide to the volatility of regional house prices – the volatility of specific house prices will almost certainly be significantly greater. Initially I will use that lower bound on the variability of the price of property – but then show the impact of using significantly higher</w:t>
      </w:r>
      <w:r>
        <w:rPr>
          <w:spacing w:val="-2"/>
        </w:rPr>
        <w:t> </w:t>
      </w:r>
      <w:r>
        <w:rPr/>
        <w:t>variability.</w:t>
      </w:r>
    </w:p>
    <w:p>
      <w:pPr>
        <w:spacing w:before="26"/>
        <w:ind w:left="226" w:right="0" w:firstLine="0"/>
        <w:jc w:val="left"/>
        <w:rPr>
          <w:sz w:val="15"/>
        </w:rPr>
      </w:pPr>
      <w:r>
        <w:rPr>
          <w:position w:val="8"/>
          <w:sz w:val="9"/>
        </w:rPr>
        <w:t>5 </w:t>
      </w:r>
      <w:r>
        <w:rPr>
          <w:sz w:val="15"/>
        </w:rPr>
        <w:t>The Nationwide regional house price indices.</w:t>
      </w:r>
    </w:p>
    <w:p>
      <w:pPr>
        <w:spacing w:after="0"/>
        <w:jc w:val="left"/>
        <w:rPr>
          <w:sz w:val="15"/>
        </w:rPr>
        <w:sectPr>
          <w:pgSz w:w="12240" w:h="15840"/>
          <w:pgMar w:header="0" w:footer="1240" w:top="1380" w:bottom="1440" w:left="1360" w:right="1480"/>
        </w:sectPr>
      </w:pPr>
    </w:p>
    <w:p>
      <w:pPr>
        <w:pStyle w:val="BodyText"/>
        <w:spacing w:before="10"/>
        <w:rPr>
          <w:sz w:val="15"/>
        </w:rPr>
      </w:pPr>
    </w:p>
    <w:p>
      <w:pPr>
        <w:pStyle w:val="BodyText"/>
        <w:spacing w:line="352" w:lineRule="auto" w:before="93"/>
        <w:ind w:left="226"/>
      </w:pPr>
      <w:r>
        <w:rPr/>
        <w:t>I</w:t>
      </w:r>
      <w:r>
        <w:rPr>
          <w:spacing w:val="-5"/>
        </w:rPr>
        <w:t> </w:t>
      </w:r>
      <w:r>
        <w:rPr/>
        <w:t>initially</w:t>
      </w:r>
      <w:r>
        <w:rPr>
          <w:spacing w:val="-5"/>
        </w:rPr>
        <w:t> </w:t>
      </w:r>
      <w:r>
        <w:rPr/>
        <w:t>will</w:t>
      </w:r>
      <w:r>
        <w:rPr>
          <w:spacing w:val="-6"/>
        </w:rPr>
        <w:t> </w:t>
      </w:r>
      <w:r>
        <w:rPr/>
        <w:t>assume</w:t>
      </w:r>
      <w:r>
        <w:rPr>
          <w:spacing w:val="-7"/>
        </w:rPr>
        <w:t> </w:t>
      </w:r>
      <w:r>
        <w:rPr/>
        <w:t>that</w:t>
      </w:r>
      <w:r>
        <w:rPr>
          <w:spacing w:val="-5"/>
        </w:rPr>
        <w:t> </w:t>
      </w:r>
      <w:r>
        <w:rPr/>
        <w:t>5</w:t>
      </w:r>
      <w:r>
        <w:rPr>
          <w:spacing w:val="-8"/>
        </w:rPr>
        <w:t> </w:t>
      </w:r>
      <w:r>
        <w:rPr/>
        <w:t>years</w:t>
      </w:r>
      <w:r>
        <w:rPr>
          <w:spacing w:val="-5"/>
        </w:rPr>
        <w:t> </w:t>
      </w:r>
      <w:r>
        <w:rPr/>
        <w:t>is</w:t>
      </w:r>
      <w:r>
        <w:rPr>
          <w:spacing w:val="-5"/>
        </w:rPr>
        <w:t> </w:t>
      </w:r>
      <w:r>
        <w:rPr/>
        <w:t>the</w:t>
      </w:r>
      <w:r>
        <w:rPr>
          <w:spacing w:val="-6"/>
        </w:rPr>
        <w:t> </w:t>
      </w:r>
      <w:r>
        <w:rPr/>
        <w:t>relevant</w:t>
      </w:r>
      <w:r>
        <w:rPr>
          <w:spacing w:val="-5"/>
        </w:rPr>
        <w:t> </w:t>
      </w:r>
      <w:r>
        <w:rPr/>
        <w:t>horizon</w:t>
      </w:r>
      <w:r>
        <w:rPr>
          <w:spacing w:val="-7"/>
        </w:rPr>
        <w:t> </w:t>
      </w:r>
      <w:r>
        <w:rPr/>
        <w:t>for</w:t>
      </w:r>
      <w:r>
        <w:rPr>
          <w:spacing w:val="-6"/>
        </w:rPr>
        <w:t> </w:t>
      </w:r>
      <w:r>
        <w:rPr/>
        <w:t>contracts</w:t>
      </w:r>
      <w:r>
        <w:rPr>
          <w:spacing w:val="-6"/>
        </w:rPr>
        <w:t> </w:t>
      </w:r>
      <w:r>
        <w:rPr/>
        <w:t>–</w:t>
      </w:r>
      <w:r>
        <w:rPr>
          <w:spacing w:val="-7"/>
        </w:rPr>
        <w:t> </w:t>
      </w:r>
      <w:r>
        <w:rPr/>
        <w:t>though</w:t>
      </w:r>
      <w:r>
        <w:rPr>
          <w:spacing w:val="-7"/>
        </w:rPr>
        <w:t> </w:t>
      </w:r>
      <w:r>
        <w:rPr/>
        <w:t>as</w:t>
      </w:r>
      <w:r>
        <w:rPr>
          <w:spacing w:val="-5"/>
        </w:rPr>
        <w:t> </w:t>
      </w:r>
      <w:r>
        <w:rPr/>
        <w:t>I</w:t>
      </w:r>
      <w:r>
        <w:rPr>
          <w:spacing w:val="-6"/>
        </w:rPr>
        <w:t> </w:t>
      </w:r>
      <w:r>
        <w:rPr/>
        <w:t>shall</w:t>
      </w:r>
      <w:r>
        <w:rPr>
          <w:spacing w:val="-7"/>
        </w:rPr>
        <w:t> </w:t>
      </w:r>
      <w:r>
        <w:rPr/>
        <w:t>show</w:t>
      </w:r>
      <w:r>
        <w:rPr>
          <w:spacing w:val="-6"/>
        </w:rPr>
        <w:t> </w:t>
      </w:r>
      <w:r>
        <w:rPr/>
        <w:t>below</w:t>
      </w:r>
      <w:r>
        <w:rPr>
          <w:spacing w:val="-8"/>
        </w:rPr>
        <w:t> </w:t>
      </w:r>
      <w:r>
        <w:rPr/>
        <w:t>the</w:t>
      </w:r>
      <w:r>
        <w:rPr>
          <w:spacing w:val="-7"/>
        </w:rPr>
        <w:t> </w:t>
      </w:r>
      <w:r>
        <w:rPr/>
        <w:t>key parameters </w:t>
      </w:r>
      <w:r>
        <w:rPr>
          <w:i/>
        </w:rPr>
        <w:t>u </w:t>
      </w:r>
      <w:r>
        <w:rPr/>
        <w:t>and </w:t>
      </w:r>
      <w:r>
        <w:rPr>
          <w:i/>
        </w:rPr>
        <w:t>d </w:t>
      </w:r>
      <w:r>
        <w:rPr/>
        <w:t>are not sensitive to varying the investment</w:t>
      </w:r>
      <w:r>
        <w:rPr>
          <w:spacing w:val="-28"/>
        </w:rPr>
        <w:t> </w:t>
      </w:r>
      <w:r>
        <w:rPr/>
        <w:t>horizon.</w:t>
      </w:r>
    </w:p>
    <w:p>
      <w:pPr>
        <w:pStyle w:val="BodyText"/>
        <w:spacing w:before="5"/>
        <w:rPr>
          <w:sz w:val="27"/>
        </w:rPr>
      </w:pPr>
    </w:p>
    <w:p>
      <w:pPr>
        <w:pStyle w:val="BodyText"/>
        <w:spacing w:line="352" w:lineRule="auto" w:before="1"/>
        <w:ind w:left="226" w:right="105"/>
      </w:pPr>
      <w:r>
        <w:rPr/>
        <w:t>Table</w:t>
      </w:r>
      <w:r>
        <w:rPr>
          <w:spacing w:val="-7"/>
        </w:rPr>
        <w:t> </w:t>
      </w:r>
      <w:r>
        <w:rPr/>
        <w:t>1</w:t>
      </w:r>
      <w:r>
        <w:rPr>
          <w:spacing w:val="-8"/>
        </w:rPr>
        <w:t> </w:t>
      </w:r>
      <w:r>
        <w:rPr/>
        <w:t>shows</w:t>
      </w:r>
      <w:r>
        <w:rPr>
          <w:spacing w:val="-6"/>
        </w:rPr>
        <w:t> </w:t>
      </w:r>
      <w:r>
        <w:rPr/>
        <w:t>combinations</w:t>
      </w:r>
      <w:r>
        <w:rPr>
          <w:spacing w:val="-6"/>
        </w:rPr>
        <w:t> </w:t>
      </w:r>
      <w:r>
        <w:rPr/>
        <w:t>of</w:t>
      </w:r>
      <w:r>
        <w:rPr>
          <w:spacing w:val="-5"/>
        </w:rPr>
        <w:t> </w:t>
      </w:r>
      <w:r>
        <w:rPr/>
        <w:t>upside</w:t>
      </w:r>
      <w:r>
        <w:rPr>
          <w:spacing w:val="-6"/>
        </w:rPr>
        <w:t> </w:t>
      </w:r>
      <w:r>
        <w:rPr/>
        <w:t>(</w:t>
      </w:r>
      <w:r>
        <w:rPr>
          <w:i/>
        </w:rPr>
        <w:t>u</w:t>
      </w:r>
      <w:r>
        <w:rPr/>
        <w:t>)</w:t>
      </w:r>
      <w:r>
        <w:rPr>
          <w:spacing w:val="-7"/>
        </w:rPr>
        <w:t> </w:t>
      </w:r>
      <w:r>
        <w:rPr/>
        <w:t>and</w:t>
      </w:r>
      <w:r>
        <w:rPr>
          <w:spacing w:val="-7"/>
        </w:rPr>
        <w:t> </w:t>
      </w:r>
      <w:r>
        <w:rPr/>
        <w:t>downside</w:t>
      </w:r>
      <w:r>
        <w:rPr>
          <w:spacing w:val="-7"/>
        </w:rPr>
        <w:t> </w:t>
      </w:r>
      <w:r>
        <w:rPr/>
        <w:t>(</w:t>
      </w:r>
      <w:r>
        <w:rPr>
          <w:i/>
        </w:rPr>
        <w:t>d</w:t>
      </w:r>
      <w:r>
        <w:rPr/>
        <w:t>)</w:t>
      </w:r>
      <w:r>
        <w:rPr>
          <w:spacing w:val="-6"/>
        </w:rPr>
        <w:t> </w:t>
      </w:r>
      <w:r>
        <w:rPr/>
        <w:t>shares</w:t>
      </w:r>
      <w:r>
        <w:rPr>
          <w:spacing w:val="-5"/>
        </w:rPr>
        <w:t> </w:t>
      </w:r>
      <w:r>
        <w:rPr/>
        <w:t>due</w:t>
      </w:r>
      <w:r>
        <w:rPr>
          <w:spacing w:val="-8"/>
        </w:rPr>
        <w:t> </w:t>
      </w:r>
      <w:r>
        <w:rPr/>
        <w:t>to</w:t>
      </w:r>
      <w:r>
        <w:rPr>
          <w:spacing w:val="-7"/>
        </w:rPr>
        <w:t> </w:t>
      </w:r>
      <w:r>
        <w:rPr/>
        <w:t>an</w:t>
      </w:r>
      <w:r>
        <w:rPr>
          <w:spacing w:val="-7"/>
        </w:rPr>
        <w:t> </w:t>
      </w:r>
      <w:r>
        <w:rPr/>
        <w:t>equity</w:t>
      </w:r>
      <w:r>
        <w:rPr>
          <w:spacing w:val="-6"/>
        </w:rPr>
        <w:t> </w:t>
      </w:r>
      <w:r>
        <w:rPr/>
        <w:t>lender</w:t>
      </w:r>
      <w:r>
        <w:rPr>
          <w:spacing w:val="-6"/>
        </w:rPr>
        <w:t> </w:t>
      </w:r>
      <w:r>
        <w:rPr/>
        <w:t>where</w:t>
      </w:r>
      <w:r>
        <w:rPr>
          <w:spacing w:val="-7"/>
        </w:rPr>
        <w:t> </w:t>
      </w:r>
      <w:r>
        <w:rPr/>
        <w:t>the</w:t>
      </w:r>
      <w:r>
        <w:rPr>
          <w:spacing w:val="-7"/>
        </w:rPr>
        <w:t> </w:t>
      </w:r>
      <w:r>
        <w:rPr/>
        <w:t>5</w:t>
      </w:r>
      <w:r>
        <w:rPr>
          <w:spacing w:val="-7"/>
        </w:rPr>
        <w:t> </w:t>
      </w:r>
      <w:r>
        <w:rPr/>
        <w:t>year percentage change in the value of a house follows a normal distribution with an assumed mean of 15% and a</w:t>
      </w:r>
      <w:r>
        <w:rPr>
          <w:spacing w:val="-8"/>
        </w:rPr>
        <w:t> </w:t>
      </w:r>
      <w:r>
        <w:rPr/>
        <w:t>standard</w:t>
      </w:r>
      <w:r>
        <w:rPr>
          <w:spacing w:val="-8"/>
        </w:rPr>
        <w:t> </w:t>
      </w:r>
      <w:r>
        <w:rPr/>
        <w:t>deviation</w:t>
      </w:r>
      <w:r>
        <w:rPr>
          <w:spacing w:val="-8"/>
        </w:rPr>
        <w:t> </w:t>
      </w:r>
      <w:r>
        <w:rPr/>
        <w:t>of</w:t>
      </w:r>
      <w:r>
        <w:rPr>
          <w:spacing w:val="-6"/>
        </w:rPr>
        <w:t> </w:t>
      </w:r>
      <w:r>
        <w:rPr/>
        <w:t>20%.</w:t>
      </w:r>
      <w:r>
        <w:rPr>
          <w:spacing w:val="-8"/>
        </w:rPr>
        <w:t> </w:t>
      </w:r>
      <w:r>
        <w:rPr/>
        <w:t>(As</w:t>
      </w:r>
      <w:r>
        <w:rPr>
          <w:spacing w:val="-7"/>
        </w:rPr>
        <w:t> </w:t>
      </w:r>
      <w:r>
        <w:rPr/>
        <w:t>a</w:t>
      </w:r>
      <w:r>
        <w:rPr>
          <w:spacing w:val="-8"/>
        </w:rPr>
        <w:t> </w:t>
      </w:r>
      <w:r>
        <w:rPr/>
        <w:t>point</w:t>
      </w:r>
      <w:r>
        <w:rPr>
          <w:spacing w:val="-8"/>
        </w:rPr>
        <w:t> </w:t>
      </w:r>
      <w:r>
        <w:rPr/>
        <w:t>of</w:t>
      </w:r>
      <w:r>
        <w:rPr>
          <w:spacing w:val="-8"/>
        </w:rPr>
        <w:t> </w:t>
      </w:r>
      <w:r>
        <w:rPr/>
        <w:t>comparison</w:t>
      </w:r>
      <w:r>
        <w:rPr>
          <w:spacing w:val="-8"/>
        </w:rPr>
        <w:t> </w:t>
      </w:r>
      <w:r>
        <w:rPr/>
        <w:t>Shiller</w:t>
      </w:r>
      <w:r>
        <w:rPr>
          <w:spacing w:val="-8"/>
        </w:rPr>
        <w:t> </w:t>
      </w:r>
      <w:r>
        <w:rPr/>
        <w:t>and</w:t>
      </w:r>
      <w:r>
        <w:rPr>
          <w:spacing w:val="-8"/>
        </w:rPr>
        <w:t> </w:t>
      </w:r>
      <w:r>
        <w:rPr/>
        <w:t>Weiss</w:t>
      </w:r>
      <w:r>
        <w:rPr>
          <w:spacing w:val="-8"/>
        </w:rPr>
        <w:t> </w:t>
      </w:r>
      <w:r>
        <w:rPr/>
        <w:t>(2003)</w:t>
      </w:r>
      <w:r>
        <w:rPr>
          <w:spacing w:val="-8"/>
        </w:rPr>
        <w:t> </w:t>
      </w:r>
      <w:r>
        <w:rPr/>
        <w:t>estimated</w:t>
      </w:r>
      <w:r>
        <w:rPr>
          <w:spacing w:val="-7"/>
        </w:rPr>
        <w:t> </w:t>
      </w:r>
      <w:r>
        <w:rPr/>
        <w:t>that</w:t>
      </w:r>
      <w:r>
        <w:rPr>
          <w:spacing w:val="-7"/>
        </w:rPr>
        <w:t> </w:t>
      </w:r>
      <w:r>
        <w:rPr/>
        <w:t>the</w:t>
      </w:r>
      <w:r>
        <w:rPr>
          <w:spacing w:val="-8"/>
        </w:rPr>
        <w:t> </w:t>
      </w:r>
      <w:r>
        <w:rPr/>
        <w:t>standard deviation of the change in US citywide log prices over an 8 year horizon was 25.2%; scaling by the square root of 5/8 gives a 5 year estimate of exactly 20%). The assumed mean rate of change of house prices is slightly</w:t>
      </w:r>
      <w:r>
        <w:rPr>
          <w:spacing w:val="-8"/>
        </w:rPr>
        <w:t> </w:t>
      </w:r>
      <w:r>
        <w:rPr/>
        <w:t>lower</w:t>
      </w:r>
      <w:r>
        <w:rPr>
          <w:spacing w:val="-8"/>
        </w:rPr>
        <w:t> </w:t>
      </w:r>
      <w:r>
        <w:rPr/>
        <w:t>than</w:t>
      </w:r>
      <w:r>
        <w:rPr>
          <w:spacing w:val="-7"/>
        </w:rPr>
        <w:t> </w:t>
      </w:r>
      <w:r>
        <w:rPr/>
        <w:t>the</w:t>
      </w:r>
      <w:r>
        <w:rPr>
          <w:spacing w:val="-8"/>
        </w:rPr>
        <w:t> </w:t>
      </w:r>
      <w:r>
        <w:rPr/>
        <w:t>realised</w:t>
      </w:r>
      <w:r>
        <w:rPr>
          <w:spacing w:val="-8"/>
        </w:rPr>
        <w:t> </w:t>
      </w:r>
      <w:r>
        <w:rPr/>
        <w:t>average</w:t>
      </w:r>
      <w:r>
        <w:rPr>
          <w:spacing w:val="-6"/>
        </w:rPr>
        <w:t> </w:t>
      </w:r>
      <w:r>
        <w:rPr/>
        <w:t>across</w:t>
      </w:r>
      <w:r>
        <w:rPr>
          <w:spacing w:val="-6"/>
        </w:rPr>
        <w:t> </w:t>
      </w:r>
      <w:r>
        <w:rPr/>
        <w:t>UK</w:t>
      </w:r>
      <w:r>
        <w:rPr>
          <w:spacing w:val="-6"/>
        </w:rPr>
        <w:t> </w:t>
      </w:r>
      <w:r>
        <w:rPr/>
        <w:t>regions</w:t>
      </w:r>
      <w:r>
        <w:rPr>
          <w:spacing w:val="-6"/>
        </w:rPr>
        <w:t> </w:t>
      </w:r>
      <w:r>
        <w:rPr/>
        <w:t>and</w:t>
      </w:r>
      <w:r>
        <w:rPr>
          <w:spacing w:val="-9"/>
        </w:rPr>
        <w:t> </w:t>
      </w:r>
      <w:r>
        <w:rPr/>
        <w:t>the</w:t>
      </w:r>
      <w:r>
        <w:rPr>
          <w:spacing w:val="-6"/>
        </w:rPr>
        <w:t> </w:t>
      </w:r>
      <w:r>
        <w:rPr/>
        <w:t>US</w:t>
      </w:r>
      <w:r>
        <w:rPr>
          <w:spacing w:val="-8"/>
        </w:rPr>
        <w:t> </w:t>
      </w:r>
      <w:r>
        <w:rPr/>
        <w:t>cities</w:t>
      </w:r>
      <w:r>
        <w:rPr>
          <w:spacing w:val="-8"/>
        </w:rPr>
        <w:t> </w:t>
      </w:r>
      <w:r>
        <w:rPr/>
        <w:t>over</w:t>
      </w:r>
      <w:r>
        <w:rPr>
          <w:spacing w:val="-7"/>
        </w:rPr>
        <w:t> </w:t>
      </w:r>
      <w:r>
        <w:rPr/>
        <w:t>5</w:t>
      </w:r>
      <w:r>
        <w:rPr>
          <w:spacing w:val="-8"/>
        </w:rPr>
        <w:t> </w:t>
      </w:r>
      <w:r>
        <w:rPr/>
        <w:t>year</w:t>
      </w:r>
      <w:r>
        <w:rPr>
          <w:spacing w:val="-7"/>
        </w:rPr>
        <w:t> </w:t>
      </w:r>
      <w:r>
        <w:rPr/>
        <w:t>horizons</w:t>
      </w:r>
      <w:r>
        <w:rPr>
          <w:spacing w:val="-7"/>
        </w:rPr>
        <w:t> </w:t>
      </w:r>
      <w:r>
        <w:rPr/>
        <w:t>since</w:t>
      </w:r>
      <w:r>
        <w:rPr>
          <w:spacing w:val="-9"/>
        </w:rPr>
        <w:t> </w:t>
      </w:r>
      <w:r>
        <w:rPr/>
        <w:t>1990</w:t>
      </w:r>
    </w:p>
    <w:p>
      <w:pPr>
        <w:pStyle w:val="ListParagraph"/>
        <w:numPr>
          <w:ilvl w:val="0"/>
          <w:numId w:val="1"/>
        </w:numPr>
        <w:tabs>
          <w:tab w:pos="386" w:val="left" w:leader="none"/>
        </w:tabs>
        <w:spacing w:line="350" w:lineRule="auto" w:before="0" w:after="0"/>
        <w:ind w:left="226" w:right="138" w:firstLine="0"/>
        <w:jc w:val="left"/>
        <w:rPr>
          <w:sz w:val="19"/>
        </w:rPr>
      </w:pPr>
      <w:r>
        <w:rPr>
          <w:sz w:val="19"/>
        </w:rPr>
        <w:t>which are between 22% and 16%. But that period includes the massive run up in prices in the years before the financial crash which was only partially unwound in the period since 2007. As a basis for an expected</w:t>
      </w:r>
      <w:r>
        <w:rPr>
          <w:spacing w:val="-9"/>
          <w:sz w:val="19"/>
        </w:rPr>
        <w:t> </w:t>
      </w:r>
      <w:r>
        <w:rPr>
          <w:sz w:val="19"/>
        </w:rPr>
        <w:t>increase</w:t>
      </w:r>
      <w:r>
        <w:rPr>
          <w:spacing w:val="-9"/>
          <w:sz w:val="19"/>
        </w:rPr>
        <w:t> </w:t>
      </w:r>
      <w:r>
        <w:rPr>
          <w:sz w:val="19"/>
        </w:rPr>
        <w:t>in</w:t>
      </w:r>
      <w:r>
        <w:rPr>
          <w:spacing w:val="-8"/>
          <w:sz w:val="19"/>
        </w:rPr>
        <w:t> </w:t>
      </w:r>
      <w:r>
        <w:rPr>
          <w:sz w:val="19"/>
        </w:rPr>
        <w:t>nominal</w:t>
      </w:r>
      <w:r>
        <w:rPr>
          <w:spacing w:val="-8"/>
          <w:sz w:val="19"/>
        </w:rPr>
        <w:t> </w:t>
      </w:r>
      <w:r>
        <w:rPr>
          <w:sz w:val="19"/>
        </w:rPr>
        <w:t>house</w:t>
      </w:r>
      <w:r>
        <w:rPr>
          <w:spacing w:val="-8"/>
          <w:sz w:val="19"/>
        </w:rPr>
        <w:t> </w:t>
      </w:r>
      <w:r>
        <w:rPr>
          <w:sz w:val="19"/>
        </w:rPr>
        <w:t>price</w:t>
      </w:r>
      <w:r>
        <w:rPr>
          <w:spacing w:val="-8"/>
          <w:sz w:val="19"/>
        </w:rPr>
        <w:t> </w:t>
      </w:r>
      <w:r>
        <w:rPr>
          <w:sz w:val="19"/>
        </w:rPr>
        <w:t>growth</w:t>
      </w:r>
      <w:r>
        <w:rPr>
          <w:spacing w:val="-8"/>
          <w:sz w:val="19"/>
        </w:rPr>
        <w:t> </w:t>
      </w:r>
      <w:r>
        <w:rPr>
          <w:sz w:val="19"/>
        </w:rPr>
        <w:t>from</w:t>
      </w:r>
      <w:r>
        <w:rPr>
          <w:spacing w:val="-7"/>
          <w:sz w:val="19"/>
        </w:rPr>
        <w:t> </w:t>
      </w:r>
      <w:r>
        <w:rPr>
          <w:sz w:val="19"/>
        </w:rPr>
        <w:t>now</w:t>
      </w:r>
      <w:r>
        <w:rPr>
          <w:spacing w:val="-9"/>
          <w:sz w:val="19"/>
        </w:rPr>
        <w:t> </w:t>
      </w:r>
      <w:r>
        <w:rPr>
          <w:sz w:val="19"/>
        </w:rPr>
        <w:t>onwards</w:t>
      </w:r>
      <w:r>
        <w:rPr>
          <w:spacing w:val="-7"/>
          <w:sz w:val="19"/>
        </w:rPr>
        <w:t> </w:t>
      </w:r>
      <w:r>
        <w:rPr>
          <w:sz w:val="19"/>
        </w:rPr>
        <w:t>that</w:t>
      </w:r>
      <w:r>
        <w:rPr>
          <w:spacing w:val="-8"/>
          <w:sz w:val="19"/>
        </w:rPr>
        <w:t> </w:t>
      </w:r>
      <w:r>
        <w:rPr>
          <w:sz w:val="19"/>
        </w:rPr>
        <w:t>historic</w:t>
      </w:r>
      <w:r>
        <w:rPr>
          <w:spacing w:val="-8"/>
          <w:sz w:val="19"/>
        </w:rPr>
        <w:t> </w:t>
      </w:r>
      <w:r>
        <w:rPr>
          <w:sz w:val="19"/>
        </w:rPr>
        <w:t>mean</w:t>
      </w:r>
      <w:r>
        <w:rPr>
          <w:spacing w:val="-8"/>
          <w:sz w:val="19"/>
        </w:rPr>
        <w:t> </w:t>
      </w:r>
      <w:r>
        <w:rPr>
          <w:sz w:val="19"/>
        </w:rPr>
        <w:t>is</w:t>
      </w:r>
      <w:r>
        <w:rPr>
          <w:spacing w:val="-8"/>
          <w:sz w:val="19"/>
        </w:rPr>
        <w:t> </w:t>
      </w:r>
      <w:r>
        <w:rPr>
          <w:sz w:val="19"/>
        </w:rPr>
        <w:t>probably</w:t>
      </w:r>
      <w:r>
        <w:rPr>
          <w:spacing w:val="-9"/>
          <w:sz w:val="19"/>
        </w:rPr>
        <w:t> </w:t>
      </w:r>
      <w:r>
        <w:rPr>
          <w:sz w:val="19"/>
        </w:rPr>
        <w:t>a</w:t>
      </w:r>
      <w:r>
        <w:rPr>
          <w:spacing w:val="-8"/>
          <w:sz w:val="19"/>
        </w:rPr>
        <w:t> </w:t>
      </w:r>
      <w:r>
        <w:rPr>
          <w:sz w:val="19"/>
        </w:rPr>
        <w:t>bit</w:t>
      </w:r>
      <w:r>
        <w:rPr>
          <w:spacing w:val="-8"/>
          <w:sz w:val="19"/>
        </w:rPr>
        <w:t> </w:t>
      </w:r>
      <w:r>
        <w:rPr>
          <w:sz w:val="19"/>
        </w:rPr>
        <w:t>high. The standard deviation of 20% is around the sample standard deviation of UK regional house prices in the past and somewhat higher than the US standard deviation based on prices in major cities. I will initially assume that the required expected (or average) nominal return is 25% over five years – which with a 2% inflation rate is about a 3% average annual real return. This might seem quite low for a required rate of return, but house price inflation is not well correlated with changes in stock and bond prices and so an investor with a diversified portfolio might not require much of a risk premium for an asset with returns linked to house prices</w:t>
      </w:r>
      <w:r>
        <w:rPr>
          <w:sz w:val="19"/>
          <w:vertAlign w:val="superscript"/>
        </w:rPr>
        <w:t>6</w:t>
      </w:r>
      <w:r>
        <w:rPr>
          <w:sz w:val="19"/>
          <w:vertAlign w:val="baseline"/>
        </w:rPr>
        <w:t>. I consider a loan worth 20% of the value of a property</w:t>
      </w:r>
      <w:r>
        <w:rPr>
          <w:spacing w:val="13"/>
          <w:sz w:val="19"/>
          <w:vertAlign w:val="baseline"/>
        </w:rPr>
        <w:t> </w:t>
      </w:r>
      <w:r>
        <w:rPr>
          <w:sz w:val="19"/>
          <w:vertAlign w:val="baseline"/>
        </w:rPr>
        <w:t>(g=0.2):</w:t>
      </w:r>
    </w:p>
    <w:p>
      <w:pPr>
        <w:pStyle w:val="BodyText"/>
        <w:spacing w:before="10"/>
        <w:rPr>
          <w:sz w:val="18"/>
        </w:rPr>
      </w:pPr>
    </w:p>
    <w:p>
      <w:pPr>
        <w:pStyle w:val="Heading1"/>
        <w:ind w:left="328"/>
      </w:pPr>
      <w:r>
        <w:rPr/>
        <w:t>Table 1: Equity loan – equilibrium combinations of upside and downside shares of investor</w:t>
      </w:r>
      <w:r>
        <w:rPr>
          <w:vertAlign w:val="superscript"/>
        </w:rPr>
        <w:t>(a)</w:t>
      </w:r>
    </w:p>
    <w:p>
      <w:pPr>
        <w:pStyle w:val="BodyText"/>
        <w:spacing w:before="8"/>
        <w:rPr>
          <w:b/>
        </w:rPr>
      </w:pPr>
    </w:p>
    <w:tbl>
      <w:tblPr>
        <w:tblW w:w="0" w:type="auto"/>
        <w:jc w:val="left"/>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637"/>
        <w:gridCol w:w="586"/>
        <w:gridCol w:w="1170"/>
        <w:gridCol w:w="586"/>
        <w:gridCol w:w="585"/>
        <w:gridCol w:w="586"/>
        <w:gridCol w:w="587"/>
        <w:gridCol w:w="605"/>
        <w:gridCol w:w="680"/>
      </w:tblGrid>
      <w:tr>
        <w:trPr>
          <w:trHeight w:val="446" w:hRule="atLeast"/>
        </w:trPr>
        <w:tc>
          <w:tcPr>
            <w:tcW w:w="1781" w:type="dxa"/>
            <w:tcBorders>
              <w:top w:val="single" w:sz="8" w:space="0" w:color="C0504D"/>
              <w:bottom w:val="single" w:sz="8" w:space="0" w:color="C0504D"/>
            </w:tcBorders>
          </w:tcPr>
          <w:p>
            <w:pPr>
              <w:pStyle w:val="TableParagraph"/>
              <w:spacing w:before="13"/>
              <w:rPr>
                <w:b/>
                <w:sz w:val="17"/>
              </w:rPr>
            </w:pPr>
            <w:r>
              <w:rPr>
                <w:b/>
                <w:sz w:val="17"/>
              </w:rPr>
              <w:t>Share of upside</w:t>
            </w:r>
          </w:p>
        </w:tc>
        <w:tc>
          <w:tcPr>
            <w:tcW w:w="637" w:type="dxa"/>
            <w:tcBorders>
              <w:top w:val="single" w:sz="8" w:space="0" w:color="C0504D"/>
              <w:bottom w:val="single" w:sz="8" w:space="0" w:color="C0504D"/>
            </w:tcBorders>
          </w:tcPr>
          <w:p>
            <w:pPr>
              <w:pStyle w:val="TableParagraph"/>
              <w:spacing w:before="13"/>
              <w:ind w:left="175"/>
              <w:rPr>
                <w:sz w:val="17"/>
              </w:rPr>
            </w:pPr>
            <w:r>
              <w:rPr>
                <w:sz w:val="17"/>
              </w:rPr>
              <w:t>29%</w:t>
            </w:r>
          </w:p>
        </w:tc>
        <w:tc>
          <w:tcPr>
            <w:tcW w:w="586" w:type="dxa"/>
            <w:tcBorders>
              <w:top w:val="single" w:sz="8" w:space="0" w:color="C0504D"/>
              <w:bottom w:val="single" w:sz="8" w:space="0" w:color="C0504D"/>
            </w:tcBorders>
          </w:tcPr>
          <w:p>
            <w:pPr>
              <w:pStyle w:val="TableParagraph"/>
              <w:spacing w:before="13"/>
              <w:ind w:right="100"/>
              <w:jc w:val="center"/>
              <w:rPr>
                <w:sz w:val="17"/>
              </w:rPr>
            </w:pPr>
            <w:r>
              <w:rPr>
                <w:sz w:val="17"/>
              </w:rPr>
              <w:t>30%</w:t>
            </w:r>
          </w:p>
        </w:tc>
        <w:tc>
          <w:tcPr>
            <w:tcW w:w="1170" w:type="dxa"/>
            <w:tcBorders>
              <w:top w:val="single" w:sz="8" w:space="0" w:color="C0504D"/>
              <w:bottom w:val="single" w:sz="8" w:space="0" w:color="C0504D"/>
            </w:tcBorders>
          </w:tcPr>
          <w:p>
            <w:pPr>
              <w:pStyle w:val="TableParagraph"/>
              <w:tabs>
                <w:tab w:pos="584" w:val="left" w:leader="none"/>
              </w:tabs>
              <w:spacing w:before="13"/>
              <w:ind w:left="0"/>
              <w:jc w:val="center"/>
              <w:rPr>
                <w:sz w:val="17"/>
              </w:rPr>
            </w:pPr>
            <w:r>
              <w:rPr>
                <w:sz w:val="17"/>
              </w:rPr>
              <w:t>32%</w:t>
              <w:tab/>
              <w:t>33%</w:t>
            </w:r>
          </w:p>
        </w:tc>
        <w:tc>
          <w:tcPr>
            <w:tcW w:w="586" w:type="dxa"/>
            <w:tcBorders>
              <w:top w:val="single" w:sz="8" w:space="0" w:color="C0504D"/>
              <w:bottom w:val="single" w:sz="8" w:space="0" w:color="C0504D"/>
            </w:tcBorders>
          </w:tcPr>
          <w:p>
            <w:pPr>
              <w:pStyle w:val="TableParagraph"/>
              <w:spacing w:before="13"/>
              <w:ind w:right="100"/>
              <w:jc w:val="center"/>
              <w:rPr>
                <w:sz w:val="17"/>
              </w:rPr>
            </w:pPr>
            <w:r>
              <w:rPr>
                <w:sz w:val="17"/>
              </w:rPr>
              <w:t>35%</w:t>
            </w:r>
          </w:p>
        </w:tc>
        <w:tc>
          <w:tcPr>
            <w:tcW w:w="585" w:type="dxa"/>
            <w:tcBorders>
              <w:top w:val="single" w:sz="8" w:space="0" w:color="C0504D"/>
              <w:bottom w:val="single" w:sz="8" w:space="0" w:color="C0504D"/>
            </w:tcBorders>
          </w:tcPr>
          <w:p>
            <w:pPr>
              <w:pStyle w:val="TableParagraph"/>
              <w:spacing w:before="13"/>
              <w:ind w:left="122"/>
              <w:rPr>
                <w:sz w:val="17"/>
              </w:rPr>
            </w:pPr>
            <w:r>
              <w:rPr>
                <w:sz w:val="17"/>
              </w:rPr>
              <w:t>36%</w:t>
            </w:r>
          </w:p>
        </w:tc>
        <w:tc>
          <w:tcPr>
            <w:tcW w:w="586" w:type="dxa"/>
            <w:tcBorders>
              <w:top w:val="single" w:sz="8" w:space="0" w:color="C0504D"/>
              <w:bottom w:val="single" w:sz="8" w:space="0" w:color="C0504D"/>
            </w:tcBorders>
          </w:tcPr>
          <w:p>
            <w:pPr>
              <w:pStyle w:val="TableParagraph"/>
              <w:spacing w:before="13"/>
              <w:ind w:left="98" w:right="100"/>
              <w:jc w:val="center"/>
              <w:rPr>
                <w:sz w:val="17"/>
              </w:rPr>
            </w:pPr>
            <w:r>
              <w:rPr>
                <w:sz w:val="17"/>
              </w:rPr>
              <w:t>38%</w:t>
            </w:r>
          </w:p>
        </w:tc>
        <w:tc>
          <w:tcPr>
            <w:tcW w:w="587" w:type="dxa"/>
            <w:tcBorders>
              <w:top w:val="single" w:sz="8" w:space="0" w:color="C0504D"/>
              <w:bottom w:val="single" w:sz="8" w:space="0" w:color="C0504D"/>
            </w:tcBorders>
          </w:tcPr>
          <w:p>
            <w:pPr>
              <w:pStyle w:val="TableParagraph"/>
              <w:spacing w:before="13"/>
              <w:ind w:left="102" w:right="103"/>
              <w:jc w:val="center"/>
              <w:rPr>
                <w:sz w:val="17"/>
              </w:rPr>
            </w:pPr>
            <w:r>
              <w:rPr>
                <w:sz w:val="17"/>
              </w:rPr>
              <w:t>39%</w:t>
            </w:r>
          </w:p>
        </w:tc>
        <w:tc>
          <w:tcPr>
            <w:tcW w:w="605" w:type="dxa"/>
            <w:tcBorders>
              <w:top w:val="single" w:sz="8" w:space="0" w:color="C0504D"/>
              <w:bottom w:val="single" w:sz="8" w:space="0" w:color="C0504D"/>
            </w:tcBorders>
          </w:tcPr>
          <w:p>
            <w:pPr>
              <w:pStyle w:val="TableParagraph"/>
              <w:spacing w:before="13"/>
              <w:ind w:left="121"/>
              <w:rPr>
                <w:sz w:val="17"/>
              </w:rPr>
            </w:pPr>
            <w:r>
              <w:rPr>
                <w:sz w:val="17"/>
              </w:rPr>
              <w:t>41%</w:t>
            </w:r>
          </w:p>
        </w:tc>
        <w:tc>
          <w:tcPr>
            <w:tcW w:w="680" w:type="dxa"/>
            <w:tcBorders>
              <w:top w:val="single" w:sz="8" w:space="0" w:color="C0504D"/>
              <w:bottom w:val="single" w:sz="8" w:space="0" w:color="C0504D"/>
            </w:tcBorders>
          </w:tcPr>
          <w:p>
            <w:pPr>
              <w:pStyle w:val="TableParagraph"/>
              <w:spacing w:before="13"/>
              <w:ind w:left="139"/>
              <w:rPr>
                <w:sz w:val="17"/>
              </w:rPr>
            </w:pPr>
            <w:r>
              <w:rPr>
                <w:sz w:val="17"/>
              </w:rPr>
              <w:t>42%</w:t>
            </w:r>
          </w:p>
        </w:tc>
      </w:tr>
      <w:tr>
        <w:trPr>
          <w:trHeight w:val="445" w:hRule="atLeast"/>
        </w:trPr>
        <w:tc>
          <w:tcPr>
            <w:tcW w:w="1781" w:type="dxa"/>
            <w:tcBorders>
              <w:top w:val="single" w:sz="8" w:space="0" w:color="C0504D"/>
              <w:bottom w:val="single" w:sz="8" w:space="0" w:color="C0504D"/>
            </w:tcBorders>
            <w:shd w:val="clear" w:color="auto" w:fill="EFD3D2"/>
          </w:tcPr>
          <w:p>
            <w:pPr>
              <w:pStyle w:val="TableParagraph"/>
              <w:spacing w:before="12"/>
              <w:rPr>
                <w:b/>
                <w:sz w:val="17"/>
              </w:rPr>
            </w:pPr>
            <w:r>
              <w:rPr>
                <w:b/>
                <w:sz w:val="17"/>
              </w:rPr>
              <w:t>Share of downside</w:t>
            </w:r>
          </w:p>
        </w:tc>
        <w:tc>
          <w:tcPr>
            <w:tcW w:w="637" w:type="dxa"/>
            <w:tcBorders>
              <w:top w:val="single" w:sz="8" w:space="0" w:color="C0504D"/>
              <w:bottom w:val="single" w:sz="8" w:space="0" w:color="C0504D"/>
            </w:tcBorders>
            <w:shd w:val="clear" w:color="auto" w:fill="EFD3D2"/>
          </w:tcPr>
          <w:p>
            <w:pPr>
              <w:pStyle w:val="TableParagraph"/>
              <w:spacing w:before="12"/>
              <w:ind w:left="175"/>
              <w:rPr>
                <w:sz w:val="17"/>
              </w:rPr>
            </w:pPr>
            <w:r>
              <w:rPr>
                <w:sz w:val="17"/>
              </w:rPr>
              <w:t>0%</w:t>
            </w:r>
          </w:p>
        </w:tc>
        <w:tc>
          <w:tcPr>
            <w:tcW w:w="586" w:type="dxa"/>
            <w:tcBorders>
              <w:top w:val="single" w:sz="8" w:space="0" w:color="C0504D"/>
              <w:bottom w:val="single" w:sz="8" w:space="0" w:color="C0504D"/>
            </w:tcBorders>
            <w:shd w:val="clear" w:color="auto" w:fill="EFD3D2"/>
          </w:tcPr>
          <w:p>
            <w:pPr>
              <w:pStyle w:val="TableParagraph"/>
              <w:spacing w:before="12"/>
              <w:ind w:right="100"/>
              <w:jc w:val="center"/>
              <w:rPr>
                <w:sz w:val="17"/>
              </w:rPr>
            </w:pPr>
            <w:r>
              <w:rPr>
                <w:sz w:val="17"/>
              </w:rPr>
              <w:t>10%</w:t>
            </w:r>
          </w:p>
        </w:tc>
        <w:tc>
          <w:tcPr>
            <w:tcW w:w="1170" w:type="dxa"/>
            <w:tcBorders>
              <w:top w:val="single" w:sz="8" w:space="0" w:color="C0504D"/>
              <w:bottom w:val="single" w:sz="8" w:space="0" w:color="C0504D"/>
            </w:tcBorders>
            <w:shd w:val="clear" w:color="auto" w:fill="EFD3D2"/>
          </w:tcPr>
          <w:p>
            <w:pPr>
              <w:pStyle w:val="TableParagraph"/>
              <w:tabs>
                <w:tab w:pos="584" w:val="left" w:leader="none"/>
              </w:tabs>
              <w:spacing w:before="12"/>
              <w:ind w:left="0"/>
              <w:jc w:val="center"/>
              <w:rPr>
                <w:sz w:val="17"/>
              </w:rPr>
            </w:pPr>
            <w:r>
              <w:rPr>
                <w:sz w:val="17"/>
              </w:rPr>
              <w:t>20%</w:t>
              <w:tab/>
              <w:t>31%</w:t>
            </w:r>
          </w:p>
        </w:tc>
        <w:tc>
          <w:tcPr>
            <w:tcW w:w="586" w:type="dxa"/>
            <w:tcBorders>
              <w:top w:val="single" w:sz="8" w:space="0" w:color="C0504D"/>
              <w:bottom w:val="single" w:sz="8" w:space="0" w:color="C0504D"/>
            </w:tcBorders>
            <w:shd w:val="clear" w:color="auto" w:fill="EFD3D2"/>
          </w:tcPr>
          <w:p>
            <w:pPr>
              <w:pStyle w:val="TableParagraph"/>
              <w:spacing w:before="12"/>
              <w:ind w:right="100"/>
              <w:jc w:val="center"/>
              <w:rPr>
                <w:sz w:val="17"/>
              </w:rPr>
            </w:pPr>
            <w:r>
              <w:rPr>
                <w:sz w:val="17"/>
              </w:rPr>
              <w:t>43%</w:t>
            </w:r>
          </w:p>
        </w:tc>
        <w:tc>
          <w:tcPr>
            <w:tcW w:w="585" w:type="dxa"/>
            <w:tcBorders>
              <w:top w:val="single" w:sz="8" w:space="0" w:color="C0504D"/>
              <w:bottom w:val="single" w:sz="8" w:space="0" w:color="C0504D"/>
            </w:tcBorders>
            <w:shd w:val="clear" w:color="auto" w:fill="EFD3D2"/>
          </w:tcPr>
          <w:p>
            <w:pPr>
              <w:pStyle w:val="TableParagraph"/>
              <w:spacing w:before="12"/>
              <w:ind w:left="122"/>
              <w:rPr>
                <w:sz w:val="17"/>
              </w:rPr>
            </w:pPr>
            <w:r>
              <w:rPr>
                <w:sz w:val="17"/>
              </w:rPr>
              <w:t>57%</w:t>
            </w:r>
          </w:p>
        </w:tc>
        <w:tc>
          <w:tcPr>
            <w:tcW w:w="586" w:type="dxa"/>
            <w:tcBorders>
              <w:top w:val="single" w:sz="8" w:space="0" w:color="C0504D"/>
              <w:bottom w:val="single" w:sz="8" w:space="0" w:color="C0504D"/>
            </w:tcBorders>
            <w:shd w:val="clear" w:color="auto" w:fill="EFD3D2"/>
          </w:tcPr>
          <w:p>
            <w:pPr>
              <w:pStyle w:val="TableParagraph"/>
              <w:spacing w:before="12"/>
              <w:ind w:left="98" w:right="100"/>
              <w:jc w:val="center"/>
              <w:rPr>
                <w:sz w:val="17"/>
              </w:rPr>
            </w:pPr>
            <w:r>
              <w:rPr>
                <w:sz w:val="17"/>
              </w:rPr>
              <w:t>68%</w:t>
            </w:r>
          </w:p>
        </w:tc>
        <w:tc>
          <w:tcPr>
            <w:tcW w:w="587" w:type="dxa"/>
            <w:tcBorders>
              <w:top w:val="single" w:sz="8" w:space="0" w:color="C0504D"/>
              <w:bottom w:val="single" w:sz="8" w:space="0" w:color="C0504D"/>
            </w:tcBorders>
            <w:shd w:val="clear" w:color="auto" w:fill="EFD3D2"/>
          </w:tcPr>
          <w:p>
            <w:pPr>
              <w:pStyle w:val="TableParagraph"/>
              <w:spacing w:before="12"/>
              <w:ind w:left="102" w:right="103"/>
              <w:jc w:val="center"/>
              <w:rPr>
                <w:sz w:val="17"/>
              </w:rPr>
            </w:pPr>
            <w:r>
              <w:rPr>
                <w:sz w:val="17"/>
              </w:rPr>
              <w:t>78%</w:t>
            </w:r>
          </w:p>
        </w:tc>
        <w:tc>
          <w:tcPr>
            <w:tcW w:w="605" w:type="dxa"/>
            <w:tcBorders>
              <w:top w:val="single" w:sz="8" w:space="0" w:color="C0504D"/>
              <w:bottom w:val="single" w:sz="8" w:space="0" w:color="C0504D"/>
            </w:tcBorders>
            <w:shd w:val="clear" w:color="auto" w:fill="EFD3D2"/>
          </w:tcPr>
          <w:p>
            <w:pPr>
              <w:pStyle w:val="TableParagraph"/>
              <w:spacing w:before="12"/>
              <w:ind w:left="121"/>
              <w:rPr>
                <w:sz w:val="17"/>
              </w:rPr>
            </w:pPr>
            <w:r>
              <w:rPr>
                <w:sz w:val="17"/>
              </w:rPr>
              <w:t>92%</w:t>
            </w:r>
          </w:p>
        </w:tc>
        <w:tc>
          <w:tcPr>
            <w:tcW w:w="680" w:type="dxa"/>
            <w:tcBorders>
              <w:top w:val="single" w:sz="8" w:space="0" w:color="C0504D"/>
              <w:bottom w:val="single" w:sz="8" w:space="0" w:color="C0504D"/>
            </w:tcBorders>
            <w:shd w:val="clear" w:color="auto" w:fill="EFD3D2"/>
          </w:tcPr>
          <w:p>
            <w:pPr>
              <w:pStyle w:val="TableParagraph"/>
              <w:spacing w:before="12"/>
              <w:ind w:left="139"/>
              <w:rPr>
                <w:sz w:val="17"/>
              </w:rPr>
            </w:pPr>
            <w:r>
              <w:rPr>
                <w:sz w:val="17"/>
              </w:rPr>
              <w:t>100%</w:t>
            </w:r>
          </w:p>
        </w:tc>
      </w:tr>
    </w:tbl>
    <w:p>
      <w:pPr>
        <w:pStyle w:val="ListParagraph"/>
        <w:numPr>
          <w:ilvl w:val="0"/>
          <w:numId w:val="2"/>
        </w:numPr>
        <w:tabs>
          <w:tab w:pos="628" w:val="left" w:leader="none"/>
        </w:tabs>
        <w:spacing w:line="276" w:lineRule="auto" w:before="0" w:after="0"/>
        <w:ind w:left="627" w:right="1334" w:hanging="299"/>
        <w:jc w:val="left"/>
        <w:rPr>
          <w:sz w:val="15"/>
        </w:rPr>
      </w:pPr>
      <w:r>
        <w:rPr>
          <w:sz w:val="15"/>
        </w:rPr>
        <w:t>Assumptions: Equity loan is 20% of house value. Percentage change in house price value over 5 years follows a normal distribution with mean of 15% and standard deviation of 20%. Required rate of return on equity loan is 25% over five</w:t>
      </w:r>
      <w:r>
        <w:rPr>
          <w:spacing w:val="-1"/>
          <w:sz w:val="15"/>
        </w:rPr>
        <w:t> </w:t>
      </w:r>
      <w:r>
        <w:rPr>
          <w:sz w:val="15"/>
        </w:rPr>
        <w:t>years.</w:t>
      </w:r>
    </w:p>
    <w:p>
      <w:pPr>
        <w:pStyle w:val="BodyText"/>
        <w:rPr>
          <w:sz w:val="16"/>
        </w:rPr>
      </w:pPr>
    </w:p>
    <w:p>
      <w:pPr>
        <w:pStyle w:val="BodyText"/>
        <w:spacing w:line="350" w:lineRule="auto" w:before="106"/>
        <w:ind w:left="226" w:right="145"/>
      </w:pPr>
      <w:r>
        <w:rPr/>
        <w:t>Table</w:t>
      </w:r>
      <w:r>
        <w:rPr>
          <w:spacing w:val="-7"/>
        </w:rPr>
        <w:t> </w:t>
      </w:r>
      <w:r>
        <w:rPr/>
        <w:t>1</w:t>
      </w:r>
      <w:r>
        <w:rPr>
          <w:spacing w:val="-8"/>
        </w:rPr>
        <w:t> </w:t>
      </w:r>
      <w:r>
        <w:rPr/>
        <w:t>reveals</w:t>
      </w:r>
      <w:r>
        <w:rPr>
          <w:spacing w:val="-7"/>
        </w:rPr>
        <w:t> </w:t>
      </w:r>
      <w:r>
        <w:rPr/>
        <w:t>several</w:t>
      </w:r>
      <w:r>
        <w:rPr>
          <w:spacing w:val="-6"/>
        </w:rPr>
        <w:t> </w:t>
      </w:r>
      <w:r>
        <w:rPr/>
        <w:t>things:</w:t>
      </w:r>
      <w:r>
        <w:rPr>
          <w:spacing w:val="-7"/>
        </w:rPr>
        <w:t> </w:t>
      </w:r>
      <w:r>
        <w:rPr/>
        <w:t>First</w:t>
      </w:r>
      <w:r>
        <w:rPr>
          <w:spacing w:val="-5"/>
        </w:rPr>
        <w:t> </w:t>
      </w:r>
      <w:r>
        <w:rPr/>
        <w:t>in</w:t>
      </w:r>
      <w:r>
        <w:rPr>
          <w:spacing w:val="-7"/>
        </w:rPr>
        <w:t> </w:t>
      </w:r>
      <w:r>
        <w:rPr/>
        <w:t>principle</w:t>
      </w:r>
      <w:r>
        <w:rPr>
          <w:spacing w:val="-7"/>
        </w:rPr>
        <w:t> </w:t>
      </w:r>
      <w:r>
        <w:rPr/>
        <w:t>it</w:t>
      </w:r>
      <w:r>
        <w:rPr>
          <w:spacing w:val="-7"/>
        </w:rPr>
        <w:t> </w:t>
      </w:r>
      <w:r>
        <w:rPr/>
        <w:t>is</w:t>
      </w:r>
      <w:r>
        <w:rPr>
          <w:spacing w:val="-6"/>
        </w:rPr>
        <w:t> </w:t>
      </w:r>
      <w:r>
        <w:rPr/>
        <w:t>possible</w:t>
      </w:r>
      <w:r>
        <w:rPr>
          <w:spacing w:val="-8"/>
        </w:rPr>
        <w:t> </w:t>
      </w:r>
      <w:r>
        <w:rPr/>
        <w:t>for</w:t>
      </w:r>
      <w:r>
        <w:rPr>
          <w:spacing w:val="-7"/>
        </w:rPr>
        <w:t> </w:t>
      </w:r>
      <w:r>
        <w:rPr/>
        <w:t>home</w:t>
      </w:r>
      <w:r>
        <w:rPr>
          <w:spacing w:val="-6"/>
        </w:rPr>
        <w:t> </w:t>
      </w:r>
      <w:r>
        <w:rPr/>
        <w:t>owners</w:t>
      </w:r>
      <w:r>
        <w:rPr>
          <w:spacing w:val="-6"/>
        </w:rPr>
        <w:t> </w:t>
      </w:r>
      <w:r>
        <w:rPr/>
        <w:t>to</w:t>
      </w:r>
      <w:r>
        <w:rPr>
          <w:spacing w:val="-8"/>
        </w:rPr>
        <w:t> </w:t>
      </w:r>
      <w:r>
        <w:rPr/>
        <w:t>sell</w:t>
      </w:r>
      <w:r>
        <w:rPr>
          <w:spacing w:val="-8"/>
        </w:rPr>
        <w:t> </w:t>
      </w:r>
      <w:r>
        <w:rPr>
          <w:b/>
        </w:rPr>
        <w:t>all</w:t>
      </w:r>
      <w:r>
        <w:rPr>
          <w:b/>
          <w:spacing w:val="-6"/>
        </w:rPr>
        <w:t> </w:t>
      </w:r>
      <w:r>
        <w:rPr/>
        <w:t>downside</w:t>
      </w:r>
      <w:r>
        <w:rPr>
          <w:spacing w:val="-6"/>
        </w:rPr>
        <w:t> </w:t>
      </w:r>
      <w:r>
        <w:rPr/>
        <w:t>risk</w:t>
      </w:r>
      <w:r>
        <w:rPr>
          <w:spacing w:val="-6"/>
        </w:rPr>
        <w:t> </w:t>
      </w:r>
      <w:r>
        <w:rPr/>
        <w:t>–</w:t>
      </w:r>
      <w:r>
        <w:rPr>
          <w:spacing w:val="-7"/>
        </w:rPr>
        <w:t> </w:t>
      </w:r>
      <w:r>
        <w:rPr/>
        <w:t>with the base parameters it is possible for providers of an equity loan to insure against 100% of house price falls in exchange for taking about 42% of all gains in house value</w:t>
      </w:r>
      <w:r>
        <w:rPr>
          <w:vertAlign w:val="superscript"/>
        </w:rPr>
        <w:t>7</w:t>
      </w:r>
      <w:r>
        <w:rPr>
          <w:vertAlign w:val="baseline"/>
        </w:rPr>
        <w:t>. With the calibration above the chance that house prices will be lower at the end of 5 years is about 23% so this insurance is of value. Second, there is a big range of risk sharing that is feasible: with home owners taking no insurance against the loss in house value they would give up just under 30% of any capital appreciation in exchange for 20% of funding; if they wanted insurance against 50% of house price losses they would need to give up about 36% of any house price appreciation. Third, providers of equity loans need to receive more of any house price appreciation than</w:t>
      </w:r>
      <w:r>
        <w:rPr>
          <w:spacing w:val="-9"/>
          <w:vertAlign w:val="baseline"/>
        </w:rPr>
        <w:t> </w:t>
      </w:r>
      <w:r>
        <w:rPr>
          <w:vertAlign w:val="baseline"/>
        </w:rPr>
        <w:t>the</w:t>
      </w:r>
      <w:r>
        <w:rPr>
          <w:spacing w:val="-8"/>
          <w:vertAlign w:val="baseline"/>
        </w:rPr>
        <w:t> </w:t>
      </w:r>
      <w:r>
        <w:rPr>
          <w:vertAlign w:val="baseline"/>
        </w:rPr>
        <w:t>share</w:t>
      </w:r>
      <w:r>
        <w:rPr>
          <w:spacing w:val="-9"/>
          <w:vertAlign w:val="baseline"/>
        </w:rPr>
        <w:t> </w:t>
      </w:r>
      <w:r>
        <w:rPr>
          <w:vertAlign w:val="baseline"/>
        </w:rPr>
        <w:t>of</w:t>
      </w:r>
      <w:r>
        <w:rPr>
          <w:spacing w:val="-8"/>
          <w:vertAlign w:val="baseline"/>
        </w:rPr>
        <w:t> </w:t>
      </w:r>
      <w:r>
        <w:rPr>
          <w:vertAlign w:val="baseline"/>
        </w:rPr>
        <w:t>funding</w:t>
      </w:r>
      <w:r>
        <w:rPr>
          <w:spacing w:val="-8"/>
          <w:vertAlign w:val="baseline"/>
        </w:rPr>
        <w:t> </w:t>
      </w:r>
      <w:r>
        <w:rPr>
          <w:vertAlign w:val="baseline"/>
        </w:rPr>
        <w:t>they</w:t>
      </w:r>
      <w:r>
        <w:rPr>
          <w:spacing w:val="-8"/>
          <w:vertAlign w:val="baseline"/>
        </w:rPr>
        <w:t> </w:t>
      </w:r>
      <w:r>
        <w:rPr>
          <w:vertAlign w:val="baseline"/>
        </w:rPr>
        <w:t>provide:</w:t>
      </w:r>
      <w:r>
        <w:rPr>
          <w:spacing w:val="-9"/>
          <w:vertAlign w:val="baseline"/>
        </w:rPr>
        <w:t> </w:t>
      </w:r>
      <w:r>
        <w:rPr>
          <w:vertAlign w:val="baseline"/>
        </w:rPr>
        <w:t>even</w:t>
      </w:r>
      <w:r>
        <w:rPr>
          <w:spacing w:val="-7"/>
          <w:vertAlign w:val="baseline"/>
        </w:rPr>
        <w:t> </w:t>
      </w:r>
      <w:r>
        <w:rPr>
          <w:vertAlign w:val="baseline"/>
        </w:rPr>
        <w:t>with</w:t>
      </w:r>
      <w:r>
        <w:rPr>
          <w:spacing w:val="-8"/>
          <w:vertAlign w:val="baseline"/>
        </w:rPr>
        <w:t> </w:t>
      </w:r>
      <w:r>
        <w:rPr>
          <w:vertAlign w:val="baseline"/>
        </w:rPr>
        <w:t>no</w:t>
      </w:r>
      <w:r>
        <w:rPr>
          <w:spacing w:val="-8"/>
          <w:vertAlign w:val="baseline"/>
        </w:rPr>
        <w:t> </w:t>
      </w:r>
      <w:r>
        <w:rPr>
          <w:vertAlign w:val="baseline"/>
        </w:rPr>
        <w:t>downside</w:t>
      </w:r>
      <w:r>
        <w:rPr>
          <w:spacing w:val="-8"/>
          <w:vertAlign w:val="baseline"/>
        </w:rPr>
        <w:t> </w:t>
      </w:r>
      <w:r>
        <w:rPr>
          <w:vertAlign w:val="baseline"/>
        </w:rPr>
        <w:t>protection</w:t>
      </w:r>
      <w:r>
        <w:rPr>
          <w:spacing w:val="-9"/>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homeowner</w:t>
      </w:r>
      <w:r>
        <w:rPr>
          <w:spacing w:val="-8"/>
          <w:vertAlign w:val="baseline"/>
        </w:rPr>
        <w:t> </w:t>
      </w:r>
      <w:r>
        <w:rPr>
          <w:vertAlign w:val="baseline"/>
        </w:rPr>
        <w:t>the</w:t>
      </w:r>
      <w:r>
        <w:rPr>
          <w:spacing w:val="-8"/>
          <w:vertAlign w:val="baseline"/>
        </w:rPr>
        <w:t> </w:t>
      </w:r>
      <w:r>
        <w:rPr>
          <w:vertAlign w:val="baseline"/>
        </w:rPr>
        <w:t>providers</w:t>
      </w:r>
      <w:r>
        <w:rPr>
          <w:spacing w:val="-8"/>
          <w:vertAlign w:val="baseline"/>
        </w:rPr>
        <w:t> </w:t>
      </w:r>
      <w:r>
        <w:rPr>
          <w:vertAlign w:val="baseline"/>
        </w:rPr>
        <w:t>of</w:t>
      </w:r>
    </w:p>
    <w:p>
      <w:pPr>
        <w:pStyle w:val="BodyText"/>
        <w:spacing w:before="6"/>
        <w:rPr>
          <w:sz w:val="24"/>
        </w:rPr>
      </w:pPr>
      <w:r>
        <w:rPr/>
        <w:pict>
          <v:shape style="position:absolute;margin-left:79.320pt;margin-top:16.309671pt;width:135.5pt;height:.1pt;mso-position-horizontal-relative:page;mso-position-vertical-relative:paragraph;z-index:-251608064;mso-wrap-distance-left:0;mso-wrap-distance-right:0" coordorigin="1586,326" coordsize="2710,0" path="m1586,326l4296,326e" filled="false" stroked="true" strokeweight=".41998pt" strokecolor="#000000">
            <v:path arrowok="t"/>
            <v:stroke dashstyle="solid"/>
            <w10:wrap type="topAndBottom"/>
          </v:shape>
        </w:pict>
      </w:r>
    </w:p>
    <w:p>
      <w:pPr>
        <w:spacing w:before="26"/>
        <w:ind w:left="226" w:right="0" w:firstLine="0"/>
        <w:jc w:val="left"/>
        <w:rPr>
          <w:sz w:val="15"/>
        </w:rPr>
      </w:pPr>
      <w:r>
        <w:rPr>
          <w:position w:val="8"/>
          <w:sz w:val="9"/>
        </w:rPr>
        <w:t>6 </w:t>
      </w:r>
      <w:r>
        <w:rPr>
          <w:sz w:val="15"/>
        </w:rPr>
        <w:t>In the UK there is a negative correlation between monthly changes in house prices and in stock and bond indices in the period since 1990.</w:t>
      </w:r>
    </w:p>
    <w:p>
      <w:pPr>
        <w:spacing w:line="172" w:lineRule="exact" w:before="4"/>
        <w:ind w:left="226" w:right="0" w:firstLine="0"/>
        <w:jc w:val="left"/>
        <w:rPr>
          <w:sz w:val="15"/>
        </w:rPr>
      </w:pPr>
      <w:r>
        <w:rPr>
          <w:position w:val="8"/>
          <w:sz w:val="9"/>
        </w:rPr>
        <w:t>7 </w:t>
      </w:r>
      <w:r>
        <w:rPr>
          <w:sz w:val="15"/>
        </w:rPr>
        <w:t>But as I discuss below moral hazard becomes serious when so much of downside or upside house price risk is passed on to outside providers of equity.</w:t>
      </w:r>
    </w:p>
    <w:p>
      <w:pPr>
        <w:spacing w:after="0" w:line="172" w:lineRule="exact"/>
        <w:jc w:val="left"/>
        <w:rPr>
          <w:sz w:val="15"/>
        </w:rPr>
        <w:sectPr>
          <w:footerReference w:type="default" r:id="rId13"/>
          <w:pgSz w:w="12240" w:h="15840"/>
          <w:pgMar w:footer="1240" w:header="0" w:top="1500" w:bottom="1440" w:left="1360" w:right="1480"/>
          <w:pgNumType w:start="13"/>
        </w:sectPr>
      </w:pPr>
    </w:p>
    <w:p>
      <w:pPr>
        <w:pStyle w:val="BodyText"/>
        <w:spacing w:line="352" w:lineRule="auto" w:before="75"/>
        <w:ind w:left="226" w:right="672"/>
      </w:pPr>
      <w:r>
        <w:rPr/>
        <w:t>loans</w:t>
      </w:r>
      <w:r>
        <w:rPr>
          <w:spacing w:val="-6"/>
        </w:rPr>
        <w:t> </w:t>
      </w:r>
      <w:r>
        <w:rPr/>
        <w:t>need</w:t>
      </w:r>
      <w:r>
        <w:rPr>
          <w:spacing w:val="-7"/>
        </w:rPr>
        <w:t> </w:t>
      </w:r>
      <w:r>
        <w:rPr/>
        <w:t>to</w:t>
      </w:r>
      <w:r>
        <w:rPr>
          <w:spacing w:val="-6"/>
        </w:rPr>
        <w:t> </w:t>
      </w:r>
      <w:r>
        <w:rPr/>
        <w:t>get</w:t>
      </w:r>
      <w:r>
        <w:rPr>
          <w:spacing w:val="-5"/>
        </w:rPr>
        <w:t> </w:t>
      </w:r>
      <w:r>
        <w:rPr/>
        <w:t>almost</w:t>
      </w:r>
      <w:r>
        <w:rPr>
          <w:spacing w:val="-6"/>
        </w:rPr>
        <w:t> </w:t>
      </w:r>
      <w:r>
        <w:rPr/>
        <w:t>1.5</w:t>
      </w:r>
      <w:r>
        <w:rPr>
          <w:spacing w:val="-7"/>
        </w:rPr>
        <w:t> </w:t>
      </w:r>
      <w:r>
        <w:rPr/>
        <w:t>times</w:t>
      </w:r>
      <w:r>
        <w:rPr>
          <w:spacing w:val="-7"/>
        </w:rPr>
        <w:t> </w:t>
      </w:r>
      <w:r>
        <w:rPr/>
        <w:t>as</w:t>
      </w:r>
      <w:r>
        <w:rPr>
          <w:spacing w:val="-6"/>
        </w:rPr>
        <w:t> </w:t>
      </w:r>
      <w:r>
        <w:rPr/>
        <w:t>much</w:t>
      </w:r>
      <w:r>
        <w:rPr>
          <w:spacing w:val="-6"/>
        </w:rPr>
        <w:t> </w:t>
      </w:r>
      <w:r>
        <w:rPr/>
        <w:t>of</w:t>
      </w:r>
      <w:r>
        <w:rPr>
          <w:spacing w:val="-6"/>
        </w:rPr>
        <w:t> </w:t>
      </w:r>
      <w:r>
        <w:rPr/>
        <w:t>any</w:t>
      </w:r>
      <w:r>
        <w:rPr>
          <w:spacing w:val="-6"/>
        </w:rPr>
        <w:t> </w:t>
      </w:r>
      <w:r>
        <w:rPr/>
        <w:t>appreciation</w:t>
      </w:r>
      <w:r>
        <w:rPr>
          <w:spacing w:val="-7"/>
        </w:rPr>
        <w:t> </w:t>
      </w:r>
      <w:r>
        <w:rPr/>
        <w:t>as</w:t>
      </w:r>
      <w:r>
        <w:rPr>
          <w:spacing w:val="-7"/>
        </w:rPr>
        <w:t> </w:t>
      </w:r>
      <w:r>
        <w:rPr/>
        <w:t>they</w:t>
      </w:r>
      <w:r>
        <w:rPr>
          <w:spacing w:val="-6"/>
        </w:rPr>
        <w:t> </w:t>
      </w:r>
      <w:r>
        <w:rPr/>
        <w:t>provide</w:t>
      </w:r>
      <w:r>
        <w:rPr>
          <w:spacing w:val="-7"/>
        </w:rPr>
        <w:t> </w:t>
      </w:r>
      <w:r>
        <w:rPr/>
        <w:t>of</w:t>
      </w:r>
      <w:r>
        <w:rPr>
          <w:spacing w:val="-5"/>
        </w:rPr>
        <w:t> </w:t>
      </w:r>
      <w:r>
        <w:rPr/>
        <w:t>the</w:t>
      </w:r>
      <w:r>
        <w:rPr>
          <w:spacing w:val="-6"/>
        </w:rPr>
        <w:t> </w:t>
      </w:r>
      <w:r>
        <w:rPr/>
        <w:t>funding</w:t>
      </w:r>
      <w:r>
        <w:rPr>
          <w:spacing w:val="-6"/>
        </w:rPr>
        <w:t> </w:t>
      </w:r>
      <w:r>
        <w:rPr/>
        <w:t>(29%</w:t>
      </w:r>
      <w:r>
        <w:rPr>
          <w:spacing w:val="-6"/>
        </w:rPr>
        <w:t> </w:t>
      </w:r>
      <w:r>
        <w:rPr/>
        <w:t>of upside, or capital gain, for 20% of</w:t>
      </w:r>
      <w:r>
        <w:rPr>
          <w:spacing w:val="-8"/>
        </w:rPr>
        <w:t> </w:t>
      </w:r>
      <w:r>
        <w:rPr/>
        <w:t>funding).</w:t>
      </w:r>
    </w:p>
    <w:p>
      <w:pPr>
        <w:pStyle w:val="BodyText"/>
        <w:spacing w:before="7"/>
        <w:rPr>
          <w:sz w:val="27"/>
        </w:rPr>
      </w:pPr>
    </w:p>
    <w:p>
      <w:pPr>
        <w:pStyle w:val="BodyText"/>
        <w:spacing w:line="350" w:lineRule="auto"/>
        <w:ind w:left="226" w:right="213"/>
      </w:pPr>
      <w:r>
        <w:rPr/>
        <w:t>Table 2-5 below show how the characteristics of the equilibrium shares of upside risk taken by the provider of equity loans varies as we use different assumptions for: the volatility of house prices (Table 2); the time horizon of the investment (where we multiply the base line means and variances of house price returns by the time horizon, which is appropriate for the random walk with drift model – Table 3); the required rate of return on the loans (Table 4) and for the mean expected rate of house price appreciation (Table 5). Tables 2-5 show how the upside share to the equity investor (their share of any capital gain) varies for a given downside share as we vary various features of the economy. In each of the tables we assume the equity loan is 20% of the house value and that the share taken of any house price fall is also 20%. For the base case (Table 2, using a 20% standard deviation of house prices over 5 years) that generated an equilibrium share of any upside gain of 32%.</w:t>
      </w:r>
    </w:p>
    <w:p>
      <w:pPr>
        <w:pStyle w:val="BodyText"/>
        <w:spacing w:before="5"/>
      </w:pPr>
    </w:p>
    <w:p>
      <w:pPr>
        <w:pStyle w:val="Heading1"/>
        <w:spacing w:before="1"/>
        <w:ind w:left="328"/>
      </w:pPr>
      <w:r>
        <w:rPr/>
        <w:t>Table 2: Varying house price volatility – equilibrium upside share of investor</w:t>
      </w:r>
      <w:r>
        <w:rPr>
          <w:vertAlign w:val="superscript"/>
        </w:rPr>
        <w:t>(a)</w:t>
      </w:r>
    </w:p>
    <w:p>
      <w:pPr>
        <w:pStyle w:val="BodyText"/>
        <w:spacing w:before="1"/>
        <w:rPr>
          <w:b/>
          <w:sz w:val="20"/>
        </w:rPr>
      </w:pPr>
    </w:p>
    <w:tbl>
      <w:tblPr>
        <w:tblW w:w="0" w:type="auto"/>
        <w:jc w:val="left"/>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596"/>
        <w:gridCol w:w="586"/>
        <w:gridCol w:w="588"/>
        <w:gridCol w:w="586"/>
        <w:gridCol w:w="586"/>
        <w:gridCol w:w="585"/>
        <w:gridCol w:w="585"/>
        <w:gridCol w:w="606"/>
      </w:tblGrid>
      <w:tr>
        <w:trPr>
          <w:trHeight w:val="445" w:hRule="atLeast"/>
        </w:trPr>
        <w:tc>
          <w:tcPr>
            <w:tcW w:w="1826" w:type="dxa"/>
            <w:tcBorders>
              <w:top w:val="single" w:sz="8" w:space="0" w:color="C0504D"/>
              <w:bottom w:val="single" w:sz="8" w:space="0" w:color="C0504D"/>
            </w:tcBorders>
          </w:tcPr>
          <w:p>
            <w:pPr>
              <w:pStyle w:val="TableParagraph"/>
              <w:rPr>
                <w:b/>
                <w:sz w:val="17"/>
              </w:rPr>
            </w:pPr>
            <w:r>
              <w:rPr>
                <w:b/>
                <w:sz w:val="17"/>
              </w:rPr>
              <w:t>Share of upside</w:t>
            </w:r>
          </w:p>
        </w:tc>
        <w:tc>
          <w:tcPr>
            <w:tcW w:w="596" w:type="dxa"/>
            <w:tcBorders>
              <w:top w:val="single" w:sz="8" w:space="0" w:color="C0504D"/>
              <w:bottom w:val="single" w:sz="8" w:space="0" w:color="C0504D"/>
            </w:tcBorders>
          </w:tcPr>
          <w:p>
            <w:pPr>
              <w:pStyle w:val="TableParagraph"/>
              <w:ind w:left="134"/>
              <w:rPr>
                <w:sz w:val="17"/>
              </w:rPr>
            </w:pPr>
            <w:r>
              <w:rPr>
                <w:sz w:val="17"/>
              </w:rPr>
              <w:t>33%</w:t>
            </w:r>
          </w:p>
        </w:tc>
        <w:tc>
          <w:tcPr>
            <w:tcW w:w="586" w:type="dxa"/>
            <w:tcBorders>
              <w:top w:val="single" w:sz="8" w:space="0" w:color="C0504D"/>
              <w:bottom w:val="single" w:sz="8" w:space="0" w:color="C0504D"/>
            </w:tcBorders>
          </w:tcPr>
          <w:p>
            <w:pPr>
              <w:pStyle w:val="TableParagraph"/>
              <w:ind w:left="101" w:right="99"/>
              <w:jc w:val="center"/>
              <w:rPr>
                <w:sz w:val="17"/>
              </w:rPr>
            </w:pPr>
            <w:r>
              <w:rPr>
                <w:sz w:val="17"/>
              </w:rPr>
              <w:t>32%</w:t>
            </w:r>
          </w:p>
        </w:tc>
        <w:tc>
          <w:tcPr>
            <w:tcW w:w="588" w:type="dxa"/>
            <w:tcBorders>
              <w:top w:val="single" w:sz="8" w:space="0" w:color="C0504D"/>
              <w:bottom w:val="single" w:sz="8" w:space="0" w:color="C0504D"/>
            </w:tcBorders>
          </w:tcPr>
          <w:p>
            <w:pPr>
              <w:pStyle w:val="TableParagraph"/>
              <w:ind w:left="105" w:right="102"/>
              <w:jc w:val="center"/>
              <w:rPr>
                <w:sz w:val="17"/>
              </w:rPr>
            </w:pPr>
            <w:r>
              <w:rPr>
                <w:sz w:val="17"/>
              </w:rPr>
              <w:t>32%</w:t>
            </w:r>
          </w:p>
        </w:tc>
        <w:tc>
          <w:tcPr>
            <w:tcW w:w="586" w:type="dxa"/>
            <w:tcBorders>
              <w:top w:val="single" w:sz="8" w:space="0" w:color="C0504D"/>
              <w:bottom w:val="single" w:sz="8" w:space="0" w:color="C0504D"/>
            </w:tcBorders>
          </w:tcPr>
          <w:p>
            <w:pPr>
              <w:pStyle w:val="TableParagraph"/>
              <w:ind w:left="0" w:right="120"/>
              <w:jc w:val="right"/>
              <w:rPr>
                <w:sz w:val="17"/>
              </w:rPr>
            </w:pPr>
            <w:r>
              <w:rPr>
                <w:w w:val="95"/>
                <w:sz w:val="17"/>
              </w:rPr>
              <w:t>31%</w:t>
            </w:r>
          </w:p>
        </w:tc>
        <w:tc>
          <w:tcPr>
            <w:tcW w:w="586" w:type="dxa"/>
            <w:tcBorders>
              <w:top w:val="single" w:sz="8" w:space="0" w:color="C0504D"/>
              <w:bottom w:val="single" w:sz="8" w:space="0" w:color="C0504D"/>
            </w:tcBorders>
          </w:tcPr>
          <w:p>
            <w:pPr>
              <w:pStyle w:val="TableParagraph"/>
              <w:ind w:left="101" w:right="96"/>
              <w:jc w:val="center"/>
              <w:rPr>
                <w:sz w:val="17"/>
              </w:rPr>
            </w:pPr>
            <w:r>
              <w:rPr>
                <w:sz w:val="17"/>
              </w:rPr>
              <w:t>30%</w:t>
            </w:r>
          </w:p>
        </w:tc>
        <w:tc>
          <w:tcPr>
            <w:tcW w:w="585" w:type="dxa"/>
            <w:tcBorders>
              <w:top w:val="single" w:sz="8" w:space="0" w:color="C0504D"/>
              <w:bottom w:val="single" w:sz="8" w:space="0" w:color="C0504D"/>
            </w:tcBorders>
          </w:tcPr>
          <w:p>
            <w:pPr>
              <w:pStyle w:val="TableParagraph"/>
              <w:ind w:left="105" w:right="98"/>
              <w:jc w:val="center"/>
              <w:rPr>
                <w:sz w:val="17"/>
              </w:rPr>
            </w:pPr>
            <w:r>
              <w:rPr>
                <w:sz w:val="17"/>
              </w:rPr>
              <w:t>30%</w:t>
            </w:r>
          </w:p>
        </w:tc>
        <w:tc>
          <w:tcPr>
            <w:tcW w:w="585" w:type="dxa"/>
            <w:tcBorders>
              <w:top w:val="single" w:sz="8" w:space="0" w:color="C0504D"/>
              <w:bottom w:val="single" w:sz="8" w:space="0" w:color="C0504D"/>
            </w:tcBorders>
          </w:tcPr>
          <w:p>
            <w:pPr>
              <w:pStyle w:val="TableParagraph"/>
              <w:ind w:left="0" w:right="115"/>
              <w:jc w:val="right"/>
              <w:rPr>
                <w:sz w:val="17"/>
              </w:rPr>
            </w:pPr>
            <w:r>
              <w:rPr>
                <w:sz w:val="17"/>
              </w:rPr>
              <w:t>29%</w:t>
            </w:r>
          </w:p>
        </w:tc>
        <w:tc>
          <w:tcPr>
            <w:tcW w:w="606" w:type="dxa"/>
            <w:tcBorders>
              <w:top w:val="single" w:sz="8" w:space="0" w:color="C0504D"/>
              <w:bottom w:val="single" w:sz="8" w:space="0" w:color="C0504D"/>
            </w:tcBorders>
          </w:tcPr>
          <w:p>
            <w:pPr>
              <w:pStyle w:val="TableParagraph"/>
              <w:ind w:left="107" w:right="116"/>
              <w:jc w:val="center"/>
              <w:rPr>
                <w:sz w:val="17"/>
              </w:rPr>
            </w:pPr>
            <w:r>
              <w:rPr>
                <w:sz w:val="17"/>
              </w:rPr>
              <w:t>28%</w:t>
            </w:r>
          </w:p>
        </w:tc>
      </w:tr>
      <w:tr>
        <w:trPr>
          <w:trHeight w:val="647" w:hRule="atLeast"/>
        </w:trPr>
        <w:tc>
          <w:tcPr>
            <w:tcW w:w="1826" w:type="dxa"/>
            <w:tcBorders>
              <w:top w:val="single" w:sz="8" w:space="0" w:color="C0504D"/>
              <w:bottom w:val="single" w:sz="8" w:space="0" w:color="C0504D"/>
            </w:tcBorders>
            <w:shd w:val="clear" w:color="auto" w:fill="EFD3D2"/>
          </w:tcPr>
          <w:p>
            <w:pPr>
              <w:pStyle w:val="TableParagraph"/>
              <w:spacing w:line="276" w:lineRule="auto"/>
              <w:rPr>
                <w:b/>
                <w:sz w:val="17"/>
              </w:rPr>
            </w:pPr>
            <w:r>
              <w:rPr>
                <w:b/>
                <w:sz w:val="17"/>
              </w:rPr>
              <w:t>Standard deviation house price change</w:t>
            </w:r>
          </w:p>
        </w:tc>
        <w:tc>
          <w:tcPr>
            <w:tcW w:w="596" w:type="dxa"/>
            <w:tcBorders>
              <w:top w:val="single" w:sz="8" w:space="0" w:color="C0504D"/>
              <w:bottom w:val="single" w:sz="8" w:space="0" w:color="C0504D"/>
            </w:tcBorders>
            <w:shd w:val="clear" w:color="auto" w:fill="EFD3D2"/>
          </w:tcPr>
          <w:p>
            <w:pPr>
              <w:pStyle w:val="TableParagraph"/>
              <w:ind w:left="134"/>
              <w:rPr>
                <w:sz w:val="17"/>
              </w:rPr>
            </w:pPr>
            <w:r>
              <w:rPr>
                <w:sz w:val="17"/>
              </w:rPr>
              <w:t>5%</w:t>
            </w:r>
          </w:p>
        </w:tc>
        <w:tc>
          <w:tcPr>
            <w:tcW w:w="586" w:type="dxa"/>
            <w:tcBorders>
              <w:top w:val="single" w:sz="8" w:space="0" w:color="C0504D"/>
              <w:bottom w:val="single" w:sz="8" w:space="0" w:color="C0504D"/>
            </w:tcBorders>
            <w:shd w:val="clear" w:color="auto" w:fill="EFD3D2"/>
          </w:tcPr>
          <w:p>
            <w:pPr>
              <w:pStyle w:val="TableParagraph"/>
              <w:ind w:left="101" w:right="99"/>
              <w:jc w:val="center"/>
              <w:rPr>
                <w:sz w:val="17"/>
              </w:rPr>
            </w:pPr>
            <w:r>
              <w:rPr>
                <w:sz w:val="17"/>
              </w:rPr>
              <w:t>15%</w:t>
            </w:r>
          </w:p>
        </w:tc>
        <w:tc>
          <w:tcPr>
            <w:tcW w:w="588" w:type="dxa"/>
            <w:tcBorders>
              <w:top w:val="single" w:sz="8" w:space="0" w:color="C0504D"/>
              <w:bottom w:val="single" w:sz="8" w:space="0" w:color="C0504D"/>
            </w:tcBorders>
            <w:shd w:val="clear" w:color="auto" w:fill="EFD3D2"/>
          </w:tcPr>
          <w:p>
            <w:pPr>
              <w:pStyle w:val="TableParagraph"/>
              <w:ind w:left="105" w:right="102"/>
              <w:jc w:val="center"/>
              <w:rPr>
                <w:sz w:val="17"/>
              </w:rPr>
            </w:pPr>
            <w:r>
              <w:rPr>
                <w:sz w:val="17"/>
              </w:rPr>
              <w:t>20%</w:t>
            </w:r>
          </w:p>
        </w:tc>
        <w:tc>
          <w:tcPr>
            <w:tcW w:w="586" w:type="dxa"/>
            <w:tcBorders>
              <w:top w:val="single" w:sz="8" w:space="0" w:color="C0504D"/>
              <w:bottom w:val="single" w:sz="8" w:space="0" w:color="C0504D"/>
            </w:tcBorders>
            <w:shd w:val="clear" w:color="auto" w:fill="EFD3D2"/>
          </w:tcPr>
          <w:p>
            <w:pPr>
              <w:pStyle w:val="TableParagraph"/>
              <w:ind w:left="0" w:right="120"/>
              <w:jc w:val="right"/>
              <w:rPr>
                <w:sz w:val="17"/>
              </w:rPr>
            </w:pPr>
            <w:r>
              <w:rPr>
                <w:w w:val="95"/>
                <w:sz w:val="17"/>
              </w:rPr>
              <w:t>25%</w:t>
            </w:r>
          </w:p>
        </w:tc>
        <w:tc>
          <w:tcPr>
            <w:tcW w:w="586" w:type="dxa"/>
            <w:tcBorders>
              <w:top w:val="single" w:sz="8" w:space="0" w:color="C0504D"/>
              <w:bottom w:val="single" w:sz="8" w:space="0" w:color="C0504D"/>
            </w:tcBorders>
            <w:shd w:val="clear" w:color="auto" w:fill="EFD3D2"/>
          </w:tcPr>
          <w:p>
            <w:pPr>
              <w:pStyle w:val="TableParagraph"/>
              <w:ind w:left="101" w:right="96"/>
              <w:jc w:val="center"/>
              <w:rPr>
                <w:sz w:val="17"/>
              </w:rPr>
            </w:pPr>
            <w:r>
              <w:rPr>
                <w:sz w:val="17"/>
              </w:rPr>
              <w:t>30%</w:t>
            </w:r>
          </w:p>
        </w:tc>
        <w:tc>
          <w:tcPr>
            <w:tcW w:w="585" w:type="dxa"/>
            <w:tcBorders>
              <w:top w:val="single" w:sz="8" w:space="0" w:color="C0504D"/>
              <w:bottom w:val="single" w:sz="8" w:space="0" w:color="C0504D"/>
            </w:tcBorders>
            <w:shd w:val="clear" w:color="auto" w:fill="EFD3D2"/>
          </w:tcPr>
          <w:p>
            <w:pPr>
              <w:pStyle w:val="TableParagraph"/>
              <w:ind w:left="105" w:right="97"/>
              <w:jc w:val="center"/>
              <w:rPr>
                <w:sz w:val="17"/>
              </w:rPr>
            </w:pPr>
            <w:r>
              <w:rPr>
                <w:sz w:val="17"/>
              </w:rPr>
              <w:t>35%</w:t>
            </w:r>
          </w:p>
        </w:tc>
        <w:tc>
          <w:tcPr>
            <w:tcW w:w="585" w:type="dxa"/>
            <w:tcBorders>
              <w:top w:val="single" w:sz="8" w:space="0" w:color="C0504D"/>
              <w:bottom w:val="single" w:sz="8" w:space="0" w:color="C0504D"/>
            </w:tcBorders>
            <w:shd w:val="clear" w:color="auto" w:fill="EFD3D2"/>
          </w:tcPr>
          <w:p>
            <w:pPr>
              <w:pStyle w:val="TableParagraph"/>
              <w:ind w:left="0" w:right="115"/>
              <w:jc w:val="right"/>
              <w:rPr>
                <w:sz w:val="17"/>
              </w:rPr>
            </w:pPr>
            <w:r>
              <w:rPr>
                <w:sz w:val="17"/>
              </w:rPr>
              <w:t>40%</w:t>
            </w:r>
          </w:p>
        </w:tc>
        <w:tc>
          <w:tcPr>
            <w:tcW w:w="606" w:type="dxa"/>
            <w:tcBorders>
              <w:top w:val="single" w:sz="8" w:space="0" w:color="C0504D"/>
              <w:bottom w:val="single" w:sz="8" w:space="0" w:color="C0504D"/>
            </w:tcBorders>
            <w:shd w:val="clear" w:color="auto" w:fill="EFD3D2"/>
          </w:tcPr>
          <w:p>
            <w:pPr>
              <w:pStyle w:val="TableParagraph"/>
              <w:ind w:left="108" w:right="116"/>
              <w:jc w:val="center"/>
              <w:rPr>
                <w:sz w:val="17"/>
              </w:rPr>
            </w:pPr>
            <w:r>
              <w:rPr>
                <w:sz w:val="17"/>
              </w:rPr>
              <w:t>45%</w:t>
            </w:r>
          </w:p>
        </w:tc>
      </w:tr>
    </w:tbl>
    <w:p>
      <w:pPr>
        <w:pStyle w:val="BodyText"/>
        <w:spacing w:before="8"/>
        <w:rPr>
          <w:b/>
          <w:sz w:val="23"/>
        </w:rPr>
      </w:pPr>
    </w:p>
    <w:p>
      <w:pPr>
        <w:spacing w:line="261" w:lineRule="auto" w:before="0"/>
        <w:ind w:left="525" w:right="672" w:hanging="339"/>
        <w:jc w:val="left"/>
        <w:rPr>
          <w:sz w:val="15"/>
        </w:rPr>
      </w:pPr>
      <w:r>
        <w:rPr>
          <w:rFonts w:ascii="Calibri"/>
          <w:sz w:val="15"/>
        </w:rPr>
        <w:t>(a) </w:t>
      </w:r>
      <w:r>
        <w:rPr>
          <w:sz w:val="15"/>
        </w:rPr>
        <w:t>Assumptions: Equity loan is 20% of house value. Percentage change in house price value over 5 years follows a Normal distribution with 15% mean. Required rate of return on equity loan is 25% over five years.</w:t>
      </w:r>
    </w:p>
    <w:p>
      <w:pPr>
        <w:pStyle w:val="BodyText"/>
        <w:rPr>
          <w:sz w:val="16"/>
        </w:rPr>
      </w:pPr>
    </w:p>
    <w:p>
      <w:pPr>
        <w:pStyle w:val="BodyText"/>
        <w:spacing w:line="350" w:lineRule="auto" w:before="118"/>
        <w:ind w:left="226" w:right="617"/>
      </w:pPr>
      <w:r>
        <w:rPr/>
        <w:t>Table 2 shows that varying very substantially the volatility of house price changes has a rather small impact on the share of the upside that needs to be paid to the provider of an equity loan. At exceptionally low volatility (a 5% standard deviation over 5 years) that share is one third. The share is close to 30% for volatilities between 20% and 40%. A volatility range of between 20% and 40% is likely to cover the plausible range for most properties: the lower point of that range is where there is little idiosyncratic house price risk beyond the level of regional variability; the upper point is where idiosyncratic risk is as large as regional risk. Table 2 shows that over that range there is very little variability in the upside share required. That is very useful because a risk neutral provider of outside equity would then not need to know at all precisely the volatility of house prices in order to offer feasible contracts to home owners.</w:t>
      </w:r>
    </w:p>
    <w:p>
      <w:pPr>
        <w:spacing w:after="0" w:line="350" w:lineRule="auto"/>
        <w:sectPr>
          <w:pgSz w:w="12240" w:h="15840"/>
          <w:pgMar w:header="0" w:footer="1240" w:top="1380" w:bottom="1440" w:left="1360" w:right="1480"/>
        </w:sectPr>
      </w:pPr>
    </w:p>
    <w:p>
      <w:pPr>
        <w:pStyle w:val="Heading1"/>
        <w:spacing w:before="110"/>
      </w:pPr>
      <w:r>
        <w:rPr/>
        <w:pict>
          <v:shape style="position:absolute;margin-left:79.320pt;margin-top:51.340054pt;width:299.3pt;height:.1pt;mso-position-horizontal-relative:page;mso-position-vertical-relative:paragraph;z-index:251716608" coordorigin="1586,1027" coordsize="5986,0" path="m1586,1027l3450,1027m3450,1027l4040,1027m4040,1027l4628,1027m4628,1027l5218,1027m5218,1027l5807,1027m5807,1027l6395,1027m6395,1027l6984,1027m6984,1027l7572,1027e" filled="false" stroked="true" strokeweight=".89996pt" strokecolor="#c0504d">
            <v:path arrowok="t"/>
            <v:stroke dashstyle="solid"/>
            <w10:wrap type="none"/>
          </v:shape>
        </w:pict>
      </w:r>
      <w:r>
        <w:rPr/>
        <w:t>Table 3: Varying time horizons – equilibrium upside shares of investor </w:t>
      </w:r>
      <w:r>
        <w:rPr>
          <w:vertAlign w:val="superscript"/>
        </w:rPr>
        <w:t>(a)</w:t>
      </w:r>
    </w:p>
    <w:p>
      <w:pPr>
        <w:pStyle w:val="BodyText"/>
        <w:spacing w:before="2"/>
        <w:rPr>
          <w:b/>
          <w:sz w:val="2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8"/>
        <w:gridCol w:w="759"/>
        <w:gridCol w:w="588"/>
        <w:gridCol w:w="590"/>
        <w:gridCol w:w="588"/>
        <w:gridCol w:w="588"/>
        <w:gridCol w:w="589"/>
        <w:gridCol w:w="612"/>
      </w:tblGrid>
      <w:tr>
        <w:trPr>
          <w:trHeight w:val="204" w:hRule="atLeast"/>
        </w:trPr>
        <w:tc>
          <w:tcPr>
            <w:tcW w:w="1668" w:type="dxa"/>
            <w:tcBorders>
              <w:top w:val="single" w:sz="8" w:space="0" w:color="C0504D"/>
            </w:tcBorders>
          </w:tcPr>
          <w:p>
            <w:pPr>
              <w:pStyle w:val="TableParagraph"/>
              <w:spacing w:line="175" w:lineRule="exact"/>
              <w:ind w:left="102"/>
              <w:rPr>
                <w:b/>
                <w:sz w:val="17"/>
              </w:rPr>
            </w:pPr>
            <w:r>
              <w:rPr>
                <w:b/>
                <w:sz w:val="17"/>
              </w:rPr>
              <w:t>Share of upside</w:t>
            </w:r>
          </w:p>
        </w:tc>
        <w:tc>
          <w:tcPr>
            <w:tcW w:w="759" w:type="dxa"/>
            <w:tcBorders>
              <w:top w:val="single" w:sz="8" w:space="0" w:color="C0504D"/>
            </w:tcBorders>
          </w:tcPr>
          <w:p>
            <w:pPr>
              <w:pStyle w:val="TableParagraph"/>
              <w:spacing w:line="175" w:lineRule="exact"/>
              <w:ind w:left="297"/>
              <w:rPr>
                <w:sz w:val="17"/>
              </w:rPr>
            </w:pPr>
            <w:r>
              <w:rPr>
                <w:sz w:val="17"/>
              </w:rPr>
              <w:t>30%</w:t>
            </w:r>
          </w:p>
        </w:tc>
        <w:tc>
          <w:tcPr>
            <w:tcW w:w="588" w:type="dxa"/>
            <w:tcBorders>
              <w:top w:val="single" w:sz="8" w:space="0" w:color="C0504D"/>
            </w:tcBorders>
          </w:tcPr>
          <w:p>
            <w:pPr>
              <w:pStyle w:val="TableParagraph"/>
              <w:spacing w:line="175" w:lineRule="exact"/>
              <w:ind w:left="126"/>
              <w:rPr>
                <w:sz w:val="17"/>
              </w:rPr>
            </w:pPr>
            <w:r>
              <w:rPr>
                <w:sz w:val="17"/>
              </w:rPr>
              <w:t>31%</w:t>
            </w:r>
          </w:p>
        </w:tc>
        <w:tc>
          <w:tcPr>
            <w:tcW w:w="590" w:type="dxa"/>
            <w:tcBorders>
              <w:top w:val="single" w:sz="8" w:space="0" w:color="C0504D"/>
            </w:tcBorders>
          </w:tcPr>
          <w:p>
            <w:pPr>
              <w:pStyle w:val="TableParagraph"/>
              <w:spacing w:line="175" w:lineRule="exact"/>
              <w:ind w:left="127"/>
              <w:rPr>
                <w:sz w:val="17"/>
              </w:rPr>
            </w:pPr>
            <w:r>
              <w:rPr>
                <w:sz w:val="17"/>
              </w:rPr>
              <w:t>32%</w:t>
            </w:r>
          </w:p>
        </w:tc>
        <w:tc>
          <w:tcPr>
            <w:tcW w:w="588" w:type="dxa"/>
            <w:tcBorders>
              <w:top w:val="single" w:sz="8" w:space="0" w:color="C0504D"/>
            </w:tcBorders>
          </w:tcPr>
          <w:p>
            <w:pPr>
              <w:pStyle w:val="TableParagraph"/>
              <w:spacing w:line="175" w:lineRule="exact"/>
              <w:ind w:left="128"/>
              <w:rPr>
                <w:sz w:val="17"/>
              </w:rPr>
            </w:pPr>
            <w:r>
              <w:rPr>
                <w:sz w:val="17"/>
              </w:rPr>
              <w:t>32%</w:t>
            </w:r>
          </w:p>
        </w:tc>
        <w:tc>
          <w:tcPr>
            <w:tcW w:w="588" w:type="dxa"/>
            <w:tcBorders>
              <w:top w:val="single" w:sz="8" w:space="0" w:color="C0504D"/>
            </w:tcBorders>
          </w:tcPr>
          <w:p>
            <w:pPr>
              <w:pStyle w:val="TableParagraph"/>
              <w:spacing w:line="175" w:lineRule="exact"/>
              <w:ind w:left="127"/>
              <w:rPr>
                <w:sz w:val="17"/>
              </w:rPr>
            </w:pPr>
            <w:r>
              <w:rPr>
                <w:sz w:val="17"/>
              </w:rPr>
              <w:t>33%</w:t>
            </w:r>
          </w:p>
        </w:tc>
        <w:tc>
          <w:tcPr>
            <w:tcW w:w="589" w:type="dxa"/>
            <w:tcBorders>
              <w:top w:val="single" w:sz="8" w:space="0" w:color="C0504D"/>
            </w:tcBorders>
          </w:tcPr>
          <w:p>
            <w:pPr>
              <w:pStyle w:val="TableParagraph"/>
              <w:spacing w:line="175" w:lineRule="exact"/>
              <w:ind w:left="129"/>
              <w:rPr>
                <w:sz w:val="17"/>
              </w:rPr>
            </w:pPr>
            <w:r>
              <w:rPr>
                <w:sz w:val="17"/>
              </w:rPr>
              <w:t>33%</w:t>
            </w:r>
          </w:p>
        </w:tc>
        <w:tc>
          <w:tcPr>
            <w:tcW w:w="612" w:type="dxa"/>
            <w:tcBorders>
              <w:top w:val="single" w:sz="8" w:space="0" w:color="C0504D"/>
            </w:tcBorders>
          </w:tcPr>
          <w:p>
            <w:pPr>
              <w:pStyle w:val="TableParagraph"/>
              <w:spacing w:line="175" w:lineRule="exact"/>
              <w:ind w:left="129"/>
              <w:rPr>
                <w:sz w:val="17"/>
              </w:rPr>
            </w:pPr>
            <w:r>
              <w:rPr>
                <w:sz w:val="17"/>
              </w:rPr>
              <w:t>33%</w:t>
            </w:r>
          </w:p>
        </w:tc>
      </w:tr>
    </w:tbl>
    <w:p>
      <w:pPr>
        <w:pStyle w:val="BodyText"/>
        <w:spacing w:before="7"/>
        <w:rPr>
          <w:b/>
          <w:sz w:val="20"/>
        </w:rPr>
      </w:pPr>
      <w:r>
        <w:rPr/>
        <w:pict>
          <v:shape style="position:absolute;margin-left:79.320pt;margin-top:13.085618pt;width:299.3pt;height:22.4pt;mso-position-horizontal-relative:page;mso-position-vertical-relative:paragraph;z-index:-251607040;mso-wrap-distance-left:0;mso-wrap-distance-right:0" type="#_x0000_t202" filled="true" fillcolor="#efd3d2" stroked="false">
            <v:textbox inset="0,0,0,0">
              <w:txbxContent>
                <w:p>
                  <w:pPr>
                    <w:tabs>
                      <w:tab w:pos="1965" w:val="left" w:leader="none"/>
                      <w:tab w:pos="2553" w:val="left" w:leader="none"/>
                      <w:tab w:pos="3142" w:val="left" w:leader="none"/>
                      <w:tab w:pos="3733" w:val="left" w:leader="none"/>
                      <w:tab w:pos="4321" w:val="left" w:leader="none"/>
                      <w:tab w:pos="4910" w:val="left" w:leader="none"/>
                      <w:tab w:pos="5686" w:val="right" w:leader="none"/>
                    </w:tabs>
                    <w:spacing w:before="8"/>
                    <w:ind w:left="102" w:right="0" w:firstLine="0"/>
                    <w:jc w:val="left"/>
                    <w:rPr>
                      <w:sz w:val="17"/>
                    </w:rPr>
                  </w:pPr>
                  <w:r>
                    <w:rPr>
                      <w:b/>
                      <w:sz w:val="17"/>
                    </w:rPr>
                    <w:t>Time</w:t>
                  </w:r>
                  <w:r>
                    <w:rPr>
                      <w:b/>
                      <w:spacing w:val="-5"/>
                      <w:sz w:val="17"/>
                    </w:rPr>
                    <w:t> </w:t>
                  </w:r>
                  <w:r>
                    <w:rPr>
                      <w:b/>
                      <w:sz w:val="17"/>
                    </w:rPr>
                    <w:t>horizon</w:t>
                  </w:r>
                  <w:r>
                    <w:rPr>
                      <w:b/>
                      <w:spacing w:val="-5"/>
                      <w:sz w:val="17"/>
                    </w:rPr>
                    <w:t> </w:t>
                  </w:r>
                  <w:r>
                    <w:rPr>
                      <w:b/>
                      <w:sz w:val="17"/>
                    </w:rPr>
                    <w:t>(years)</w:t>
                    <w:tab/>
                  </w:r>
                  <w:r>
                    <w:rPr>
                      <w:sz w:val="17"/>
                    </w:rPr>
                    <w:t>3</w:t>
                    <w:tab/>
                    <w:t>4</w:t>
                    <w:tab/>
                    <w:t>5</w:t>
                    <w:tab/>
                    <w:t>7</w:t>
                    <w:tab/>
                    <w:t>10</w:t>
                    <w:tab/>
                    <w:t>20</w:t>
                    <w:tab/>
                    <w:t>25</w:t>
                  </w:r>
                </w:p>
              </w:txbxContent>
            </v:textbox>
            <v:fill type="solid"/>
            <w10:wrap type="topAndBottom"/>
          </v:shape>
        </w:pict>
      </w:r>
    </w:p>
    <w:p>
      <w:pPr>
        <w:pStyle w:val="BodyText"/>
        <w:spacing w:line="20" w:lineRule="exact"/>
        <w:ind w:left="213"/>
        <w:rPr>
          <w:sz w:val="2"/>
        </w:rPr>
      </w:pPr>
      <w:r>
        <w:rPr>
          <w:sz w:val="2"/>
        </w:rPr>
        <w:pict>
          <v:group style="width:299.95pt;height:.9pt;mso-position-horizontal-relative:char;mso-position-vertical-relative:line" coordorigin="0,0" coordsize="5999,18">
            <v:rect style="position:absolute;left:0;top:0;width:1877;height:18" filled="true" fillcolor="#c0504d" stroked="false">
              <v:fill type="solid"/>
            </v:rect>
            <v:line style="position:absolute" from="1864,9" to="2467,9" stroked="true" strokeweight=".90002pt" strokecolor="#c0504d">
              <v:stroke dashstyle="solid"/>
            </v:line>
            <v:line style="position:absolute" from="2453,9" to="3055,9" stroked="true" strokeweight=".90002pt" strokecolor="#c0504d">
              <v:stroke dashstyle="solid"/>
            </v:line>
            <v:line style="position:absolute" from="3041,9" to="3644,9" stroked="true" strokeweight=".90002pt" strokecolor="#c0504d">
              <v:stroke dashstyle="solid"/>
            </v:line>
            <v:line style="position:absolute" from="3631,9" to="4234,9" stroked="true" strokeweight=".90002pt" strokecolor="#c0504d">
              <v:stroke dashstyle="solid"/>
            </v:line>
            <v:line style="position:absolute" from="4220,9" to="4822,9" stroked="true" strokeweight=".90002pt" strokecolor="#c0504d">
              <v:stroke dashstyle="solid"/>
            </v:line>
            <v:line style="position:absolute" from="4808,9" to="5411,9" stroked="true" strokeweight=".90002pt" strokecolor="#c0504d">
              <v:stroke dashstyle="solid"/>
            </v:line>
            <v:line style="position:absolute" from="5398,9" to="5999,9" stroked="true" strokeweight=".90002pt" strokecolor="#c0504d">
              <v:stroke dashstyle="solid"/>
            </v:line>
          </v:group>
        </w:pict>
      </w:r>
      <w:r>
        <w:rPr>
          <w:sz w:val="2"/>
        </w:rPr>
      </w:r>
    </w:p>
    <w:p>
      <w:pPr>
        <w:pStyle w:val="BodyText"/>
        <w:rPr>
          <w:b/>
          <w:sz w:val="24"/>
        </w:rPr>
      </w:pPr>
    </w:p>
    <w:p>
      <w:pPr>
        <w:pStyle w:val="BodyText"/>
        <w:rPr>
          <w:b/>
          <w:sz w:val="24"/>
        </w:rPr>
      </w:pPr>
    </w:p>
    <w:p>
      <w:pPr>
        <w:spacing w:before="184"/>
        <w:ind w:left="226" w:right="0" w:firstLine="0"/>
        <w:jc w:val="left"/>
        <w:rPr>
          <w:b/>
          <w:sz w:val="19"/>
        </w:rPr>
      </w:pPr>
      <w:r>
        <w:rPr>
          <w:b/>
          <w:sz w:val="19"/>
        </w:rPr>
        <w:t>Table 4: Varying required rates of return on the loan – equilibrium upside share of investor</w:t>
      </w:r>
      <w:r>
        <w:rPr>
          <w:b/>
          <w:sz w:val="19"/>
          <w:vertAlign w:val="superscript"/>
        </w:rPr>
        <w:t>(a)</w:t>
      </w:r>
    </w:p>
    <w:p>
      <w:pPr>
        <w:pStyle w:val="BodyText"/>
        <w:spacing w:before="1"/>
        <w:rPr>
          <w:b/>
          <w:sz w:val="2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633"/>
        <w:gridCol w:w="589"/>
        <w:gridCol w:w="591"/>
        <w:gridCol w:w="589"/>
        <w:gridCol w:w="589"/>
        <w:gridCol w:w="590"/>
        <w:gridCol w:w="613"/>
      </w:tblGrid>
      <w:tr>
        <w:trPr>
          <w:trHeight w:val="445" w:hRule="atLeast"/>
        </w:trPr>
        <w:tc>
          <w:tcPr>
            <w:tcW w:w="1796" w:type="dxa"/>
            <w:tcBorders>
              <w:top w:val="single" w:sz="8" w:space="0" w:color="C0504D"/>
              <w:bottom w:val="single" w:sz="8" w:space="0" w:color="C0504D"/>
            </w:tcBorders>
          </w:tcPr>
          <w:p>
            <w:pPr>
              <w:pStyle w:val="TableParagraph"/>
              <w:ind w:left="102"/>
              <w:rPr>
                <w:b/>
                <w:sz w:val="17"/>
              </w:rPr>
            </w:pPr>
            <w:r>
              <w:rPr>
                <w:b/>
                <w:sz w:val="17"/>
              </w:rPr>
              <w:t>Share of upside</w:t>
            </w:r>
          </w:p>
        </w:tc>
        <w:tc>
          <w:tcPr>
            <w:tcW w:w="633" w:type="dxa"/>
            <w:tcBorders>
              <w:top w:val="single" w:sz="8" w:space="0" w:color="C0504D"/>
              <w:bottom w:val="single" w:sz="8" w:space="0" w:color="C0504D"/>
            </w:tcBorders>
          </w:tcPr>
          <w:p>
            <w:pPr>
              <w:pStyle w:val="TableParagraph"/>
              <w:ind w:left="0" w:right="124"/>
              <w:jc w:val="right"/>
              <w:rPr>
                <w:sz w:val="17"/>
              </w:rPr>
            </w:pPr>
            <w:r>
              <w:rPr>
                <w:w w:val="95"/>
                <w:sz w:val="17"/>
              </w:rPr>
              <w:t>20%</w:t>
            </w:r>
          </w:p>
        </w:tc>
        <w:tc>
          <w:tcPr>
            <w:tcW w:w="589" w:type="dxa"/>
            <w:tcBorders>
              <w:top w:val="single" w:sz="8" w:space="0" w:color="C0504D"/>
              <w:bottom w:val="single" w:sz="8" w:space="0" w:color="C0504D"/>
            </w:tcBorders>
          </w:tcPr>
          <w:p>
            <w:pPr>
              <w:pStyle w:val="TableParagraph"/>
              <w:ind w:left="102" w:right="102"/>
              <w:jc w:val="center"/>
              <w:rPr>
                <w:sz w:val="17"/>
              </w:rPr>
            </w:pPr>
            <w:r>
              <w:rPr>
                <w:sz w:val="17"/>
              </w:rPr>
              <w:t>26%</w:t>
            </w:r>
          </w:p>
        </w:tc>
        <w:tc>
          <w:tcPr>
            <w:tcW w:w="591" w:type="dxa"/>
            <w:tcBorders>
              <w:top w:val="single" w:sz="8" w:space="0" w:color="C0504D"/>
              <w:bottom w:val="single" w:sz="8" w:space="0" w:color="C0504D"/>
            </w:tcBorders>
          </w:tcPr>
          <w:p>
            <w:pPr>
              <w:pStyle w:val="TableParagraph"/>
              <w:ind w:left="124"/>
              <w:rPr>
                <w:sz w:val="17"/>
              </w:rPr>
            </w:pPr>
            <w:r>
              <w:rPr>
                <w:sz w:val="17"/>
              </w:rPr>
              <w:t>32%</w:t>
            </w:r>
          </w:p>
        </w:tc>
        <w:tc>
          <w:tcPr>
            <w:tcW w:w="589" w:type="dxa"/>
            <w:tcBorders>
              <w:top w:val="single" w:sz="8" w:space="0" w:color="C0504D"/>
              <w:bottom w:val="single" w:sz="8" w:space="0" w:color="C0504D"/>
            </w:tcBorders>
          </w:tcPr>
          <w:p>
            <w:pPr>
              <w:pStyle w:val="TableParagraph"/>
              <w:ind w:left="102" w:right="103"/>
              <w:jc w:val="center"/>
              <w:rPr>
                <w:sz w:val="17"/>
              </w:rPr>
            </w:pPr>
            <w:r>
              <w:rPr>
                <w:sz w:val="17"/>
              </w:rPr>
              <w:t>37%</w:t>
            </w:r>
          </w:p>
        </w:tc>
        <w:tc>
          <w:tcPr>
            <w:tcW w:w="589" w:type="dxa"/>
            <w:tcBorders>
              <w:top w:val="single" w:sz="8" w:space="0" w:color="C0504D"/>
              <w:bottom w:val="single" w:sz="8" w:space="0" w:color="C0504D"/>
            </w:tcBorders>
          </w:tcPr>
          <w:p>
            <w:pPr>
              <w:pStyle w:val="TableParagraph"/>
              <w:ind w:right="104"/>
              <w:jc w:val="center"/>
              <w:rPr>
                <w:sz w:val="17"/>
              </w:rPr>
            </w:pPr>
            <w:r>
              <w:rPr>
                <w:sz w:val="17"/>
              </w:rPr>
              <w:t>43%</w:t>
            </w:r>
          </w:p>
        </w:tc>
        <w:tc>
          <w:tcPr>
            <w:tcW w:w="590" w:type="dxa"/>
            <w:tcBorders>
              <w:top w:val="single" w:sz="8" w:space="0" w:color="C0504D"/>
              <w:bottom w:val="single" w:sz="8" w:space="0" w:color="C0504D"/>
            </w:tcBorders>
          </w:tcPr>
          <w:p>
            <w:pPr>
              <w:pStyle w:val="TableParagraph"/>
              <w:ind w:left="123"/>
              <w:rPr>
                <w:sz w:val="17"/>
              </w:rPr>
            </w:pPr>
            <w:r>
              <w:rPr>
                <w:sz w:val="17"/>
              </w:rPr>
              <w:t>49%</w:t>
            </w:r>
          </w:p>
        </w:tc>
        <w:tc>
          <w:tcPr>
            <w:tcW w:w="613" w:type="dxa"/>
            <w:tcBorders>
              <w:top w:val="single" w:sz="8" w:space="0" w:color="C0504D"/>
              <w:bottom w:val="single" w:sz="8" w:space="0" w:color="C0504D"/>
            </w:tcBorders>
          </w:tcPr>
          <w:p>
            <w:pPr>
              <w:pStyle w:val="TableParagraph"/>
              <w:ind w:left="101" w:right="130"/>
              <w:jc w:val="center"/>
              <w:rPr>
                <w:sz w:val="17"/>
              </w:rPr>
            </w:pPr>
            <w:r>
              <w:rPr>
                <w:sz w:val="17"/>
              </w:rPr>
              <w:t>55%</w:t>
            </w:r>
          </w:p>
        </w:tc>
      </w:tr>
      <w:tr>
        <w:trPr>
          <w:trHeight w:val="645" w:hRule="atLeast"/>
        </w:trPr>
        <w:tc>
          <w:tcPr>
            <w:tcW w:w="1796" w:type="dxa"/>
            <w:tcBorders>
              <w:top w:val="single" w:sz="8" w:space="0" w:color="C0504D"/>
              <w:bottom w:val="single" w:sz="8" w:space="0" w:color="C0504D"/>
            </w:tcBorders>
            <w:shd w:val="clear" w:color="auto" w:fill="EFD3D2"/>
          </w:tcPr>
          <w:p>
            <w:pPr>
              <w:pStyle w:val="TableParagraph"/>
              <w:spacing w:line="276" w:lineRule="auto"/>
              <w:ind w:left="102"/>
              <w:rPr>
                <w:b/>
                <w:sz w:val="17"/>
              </w:rPr>
            </w:pPr>
            <w:r>
              <w:rPr>
                <w:b/>
                <w:sz w:val="17"/>
              </w:rPr>
              <w:t>Required return on the loan</w:t>
            </w:r>
          </w:p>
        </w:tc>
        <w:tc>
          <w:tcPr>
            <w:tcW w:w="633" w:type="dxa"/>
            <w:tcBorders>
              <w:top w:val="single" w:sz="8" w:space="0" w:color="C0504D"/>
              <w:bottom w:val="single" w:sz="8" w:space="0" w:color="C0504D"/>
            </w:tcBorders>
            <w:shd w:val="clear" w:color="auto" w:fill="EFD3D2"/>
          </w:tcPr>
          <w:p>
            <w:pPr>
              <w:pStyle w:val="TableParagraph"/>
              <w:ind w:left="0" w:right="124"/>
              <w:jc w:val="right"/>
              <w:rPr>
                <w:sz w:val="17"/>
              </w:rPr>
            </w:pPr>
            <w:r>
              <w:rPr>
                <w:w w:val="95"/>
                <w:sz w:val="17"/>
              </w:rPr>
              <w:t>15%</w:t>
            </w:r>
          </w:p>
        </w:tc>
        <w:tc>
          <w:tcPr>
            <w:tcW w:w="589" w:type="dxa"/>
            <w:tcBorders>
              <w:top w:val="single" w:sz="8" w:space="0" w:color="C0504D"/>
              <w:bottom w:val="single" w:sz="8" w:space="0" w:color="C0504D"/>
            </w:tcBorders>
            <w:shd w:val="clear" w:color="auto" w:fill="EFD3D2"/>
          </w:tcPr>
          <w:p>
            <w:pPr>
              <w:pStyle w:val="TableParagraph"/>
              <w:ind w:left="102" w:right="102"/>
              <w:jc w:val="center"/>
              <w:rPr>
                <w:sz w:val="17"/>
              </w:rPr>
            </w:pPr>
            <w:r>
              <w:rPr>
                <w:sz w:val="17"/>
              </w:rPr>
              <w:t>20%</w:t>
            </w:r>
          </w:p>
        </w:tc>
        <w:tc>
          <w:tcPr>
            <w:tcW w:w="591" w:type="dxa"/>
            <w:tcBorders>
              <w:top w:val="single" w:sz="8" w:space="0" w:color="C0504D"/>
              <w:bottom w:val="single" w:sz="8" w:space="0" w:color="C0504D"/>
            </w:tcBorders>
            <w:shd w:val="clear" w:color="auto" w:fill="EFD3D2"/>
          </w:tcPr>
          <w:p>
            <w:pPr>
              <w:pStyle w:val="TableParagraph"/>
              <w:ind w:left="124"/>
              <w:rPr>
                <w:sz w:val="17"/>
              </w:rPr>
            </w:pPr>
            <w:r>
              <w:rPr>
                <w:sz w:val="17"/>
              </w:rPr>
              <w:t>25%</w:t>
            </w:r>
          </w:p>
        </w:tc>
        <w:tc>
          <w:tcPr>
            <w:tcW w:w="589" w:type="dxa"/>
            <w:tcBorders>
              <w:top w:val="single" w:sz="8" w:space="0" w:color="C0504D"/>
              <w:bottom w:val="single" w:sz="8" w:space="0" w:color="C0504D"/>
            </w:tcBorders>
            <w:shd w:val="clear" w:color="auto" w:fill="EFD3D2"/>
          </w:tcPr>
          <w:p>
            <w:pPr>
              <w:pStyle w:val="TableParagraph"/>
              <w:ind w:left="102" w:right="103"/>
              <w:jc w:val="center"/>
              <w:rPr>
                <w:sz w:val="17"/>
              </w:rPr>
            </w:pPr>
            <w:r>
              <w:rPr>
                <w:sz w:val="17"/>
              </w:rPr>
              <w:t>30%</w:t>
            </w:r>
          </w:p>
        </w:tc>
        <w:tc>
          <w:tcPr>
            <w:tcW w:w="589" w:type="dxa"/>
            <w:tcBorders>
              <w:top w:val="single" w:sz="8" w:space="0" w:color="C0504D"/>
              <w:bottom w:val="single" w:sz="8" w:space="0" w:color="C0504D"/>
            </w:tcBorders>
            <w:shd w:val="clear" w:color="auto" w:fill="EFD3D2"/>
          </w:tcPr>
          <w:p>
            <w:pPr>
              <w:pStyle w:val="TableParagraph"/>
              <w:ind w:left="101" w:right="104"/>
              <w:jc w:val="center"/>
              <w:rPr>
                <w:sz w:val="17"/>
              </w:rPr>
            </w:pPr>
            <w:r>
              <w:rPr>
                <w:sz w:val="17"/>
              </w:rPr>
              <w:t>35%</w:t>
            </w:r>
          </w:p>
        </w:tc>
        <w:tc>
          <w:tcPr>
            <w:tcW w:w="590" w:type="dxa"/>
            <w:tcBorders>
              <w:top w:val="single" w:sz="8" w:space="0" w:color="C0504D"/>
              <w:bottom w:val="single" w:sz="8" w:space="0" w:color="C0504D"/>
            </w:tcBorders>
            <w:shd w:val="clear" w:color="auto" w:fill="EFD3D2"/>
          </w:tcPr>
          <w:p>
            <w:pPr>
              <w:pStyle w:val="TableParagraph"/>
              <w:ind w:left="123"/>
              <w:rPr>
                <w:sz w:val="17"/>
              </w:rPr>
            </w:pPr>
            <w:r>
              <w:rPr>
                <w:sz w:val="17"/>
              </w:rPr>
              <w:t>40%</w:t>
            </w:r>
          </w:p>
        </w:tc>
        <w:tc>
          <w:tcPr>
            <w:tcW w:w="613" w:type="dxa"/>
            <w:tcBorders>
              <w:top w:val="single" w:sz="8" w:space="0" w:color="C0504D"/>
              <w:bottom w:val="single" w:sz="8" w:space="0" w:color="C0504D"/>
            </w:tcBorders>
            <w:shd w:val="clear" w:color="auto" w:fill="EFD3D2"/>
          </w:tcPr>
          <w:p>
            <w:pPr>
              <w:pStyle w:val="TableParagraph"/>
              <w:ind w:left="101" w:right="129"/>
              <w:jc w:val="center"/>
              <w:rPr>
                <w:sz w:val="17"/>
              </w:rPr>
            </w:pPr>
            <w:r>
              <w:rPr>
                <w:sz w:val="17"/>
              </w:rPr>
              <w:t>45%</w:t>
            </w:r>
          </w:p>
        </w:tc>
      </w:tr>
    </w:tbl>
    <w:p>
      <w:pPr>
        <w:pStyle w:val="BodyText"/>
        <w:rPr>
          <w:b/>
          <w:sz w:val="24"/>
        </w:rPr>
      </w:pPr>
    </w:p>
    <w:p>
      <w:pPr>
        <w:pStyle w:val="BodyText"/>
        <w:rPr>
          <w:b/>
          <w:sz w:val="24"/>
        </w:rPr>
      </w:pPr>
    </w:p>
    <w:p>
      <w:pPr>
        <w:spacing w:before="0"/>
        <w:ind w:left="328" w:right="0" w:firstLine="0"/>
        <w:jc w:val="left"/>
        <w:rPr>
          <w:b/>
          <w:sz w:val="19"/>
        </w:rPr>
      </w:pPr>
      <w:r>
        <w:rPr>
          <w:b/>
          <w:sz w:val="19"/>
        </w:rPr>
        <w:t>Table 5: Varying average house price changes– equilibrium upside share of investor</w:t>
      </w:r>
      <w:r>
        <w:rPr>
          <w:b/>
          <w:sz w:val="19"/>
          <w:vertAlign w:val="superscript"/>
        </w:rPr>
        <w:t>(a)</w:t>
      </w:r>
    </w:p>
    <w:p>
      <w:pPr>
        <w:pStyle w:val="BodyText"/>
        <w:spacing w:before="11"/>
        <w:rPr>
          <w:b/>
          <w:sz w:val="15"/>
        </w:rPr>
      </w:pPr>
      <w:r>
        <w:rPr/>
        <w:pict>
          <v:shape style="position:absolute;margin-left:84.419998pt;margin-top:11.578266pt;width:298.2pt;height:.1pt;mso-position-horizontal-relative:page;mso-position-vertical-relative:paragraph;z-index:-251604992;mso-wrap-distance-left:0;mso-wrap-distance-right:0" coordorigin="1688,232" coordsize="5964,0" path="m1688,232l7652,232e" filled="false" stroked="true" strokeweight=".89999pt" strokecolor="#c0504d">
            <v:path arrowok="t"/>
            <v:stroke dashstyle="solid"/>
            <w10:wrap type="topAndBottom"/>
          </v:shape>
        </w:pict>
      </w:r>
    </w:p>
    <w:p>
      <w:pPr>
        <w:tabs>
          <w:tab w:pos="2287" w:val="left" w:leader="none"/>
          <w:tab w:pos="2874" w:val="left" w:leader="none"/>
          <w:tab w:pos="3462" w:val="left" w:leader="none"/>
          <w:tab w:pos="4049" w:val="left" w:leader="none"/>
          <w:tab w:pos="4636" w:val="left" w:leader="none"/>
          <w:tab w:pos="5222" w:val="left" w:leader="none"/>
          <w:tab w:pos="5808" w:val="left" w:leader="none"/>
        </w:tabs>
        <w:spacing w:before="0"/>
        <w:ind w:left="429" w:right="0" w:firstLine="0"/>
        <w:jc w:val="left"/>
        <w:rPr>
          <w:sz w:val="17"/>
        </w:rPr>
      </w:pPr>
      <w:r>
        <w:rPr>
          <w:b/>
          <w:sz w:val="17"/>
        </w:rPr>
        <w:t>Share</w:t>
      </w:r>
      <w:r>
        <w:rPr>
          <w:b/>
          <w:spacing w:val="-4"/>
          <w:sz w:val="17"/>
        </w:rPr>
        <w:t> </w:t>
      </w:r>
      <w:r>
        <w:rPr>
          <w:b/>
          <w:sz w:val="17"/>
        </w:rPr>
        <w:t>of</w:t>
      </w:r>
      <w:r>
        <w:rPr>
          <w:b/>
          <w:spacing w:val="-3"/>
          <w:sz w:val="17"/>
        </w:rPr>
        <w:t> </w:t>
      </w:r>
      <w:r>
        <w:rPr>
          <w:b/>
          <w:sz w:val="17"/>
        </w:rPr>
        <w:t>upside</w:t>
        <w:tab/>
      </w:r>
      <w:r>
        <w:rPr>
          <w:sz w:val="17"/>
        </w:rPr>
        <w:t>67%</w:t>
        <w:tab/>
        <w:t>51%</w:t>
        <w:tab/>
        <w:t>42%</w:t>
        <w:tab/>
        <w:t>32%</w:t>
        <w:tab/>
        <w:t>25%</w:t>
        <w:tab/>
        <w:t>20%</w:t>
        <w:tab/>
        <w:t>17%</w:t>
      </w:r>
    </w:p>
    <w:p>
      <w:pPr>
        <w:pStyle w:val="BodyText"/>
        <w:spacing w:before="10"/>
        <w:rPr>
          <w:sz w:val="15"/>
        </w:rPr>
      </w:pPr>
      <w:r>
        <w:rPr/>
        <w:pict>
          <v:group style="position:absolute;margin-left:83.760002pt;margin-top:12.17875pt;width:298.9pt;height:34.3pt;mso-position-horizontal-relative:page;mso-position-vertical-relative:paragraph;z-index:-251600896;mso-wrap-distance-left:0;mso-wrap-distance-right:0" coordorigin="1675,244" coordsize="5978,686">
            <v:line style="position:absolute" from="1739,273" to="1739,909" stroked="true" strokeweight="5.04pt" strokecolor="#efd3d2">
              <v:stroke dashstyle="solid"/>
            </v:line>
            <v:line style="position:absolute" from="1688,268" to="3546,268" stroked="true" strokeweight=".5pt" strokecolor="#efd3d2">
              <v:stroke dashstyle="solid"/>
            </v:line>
            <v:line style="position:absolute" from="3496,274" to="3496,910" stroked="true" strokeweight="5.04pt" strokecolor="#efd3d2">
              <v:stroke dashstyle="solid"/>
            </v:line>
            <v:rect style="position:absolute;left:1789;top:273;width:1656;height:224" filled="true" fillcolor="#efd3d2" stroked="false">
              <v:fill type="solid"/>
            </v:rect>
            <v:rect style="position:absolute;left:1789;top:496;width:1656;height:413" filled="true" fillcolor="#efd3d2" stroked="false">
              <v:fill type="solid"/>
            </v:rect>
            <v:rect style="position:absolute;left:3546;top:685;width:588;height:224" filled="true" fillcolor="#efd3d2" stroked="false">
              <v:fill type="solid"/>
            </v:rect>
            <v:line style="position:absolute" from="3597,273" to="3597,685" stroked="true" strokeweight="5.1pt" strokecolor="#efd3d2">
              <v:stroke dashstyle="solid"/>
            </v:line>
            <v:line style="position:absolute" from="3546,268" to="4134,268" stroked="true" strokeweight=".5pt" strokecolor="#efd3d2">
              <v:stroke dashstyle="solid"/>
            </v:line>
            <v:rect style="position:absolute;left:4032;top:273;width:102;height:412" filled="true" fillcolor="#efd3d2" stroked="false">
              <v:fill type="solid"/>
            </v:rect>
            <v:rect style="position:absolute;left:3648;top:273;width:384;height:412" filled="true" fillcolor="#efd3d2" stroked="false">
              <v:fill type="solid"/>
            </v:rect>
            <v:rect style="position:absolute;left:4134;top:685;width:587;height:224" filled="true" fillcolor="#efd3d2" stroked="false">
              <v:fill type="solid"/>
            </v:rect>
            <v:rect style="position:absolute;left:4134;top:273;width:101;height:412" filled="true" fillcolor="#efd3d2" stroked="false">
              <v:fill type="solid"/>
            </v:rect>
            <v:line style="position:absolute" from="4134,268" to="4721,268" stroked="true" strokeweight=".5pt" strokecolor="#efd3d2">
              <v:stroke dashstyle="solid"/>
            </v:line>
            <v:rect style="position:absolute;left:4618;top:273;width:102;height:412" filled="true" fillcolor="#efd3d2" stroked="false">
              <v:fill type="solid"/>
            </v:rect>
            <v:rect style="position:absolute;left:4234;top:273;width:384;height:412" filled="true" fillcolor="#efd3d2" stroked="false">
              <v:fill type="solid"/>
            </v:rect>
            <v:rect style="position:absolute;left:4720;top:685;width:587;height:224" filled="true" fillcolor="#efd3d2" stroked="false">
              <v:fill type="solid"/>
            </v:rect>
            <v:rect style="position:absolute;left:4720;top:273;width:102;height:412" filled="true" fillcolor="#efd3d2" stroked="false">
              <v:fill type="solid"/>
            </v:rect>
            <v:line style="position:absolute" from="4721,268" to="5308,268" stroked="true" strokeweight=".5pt" strokecolor="#efd3d2">
              <v:stroke dashstyle="solid"/>
            </v:line>
            <v:rect style="position:absolute;left:5205;top:273;width:102;height:412" filled="true" fillcolor="#efd3d2" stroked="false">
              <v:fill type="solid"/>
            </v:rect>
            <v:rect style="position:absolute;left:4822;top:273;width:383;height:412" filled="true" fillcolor="#efd3d2" stroked="false">
              <v:fill type="solid"/>
            </v:rect>
            <v:rect style="position:absolute;left:5307;top:685;width:587;height:224" filled="true" fillcolor="#efd3d2" stroked="false">
              <v:fill type="solid"/>
            </v:rect>
            <v:rect style="position:absolute;left:5307;top:273;width:102;height:412" filled="true" fillcolor="#efd3d2" stroked="false">
              <v:fill type="solid"/>
            </v:rect>
            <v:line style="position:absolute" from="5308,268" to="5894,268" stroked="true" strokeweight=".5pt" strokecolor="#efd3d2">
              <v:stroke dashstyle="solid"/>
            </v:line>
            <v:rect style="position:absolute;left:5793;top:273;width:101;height:412" filled="true" fillcolor="#efd3d2" stroked="false">
              <v:fill type="solid"/>
            </v:rect>
            <v:rect style="position:absolute;left:5409;top:273;width:384;height:412" filled="true" fillcolor="#efd3d2" stroked="false">
              <v:fill type="solid"/>
            </v:rect>
            <v:rect style="position:absolute;left:5894;top:685;width:588;height:224" filled="true" fillcolor="#efd3d2" stroked="false">
              <v:fill type="solid"/>
            </v:rect>
            <v:rect style="position:absolute;left:5894;top:273;width:102;height:412" filled="true" fillcolor="#efd3d2" stroked="false">
              <v:fill type="solid"/>
            </v:rect>
            <v:line style="position:absolute" from="5894,268" to="6482,268" stroked="true" strokeweight=".5pt" strokecolor="#efd3d2">
              <v:stroke dashstyle="solid"/>
            </v:line>
            <v:rect style="position:absolute;left:6380;top:273;width:102;height:412" filled="true" fillcolor="#efd3d2" stroked="false">
              <v:fill type="solid"/>
            </v:rect>
            <v:rect style="position:absolute;left:5996;top:273;width:384;height:412" filled="true" fillcolor="#efd3d2" stroked="false">
              <v:fill type="solid"/>
            </v:rect>
            <v:rect style="position:absolute;left:6482;top:685;width:585;height:224" filled="true" fillcolor="#efd3d2" stroked="false">
              <v:fill type="solid"/>
            </v:rect>
            <v:rect style="position:absolute;left:6482;top:273;width:101;height:412" filled="true" fillcolor="#efd3d2" stroked="false">
              <v:fill type="solid"/>
            </v:rect>
            <v:line style="position:absolute" from="6482,268" to="7067,268" stroked="true" strokeweight=".5pt" strokecolor="#efd3d2">
              <v:stroke dashstyle="solid"/>
            </v:line>
            <v:rect style="position:absolute;left:6964;top:273;width:102;height:412" filled="true" fillcolor="#efd3d2" stroked="false">
              <v:fill type="solid"/>
            </v:rect>
            <v:rect style="position:absolute;left:6583;top:273;width:382;height:412" filled="true" fillcolor="#efd3d2" stroked="false">
              <v:fill type="solid"/>
            </v:rect>
            <v:rect style="position:absolute;left:7066;top:685;width:586;height:224" filled="true" fillcolor="#efd3d2" stroked="false">
              <v:fill type="solid"/>
            </v:rect>
            <v:rect style="position:absolute;left:7066;top:273;width:102;height:412" filled="true" fillcolor="#efd3d2" stroked="false">
              <v:fill type="solid"/>
            </v:rect>
            <v:line style="position:absolute" from="7067,268" to="7652,268" stroked="true" strokeweight=".5pt" strokecolor="#efd3d2">
              <v:stroke dashstyle="solid"/>
            </v:line>
            <v:line style="position:absolute" from="7601,274" to="7601,685" stroked="true" strokeweight="5.1pt" strokecolor="#efd3d2">
              <v:stroke dashstyle="solid"/>
            </v:line>
            <v:rect style="position:absolute;left:7168;top:273;width:382;height:412" filled="true" fillcolor="#efd3d2" stroked="false">
              <v:fill type="solid"/>
            </v:rect>
            <v:line style="position:absolute" from="1688,253" to="3546,253" stroked="true" strokeweight=".89999pt" strokecolor="#c0504d">
              <v:stroke dashstyle="solid"/>
            </v:line>
            <v:line style="position:absolute" from="1688,268" to="3564,268" stroked="true" strokeweight=".600010pt" strokecolor="#efd3d2">
              <v:stroke dashstyle="solid"/>
            </v:line>
            <v:line style="position:absolute" from="3546,253" to="4134,253" stroked="true" strokeweight=".89999pt" strokecolor="#c0504d">
              <v:stroke dashstyle="solid"/>
            </v:line>
            <v:line style="position:absolute" from="3564,268" to="4152,268" stroked="true" strokeweight=".600010pt" strokecolor="#efd3d2">
              <v:stroke dashstyle="solid"/>
            </v:line>
            <v:line style="position:absolute" from="4134,253" to="4721,253" stroked="true" strokeweight=".89999pt" strokecolor="#c0504d">
              <v:stroke dashstyle="solid"/>
            </v:line>
            <v:line style="position:absolute" from="4152,268" to="4739,268" stroked="true" strokeweight=".600010pt" strokecolor="#efd3d2">
              <v:stroke dashstyle="solid"/>
            </v:line>
            <v:line style="position:absolute" from="4721,253" to="5308,253" stroked="true" strokeweight=".89999pt" strokecolor="#c0504d">
              <v:stroke dashstyle="solid"/>
            </v:line>
            <v:line style="position:absolute" from="4739,268" to="5326,268" stroked="true" strokeweight=".600010pt" strokecolor="#efd3d2">
              <v:stroke dashstyle="solid"/>
            </v:line>
            <v:line style="position:absolute" from="5308,253" to="5894,253" stroked="true" strokeweight=".89999pt" strokecolor="#c0504d">
              <v:stroke dashstyle="solid"/>
            </v:line>
            <v:line style="position:absolute" from="5326,268" to="5912,268" stroked="true" strokeweight=".600010pt" strokecolor="#efd3d2">
              <v:stroke dashstyle="solid"/>
            </v:line>
            <v:line style="position:absolute" from="5894,253" to="6482,253" stroked="true" strokeweight=".89999pt" strokecolor="#c0504d">
              <v:stroke dashstyle="solid"/>
            </v:line>
            <v:line style="position:absolute" from="5912,268" to="6500,268" stroked="true" strokeweight=".600010pt" strokecolor="#efd3d2">
              <v:stroke dashstyle="solid"/>
            </v:line>
            <v:line style="position:absolute" from="6482,253" to="7067,253" stroked="true" strokeweight=".89999pt" strokecolor="#c0504d">
              <v:stroke dashstyle="solid"/>
            </v:line>
            <v:line style="position:absolute" from="6500,268" to="7085,268" stroked="true" strokeweight=".600010pt" strokecolor="#efd3d2">
              <v:stroke dashstyle="solid"/>
            </v:line>
            <v:line style="position:absolute" from="7067,253" to="7652,253" stroked="true" strokeweight=".89999pt" strokecolor="#c0504d">
              <v:stroke dashstyle="solid"/>
            </v:line>
            <v:line style="position:absolute" from="7085,268" to="7652,268" stroked="true" strokeweight=".600010pt" strokecolor="#efd3d2">
              <v:stroke dashstyle="solid"/>
            </v:line>
            <v:line style="position:absolute" from="1675,920" to="3546,920" stroked="true" strokeweight=".90002pt" strokecolor="#c0504d">
              <v:stroke dashstyle="solid"/>
            </v:line>
            <v:line style="position:absolute" from="3533,920" to="4134,920" stroked="true" strokeweight=".90002pt" strokecolor="#c0504d">
              <v:stroke dashstyle="solid"/>
            </v:line>
            <v:line style="position:absolute" from="4120,920" to="4721,920" stroked="true" strokeweight=".90002pt" strokecolor="#c0504d">
              <v:stroke dashstyle="solid"/>
            </v:line>
            <v:line style="position:absolute" from="4708,920" to="5308,920" stroked="true" strokeweight=".90002pt" strokecolor="#c0504d">
              <v:stroke dashstyle="solid"/>
            </v:line>
            <v:line style="position:absolute" from="5294,920" to="5894,920" stroked="true" strokeweight=".90002pt" strokecolor="#c0504d">
              <v:stroke dashstyle="solid"/>
            </v:line>
            <v:line style="position:absolute" from="5881,920" to="6482,920" stroked="true" strokeweight=".90002pt" strokecolor="#c0504d">
              <v:stroke dashstyle="solid"/>
            </v:line>
            <v:rect style="position:absolute;left:6468;top:910;width:18;height:18" filled="true" fillcolor="#c0504d" stroked="false">
              <v:fill type="solid"/>
            </v:rect>
            <v:line style="position:absolute" from="6486,920" to="7067,920" stroked="true" strokeweight=".9pt" strokecolor="#c0504d">
              <v:stroke dashstyle="solid"/>
            </v:line>
            <v:line style="position:absolute" from="7054,920" to="7652,920" stroked="true" strokeweight=".90002pt" strokecolor="#c0504d">
              <v:stroke dashstyle="solid"/>
            </v:line>
            <v:shape style="position:absolute;left:4822;top:277;width:2704;height:190" type="#_x0000_t202" filled="false" stroked="false">
              <v:textbox inset="0,0,0,0">
                <w:txbxContent>
                  <w:p>
                    <w:pPr>
                      <w:tabs>
                        <w:tab w:pos="586" w:val="left" w:leader="none"/>
                        <w:tab w:pos="1173" w:val="left" w:leader="none"/>
                        <w:tab w:pos="1760" w:val="left" w:leader="none"/>
                        <w:tab w:pos="2345" w:val="left" w:leader="none"/>
                      </w:tabs>
                      <w:spacing w:line="189" w:lineRule="exact" w:before="0"/>
                      <w:ind w:left="0" w:right="0" w:firstLine="0"/>
                      <w:jc w:val="left"/>
                      <w:rPr>
                        <w:sz w:val="17"/>
                      </w:rPr>
                    </w:pPr>
                    <w:r>
                      <w:rPr>
                        <w:sz w:val="17"/>
                      </w:rPr>
                      <w:t>10%</w:t>
                      <w:tab/>
                      <w:t>15%</w:t>
                      <w:tab/>
                      <w:t>20%</w:t>
                      <w:tab/>
                      <w:t>25%</w:t>
                      <w:tab/>
                      <w:t>30%</w:t>
                    </w:r>
                  </w:p>
                </w:txbxContent>
              </v:textbox>
              <w10:wrap type="none"/>
            </v:shape>
            <v:shape style="position:absolute;left:4234;top:277;width:264;height:190" type="#_x0000_t202" filled="false" stroked="false">
              <v:textbox inset="0,0,0,0">
                <w:txbxContent>
                  <w:p>
                    <w:pPr>
                      <w:spacing w:line="189" w:lineRule="exact" w:before="0"/>
                      <w:ind w:left="0" w:right="0" w:firstLine="0"/>
                      <w:jc w:val="left"/>
                      <w:rPr>
                        <w:sz w:val="17"/>
                      </w:rPr>
                    </w:pPr>
                    <w:r>
                      <w:rPr>
                        <w:sz w:val="17"/>
                      </w:rPr>
                      <w:t>7%</w:t>
                    </w:r>
                  </w:p>
                </w:txbxContent>
              </v:textbox>
              <w10:wrap type="none"/>
            </v:shape>
            <v:shape style="position:absolute;left:1789;top:277;width:2123;height:413" type="#_x0000_t202" filled="false" stroked="false">
              <v:textbox inset="0,0,0,0">
                <w:txbxContent>
                  <w:p>
                    <w:pPr>
                      <w:tabs>
                        <w:tab w:pos="1858" w:val="left" w:leader="none"/>
                      </w:tabs>
                      <w:spacing w:line="189" w:lineRule="exact" w:before="0"/>
                      <w:ind w:left="0" w:right="0" w:firstLine="0"/>
                      <w:jc w:val="left"/>
                      <w:rPr>
                        <w:sz w:val="17"/>
                      </w:rPr>
                    </w:pPr>
                    <w:r>
                      <w:rPr>
                        <w:b/>
                        <w:sz w:val="17"/>
                      </w:rPr>
                      <w:t>Mean</w:t>
                    </w:r>
                    <w:r>
                      <w:rPr>
                        <w:b/>
                        <w:spacing w:val="-4"/>
                        <w:sz w:val="17"/>
                      </w:rPr>
                      <w:t> </w:t>
                    </w:r>
                    <w:r>
                      <w:rPr>
                        <w:b/>
                        <w:sz w:val="17"/>
                      </w:rPr>
                      <w:t>house</w:t>
                    </w:r>
                    <w:r>
                      <w:rPr>
                        <w:b/>
                        <w:spacing w:val="-3"/>
                        <w:sz w:val="17"/>
                      </w:rPr>
                      <w:t> </w:t>
                    </w:r>
                    <w:r>
                      <w:rPr>
                        <w:b/>
                        <w:sz w:val="17"/>
                      </w:rPr>
                      <w:t>price</w:t>
                      <w:tab/>
                    </w:r>
                    <w:r>
                      <w:rPr>
                        <w:sz w:val="17"/>
                      </w:rPr>
                      <w:t>3%</w:t>
                    </w:r>
                  </w:p>
                  <w:p>
                    <w:pPr>
                      <w:spacing w:before="27"/>
                      <w:ind w:left="0" w:right="0" w:firstLine="0"/>
                      <w:jc w:val="left"/>
                      <w:rPr>
                        <w:b/>
                        <w:sz w:val="17"/>
                      </w:rPr>
                    </w:pPr>
                    <w:r>
                      <w:rPr>
                        <w:b/>
                        <w:sz w:val="17"/>
                      </w:rPr>
                      <w:t>change over 5 years</w:t>
                    </w:r>
                  </w:p>
                </w:txbxContent>
              </v:textbox>
              <w10:wrap type="none"/>
            </v:shape>
            <w10:wrap type="topAndBottom"/>
          </v:group>
        </w:pict>
      </w:r>
    </w:p>
    <w:p>
      <w:pPr>
        <w:pStyle w:val="BodyText"/>
        <w:spacing w:before="1"/>
        <w:rPr>
          <w:sz w:val="10"/>
        </w:rPr>
      </w:pPr>
    </w:p>
    <w:p>
      <w:pPr>
        <w:spacing w:line="276" w:lineRule="auto" w:before="95"/>
        <w:ind w:left="525" w:right="1039" w:hanging="299"/>
        <w:jc w:val="left"/>
        <w:rPr>
          <w:sz w:val="15"/>
        </w:rPr>
      </w:pPr>
      <w:r>
        <w:rPr>
          <w:sz w:val="15"/>
        </w:rPr>
        <w:t>(a) Assumptions: Equity loan is 20% of house value. Percentage change in house price value over 5 years follows a Normal distribution with 20% standard deviation. The share taken of any house price fall is 20%.</w:t>
      </w:r>
    </w:p>
    <w:p>
      <w:pPr>
        <w:spacing w:line="276" w:lineRule="auto" w:before="2"/>
        <w:ind w:left="525" w:right="2307" w:firstLine="0"/>
        <w:jc w:val="left"/>
        <w:rPr>
          <w:sz w:val="15"/>
        </w:rPr>
      </w:pPr>
      <w:r>
        <w:rPr>
          <w:sz w:val="15"/>
        </w:rPr>
        <w:t>Required rate of return on equity loan is 25% over five years, except in Table 4 where it is varied. Average house price change is 15% over 5 year horizon, except in table 5 where it is varied;</w:t>
      </w:r>
    </w:p>
    <w:p>
      <w:pPr>
        <w:spacing w:line="172" w:lineRule="exact" w:before="0"/>
        <w:ind w:left="525" w:right="0" w:firstLine="0"/>
        <w:jc w:val="left"/>
        <w:rPr>
          <w:sz w:val="15"/>
        </w:rPr>
      </w:pPr>
      <w:r>
        <w:rPr>
          <w:sz w:val="15"/>
        </w:rPr>
        <w:t>in table 3 the average house price change is assumed to be 3% a year.</w:t>
      </w:r>
    </w:p>
    <w:p>
      <w:pPr>
        <w:pStyle w:val="BodyText"/>
        <w:rPr>
          <w:sz w:val="16"/>
        </w:rPr>
      </w:pPr>
    </w:p>
    <w:p>
      <w:pPr>
        <w:pStyle w:val="BodyText"/>
        <w:rPr>
          <w:sz w:val="16"/>
        </w:rPr>
      </w:pPr>
    </w:p>
    <w:p>
      <w:pPr>
        <w:pStyle w:val="BodyText"/>
        <w:spacing w:before="2"/>
        <w:rPr>
          <w:sz w:val="20"/>
        </w:rPr>
      </w:pPr>
    </w:p>
    <w:p>
      <w:pPr>
        <w:pStyle w:val="BodyText"/>
        <w:spacing w:line="350" w:lineRule="auto"/>
        <w:ind w:left="226" w:right="70"/>
      </w:pPr>
      <w:r>
        <w:rPr/>
        <w:t>Changing the time horizon has an impact on the nature of sustainable contracts. (This is a point that Caplin et al (2007) make). The share of the upside needed to be paid to the equity provider does rise gradually with the time horizon. But when log house prices follow the random walk model the variability in the required share is very small (from 30% to 33% as horizons vary from 3 to 25 years). This is important because if the equity loan is settled at the time of sale the provider will not know the relevant time horizon and so the fact that the upside share needed to generate a given average rate of return is not sensitive to time horizon is very useful. Not surprisingly varying the expected rate of house price change has a very substantial effect, as does varying the required rate of return.</w:t>
      </w:r>
    </w:p>
    <w:p>
      <w:pPr>
        <w:pStyle w:val="BodyText"/>
        <w:spacing w:before="5"/>
        <w:rPr>
          <w:sz w:val="28"/>
        </w:rPr>
      </w:pPr>
    </w:p>
    <w:p>
      <w:pPr>
        <w:pStyle w:val="BodyText"/>
        <w:spacing w:line="350" w:lineRule="auto"/>
        <w:ind w:left="226"/>
      </w:pPr>
      <w:r>
        <w:rPr/>
        <w:t>It</w:t>
      </w:r>
      <w:r>
        <w:rPr>
          <w:spacing w:val="-8"/>
        </w:rPr>
        <w:t> </w:t>
      </w:r>
      <w:r>
        <w:rPr/>
        <w:t>is</w:t>
      </w:r>
      <w:r>
        <w:rPr>
          <w:spacing w:val="-7"/>
        </w:rPr>
        <w:t> </w:t>
      </w:r>
      <w:r>
        <w:rPr/>
        <w:t>important</w:t>
      </w:r>
      <w:r>
        <w:rPr>
          <w:spacing w:val="-7"/>
        </w:rPr>
        <w:t> </w:t>
      </w:r>
      <w:r>
        <w:rPr/>
        <w:t>to</w:t>
      </w:r>
      <w:r>
        <w:rPr>
          <w:spacing w:val="-8"/>
        </w:rPr>
        <w:t> </w:t>
      </w:r>
      <w:r>
        <w:rPr/>
        <w:t>stress</w:t>
      </w:r>
      <w:r>
        <w:rPr>
          <w:spacing w:val="-8"/>
        </w:rPr>
        <w:t> </w:t>
      </w:r>
      <w:r>
        <w:rPr/>
        <w:t>that</w:t>
      </w:r>
      <w:r>
        <w:rPr>
          <w:spacing w:val="-7"/>
        </w:rPr>
        <w:t> </w:t>
      </w:r>
      <w:r>
        <w:rPr/>
        <w:t>in</w:t>
      </w:r>
      <w:r>
        <w:rPr>
          <w:spacing w:val="-7"/>
        </w:rPr>
        <w:t> </w:t>
      </w:r>
      <w:r>
        <w:rPr/>
        <w:t>principle</w:t>
      </w:r>
      <w:r>
        <w:rPr>
          <w:spacing w:val="-8"/>
        </w:rPr>
        <w:t> </w:t>
      </w:r>
      <w:r>
        <w:rPr/>
        <w:t>there</w:t>
      </w:r>
      <w:r>
        <w:rPr>
          <w:spacing w:val="-7"/>
        </w:rPr>
        <w:t> </w:t>
      </w:r>
      <w:r>
        <w:rPr/>
        <w:t>are</w:t>
      </w:r>
      <w:r>
        <w:rPr>
          <w:spacing w:val="-8"/>
        </w:rPr>
        <w:t> </w:t>
      </w:r>
      <w:r>
        <w:rPr/>
        <w:t>an</w:t>
      </w:r>
      <w:r>
        <w:rPr>
          <w:spacing w:val="-7"/>
        </w:rPr>
        <w:t> </w:t>
      </w:r>
      <w:r>
        <w:rPr/>
        <w:t>infinite</w:t>
      </w:r>
      <w:r>
        <w:rPr>
          <w:spacing w:val="-8"/>
        </w:rPr>
        <w:t> </w:t>
      </w:r>
      <w:r>
        <w:rPr/>
        <w:t>number</w:t>
      </w:r>
      <w:r>
        <w:rPr>
          <w:spacing w:val="-7"/>
        </w:rPr>
        <w:t> </w:t>
      </w:r>
      <w:r>
        <w:rPr/>
        <w:t>of</w:t>
      </w:r>
      <w:r>
        <w:rPr>
          <w:spacing w:val="-7"/>
        </w:rPr>
        <w:t> </w:t>
      </w:r>
      <w:r>
        <w:rPr/>
        <w:t>combinations</w:t>
      </w:r>
      <w:r>
        <w:rPr>
          <w:spacing w:val="-6"/>
        </w:rPr>
        <w:t> </w:t>
      </w:r>
      <w:r>
        <w:rPr/>
        <w:t>of</w:t>
      </w:r>
      <w:r>
        <w:rPr>
          <w:spacing w:val="-8"/>
        </w:rPr>
        <w:t> </w:t>
      </w:r>
      <w:r>
        <w:rPr/>
        <w:t>upside</w:t>
      </w:r>
      <w:r>
        <w:rPr>
          <w:spacing w:val="-7"/>
        </w:rPr>
        <w:t> </w:t>
      </w:r>
      <w:r>
        <w:rPr/>
        <w:t>and</w:t>
      </w:r>
      <w:r>
        <w:rPr>
          <w:spacing w:val="-8"/>
        </w:rPr>
        <w:t> </w:t>
      </w:r>
      <w:r>
        <w:rPr/>
        <w:t>downside shares that generate the required rate of return for any given economic environment. In tables 2-5 we have fixed the downside share to isolate the affect of changing features of the economy upon the upside share. Table</w:t>
      </w:r>
      <w:r>
        <w:rPr>
          <w:spacing w:val="-9"/>
        </w:rPr>
        <w:t> </w:t>
      </w:r>
      <w:r>
        <w:rPr/>
        <w:t>1,</w:t>
      </w:r>
      <w:r>
        <w:rPr>
          <w:spacing w:val="-6"/>
        </w:rPr>
        <w:t> </w:t>
      </w:r>
      <w:r>
        <w:rPr/>
        <w:t>in</w:t>
      </w:r>
      <w:r>
        <w:rPr>
          <w:spacing w:val="-9"/>
        </w:rPr>
        <w:t> </w:t>
      </w:r>
      <w:r>
        <w:rPr/>
        <w:t>contrast,</w:t>
      </w:r>
      <w:r>
        <w:rPr>
          <w:spacing w:val="-8"/>
        </w:rPr>
        <w:t> </w:t>
      </w:r>
      <w:r>
        <w:rPr/>
        <w:t>showed</w:t>
      </w:r>
      <w:r>
        <w:rPr>
          <w:spacing w:val="-8"/>
        </w:rPr>
        <w:t> </w:t>
      </w:r>
      <w:r>
        <w:rPr/>
        <w:t>a</w:t>
      </w:r>
      <w:r>
        <w:rPr>
          <w:spacing w:val="-8"/>
        </w:rPr>
        <w:t> </w:t>
      </w:r>
      <w:r>
        <w:rPr/>
        <w:t>number</w:t>
      </w:r>
      <w:r>
        <w:rPr>
          <w:spacing w:val="-8"/>
        </w:rPr>
        <w:t> </w:t>
      </w:r>
      <w:r>
        <w:rPr/>
        <w:t>of</w:t>
      </w:r>
      <w:r>
        <w:rPr>
          <w:spacing w:val="-9"/>
        </w:rPr>
        <w:t> </w:t>
      </w:r>
      <w:r>
        <w:rPr/>
        <w:t>combinations</w:t>
      </w:r>
      <w:r>
        <w:rPr>
          <w:spacing w:val="-6"/>
        </w:rPr>
        <w:t> </w:t>
      </w:r>
      <w:r>
        <w:rPr/>
        <w:t>of</w:t>
      </w:r>
      <w:r>
        <w:rPr>
          <w:spacing w:val="-8"/>
        </w:rPr>
        <w:t> </w:t>
      </w:r>
      <w:r>
        <w:rPr/>
        <w:t>upside</w:t>
      </w:r>
      <w:r>
        <w:rPr>
          <w:spacing w:val="-8"/>
        </w:rPr>
        <w:t> </w:t>
      </w:r>
      <w:r>
        <w:rPr/>
        <w:t>and</w:t>
      </w:r>
      <w:r>
        <w:rPr>
          <w:spacing w:val="-8"/>
        </w:rPr>
        <w:t> </w:t>
      </w:r>
      <w:r>
        <w:rPr/>
        <w:t>downside</w:t>
      </w:r>
      <w:r>
        <w:rPr>
          <w:spacing w:val="-9"/>
        </w:rPr>
        <w:t> </w:t>
      </w:r>
      <w:r>
        <w:rPr/>
        <w:t>shares</w:t>
      </w:r>
      <w:r>
        <w:rPr>
          <w:spacing w:val="-7"/>
        </w:rPr>
        <w:t> </w:t>
      </w:r>
      <w:r>
        <w:rPr/>
        <w:t>for</w:t>
      </w:r>
      <w:r>
        <w:rPr>
          <w:spacing w:val="-9"/>
        </w:rPr>
        <w:t> </w:t>
      </w:r>
      <w:r>
        <w:rPr/>
        <w:t>a</w:t>
      </w:r>
      <w:r>
        <w:rPr>
          <w:spacing w:val="-8"/>
        </w:rPr>
        <w:t> </w:t>
      </w:r>
      <w:r>
        <w:rPr/>
        <w:t>given</w:t>
      </w:r>
      <w:r>
        <w:rPr>
          <w:spacing w:val="-9"/>
        </w:rPr>
        <w:t> </w:t>
      </w:r>
      <w:r>
        <w:rPr/>
        <w:t>economy.</w:t>
      </w:r>
    </w:p>
    <w:p>
      <w:pPr>
        <w:pStyle w:val="BodyText"/>
        <w:spacing w:before="1"/>
        <w:rPr>
          <w:sz w:val="28"/>
        </w:rPr>
      </w:pPr>
    </w:p>
    <w:p>
      <w:pPr>
        <w:pStyle w:val="BodyText"/>
        <w:spacing w:line="350" w:lineRule="auto"/>
        <w:ind w:left="226"/>
      </w:pPr>
      <w:r>
        <w:rPr/>
        <w:t>The useful thing about there being a continuum of contracts is that home-owners could, in principle, decide how</w:t>
      </w:r>
      <w:r>
        <w:rPr>
          <w:spacing w:val="-10"/>
        </w:rPr>
        <w:t> </w:t>
      </w:r>
      <w:r>
        <w:rPr/>
        <w:t>much</w:t>
      </w:r>
      <w:r>
        <w:rPr>
          <w:spacing w:val="-9"/>
        </w:rPr>
        <w:t> </w:t>
      </w:r>
      <w:r>
        <w:rPr/>
        <w:t>house</w:t>
      </w:r>
      <w:r>
        <w:rPr>
          <w:spacing w:val="-8"/>
        </w:rPr>
        <w:t> </w:t>
      </w:r>
      <w:r>
        <w:rPr/>
        <w:t>price</w:t>
      </w:r>
      <w:r>
        <w:rPr>
          <w:spacing w:val="-8"/>
        </w:rPr>
        <w:t> </w:t>
      </w:r>
      <w:r>
        <w:rPr/>
        <w:t>risk</w:t>
      </w:r>
      <w:r>
        <w:rPr>
          <w:spacing w:val="-6"/>
        </w:rPr>
        <w:t> </w:t>
      </w:r>
      <w:r>
        <w:rPr/>
        <w:t>they</w:t>
      </w:r>
      <w:r>
        <w:rPr>
          <w:spacing w:val="-6"/>
        </w:rPr>
        <w:t> </w:t>
      </w:r>
      <w:r>
        <w:rPr/>
        <w:t>wanted</w:t>
      </w:r>
      <w:r>
        <w:rPr>
          <w:spacing w:val="-8"/>
        </w:rPr>
        <w:t> </w:t>
      </w:r>
      <w:r>
        <w:rPr/>
        <w:t>to</w:t>
      </w:r>
      <w:r>
        <w:rPr>
          <w:spacing w:val="-7"/>
        </w:rPr>
        <w:t> </w:t>
      </w:r>
      <w:r>
        <w:rPr/>
        <w:t>sell</w:t>
      </w:r>
      <w:r>
        <w:rPr>
          <w:spacing w:val="-8"/>
        </w:rPr>
        <w:t> </w:t>
      </w:r>
      <w:r>
        <w:rPr/>
        <w:t>and</w:t>
      </w:r>
      <w:r>
        <w:rPr>
          <w:spacing w:val="-8"/>
        </w:rPr>
        <w:t> </w:t>
      </w:r>
      <w:r>
        <w:rPr/>
        <w:t>how</w:t>
      </w:r>
      <w:r>
        <w:rPr>
          <w:spacing w:val="-9"/>
        </w:rPr>
        <w:t> </w:t>
      </w:r>
      <w:r>
        <w:rPr/>
        <w:t>asymmetric</w:t>
      </w:r>
      <w:r>
        <w:rPr>
          <w:spacing w:val="-6"/>
        </w:rPr>
        <w:t> </w:t>
      </w:r>
      <w:r>
        <w:rPr/>
        <w:t>a</w:t>
      </w:r>
      <w:r>
        <w:rPr>
          <w:spacing w:val="-8"/>
        </w:rPr>
        <w:t> </w:t>
      </w:r>
      <w:r>
        <w:rPr/>
        <w:t>contract</w:t>
      </w:r>
      <w:r>
        <w:rPr>
          <w:spacing w:val="-8"/>
        </w:rPr>
        <w:t> </w:t>
      </w:r>
      <w:r>
        <w:rPr/>
        <w:t>they</w:t>
      </w:r>
      <w:r>
        <w:rPr>
          <w:spacing w:val="-6"/>
        </w:rPr>
        <w:t> </w:t>
      </w:r>
      <w:r>
        <w:rPr/>
        <w:t>were</w:t>
      </w:r>
      <w:r>
        <w:rPr>
          <w:spacing w:val="-8"/>
        </w:rPr>
        <w:t> </w:t>
      </w:r>
      <w:r>
        <w:rPr/>
        <w:t>prepared</w:t>
      </w:r>
      <w:r>
        <w:rPr>
          <w:spacing w:val="-8"/>
        </w:rPr>
        <w:t> </w:t>
      </w:r>
      <w:r>
        <w:rPr/>
        <w:t>to</w:t>
      </w:r>
      <w:r>
        <w:rPr>
          <w:spacing w:val="-9"/>
        </w:rPr>
        <w:t> </w:t>
      </w:r>
      <w:r>
        <w:rPr/>
        <w:t>accept</w:t>
      </w:r>
    </w:p>
    <w:p>
      <w:pPr>
        <w:spacing w:after="0" w:line="350" w:lineRule="auto"/>
        <w:sectPr>
          <w:pgSz w:w="12240" w:h="15840"/>
          <w:pgMar w:header="0" w:footer="1240" w:top="1240" w:bottom="1440" w:left="1360" w:right="1480"/>
        </w:sectPr>
      </w:pPr>
    </w:p>
    <w:p>
      <w:pPr>
        <w:pStyle w:val="BodyText"/>
        <w:spacing w:line="350" w:lineRule="auto" w:before="75"/>
        <w:ind w:left="226" w:right="155"/>
      </w:pPr>
      <w:r>
        <w:rPr/>
        <w:t>to reduce the monthly servicing cost of the overall debt on a property. But although in theory there is a continuum of contracts that can generate the required return to providers of equity loans there are incentive reasons why some contracts with very high insurance against loss (high downside shares) or very high shares of capital gains handed to providers of equity loans might not be feasible. Moral hazard can rule out such extremes. Providers of equity loans might not wish to choose combinations of upside and downside shares which mean they take a very high share of any downside (in which case home owners have little incentive to maintain properties if they do start to slip in value) or a very high share of the upside (in which case home owners have little incentive to maintain properties once their prices have risen substantially).</w:t>
      </w:r>
    </w:p>
    <w:p>
      <w:pPr>
        <w:pStyle w:val="BodyText"/>
        <w:spacing w:line="352" w:lineRule="auto" w:before="7"/>
        <w:ind w:left="226" w:right="120"/>
      </w:pPr>
      <w:r>
        <w:rPr/>
        <w:t>Shiller</w:t>
      </w:r>
      <w:r>
        <w:rPr>
          <w:spacing w:val="-9"/>
        </w:rPr>
        <w:t> </w:t>
      </w:r>
      <w:r>
        <w:rPr/>
        <w:t>and</w:t>
      </w:r>
      <w:r>
        <w:rPr>
          <w:spacing w:val="-9"/>
        </w:rPr>
        <w:t> </w:t>
      </w:r>
      <w:r>
        <w:rPr/>
        <w:t>Weiss</w:t>
      </w:r>
      <w:r>
        <w:rPr>
          <w:spacing w:val="-8"/>
        </w:rPr>
        <w:t> </w:t>
      </w:r>
      <w:r>
        <w:rPr/>
        <w:t>(2003)</w:t>
      </w:r>
      <w:r>
        <w:rPr>
          <w:spacing w:val="-9"/>
        </w:rPr>
        <w:t> </w:t>
      </w:r>
      <w:r>
        <w:rPr/>
        <w:t>show</w:t>
      </w:r>
      <w:r>
        <w:rPr>
          <w:spacing w:val="-10"/>
        </w:rPr>
        <w:t> </w:t>
      </w:r>
      <w:r>
        <w:rPr/>
        <w:t>that</w:t>
      </w:r>
      <w:r>
        <w:rPr>
          <w:spacing w:val="-9"/>
        </w:rPr>
        <w:t> </w:t>
      </w:r>
      <w:r>
        <w:rPr/>
        <w:t>these</w:t>
      </w:r>
      <w:r>
        <w:rPr>
          <w:spacing w:val="-8"/>
        </w:rPr>
        <w:t> </w:t>
      </w:r>
      <w:r>
        <w:rPr/>
        <w:t>incentive</w:t>
      </w:r>
      <w:r>
        <w:rPr>
          <w:spacing w:val="-9"/>
        </w:rPr>
        <w:t> </w:t>
      </w:r>
      <w:r>
        <w:rPr/>
        <w:t>effects</w:t>
      </w:r>
      <w:r>
        <w:rPr>
          <w:spacing w:val="-8"/>
        </w:rPr>
        <w:t> </w:t>
      </w:r>
      <w:r>
        <w:rPr/>
        <w:t>are</w:t>
      </w:r>
      <w:r>
        <w:rPr>
          <w:spacing w:val="-9"/>
        </w:rPr>
        <w:t> </w:t>
      </w:r>
      <w:r>
        <w:rPr/>
        <w:t>very</w:t>
      </w:r>
      <w:r>
        <w:rPr>
          <w:spacing w:val="-8"/>
        </w:rPr>
        <w:t> </w:t>
      </w:r>
      <w:r>
        <w:rPr/>
        <w:t>serious</w:t>
      </w:r>
      <w:r>
        <w:rPr>
          <w:spacing w:val="-8"/>
        </w:rPr>
        <w:t> </w:t>
      </w:r>
      <w:r>
        <w:rPr/>
        <w:t>if</w:t>
      </w:r>
      <w:r>
        <w:rPr>
          <w:spacing w:val="-8"/>
        </w:rPr>
        <w:t> </w:t>
      </w:r>
      <w:r>
        <w:rPr/>
        <w:t>outsider</w:t>
      </w:r>
      <w:r>
        <w:rPr>
          <w:spacing w:val="-9"/>
        </w:rPr>
        <w:t> </w:t>
      </w:r>
      <w:r>
        <w:rPr/>
        <w:t>providers</w:t>
      </w:r>
      <w:r>
        <w:rPr>
          <w:spacing w:val="-8"/>
        </w:rPr>
        <w:t> </w:t>
      </w:r>
      <w:r>
        <w:rPr/>
        <w:t>of</w:t>
      </w:r>
      <w:r>
        <w:rPr>
          <w:spacing w:val="-10"/>
        </w:rPr>
        <w:t> </w:t>
      </w:r>
      <w:r>
        <w:rPr/>
        <w:t>finance take a share of the upside or downside that is high – say 50% or</w:t>
      </w:r>
      <w:r>
        <w:rPr>
          <w:spacing w:val="-25"/>
        </w:rPr>
        <w:t> </w:t>
      </w:r>
      <w:r>
        <w:rPr/>
        <w:t>more.</w:t>
      </w:r>
    </w:p>
    <w:p>
      <w:pPr>
        <w:pStyle w:val="BodyText"/>
        <w:spacing w:before="7"/>
        <w:rPr>
          <w:sz w:val="27"/>
        </w:rPr>
      </w:pPr>
    </w:p>
    <w:p>
      <w:pPr>
        <w:pStyle w:val="BodyText"/>
        <w:spacing w:line="350" w:lineRule="auto" w:before="1"/>
        <w:ind w:left="226" w:right="957"/>
      </w:pPr>
      <w:r>
        <w:rPr/>
        <w:t>There are also practical issues to do with the timing of people moving house and making sure that home-owners understand contracts they have entered to. And adjusting the ownership shares if</w:t>
      </w:r>
    </w:p>
    <w:p>
      <w:pPr>
        <w:pStyle w:val="BodyText"/>
        <w:spacing w:line="352" w:lineRule="auto" w:before="1"/>
        <w:ind w:left="226" w:right="399"/>
      </w:pPr>
      <w:r>
        <w:rPr/>
        <w:t>homeowners make home improvements (adding bedrooms, converting attics and such) is not in practice trivial. (Shiller and Weiss (2003) discuss the incentive and information issues).</w:t>
      </w:r>
    </w:p>
    <w:p>
      <w:pPr>
        <w:pStyle w:val="BodyText"/>
        <w:spacing w:before="6"/>
        <w:rPr>
          <w:sz w:val="27"/>
        </w:rPr>
      </w:pPr>
    </w:p>
    <w:p>
      <w:pPr>
        <w:pStyle w:val="BodyText"/>
        <w:spacing w:line="350" w:lineRule="auto"/>
        <w:ind w:left="226" w:right="105"/>
      </w:pPr>
      <w:r>
        <w:rPr/>
        <w:t>The incentive and information problems are not side issues. Nonetheless equity type funding of house purchase</w:t>
      </w:r>
      <w:r>
        <w:rPr>
          <w:spacing w:val="-8"/>
        </w:rPr>
        <w:t> </w:t>
      </w:r>
      <w:r>
        <w:rPr/>
        <w:t>has</w:t>
      </w:r>
      <w:r>
        <w:rPr>
          <w:spacing w:val="-5"/>
        </w:rPr>
        <w:t> </w:t>
      </w:r>
      <w:r>
        <w:rPr/>
        <w:t>major</w:t>
      </w:r>
      <w:r>
        <w:rPr>
          <w:spacing w:val="-7"/>
        </w:rPr>
        <w:t> </w:t>
      </w:r>
      <w:r>
        <w:rPr/>
        <w:t>attractions</w:t>
      </w:r>
      <w:r>
        <w:rPr>
          <w:spacing w:val="-6"/>
        </w:rPr>
        <w:t> </w:t>
      </w:r>
      <w:r>
        <w:rPr/>
        <w:t>–</w:t>
      </w:r>
      <w:r>
        <w:rPr>
          <w:spacing w:val="-8"/>
        </w:rPr>
        <w:t> </w:t>
      </w:r>
      <w:r>
        <w:rPr/>
        <w:t>at</w:t>
      </w:r>
      <w:r>
        <w:rPr>
          <w:spacing w:val="-7"/>
        </w:rPr>
        <w:t> </w:t>
      </w:r>
      <w:r>
        <w:rPr/>
        <w:t>both</w:t>
      </w:r>
      <w:r>
        <w:rPr>
          <w:spacing w:val="-8"/>
        </w:rPr>
        <w:t> </w:t>
      </w:r>
      <w:r>
        <w:rPr/>
        <w:t>the</w:t>
      </w:r>
      <w:r>
        <w:rPr>
          <w:spacing w:val="-8"/>
        </w:rPr>
        <w:t> </w:t>
      </w:r>
      <w:r>
        <w:rPr/>
        <w:t>micro</w:t>
      </w:r>
      <w:r>
        <w:rPr>
          <w:spacing w:val="-7"/>
        </w:rPr>
        <w:t> </w:t>
      </w:r>
      <w:r>
        <w:rPr/>
        <w:t>and</w:t>
      </w:r>
      <w:r>
        <w:rPr>
          <w:spacing w:val="-6"/>
        </w:rPr>
        <w:t> </w:t>
      </w:r>
      <w:r>
        <w:rPr/>
        <w:t>macro</w:t>
      </w:r>
      <w:r>
        <w:rPr>
          <w:spacing w:val="-8"/>
        </w:rPr>
        <w:t> </w:t>
      </w:r>
      <w:r>
        <w:rPr/>
        <w:t>level:</w:t>
      </w:r>
      <w:r>
        <w:rPr>
          <w:spacing w:val="-8"/>
        </w:rPr>
        <w:t> </w:t>
      </w:r>
      <w:r>
        <w:rPr/>
        <w:t>at</w:t>
      </w:r>
      <w:r>
        <w:rPr>
          <w:spacing w:val="-7"/>
        </w:rPr>
        <w:t> </w:t>
      </w:r>
      <w:r>
        <w:rPr/>
        <w:t>the</w:t>
      </w:r>
      <w:r>
        <w:rPr>
          <w:spacing w:val="-7"/>
        </w:rPr>
        <w:t> </w:t>
      </w:r>
      <w:r>
        <w:rPr/>
        <w:t>micro</w:t>
      </w:r>
      <w:r>
        <w:rPr>
          <w:spacing w:val="-7"/>
        </w:rPr>
        <w:t> </w:t>
      </w:r>
      <w:r>
        <w:rPr/>
        <w:t>level</w:t>
      </w:r>
      <w:r>
        <w:rPr>
          <w:spacing w:val="-8"/>
        </w:rPr>
        <w:t> </w:t>
      </w:r>
      <w:r>
        <w:rPr/>
        <w:t>they</w:t>
      </w:r>
      <w:r>
        <w:rPr>
          <w:spacing w:val="-7"/>
        </w:rPr>
        <w:t> </w:t>
      </w:r>
      <w:r>
        <w:rPr/>
        <w:t>have</w:t>
      </w:r>
      <w:r>
        <w:rPr>
          <w:spacing w:val="-8"/>
        </w:rPr>
        <w:t> </w:t>
      </w:r>
      <w:r>
        <w:rPr/>
        <w:t>the</w:t>
      </w:r>
      <w:r>
        <w:rPr>
          <w:spacing w:val="-7"/>
        </w:rPr>
        <w:t> </w:t>
      </w:r>
      <w:r>
        <w:rPr/>
        <w:t>potential to</w:t>
      </w:r>
      <w:r>
        <w:rPr>
          <w:spacing w:val="-7"/>
        </w:rPr>
        <w:t> </w:t>
      </w:r>
      <w:r>
        <w:rPr/>
        <w:t>allow</w:t>
      </w:r>
      <w:r>
        <w:rPr>
          <w:spacing w:val="-9"/>
        </w:rPr>
        <w:t> </w:t>
      </w:r>
      <w:r>
        <w:rPr/>
        <w:t>more</w:t>
      </w:r>
      <w:r>
        <w:rPr>
          <w:spacing w:val="-5"/>
        </w:rPr>
        <w:t> </w:t>
      </w:r>
      <w:r>
        <w:rPr/>
        <w:t>efficient</w:t>
      </w:r>
      <w:r>
        <w:rPr>
          <w:spacing w:val="-6"/>
        </w:rPr>
        <w:t> </w:t>
      </w:r>
      <w:r>
        <w:rPr/>
        <w:t>sharing</w:t>
      </w:r>
      <w:r>
        <w:rPr>
          <w:spacing w:val="-7"/>
        </w:rPr>
        <w:t> </w:t>
      </w:r>
      <w:r>
        <w:rPr/>
        <w:t>of</w:t>
      </w:r>
      <w:r>
        <w:rPr>
          <w:spacing w:val="-7"/>
        </w:rPr>
        <w:t> </w:t>
      </w:r>
      <w:r>
        <w:rPr/>
        <w:t>house</w:t>
      </w:r>
      <w:r>
        <w:rPr>
          <w:spacing w:val="-7"/>
        </w:rPr>
        <w:t> </w:t>
      </w:r>
      <w:r>
        <w:rPr/>
        <w:t>price</w:t>
      </w:r>
      <w:r>
        <w:rPr>
          <w:spacing w:val="-8"/>
        </w:rPr>
        <w:t> </w:t>
      </w:r>
      <w:r>
        <w:rPr/>
        <w:t>risk.</w:t>
      </w:r>
      <w:r>
        <w:rPr>
          <w:spacing w:val="41"/>
        </w:rPr>
        <w:t> </w:t>
      </w:r>
      <w:r>
        <w:rPr/>
        <w:t>The</w:t>
      </w:r>
      <w:r>
        <w:rPr>
          <w:spacing w:val="-7"/>
        </w:rPr>
        <w:t> </w:t>
      </w:r>
      <w:r>
        <w:rPr/>
        <w:t>purchase</w:t>
      </w:r>
      <w:r>
        <w:rPr>
          <w:spacing w:val="-7"/>
        </w:rPr>
        <w:t> </w:t>
      </w:r>
      <w:r>
        <w:rPr/>
        <w:t>of</w:t>
      </w:r>
      <w:r>
        <w:rPr>
          <w:spacing w:val="-5"/>
        </w:rPr>
        <w:t> </w:t>
      </w:r>
      <w:r>
        <w:rPr/>
        <w:t>a</w:t>
      </w:r>
      <w:r>
        <w:rPr>
          <w:spacing w:val="-7"/>
        </w:rPr>
        <w:t> </w:t>
      </w:r>
      <w:r>
        <w:rPr/>
        <w:t>very</w:t>
      </w:r>
      <w:r>
        <w:rPr>
          <w:spacing w:val="-7"/>
        </w:rPr>
        <w:t> </w:t>
      </w:r>
      <w:r>
        <w:rPr/>
        <w:t>expensive</w:t>
      </w:r>
      <w:r>
        <w:rPr>
          <w:spacing w:val="-7"/>
        </w:rPr>
        <w:t> </w:t>
      </w:r>
      <w:r>
        <w:rPr/>
        <w:t>asset</w:t>
      </w:r>
      <w:r>
        <w:rPr>
          <w:spacing w:val="-5"/>
        </w:rPr>
        <w:t> </w:t>
      </w:r>
      <w:r>
        <w:rPr/>
        <w:t>by</w:t>
      </w:r>
      <w:r>
        <w:rPr>
          <w:spacing w:val="-6"/>
        </w:rPr>
        <w:t> </w:t>
      </w:r>
      <w:r>
        <w:rPr/>
        <w:t>means</w:t>
      </w:r>
      <w:r>
        <w:rPr>
          <w:spacing w:val="-6"/>
        </w:rPr>
        <w:t> </w:t>
      </w:r>
      <w:r>
        <w:rPr/>
        <w:t>of</w:t>
      </w:r>
      <w:r>
        <w:rPr>
          <w:spacing w:val="-7"/>
        </w:rPr>
        <w:t> </w:t>
      </w:r>
      <w:r>
        <w:rPr/>
        <w:t>high leverage</w:t>
      </w:r>
      <w:r>
        <w:rPr>
          <w:spacing w:val="-7"/>
        </w:rPr>
        <w:t> </w:t>
      </w:r>
      <w:r>
        <w:rPr/>
        <w:t>is</w:t>
      </w:r>
      <w:r>
        <w:rPr>
          <w:spacing w:val="-4"/>
        </w:rPr>
        <w:t> </w:t>
      </w:r>
      <w:r>
        <w:rPr/>
        <w:t>not</w:t>
      </w:r>
      <w:r>
        <w:rPr>
          <w:spacing w:val="-6"/>
        </w:rPr>
        <w:t> </w:t>
      </w:r>
      <w:r>
        <w:rPr/>
        <w:t>–</w:t>
      </w:r>
      <w:r>
        <w:rPr>
          <w:spacing w:val="-5"/>
        </w:rPr>
        <w:t> </w:t>
      </w:r>
      <w:r>
        <w:rPr/>
        <w:t>to</w:t>
      </w:r>
      <w:r>
        <w:rPr>
          <w:spacing w:val="-6"/>
        </w:rPr>
        <w:t> </w:t>
      </w:r>
      <w:r>
        <w:rPr/>
        <w:t>put</w:t>
      </w:r>
      <w:r>
        <w:rPr>
          <w:spacing w:val="-5"/>
        </w:rPr>
        <w:t> </w:t>
      </w:r>
      <w:r>
        <w:rPr/>
        <w:t>it</w:t>
      </w:r>
      <w:r>
        <w:rPr>
          <w:spacing w:val="-6"/>
        </w:rPr>
        <w:t> </w:t>
      </w:r>
      <w:r>
        <w:rPr/>
        <w:t>mildly</w:t>
      </w:r>
      <w:r>
        <w:rPr>
          <w:spacing w:val="-6"/>
        </w:rPr>
        <w:t> </w:t>
      </w:r>
      <w:r>
        <w:rPr/>
        <w:t>–</w:t>
      </w:r>
      <w:r>
        <w:rPr>
          <w:spacing w:val="-6"/>
        </w:rPr>
        <w:t> </w:t>
      </w:r>
      <w:r>
        <w:rPr/>
        <w:t>self</w:t>
      </w:r>
      <w:r>
        <w:rPr>
          <w:spacing w:val="-5"/>
        </w:rPr>
        <w:t> </w:t>
      </w:r>
      <w:r>
        <w:rPr/>
        <w:t>evidently</w:t>
      </w:r>
      <w:r>
        <w:rPr>
          <w:spacing w:val="-6"/>
        </w:rPr>
        <w:t> </w:t>
      </w:r>
      <w:r>
        <w:rPr/>
        <w:t>the</w:t>
      </w:r>
      <w:r>
        <w:rPr>
          <w:spacing w:val="-6"/>
        </w:rPr>
        <w:t> </w:t>
      </w:r>
      <w:r>
        <w:rPr/>
        <w:t>optimal</w:t>
      </w:r>
      <w:r>
        <w:rPr>
          <w:spacing w:val="-7"/>
        </w:rPr>
        <w:t> </w:t>
      </w:r>
      <w:r>
        <w:rPr/>
        <w:t>contract</w:t>
      </w:r>
      <w:r>
        <w:rPr>
          <w:spacing w:val="-6"/>
        </w:rPr>
        <w:t> </w:t>
      </w:r>
      <w:r>
        <w:rPr/>
        <w:t>(Shiller</w:t>
      </w:r>
      <w:r>
        <w:rPr>
          <w:spacing w:val="-6"/>
        </w:rPr>
        <w:t> </w:t>
      </w:r>
      <w:r>
        <w:rPr/>
        <w:t>(1998,</w:t>
      </w:r>
      <w:r>
        <w:rPr>
          <w:spacing w:val="-7"/>
        </w:rPr>
        <w:t> </w:t>
      </w:r>
      <w:r>
        <w:rPr/>
        <w:t>2003)).</w:t>
      </w:r>
      <w:r>
        <w:rPr>
          <w:spacing w:val="40"/>
        </w:rPr>
        <w:t> </w:t>
      </w:r>
      <w:r>
        <w:rPr/>
        <w:t>At</w:t>
      </w:r>
      <w:r>
        <w:rPr>
          <w:spacing w:val="-7"/>
        </w:rPr>
        <w:t> </w:t>
      </w:r>
      <w:r>
        <w:rPr/>
        <w:t>the</w:t>
      </w:r>
      <w:r>
        <w:rPr>
          <w:spacing w:val="-7"/>
        </w:rPr>
        <w:t> </w:t>
      </w:r>
      <w:r>
        <w:rPr/>
        <w:t>macro</w:t>
      </w:r>
      <w:r>
        <w:rPr>
          <w:spacing w:val="-6"/>
        </w:rPr>
        <w:t> </w:t>
      </w:r>
      <w:r>
        <w:rPr/>
        <w:t>level a useful feature of equity loans is that effectively the interest rate paid on the loan is linked to the rate of house price inflation – the higher is house price inflation the higher is the effective interest rate on a portion of the funding of houses. That could be a stabilising</w:t>
      </w:r>
      <w:r>
        <w:rPr>
          <w:spacing w:val="-15"/>
        </w:rPr>
        <w:t> </w:t>
      </w:r>
      <w:r>
        <w:rPr/>
        <w:t>force.</w:t>
      </w:r>
    </w:p>
    <w:p>
      <w:pPr>
        <w:spacing w:after="0" w:line="350" w:lineRule="auto"/>
        <w:sectPr>
          <w:pgSz w:w="12240" w:h="15840"/>
          <w:pgMar w:header="0" w:footer="1240" w:top="1380" w:bottom="1440" w:left="1360" w:right="1480"/>
        </w:sectPr>
      </w:pPr>
    </w:p>
    <w:p>
      <w:pPr>
        <w:pStyle w:val="Heading1"/>
        <w:spacing w:before="74"/>
      </w:pPr>
      <w:r>
        <w:rPr/>
        <w:t>Conclusions</w:t>
      </w:r>
    </w:p>
    <w:p>
      <w:pPr>
        <w:pStyle w:val="BodyText"/>
        <w:rPr>
          <w:b/>
          <w:sz w:val="20"/>
        </w:rPr>
      </w:pPr>
    </w:p>
    <w:p>
      <w:pPr>
        <w:pStyle w:val="BodyText"/>
        <w:spacing w:before="9"/>
        <w:rPr>
          <w:b/>
          <w:sz w:val="16"/>
        </w:rPr>
      </w:pPr>
    </w:p>
    <w:p>
      <w:pPr>
        <w:pStyle w:val="BodyText"/>
        <w:spacing w:line="350" w:lineRule="auto"/>
        <w:ind w:left="226" w:right="100"/>
      </w:pPr>
      <w:r>
        <w:rPr/>
        <w:t>There are problems with greater use of outside equity in funding house purchase. For example, where interest payments on mortgage debt are tax deductible there is an inherent bias against equity financing of house purchase. The moral hazard issues of linking repayments on outside funding to the house value are also serious. Calculations by Shiller and Weiss (2003) suggest that equity loans that represent much more than</w:t>
      </w:r>
      <w:r>
        <w:rPr>
          <w:spacing w:val="-9"/>
        </w:rPr>
        <w:t> </w:t>
      </w:r>
      <w:r>
        <w:rPr/>
        <w:t>20%</w:t>
      </w:r>
      <w:r>
        <w:rPr>
          <w:spacing w:val="-6"/>
        </w:rPr>
        <w:t> </w:t>
      </w:r>
      <w:r>
        <w:rPr/>
        <w:t>of</w:t>
      </w:r>
      <w:r>
        <w:rPr>
          <w:spacing w:val="-7"/>
        </w:rPr>
        <w:t> </w:t>
      </w:r>
      <w:r>
        <w:rPr/>
        <w:t>funding</w:t>
      </w:r>
      <w:r>
        <w:rPr>
          <w:spacing w:val="-7"/>
        </w:rPr>
        <w:t> </w:t>
      </w:r>
      <w:r>
        <w:rPr/>
        <w:t>would</w:t>
      </w:r>
      <w:r>
        <w:rPr>
          <w:spacing w:val="-7"/>
        </w:rPr>
        <w:t> </w:t>
      </w:r>
      <w:r>
        <w:rPr/>
        <w:t>probably</w:t>
      </w:r>
      <w:r>
        <w:rPr>
          <w:spacing w:val="-7"/>
        </w:rPr>
        <w:t> </w:t>
      </w:r>
      <w:r>
        <w:rPr/>
        <w:t>create</w:t>
      </w:r>
      <w:r>
        <w:rPr>
          <w:spacing w:val="-9"/>
        </w:rPr>
        <w:t> </w:t>
      </w:r>
      <w:r>
        <w:rPr/>
        <w:t>very</w:t>
      </w:r>
      <w:r>
        <w:rPr>
          <w:spacing w:val="-8"/>
        </w:rPr>
        <w:t> </w:t>
      </w:r>
      <w:r>
        <w:rPr/>
        <w:t>poor</w:t>
      </w:r>
      <w:r>
        <w:rPr>
          <w:spacing w:val="-8"/>
        </w:rPr>
        <w:t> </w:t>
      </w:r>
      <w:r>
        <w:rPr/>
        <w:t>incentives</w:t>
      </w:r>
      <w:r>
        <w:rPr>
          <w:spacing w:val="-7"/>
        </w:rPr>
        <w:t> </w:t>
      </w:r>
      <w:r>
        <w:rPr/>
        <w:t>for</w:t>
      </w:r>
      <w:r>
        <w:rPr>
          <w:spacing w:val="-8"/>
        </w:rPr>
        <w:t> </w:t>
      </w:r>
      <w:r>
        <w:rPr/>
        <w:t>home</w:t>
      </w:r>
      <w:r>
        <w:rPr>
          <w:spacing w:val="-9"/>
        </w:rPr>
        <w:t> </w:t>
      </w:r>
      <w:r>
        <w:rPr/>
        <w:t>owners</w:t>
      </w:r>
      <w:r>
        <w:rPr>
          <w:spacing w:val="-8"/>
        </w:rPr>
        <w:t> </w:t>
      </w:r>
      <w:r>
        <w:rPr/>
        <w:t>since</w:t>
      </w:r>
      <w:r>
        <w:rPr>
          <w:spacing w:val="-8"/>
        </w:rPr>
        <w:t> </w:t>
      </w:r>
      <w:r>
        <w:rPr/>
        <w:t>outsiders</w:t>
      </w:r>
      <w:r>
        <w:rPr>
          <w:spacing w:val="-7"/>
        </w:rPr>
        <w:t> </w:t>
      </w:r>
      <w:r>
        <w:rPr/>
        <w:t>might</w:t>
      </w:r>
      <w:r>
        <w:rPr>
          <w:spacing w:val="-8"/>
        </w:rPr>
        <w:t> </w:t>
      </w:r>
      <w:r>
        <w:rPr/>
        <w:t>then need to take the majority of capital gains or losses. But switching even 20% of funding from debt to outside equity very substantially reduces leverage – from 10 to 3 1/3 for a home owner that provides 10% of equity themselves. And greater use of such funding does get to the heart of many recent housing market problems which stem from very high leverage in house purchase, particularly for new buyers. Someone who took out a</w:t>
      </w:r>
      <w:r>
        <w:rPr>
          <w:spacing w:val="-9"/>
        </w:rPr>
        <w:t> </w:t>
      </w:r>
      <w:r>
        <w:rPr/>
        <w:t>90%</w:t>
      </w:r>
      <w:r>
        <w:rPr>
          <w:spacing w:val="-8"/>
        </w:rPr>
        <w:t> </w:t>
      </w:r>
      <w:r>
        <w:rPr/>
        <w:t>LTV</w:t>
      </w:r>
      <w:r>
        <w:rPr>
          <w:spacing w:val="-6"/>
        </w:rPr>
        <w:t> </w:t>
      </w:r>
      <w:r>
        <w:rPr/>
        <w:t>ratio</w:t>
      </w:r>
      <w:r>
        <w:rPr>
          <w:spacing w:val="-8"/>
        </w:rPr>
        <w:t> </w:t>
      </w:r>
      <w:r>
        <w:rPr/>
        <w:t>non-amortising</w:t>
      </w:r>
      <w:r>
        <w:rPr>
          <w:spacing w:val="-8"/>
        </w:rPr>
        <w:t> </w:t>
      </w:r>
      <w:r>
        <w:rPr/>
        <w:t>(interest</w:t>
      </w:r>
      <w:r>
        <w:rPr>
          <w:spacing w:val="-9"/>
        </w:rPr>
        <w:t> </w:t>
      </w:r>
      <w:r>
        <w:rPr/>
        <w:t>only)</w:t>
      </w:r>
      <w:r>
        <w:rPr>
          <w:spacing w:val="-8"/>
        </w:rPr>
        <w:t> </w:t>
      </w:r>
      <w:r>
        <w:rPr/>
        <w:t>mortgage</w:t>
      </w:r>
      <w:r>
        <w:rPr>
          <w:spacing w:val="-7"/>
        </w:rPr>
        <w:t> </w:t>
      </w:r>
      <w:r>
        <w:rPr/>
        <w:t>will</w:t>
      </w:r>
      <w:r>
        <w:rPr>
          <w:spacing w:val="-8"/>
        </w:rPr>
        <w:t> </w:t>
      </w:r>
      <w:r>
        <w:rPr/>
        <w:t>have</w:t>
      </w:r>
      <w:r>
        <w:rPr>
          <w:spacing w:val="-9"/>
        </w:rPr>
        <w:t> </w:t>
      </w:r>
      <w:r>
        <w:rPr/>
        <w:t>negative</w:t>
      </w:r>
      <w:r>
        <w:rPr>
          <w:spacing w:val="-8"/>
        </w:rPr>
        <w:t> </w:t>
      </w:r>
      <w:r>
        <w:rPr/>
        <w:t>equity</w:t>
      </w:r>
      <w:r>
        <w:rPr>
          <w:spacing w:val="-8"/>
        </w:rPr>
        <w:t> </w:t>
      </w:r>
      <w:r>
        <w:rPr/>
        <w:t>if</w:t>
      </w:r>
      <w:r>
        <w:rPr>
          <w:spacing w:val="-8"/>
        </w:rPr>
        <w:t> </w:t>
      </w:r>
      <w:r>
        <w:rPr/>
        <w:t>house</w:t>
      </w:r>
      <w:r>
        <w:rPr>
          <w:spacing w:val="-8"/>
        </w:rPr>
        <w:t> </w:t>
      </w:r>
      <w:r>
        <w:rPr/>
        <w:t>prices</w:t>
      </w:r>
      <w:r>
        <w:rPr>
          <w:spacing w:val="-9"/>
        </w:rPr>
        <w:t> </w:t>
      </w:r>
      <w:r>
        <w:rPr/>
        <w:t>fall</w:t>
      </w:r>
      <w:r>
        <w:rPr>
          <w:spacing w:val="-8"/>
        </w:rPr>
        <w:t> </w:t>
      </w:r>
      <w:r>
        <w:rPr/>
        <w:t>by</w:t>
      </w:r>
      <w:r>
        <w:rPr>
          <w:spacing w:val="-8"/>
        </w:rPr>
        <w:t> </w:t>
      </w:r>
      <w:r>
        <w:rPr/>
        <w:t>10%. At the end of a 5 year horizon – with a mean rate of price rise of 15% and a standard deviation of 20% – the chances of negative equity using the log price model used above is then about 10%. If the home owner took a 70% mortgage, had 20% of funding from an equity loan (sharing 20% of any downside loss) and used the saving on interest payments to pay down the loan then the balance at the end of five years would be around 64%</w:t>
      </w:r>
      <w:r>
        <w:rPr>
          <w:spacing w:val="-4"/>
        </w:rPr>
        <w:t> </w:t>
      </w:r>
      <w:r>
        <w:rPr/>
        <w:t>of</w:t>
      </w:r>
      <w:r>
        <w:rPr>
          <w:spacing w:val="-4"/>
        </w:rPr>
        <w:t> </w:t>
      </w:r>
      <w:r>
        <w:rPr/>
        <w:t>the</w:t>
      </w:r>
      <w:r>
        <w:rPr>
          <w:spacing w:val="-5"/>
        </w:rPr>
        <w:t> </w:t>
      </w:r>
      <w:r>
        <w:rPr/>
        <w:t>loan</w:t>
      </w:r>
      <w:r>
        <w:rPr>
          <w:spacing w:val="-5"/>
        </w:rPr>
        <w:t> </w:t>
      </w:r>
      <w:r>
        <w:rPr/>
        <w:t>(at</w:t>
      </w:r>
      <w:r>
        <w:rPr>
          <w:spacing w:val="-4"/>
        </w:rPr>
        <w:t> </w:t>
      </w:r>
      <w:r>
        <w:rPr/>
        <w:t>an</w:t>
      </w:r>
      <w:r>
        <w:rPr>
          <w:spacing w:val="-5"/>
        </w:rPr>
        <w:t> </w:t>
      </w:r>
      <w:r>
        <w:rPr/>
        <w:t>interest</w:t>
      </w:r>
      <w:r>
        <w:rPr>
          <w:spacing w:val="-4"/>
        </w:rPr>
        <w:t> </w:t>
      </w:r>
      <w:r>
        <w:rPr/>
        <w:t>rate</w:t>
      </w:r>
      <w:r>
        <w:rPr>
          <w:spacing w:val="-4"/>
        </w:rPr>
        <w:t> </w:t>
      </w:r>
      <w:r>
        <w:rPr/>
        <w:t>of</w:t>
      </w:r>
      <w:r>
        <w:rPr>
          <w:spacing w:val="-5"/>
        </w:rPr>
        <w:t> </w:t>
      </w:r>
      <w:r>
        <w:rPr/>
        <w:t>5%).</w:t>
      </w:r>
      <w:r>
        <w:rPr>
          <w:spacing w:val="43"/>
        </w:rPr>
        <w:t> </w:t>
      </w:r>
      <w:r>
        <w:rPr/>
        <w:t>It</w:t>
      </w:r>
      <w:r>
        <w:rPr>
          <w:spacing w:val="-5"/>
        </w:rPr>
        <w:t> </w:t>
      </w:r>
      <w:r>
        <w:rPr/>
        <w:t>would</w:t>
      </w:r>
      <w:r>
        <w:rPr>
          <w:spacing w:val="-5"/>
        </w:rPr>
        <w:t> </w:t>
      </w:r>
      <w:r>
        <w:rPr/>
        <w:t>now</w:t>
      </w:r>
      <w:r>
        <w:rPr>
          <w:spacing w:val="-7"/>
        </w:rPr>
        <w:t> </w:t>
      </w:r>
      <w:r>
        <w:rPr/>
        <w:t>take</w:t>
      </w:r>
      <w:r>
        <w:rPr>
          <w:spacing w:val="-7"/>
        </w:rPr>
        <w:t> </w:t>
      </w:r>
      <w:r>
        <w:rPr/>
        <w:t>a</w:t>
      </w:r>
      <w:r>
        <w:rPr>
          <w:spacing w:val="-5"/>
        </w:rPr>
        <w:t> </w:t>
      </w:r>
      <w:r>
        <w:rPr/>
        <w:t>fall</w:t>
      </w:r>
      <w:r>
        <w:rPr>
          <w:spacing w:val="-5"/>
        </w:rPr>
        <w:t> </w:t>
      </w:r>
      <w:r>
        <w:rPr/>
        <w:t>in</w:t>
      </w:r>
      <w:r>
        <w:rPr>
          <w:spacing w:val="-7"/>
        </w:rPr>
        <w:t> </w:t>
      </w:r>
      <w:r>
        <w:rPr/>
        <w:t>house</w:t>
      </w:r>
      <w:r>
        <w:rPr>
          <w:spacing w:val="-5"/>
        </w:rPr>
        <w:t> </w:t>
      </w:r>
      <w:r>
        <w:rPr/>
        <w:t>prices</w:t>
      </w:r>
      <w:r>
        <w:rPr>
          <w:spacing w:val="-4"/>
        </w:rPr>
        <w:t> </w:t>
      </w:r>
      <w:r>
        <w:rPr/>
        <w:t>of</w:t>
      </w:r>
      <w:r>
        <w:rPr>
          <w:spacing w:val="-4"/>
        </w:rPr>
        <w:t> </w:t>
      </w:r>
      <w:r>
        <w:rPr/>
        <w:t>20%</w:t>
      </w:r>
      <w:r>
        <w:rPr>
          <w:spacing w:val="-6"/>
        </w:rPr>
        <w:t> </w:t>
      </w:r>
      <w:r>
        <w:rPr/>
        <w:t>to</w:t>
      </w:r>
      <w:r>
        <w:rPr>
          <w:spacing w:val="-7"/>
        </w:rPr>
        <w:t> </w:t>
      </w:r>
      <w:r>
        <w:rPr/>
        <w:t>create</w:t>
      </w:r>
      <w:r>
        <w:rPr>
          <w:spacing w:val="-5"/>
        </w:rPr>
        <w:t> </w:t>
      </w:r>
      <w:r>
        <w:rPr/>
        <w:t>negative equity. If the house fell in value to 80 (from an initial 100) the equity loan of 20 would have a repayment value of 16 which, together with the debt of 64, would just equal the home value of 80. The chances of such a fall in price are just under</w:t>
      </w:r>
      <w:r>
        <w:rPr>
          <w:spacing w:val="-7"/>
        </w:rPr>
        <w:t> </w:t>
      </w:r>
      <w:r>
        <w:rPr/>
        <w:t>4%.</w:t>
      </w:r>
    </w:p>
    <w:p>
      <w:pPr>
        <w:pStyle w:val="BodyText"/>
        <w:spacing w:before="1"/>
        <w:rPr>
          <w:sz w:val="29"/>
        </w:rPr>
      </w:pPr>
    </w:p>
    <w:p>
      <w:pPr>
        <w:pStyle w:val="BodyText"/>
        <w:spacing w:line="352" w:lineRule="auto" w:before="1"/>
        <w:ind w:left="226" w:right="105"/>
      </w:pPr>
      <w:r>
        <w:rPr/>
        <w:t>In the US, 14.5% of mortgaged homes are estimated to have been in negative equity in the first half of 2013.</w:t>
      </w:r>
      <w:r>
        <w:rPr>
          <w:vertAlign w:val="superscript"/>
        </w:rPr>
        <w:t>8</w:t>
      </w:r>
      <w:r>
        <w:rPr>
          <w:spacing w:val="-8"/>
          <w:vertAlign w:val="baseline"/>
        </w:rPr>
        <w:t> </w:t>
      </w:r>
      <w:r>
        <w:rPr>
          <w:vertAlign w:val="baseline"/>
        </w:rPr>
        <w:t>(This</w:t>
      </w:r>
      <w:r>
        <w:rPr>
          <w:spacing w:val="-7"/>
          <w:vertAlign w:val="baseline"/>
        </w:rPr>
        <w:t> </w:t>
      </w:r>
      <w:r>
        <w:rPr>
          <w:vertAlign w:val="baseline"/>
        </w:rPr>
        <w:t>is</w:t>
      </w:r>
      <w:r>
        <w:rPr>
          <w:spacing w:val="-7"/>
          <w:vertAlign w:val="baseline"/>
        </w:rPr>
        <w:t> </w:t>
      </w:r>
      <w:r>
        <w:rPr>
          <w:vertAlign w:val="baseline"/>
        </w:rPr>
        <w:t>already</w:t>
      </w:r>
      <w:r>
        <w:rPr>
          <w:spacing w:val="-7"/>
          <w:vertAlign w:val="baseline"/>
        </w:rPr>
        <w:t> </w:t>
      </w:r>
      <w:r>
        <w:rPr>
          <w:vertAlign w:val="baseline"/>
        </w:rPr>
        <w:t>a</w:t>
      </w:r>
      <w:r>
        <w:rPr>
          <w:spacing w:val="-10"/>
          <w:vertAlign w:val="baseline"/>
        </w:rPr>
        <w:t> </w:t>
      </w:r>
      <w:r>
        <w:rPr>
          <w:vertAlign w:val="baseline"/>
        </w:rPr>
        <w:t>substantial</w:t>
      </w:r>
      <w:r>
        <w:rPr>
          <w:spacing w:val="-9"/>
          <w:vertAlign w:val="baseline"/>
        </w:rPr>
        <w:t> </w:t>
      </w:r>
      <w:r>
        <w:rPr>
          <w:vertAlign w:val="baseline"/>
        </w:rPr>
        <w:t>improvement</w:t>
      </w:r>
      <w:r>
        <w:rPr>
          <w:spacing w:val="-7"/>
          <w:vertAlign w:val="baseline"/>
        </w:rPr>
        <w:t> </w:t>
      </w:r>
      <w:r>
        <w:rPr>
          <w:vertAlign w:val="baseline"/>
        </w:rPr>
        <w:t>from</w:t>
      </w:r>
      <w:r>
        <w:rPr>
          <w:spacing w:val="-8"/>
          <w:vertAlign w:val="baseline"/>
        </w:rPr>
        <w:t> </w:t>
      </w:r>
      <w:r>
        <w:rPr>
          <w:vertAlign w:val="baseline"/>
        </w:rPr>
        <w:t>2012,</w:t>
      </w:r>
      <w:r>
        <w:rPr>
          <w:spacing w:val="-6"/>
          <w:vertAlign w:val="baseline"/>
        </w:rPr>
        <w:t> </w:t>
      </w:r>
      <w:r>
        <w:rPr>
          <w:vertAlign w:val="baseline"/>
        </w:rPr>
        <w:t>where</w:t>
      </w:r>
      <w:r>
        <w:rPr>
          <w:spacing w:val="-9"/>
          <w:vertAlign w:val="baseline"/>
        </w:rPr>
        <w:t> </w:t>
      </w:r>
      <w:r>
        <w:rPr>
          <w:vertAlign w:val="baseline"/>
        </w:rPr>
        <w:t>over</w:t>
      </w:r>
      <w:r>
        <w:rPr>
          <w:spacing w:val="-8"/>
          <w:vertAlign w:val="baseline"/>
        </w:rPr>
        <w:t> </w:t>
      </w:r>
      <w:r>
        <w:rPr>
          <w:vertAlign w:val="baseline"/>
        </w:rPr>
        <w:t>20%</w:t>
      </w:r>
      <w:r>
        <w:rPr>
          <w:spacing w:val="-7"/>
          <w:vertAlign w:val="baseline"/>
        </w:rPr>
        <w:t> </w:t>
      </w:r>
      <w:r>
        <w:rPr>
          <w:vertAlign w:val="baseline"/>
        </w:rPr>
        <w:t>of</w:t>
      </w:r>
      <w:r>
        <w:rPr>
          <w:spacing w:val="-8"/>
          <w:vertAlign w:val="baseline"/>
        </w:rPr>
        <w:t> </w:t>
      </w:r>
      <w:r>
        <w:rPr>
          <w:vertAlign w:val="baseline"/>
        </w:rPr>
        <w:t>mortgages</w:t>
      </w:r>
      <w:r>
        <w:rPr>
          <w:spacing w:val="-7"/>
          <w:vertAlign w:val="baseline"/>
        </w:rPr>
        <w:t> </w:t>
      </w:r>
      <w:r>
        <w:rPr>
          <w:vertAlign w:val="baseline"/>
        </w:rPr>
        <w:t>were</w:t>
      </w:r>
      <w:r>
        <w:rPr>
          <w:spacing w:val="-10"/>
          <w:vertAlign w:val="baseline"/>
        </w:rPr>
        <w:t> </w:t>
      </w:r>
      <w:r>
        <w:rPr>
          <w:vertAlign w:val="baseline"/>
        </w:rPr>
        <w:t>probably</w:t>
      </w:r>
      <w:r>
        <w:rPr>
          <w:spacing w:val="-9"/>
          <w:vertAlign w:val="baseline"/>
        </w:rPr>
        <w:t> </w:t>
      </w:r>
      <w:r>
        <w:rPr>
          <w:vertAlign w:val="baseline"/>
        </w:rPr>
        <w:t>in negative equity.) Had 20% of funding for these properties come from outside equity, debt might have exceeded house values in slightly less than 10% of mortgaged homes – a fall of one third in the numbers with negative equity</w:t>
      </w:r>
      <w:r>
        <w:rPr>
          <w:vertAlign w:val="superscript"/>
        </w:rPr>
        <w:t>9</w:t>
      </w:r>
      <w:r>
        <w:rPr>
          <w:vertAlign w:val="baseline"/>
        </w:rPr>
        <w:t>. Fewer people would have had incentives to walk away from debt. Mortgage servicing costs</w:t>
      </w:r>
      <w:r>
        <w:rPr>
          <w:spacing w:val="-5"/>
          <w:vertAlign w:val="baseline"/>
        </w:rPr>
        <w:t> </w:t>
      </w:r>
      <w:r>
        <w:rPr>
          <w:vertAlign w:val="baseline"/>
        </w:rPr>
        <w:t>would</w:t>
      </w:r>
      <w:r>
        <w:rPr>
          <w:spacing w:val="-5"/>
          <w:vertAlign w:val="baseline"/>
        </w:rPr>
        <w:t> </w:t>
      </w:r>
      <w:r>
        <w:rPr>
          <w:vertAlign w:val="baseline"/>
        </w:rPr>
        <w:t>have</w:t>
      </w:r>
      <w:r>
        <w:rPr>
          <w:spacing w:val="-5"/>
          <w:vertAlign w:val="baseline"/>
        </w:rPr>
        <w:t> </w:t>
      </w:r>
      <w:r>
        <w:rPr>
          <w:vertAlign w:val="baseline"/>
        </w:rPr>
        <w:t>been</w:t>
      </w:r>
      <w:r>
        <w:rPr>
          <w:spacing w:val="-5"/>
          <w:vertAlign w:val="baseline"/>
        </w:rPr>
        <w:t> </w:t>
      </w:r>
      <w:r>
        <w:rPr>
          <w:vertAlign w:val="baseline"/>
        </w:rPr>
        <w:t>lower</w:t>
      </w:r>
      <w:r>
        <w:rPr>
          <w:spacing w:val="-5"/>
          <w:vertAlign w:val="baseline"/>
        </w:rPr>
        <w:t> </w:t>
      </w:r>
      <w:r>
        <w:rPr>
          <w:vertAlign w:val="baseline"/>
        </w:rPr>
        <w:t>as</w:t>
      </w:r>
      <w:r>
        <w:rPr>
          <w:spacing w:val="-4"/>
          <w:vertAlign w:val="baseline"/>
        </w:rPr>
        <w:t> </w:t>
      </w:r>
      <w:r>
        <w:rPr>
          <w:vertAlign w:val="baseline"/>
        </w:rPr>
        <w:t>mortgage</w:t>
      </w:r>
      <w:r>
        <w:rPr>
          <w:spacing w:val="-5"/>
          <w:vertAlign w:val="baseline"/>
        </w:rPr>
        <w:t> </w:t>
      </w:r>
      <w:r>
        <w:rPr>
          <w:vertAlign w:val="baseline"/>
        </w:rPr>
        <w:t>loans</w:t>
      </w:r>
      <w:r>
        <w:rPr>
          <w:spacing w:val="-3"/>
          <w:vertAlign w:val="baseline"/>
        </w:rPr>
        <w:t> </w:t>
      </w:r>
      <w:r>
        <w:rPr>
          <w:vertAlign w:val="baseline"/>
        </w:rPr>
        <w:t>would</w:t>
      </w:r>
      <w:r>
        <w:rPr>
          <w:spacing w:val="-6"/>
          <w:vertAlign w:val="baseline"/>
        </w:rPr>
        <w:t> </w:t>
      </w:r>
      <w:r>
        <w:rPr>
          <w:vertAlign w:val="baseline"/>
        </w:rPr>
        <w:t>have</w:t>
      </w:r>
      <w:r>
        <w:rPr>
          <w:spacing w:val="-5"/>
          <w:vertAlign w:val="baseline"/>
        </w:rPr>
        <w:t> </w:t>
      </w:r>
      <w:r>
        <w:rPr>
          <w:vertAlign w:val="baseline"/>
        </w:rPr>
        <w:t>been</w:t>
      </w:r>
      <w:r>
        <w:rPr>
          <w:spacing w:val="-5"/>
          <w:vertAlign w:val="baseline"/>
        </w:rPr>
        <w:t> </w:t>
      </w:r>
      <w:r>
        <w:rPr>
          <w:vertAlign w:val="baseline"/>
        </w:rPr>
        <w:t>smaller</w:t>
      </w:r>
      <w:r>
        <w:rPr>
          <w:spacing w:val="-5"/>
          <w:vertAlign w:val="baseline"/>
        </w:rPr>
        <w:t> </w:t>
      </w:r>
      <w:r>
        <w:rPr>
          <w:vertAlign w:val="baseline"/>
        </w:rPr>
        <w:t>and</w:t>
      </w:r>
      <w:r>
        <w:rPr>
          <w:spacing w:val="-5"/>
          <w:vertAlign w:val="baseline"/>
        </w:rPr>
        <w:t> </w:t>
      </w:r>
      <w:r>
        <w:rPr>
          <w:vertAlign w:val="baseline"/>
        </w:rPr>
        <w:t>rates</w:t>
      </w:r>
      <w:r>
        <w:rPr>
          <w:spacing w:val="-4"/>
          <w:vertAlign w:val="baseline"/>
        </w:rPr>
        <w:t> </w:t>
      </w:r>
      <w:r>
        <w:rPr>
          <w:vertAlign w:val="baseline"/>
        </w:rPr>
        <w:t>charged</w:t>
      </w:r>
      <w:r>
        <w:rPr>
          <w:spacing w:val="-5"/>
          <w:vertAlign w:val="baseline"/>
        </w:rPr>
        <w:t> </w:t>
      </w:r>
      <w:r>
        <w:rPr>
          <w:vertAlign w:val="baseline"/>
        </w:rPr>
        <w:t>on</w:t>
      </w:r>
      <w:r>
        <w:rPr>
          <w:spacing w:val="-6"/>
          <w:vertAlign w:val="baseline"/>
        </w:rPr>
        <w:t> </w:t>
      </w:r>
      <w:r>
        <w:rPr>
          <w:vertAlign w:val="baseline"/>
        </w:rPr>
        <w:t>them</w:t>
      </w:r>
    </w:p>
    <w:p>
      <w:pPr>
        <w:pStyle w:val="BodyText"/>
        <w:spacing w:line="350" w:lineRule="auto"/>
        <w:ind w:left="226" w:right="105"/>
      </w:pPr>
      <w:r>
        <w:rPr/>
        <w:t>lower. As a result, foreclosures would have been less prevalent. Losses would have been born less by highly</w:t>
      </w:r>
      <w:r>
        <w:rPr>
          <w:spacing w:val="-7"/>
        </w:rPr>
        <w:t> </w:t>
      </w:r>
      <w:r>
        <w:rPr/>
        <w:t>levered</w:t>
      </w:r>
      <w:r>
        <w:rPr>
          <w:spacing w:val="-9"/>
        </w:rPr>
        <w:t> </w:t>
      </w:r>
      <w:r>
        <w:rPr/>
        <w:t>banks,</w:t>
      </w:r>
      <w:r>
        <w:rPr>
          <w:spacing w:val="-7"/>
        </w:rPr>
        <w:t> </w:t>
      </w:r>
      <w:r>
        <w:rPr/>
        <w:t>and</w:t>
      </w:r>
      <w:r>
        <w:rPr>
          <w:spacing w:val="-8"/>
        </w:rPr>
        <w:t> </w:t>
      </w:r>
      <w:r>
        <w:rPr/>
        <w:t>more</w:t>
      </w:r>
      <w:r>
        <w:rPr>
          <w:spacing w:val="-8"/>
        </w:rPr>
        <w:t> </w:t>
      </w:r>
      <w:r>
        <w:rPr/>
        <w:t>by</w:t>
      </w:r>
      <w:r>
        <w:rPr>
          <w:spacing w:val="-8"/>
        </w:rPr>
        <w:t> </w:t>
      </w:r>
      <w:r>
        <w:rPr/>
        <w:t>less</w:t>
      </w:r>
      <w:r>
        <w:rPr>
          <w:spacing w:val="-8"/>
        </w:rPr>
        <w:t> </w:t>
      </w:r>
      <w:r>
        <w:rPr/>
        <w:t>levered</w:t>
      </w:r>
      <w:r>
        <w:rPr>
          <w:spacing w:val="-8"/>
        </w:rPr>
        <w:t> </w:t>
      </w:r>
      <w:r>
        <w:rPr/>
        <w:t>providers</w:t>
      </w:r>
      <w:r>
        <w:rPr>
          <w:spacing w:val="-7"/>
        </w:rPr>
        <w:t> </w:t>
      </w:r>
      <w:r>
        <w:rPr/>
        <w:t>of</w:t>
      </w:r>
      <w:r>
        <w:rPr>
          <w:spacing w:val="-8"/>
        </w:rPr>
        <w:t> </w:t>
      </w:r>
      <w:r>
        <w:rPr/>
        <w:t>outside</w:t>
      </w:r>
      <w:r>
        <w:rPr>
          <w:spacing w:val="-7"/>
        </w:rPr>
        <w:t> </w:t>
      </w:r>
      <w:r>
        <w:rPr/>
        <w:t>equity.</w:t>
      </w:r>
      <w:r>
        <w:rPr>
          <w:spacing w:val="37"/>
        </w:rPr>
        <w:t> </w:t>
      </w:r>
      <w:r>
        <w:rPr/>
        <w:t>The</w:t>
      </w:r>
      <w:r>
        <w:rPr>
          <w:spacing w:val="-7"/>
        </w:rPr>
        <w:t> </w:t>
      </w:r>
      <w:r>
        <w:rPr/>
        <w:t>Great</w:t>
      </w:r>
      <w:r>
        <w:rPr>
          <w:spacing w:val="-8"/>
        </w:rPr>
        <w:t> </w:t>
      </w:r>
      <w:r>
        <w:rPr/>
        <w:t>Recession</w:t>
      </w:r>
      <w:r>
        <w:rPr>
          <w:spacing w:val="-8"/>
        </w:rPr>
        <w:t> </w:t>
      </w:r>
      <w:r>
        <w:rPr/>
        <w:t>could</w:t>
      </w:r>
      <w:r>
        <w:rPr>
          <w:spacing w:val="-7"/>
        </w:rPr>
        <w:t> </w:t>
      </w:r>
      <w:r>
        <w:rPr/>
        <w:t>have been less</w:t>
      </w:r>
      <w:r>
        <w:rPr>
          <w:spacing w:val="-4"/>
        </w:rPr>
        <w:t> </w:t>
      </w:r>
      <w:r>
        <w:rPr/>
        <w:t>severe.</w:t>
      </w:r>
    </w:p>
    <w:p>
      <w:pPr>
        <w:pStyle w:val="BodyText"/>
        <w:spacing w:before="4"/>
        <w:rPr>
          <w:sz w:val="27"/>
        </w:rPr>
      </w:pPr>
    </w:p>
    <w:p>
      <w:pPr>
        <w:pStyle w:val="BodyText"/>
        <w:spacing w:line="352" w:lineRule="auto"/>
        <w:ind w:left="226" w:right="105"/>
      </w:pPr>
      <w:r>
        <w:rPr/>
        <w:pict>
          <v:shape style="position:absolute;margin-left:79.320pt;margin-top:36.391037pt;width:135.5pt;height:.1pt;mso-position-horizontal-relative:page;mso-position-vertical-relative:paragraph;z-index:-251598848;mso-wrap-distance-left:0;mso-wrap-distance-right:0" coordorigin="1586,728" coordsize="2710,0" path="m1586,728l4296,728e" filled="false" stroked="true" strokeweight=".48001pt" strokecolor="#000000">
            <v:path arrowok="t"/>
            <v:stroke dashstyle="solid"/>
            <w10:wrap type="topAndBottom"/>
          </v:shape>
        </w:pict>
      </w:r>
      <w:r>
        <w:rPr/>
        <w:t>Getting</w:t>
      </w:r>
      <w:r>
        <w:rPr>
          <w:spacing w:val="-8"/>
        </w:rPr>
        <w:t> </w:t>
      </w:r>
      <w:r>
        <w:rPr/>
        <w:t>a</w:t>
      </w:r>
      <w:r>
        <w:rPr>
          <w:spacing w:val="-9"/>
        </w:rPr>
        <w:t> </w:t>
      </w:r>
      <w:r>
        <w:rPr/>
        <w:t>market</w:t>
      </w:r>
      <w:r>
        <w:rPr>
          <w:spacing w:val="-7"/>
        </w:rPr>
        <w:t> </w:t>
      </w:r>
      <w:r>
        <w:rPr/>
        <w:t>in</w:t>
      </w:r>
      <w:r>
        <w:rPr>
          <w:spacing w:val="-8"/>
        </w:rPr>
        <w:t> </w:t>
      </w:r>
      <w:r>
        <w:rPr/>
        <w:t>equity</w:t>
      </w:r>
      <w:r>
        <w:rPr>
          <w:spacing w:val="-7"/>
        </w:rPr>
        <w:t> </w:t>
      </w:r>
      <w:r>
        <w:rPr/>
        <w:t>loans</w:t>
      </w:r>
      <w:r>
        <w:rPr>
          <w:spacing w:val="-6"/>
        </w:rPr>
        <w:t> </w:t>
      </w:r>
      <w:r>
        <w:rPr/>
        <w:t>established</w:t>
      </w:r>
      <w:r>
        <w:rPr>
          <w:spacing w:val="-8"/>
        </w:rPr>
        <w:t> </w:t>
      </w:r>
      <w:r>
        <w:rPr/>
        <w:t>is</w:t>
      </w:r>
      <w:r>
        <w:rPr>
          <w:spacing w:val="-7"/>
        </w:rPr>
        <w:t> </w:t>
      </w:r>
      <w:r>
        <w:rPr/>
        <w:t>not</w:t>
      </w:r>
      <w:r>
        <w:rPr>
          <w:spacing w:val="-5"/>
        </w:rPr>
        <w:t> </w:t>
      </w:r>
      <w:r>
        <w:rPr/>
        <w:t>easy</w:t>
      </w:r>
      <w:r>
        <w:rPr>
          <w:spacing w:val="-8"/>
        </w:rPr>
        <w:t> </w:t>
      </w:r>
      <w:r>
        <w:rPr/>
        <w:t>and</w:t>
      </w:r>
      <w:r>
        <w:rPr>
          <w:spacing w:val="-8"/>
        </w:rPr>
        <w:t> </w:t>
      </w:r>
      <w:r>
        <w:rPr/>
        <w:t>various</w:t>
      </w:r>
      <w:r>
        <w:rPr>
          <w:spacing w:val="-7"/>
        </w:rPr>
        <w:t> </w:t>
      </w:r>
      <w:r>
        <w:rPr/>
        <w:t>shared</w:t>
      </w:r>
      <w:r>
        <w:rPr>
          <w:spacing w:val="-8"/>
        </w:rPr>
        <w:t> </w:t>
      </w:r>
      <w:r>
        <w:rPr/>
        <w:t>equity</w:t>
      </w:r>
      <w:r>
        <w:rPr>
          <w:spacing w:val="-7"/>
        </w:rPr>
        <w:t> </w:t>
      </w:r>
      <w:r>
        <w:rPr/>
        <w:t>products</w:t>
      </w:r>
      <w:r>
        <w:rPr>
          <w:spacing w:val="-8"/>
        </w:rPr>
        <w:t> </w:t>
      </w:r>
      <w:r>
        <w:rPr/>
        <w:t>in</w:t>
      </w:r>
      <w:r>
        <w:rPr>
          <w:spacing w:val="-9"/>
        </w:rPr>
        <w:t> </w:t>
      </w:r>
      <w:r>
        <w:rPr/>
        <w:t>the</w:t>
      </w:r>
      <w:r>
        <w:rPr>
          <w:spacing w:val="-7"/>
        </w:rPr>
        <w:t> </w:t>
      </w:r>
      <w:r>
        <w:rPr/>
        <w:t>past</w:t>
      </w:r>
      <w:r>
        <w:rPr>
          <w:spacing w:val="-6"/>
        </w:rPr>
        <w:t> </w:t>
      </w:r>
      <w:r>
        <w:rPr/>
        <w:t>(most of</w:t>
      </w:r>
      <w:r>
        <w:rPr>
          <w:spacing w:val="-6"/>
        </w:rPr>
        <w:t> </w:t>
      </w:r>
      <w:r>
        <w:rPr/>
        <w:t>which</w:t>
      </w:r>
      <w:r>
        <w:rPr>
          <w:spacing w:val="-6"/>
        </w:rPr>
        <w:t> </w:t>
      </w:r>
      <w:r>
        <w:rPr/>
        <w:t>were</w:t>
      </w:r>
      <w:r>
        <w:rPr>
          <w:spacing w:val="-6"/>
        </w:rPr>
        <w:t> </w:t>
      </w:r>
      <w:r>
        <w:rPr/>
        <w:t>not</w:t>
      </w:r>
      <w:r>
        <w:rPr>
          <w:spacing w:val="-5"/>
        </w:rPr>
        <w:t> </w:t>
      </w:r>
      <w:r>
        <w:rPr/>
        <w:t>equity</w:t>
      </w:r>
      <w:r>
        <w:rPr>
          <w:spacing w:val="-6"/>
        </w:rPr>
        <w:t> </w:t>
      </w:r>
      <w:r>
        <w:rPr/>
        <w:t>loans)</w:t>
      </w:r>
      <w:r>
        <w:rPr>
          <w:spacing w:val="-7"/>
        </w:rPr>
        <w:t> </w:t>
      </w:r>
      <w:r>
        <w:rPr/>
        <w:t>have</w:t>
      </w:r>
      <w:r>
        <w:rPr>
          <w:spacing w:val="-6"/>
        </w:rPr>
        <w:t> </w:t>
      </w:r>
      <w:r>
        <w:rPr/>
        <w:t>a</w:t>
      </w:r>
      <w:r>
        <w:rPr>
          <w:spacing w:val="-7"/>
        </w:rPr>
        <w:t> </w:t>
      </w:r>
      <w:r>
        <w:rPr/>
        <w:t>patchy</w:t>
      </w:r>
      <w:r>
        <w:rPr>
          <w:spacing w:val="-6"/>
        </w:rPr>
        <w:t> </w:t>
      </w:r>
      <w:r>
        <w:rPr/>
        <w:t>success</w:t>
      </w:r>
      <w:r>
        <w:rPr>
          <w:spacing w:val="-5"/>
        </w:rPr>
        <w:t> </w:t>
      </w:r>
      <w:r>
        <w:rPr/>
        <w:t>rate.</w:t>
      </w:r>
      <w:r>
        <w:rPr>
          <w:spacing w:val="39"/>
        </w:rPr>
        <w:t> </w:t>
      </w:r>
      <w:r>
        <w:rPr/>
        <w:t>But</w:t>
      </w:r>
      <w:r>
        <w:rPr>
          <w:spacing w:val="-6"/>
        </w:rPr>
        <w:t> </w:t>
      </w:r>
      <w:r>
        <w:rPr/>
        <w:t>the</w:t>
      </w:r>
      <w:r>
        <w:rPr>
          <w:spacing w:val="-8"/>
        </w:rPr>
        <w:t> </w:t>
      </w:r>
      <w:r>
        <w:rPr/>
        <w:t>recently</w:t>
      </w:r>
      <w:r>
        <w:rPr>
          <w:spacing w:val="-6"/>
        </w:rPr>
        <w:t> </w:t>
      </w:r>
      <w:r>
        <w:rPr/>
        <w:t>launched</w:t>
      </w:r>
      <w:r>
        <w:rPr>
          <w:spacing w:val="-8"/>
        </w:rPr>
        <w:t> </w:t>
      </w:r>
      <w:r>
        <w:rPr/>
        <w:t>equity</w:t>
      </w:r>
      <w:r>
        <w:rPr>
          <w:spacing w:val="-7"/>
        </w:rPr>
        <w:t> </w:t>
      </w:r>
      <w:r>
        <w:rPr/>
        <w:t>loan</w:t>
      </w:r>
      <w:r>
        <w:rPr>
          <w:spacing w:val="-6"/>
        </w:rPr>
        <w:t> </w:t>
      </w:r>
      <w:r>
        <w:rPr/>
        <w:t>product</w:t>
      </w:r>
    </w:p>
    <w:p>
      <w:pPr>
        <w:spacing w:line="185" w:lineRule="exact" w:before="27"/>
        <w:ind w:left="226" w:right="0" w:firstLine="0"/>
        <w:jc w:val="left"/>
        <w:rPr>
          <w:sz w:val="15"/>
        </w:rPr>
      </w:pPr>
      <w:r>
        <w:rPr>
          <w:position w:val="8"/>
          <w:sz w:val="9"/>
        </w:rPr>
        <w:t>8 </w:t>
      </w:r>
      <w:r>
        <w:rPr>
          <w:sz w:val="15"/>
        </w:rPr>
        <w:t>CoreLogic (2013), </w:t>
      </w:r>
      <w:r>
        <w:rPr>
          <w:i/>
          <w:sz w:val="15"/>
        </w:rPr>
        <w:t>Equity Report</w:t>
      </w:r>
      <w:r>
        <w:rPr>
          <w:sz w:val="15"/>
        </w:rPr>
        <w:t>, Q2</w:t>
      </w:r>
    </w:p>
    <w:p>
      <w:pPr>
        <w:spacing w:line="172" w:lineRule="exact" w:before="15"/>
        <w:ind w:left="226" w:right="0" w:firstLine="0"/>
        <w:jc w:val="left"/>
        <w:rPr>
          <w:sz w:val="15"/>
        </w:rPr>
      </w:pPr>
      <w:r>
        <w:rPr>
          <w:position w:val="8"/>
          <w:sz w:val="9"/>
        </w:rPr>
        <w:t>9 </w:t>
      </w:r>
      <w:r>
        <w:rPr>
          <w:sz w:val="15"/>
        </w:rPr>
        <w:t>This is based on the same comparison of pure mortgage debt finance versus combined mortgage debt and equity finance as in the previous paragraph. Based on the Case-Shiller national index, US house prices are down from their peak by about 20%. CoreLogic</w:t>
      </w:r>
    </w:p>
    <w:p>
      <w:pPr>
        <w:spacing w:before="0"/>
        <w:ind w:left="226" w:right="152" w:firstLine="0"/>
        <w:jc w:val="left"/>
        <w:rPr>
          <w:sz w:val="15"/>
        </w:rPr>
      </w:pPr>
      <w:r>
        <w:rPr>
          <w:sz w:val="15"/>
        </w:rPr>
        <w:t>(2013) estimate that this fall left 2.6% of mortgaged residential properties with an LTV ratio between 100% and 105%, and 6.1% with an LTV ratio between 105% and 125% in 2013 Q2. If we assume that those in the latter group were evenly distrusted, then about 2.25% had an LTV between 105 and 112.5. That would mean that about 4.85% (=2.6% + 2.25%) of properties were in negative equity by less than 12.5%, following the 20% drop in house prices. Someone who would have used outside equity to finance 20% of the purchase instead of taking out a 90% LTV ratio mortgage would be in positive equity following a fall in house prices of up to 20%. If house value falls by exactly 20% they would have a LTV ratio of 100% as opposed to a LTV ratio of 112.5% if they had taken out a 90% LTV ratio mortgage. This is the basis for the crude estimate that the proportion of properties in negative equity might have fallen from 14.5% to a bit under 10% had home owners used 20% equity loans.</w:t>
      </w:r>
    </w:p>
    <w:p>
      <w:pPr>
        <w:spacing w:after="0"/>
        <w:jc w:val="left"/>
        <w:rPr>
          <w:sz w:val="15"/>
        </w:rPr>
        <w:sectPr>
          <w:pgSz w:w="12240" w:h="15840"/>
          <w:pgMar w:header="0" w:footer="1240" w:top="1380" w:bottom="1440" w:left="1360" w:right="1480"/>
        </w:sectPr>
      </w:pPr>
    </w:p>
    <w:p>
      <w:pPr>
        <w:pStyle w:val="BodyText"/>
        <w:spacing w:line="352" w:lineRule="auto" w:before="75"/>
        <w:ind w:left="226"/>
      </w:pPr>
      <w:r>
        <w:rPr/>
        <w:t>provided by the UK government for those buying newly built homes (under its Help to Buy scheme) has proved popular. In the first six months of the scheme (April – October 2013) around 15,000 reservations to buy new homes were made, a rate that is around 25% of the level of all newly built homes over that period.</w:t>
      </w:r>
    </w:p>
    <w:p>
      <w:pPr>
        <w:pStyle w:val="BodyText"/>
        <w:spacing w:before="5"/>
        <w:rPr>
          <w:sz w:val="27"/>
        </w:rPr>
      </w:pPr>
    </w:p>
    <w:p>
      <w:pPr>
        <w:pStyle w:val="BodyText"/>
        <w:spacing w:line="352" w:lineRule="auto"/>
        <w:ind w:left="226" w:right="105"/>
      </w:pPr>
      <w:r>
        <w:rPr/>
        <w:t>High leverage is at the heart of problems in housing market. Monetary policy and macro prudential policy can influence leverage. But more fundamentally use of outside equity might be a way of permanently bringing down reliance upon debt financing. Switching just 10% or 20% of funding from debt to outside equity</w:t>
      </w:r>
      <w:r>
        <w:rPr>
          <w:spacing w:val="-9"/>
        </w:rPr>
        <w:t> </w:t>
      </w:r>
      <w:r>
        <w:rPr/>
        <w:t>very</w:t>
      </w:r>
      <w:r>
        <w:rPr>
          <w:spacing w:val="-8"/>
        </w:rPr>
        <w:t> </w:t>
      </w:r>
      <w:r>
        <w:rPr/>
        <w:t>substantially</w:t>
      </w:r>
      <w:r>
        <w:rPr>
          <w:spacing w:val="-7"/>
        </w:rPr>
        <w:t> </w:t>
      </w:r>
      <w:r>
        <w:rPr/>
        <w:t>reduces</w:t>
      </w:r>
      <w:r>
        <w:rPr>
          <w:spacing w:val="-8"/>
        </w:rPr>
        <w:t> </w:t>
      </w:r>
      <w:r>
        <w:rPr/>
        <w:t>leverage.</w:t>
      </w:r>
      <w:r>
        <w:rPr>
          <w:spacing w:val="38"/>
        </w:rPr>
        <w:t> </w:t>
      </w:r>
      <w:r>
        <w:rPr/>
        <w:t>The</w:t>
      </w:r>
      <w:r>
        <w:rPr>
          <w:spacing w:val="-9"/>
        </w:rPr>
        <w:t> </w:t>
      </w:r>
      <w:r>
        <w:rPr/>
        <w:t>moral</w:t>
      </w:r>
      <w:r>
        <w:rPr>
          <w:spacing w:val="-7"/>
        </w:rPr>
        <w:t> </w:t>
      </w:r>
      <w:r>
        <w:rPr/>
        <w:t>hazard</w:t>
      </w:r>
      <w:r>
        <w:rPr>
          <w:spacing w:val="-8"/>
        </w:rPr>
        <w:t> </w:t>
      </w:r>
      <w:r>
        <w:rPr/>
        <w:t>at</w:t>
      </w:r>
      <w:r>
        <w:rPr>
          <w:spacing w:val="-8"/>
        </w:rPr>
        <w:t> </w:t>
      </w:r>
      <w:r>
        <w:rPr/>
        <w:t>that</w:t>
      </w:r>
      <w:r>
        <w:rPr>
          <w:spacing w:val="-7"/>
        </w:rPr>
        <w:t> </w:t>
      </w:r>
      <w:r>
        <w:rPr/>
        <w:t>scale</w:t>
      </w:r>
      <w:r>
        <w:rPr>
          <w:spacing w:val="-8"/>
        </w:rPr>
        <w:t> </w:t>
      </w:r>
      <w:r>
        <w:rPr/>
        <w:t>of</w:t>
      </w:r>
      <w:r>
        <w:rPr>
          <w:spacing w:val="-7"/>
        </w:rPr>
        <w:t> </w:t>
      </w:r>
      <w:r>
        <w:rPr/>
        <w:t>outside</w:t>
      </w:r>
      <w:r>
        <w:rPr>
          <w:spacing w:val="-10"/>
        </w:rPr>
        <w:t> </w:t>
      </w:r>
      <w:r>
        <w:rPr/>
        <w:t>equity</w:t>
      </w:r>
      <w:r>
        <w:rPr>
          <w:spacing w:val="-9"/>
        </w:rPr>
        <w:t> </w:t>
      </w:r>
      <w:r>
        <w:rPr/>
        <w:t>funding</w:t>
      </w:r>
      <w:r>
        <w:rPr>
          <w:spacing w:val="-8"/>
        </w:rPr>
        <w:t> </w:t>
      </w:r>
      <w:r>
        <w:rPr/>
        <w:t>might</w:t>
      </w:r>
      <w:r>
        <w:rPr>
          <w:spacing w:val="-7"/>
        </w:rPr>
        <w:t> </w:t>
      </w:r>
      <w:r>
        <w:rPr/>
        <w:t>be low enough to make such contracts commercially</w:t>
      </w:r>
      <w:r>
        <w:rPr>
          <w:spacing w:val="-11"/>
        </w:rPr>
        <w:t> </w:t>
      </w:r>
      <w:r>
        <w:rPr/>
        <w:t>feasible.</w:t>
      </w:r>
    </w:p>
    <w:p>
      <w:pPr>
        <w:spacing w:after="0" w:line="352" w:lineRule="auto"/>
        <w:sectPr>
          <w:pgSz w:w="12240" w:h="15840"/>
          <w:pgMar w:header="0" w:footer="1240" w:top="1380" w:bottom="1440" w:left="1360" w:right="1480"/>
        </w:sectPr>
      </w:pPr>
    </w:p>
    <w:p>
      <w:pPr>
        <w:spacing w:before="81"/>
        <w:ind w:left="226" w:right="0" w:firstLine="0"/>
        <w:jc w:val="left"/>
        <w:rPr>
          <w:b/>
          <w:sz w:val="22"/>
        </w:rPr>
      </w:pPr>
      <w:r>
        <w:rPr>
          <w:b/>
          <w:w w:val="105"/>
          <w:sz w:val="22"/>
        </w:rPr>
        <w:t>References</w:t>
      </w:r>
    </w:p>
    <w:p>
      <w:pPr>
        <w:pStyle w:val="BodyText"/>
        <w:spacing w:before="5"/>
        <w:rPr>
          <w:b/>
          <w:sz w:val="27"/>
        </w:rPr>
      </w:pPr>
    </w:p>
    <w:p>
      <w:pPr>
        <w:spacing w:before="0"/>
        <w:ind w:left="226" w:right="0" w:hanging="1"/>
        <w:jc w:val="left"/>
        <w:rPr>
          <w:sz w:val="19"/>
        </w:rPr>
      </w:pPr>
      <w:r>
        <w:rPr>
          <w:b/>
          <w:sz w:val="19"/>
        </w:rPr>
        <w:t>Admati,</w:t>
      </w:r>
      <w:r>
        <w:rPr>
          <w:b/>
          <w:spacing w:val="-8"/>
          <w:sz w:val="19"/>
        </w:rPr>
        <w:t> </w:t>
      </w:r>
      <w:r>
        <w:rPr>
          <w:b/>
          <w:sz w:val="19"/>
        </w:rPr>
        <w:t>A.</w:t>
      </w:r>
      <w:r>
        <w:rPr>
          <w:b/>
          <w:spacing w:val="-8"/>
          <w:sz w:val="19"/>
        </w:rPr>
        <w:t> </w:t>
      </w:r>
      <w:r>
        <w:rPr>
          <w:b/>
          <w:sz w:val="19"/>
        </w:rPr>
        <w:t>and</w:t>
      </w:r>
      <w:r>
        <w:rPr>
          <w:b/>
          <w:spacing w:val="-7"/>
          <w:sz w:val="19"/>
        </w:rPr>
        <w:t> </w:t>
      </w:r>
      <w:r>
        <w:rPr>
          <w:b/>
          <w:sz w:val="19"/>
        </w:rPr>
        <w:t>Hellwig,</w:t>
      </w:r>
      <w:r>
        <w:rPr>
          <w:b/>
          <w:spacing w:val="-9"/>
          <w:sz w:val="19"/>
        </w:rPr>
        <w:t> </w:t>
      </w:r>
      <w:r>
        <w:rPr>
          <w:b/>
          <w:sz w:val="19"/>
        </w:rPr>
        <w:t>M.</w:t>
      </w:r>
      <w:r>
        <w:rPr>
          <w:b/>
          <w:spacing w:val="-7"/>
          <w:sz w:val="19"/>
        </w:rPr>
        <w:t> </w:t>
      </w:r>
      <w:r>
        <w:rPr>
          <w:b/>
          <w:sz w:val="19"/>
        </w:rPr>
        <w:t>(2013)</w:t>
      </w:r>
      <w:r>
        <w:rPr>
          <w:sz w:val="19"/>
        </w:rPr>
        <w:t>,</w:t>
      </w:r>
      <w:r>
        <w:rPr>
          <w:spacing w:val="-7"/>
          <w:sz w:val="19"/>
        </w:rPr>
        <w:t> </w:t>
      </w:r>
      <w:r>
        <w:rPr>
          <w:i/>
          <w:sz w:val="19"/>
        </w:rPr>
        <w:t>The</w:t>
      </w:r>
      <w:r>
        <w:rPr>
          <w:i/>
          <w:spacing w:val="-8"/>
          <w:sz w:val="19"/>
        </w:rPr>
        <w:t> </w:t>
      </w:r>
      <w:r>
        <w:rPr>
          <w:i/>
          <w:sz w:val="19"/>
        </w:rPr>
        <w:t>Bankers'</w:t>
      </w:r>
      <w:r>
        <w:rPr>
          <w:i/>
          <w:spacing w:val="-7"/>
          <w:sz w:val="19"/>
        </w:rPr>
        <w:t> </w:t>
      </w:r>
      <w:r>
        <w:rPr>
          <w:i/>
          <w:sz w:val="19"/>
        </w:rPr>
        <w:t>New</w:t>
      </w:r>
      <w:r>
        <w:rPr>
          <w:i/>
          <w:spacing w:val="-8"/>
          <w:sz w:val="19"/>
        </w:rPr>
        <w:t> </w:t>
      </w:r>
      <w:r>
        <w:rPr>
          <w:i/>
          <w:sz w:val="19"/>
        </w:rPr>
        <w:t>Clothes:</w:t>
      </w:r>
      <w:r>
        <w:rPr>
          <w:i/>
          <w:spacing w:val="-7"/>
          <w:sz w:val="19"/>
        </w:rPr>
        <w:t> </w:t>
      </w:r>
      <w:r>
        <w:rPr>
          <w:i/>
          <w:sz w:val="19"/>
        </w:rPr>
        <w:t>What's</w:t>
      </w:r>
      <w:r>
        <w:rPr>
          <w:i/>
          <w:spacing w:val="-8"/>
          <w:sz w:val="19"/>
        </w:rPr>
        <w:t> </w:t>
      </w:r>
      <w:r>
        <w:rPr>
          <w:i/>
          <w:sz w:val="19"/>
        </w:rPr>
        <w:t>Wrong</w:t>
      </w:r>
      <w:r>
        <w:rPr>
          <w:i/>
          <w:spacing w:val="-9"/>
          <w:sz w:val="19"/>
        </w:rPr>
        <w:t> </w:t>
      </w:r>
      <w:r>
        <w:rPr>
          <w:i/>
          <w:sz w:val="19"/>
        </w:rPr>
        <w:t>with</w:t>
      </w:r>
      <w:r>
        <w:rPr>
          <w:i/>
          <w:spacing w:val="-7"/>
          <w:sz w:val="19"/>
        </w:rPr>
        <w:t> </w:t>
      </w:r>
      <w:r>
        <w:rPr>
          <w:i/>
          <w:sz w:val="19"/>
        </w:rPr>
        <w:t>Banking</w:t>
      </w:r>
      <w:r>
        <w:rPr>
          <w:i/>
          <w:spacing w:val="-8"/>
          <w:sz w:val="19"/>
        </w:rPr>
        <w:t> </w:t>
      </w:r>
      <w:r>
        <w:rPr>
          <w:i/>
          <w:sz w:val="19"/>
        </w:rPr>
        <w:t>and</w:t>
      </w:r>
      <w:r>
        <w:rPr>
          <w:i/>
          <w:spacing w:val="-8"/>
          <w:sz w:val="19"/>
        </w:rPr>
        <w:t> </w:t>
      </w:r>
      <w:r>
        <w:rPr>
          <w:i/>
          <w:sz w:val="19"/>
        </w:rPr>
        <w:t>What</w:t>
      </w:r>
      <w:r>
        <w:rPr>
          <w:i/>
          <w:spacing w:val="-7"/>
          <w:sz w:val="19"/>
        </w:rPr>
        <w:t> </w:t>
      </w:r>
      <w:r>
        <w:rPr>
          <w:i/>
          <w:sz w:val="19"/>
        </w:rPr>
        <w:t>to</w:t>
      </w:r>
      <w:r>
        <w:rPr>
          <w:i/>
          <w:spacing w:val="-8"/>
          <w:sz w:val="19"/>
        </w:rPr>
        <w:t> </w:t>
      </w:r>
      <w:r>
        <w:rPr>
          <w:i/>
          <w:sz w:val="19"/>
        </w:rPr>
        <w:t>Do </w:t>
      </w:r>
      <w:r>
        <w:rPr>
          <w:i/>
          <w:sz w:val="19"/>
        </w:rPr>
        <w:t>about It</w:t>
      </w:r>
      <w:r>
        <w:rPr>
          <w:sz w:val="19"/>
        </w:rPr>
        <w:t>, Princeton University</w:t>
      </w:r>
      <w:r>
        <w:rPr>
          <w:spacing w:val="-5"/>
          <w:sz w:val="19"/>
        </w:rPr>
        <w:t> </w:t>
      </w:r>
      <w:r>
        <w:rPr>
          <w:sz w:val="19"/>
        </w:rPr>
        <w:t>Press.</w:t>
      </w:r>
    </w:p>
    <w:p>
      <w:pPr>
        <w:pStyle w:val="BodyText"/>
        <w:spacing w:before="4"/>
      </w:pPr>
    </w:p>
    <w:p>
      <w:pPr>
        <w:pStyle w:val="BodyText"/>
        <w:spacing w:line="218" w:lineRule="exact"/>
        <w:ind w:left="226"/>
      </w:pPr>
      <w:r>
        <w:rPr>
          <w:b/>
        </w:rPr>
        <w:t>Campbell, J. (2006</w:t>
      </w:r>
      <w:r>
        <w:rPr/>
        <w:t>) “Household Finance”, Presidential Address to the American Finance Association,</w:t>
      </w:r>
    </w:p>
    <w:p>
      <w:pPr>
        <w:spacing w:line="218" w:lineRule="exact" w:before="0"/>
        <w:ind w:left="226" w:right="0" w:firstLine="0"/>
        <w:jc w:val="left"/>
        <w:rPr>
          <w:sz w:val="19"/>
        </w:rPr>
      </w:pPr>
      <w:r>
        <w:rPr>
          <w:i/>
          <w:sz w:val="19"/>
        </w:rPr>
        <w:t>Journal of Finance </w:t>
      </w:r>
      <w:r>
        <w:rPr>
          <w:sz w:val="19"/>
        </w:rPr>
        <w:t>LXI(4), pages 1553-1604.</w:t>
      </w:r>
    </w:p>
    <w:p>
      <w:pPr>
        <w:pStyle w:val="BodyText"/>
        <w:spacing w:before="3"/>
      </w:pPr>
    </w:p>
    <w:p>
      <w:pPr>
        <w:spacing w:before="0"/>
        <w:ind w:left="226" w:right="672" w:firstLine="0"/>
        <w:jc w:val="left"/>
        <w:rPr>
          <w:sz w:val="19"/>
        </w:rPr>
      </w:pPr>
      <w:r>
        <w:rPr>
          <w:b/>
          <w:sz w:val="19"/>
        </w:rPr>
        <w:t>Campbell,</w:t>
      </w:r>
      <w:r>
        <w:rPr>
          <w:b/>
          <w:spacing w:val="-9"/>
          <w:sz w:val="19"/>
        </w:rPr>
        <w:t> </w:t>
      </w:r>
      <w:r>
        <w:rPr>
          <w:b/>
          <w:sz w:val="19"/>
        </w:rPr>
        <w:t>John</w:t>
      </w:r>
      <w:r>
        <w:rPr>
          <w:b/>
          <w:spacing w:val="-10"/>
          <w:sz w:val="19"/>
        </w:rPr>
        <w:t> </w:t>
      </w:r>
      <w:r>
        <w:rPr>
          <w:b/>
          <w:sz w:val="19"/>
        </w:rPr>
        <w:t>Y.,</w:t>
      </w:r>
      <w:r>
        <w:rPr>
          <w:b/>
          <w:spacing w:val="-8"/>
          <w:sz w:val="19"/>
        </w:rPr>
        <w:t> </w:t>
      </w:r>
      <w:r>
        <w:rPr>
          <w:b/>
          <w:sz w:val="19"/>
        </w:rPr>
        <w:t>and</w:t>
      </w:r>
      <w:r>
        <w:rPr>
          <w:b/>
          <w:spacing w:val="-11"/>
          <w:sz w:val="19"/>
        </w:rPr>
        <w:t> </w:t>
      </w:r>
      <w:r>
        <w:rPr>
          <w:b/>
          <w:sz w:val="19"/>
        </w:rPr>
        <w:t>João</w:t>
      </w:r>
      <w:r>
        <w:rPr>
          <w:b/>
          <w:spacing w:val="-8"/>
          <w:sz w:val="19"/>
        </w:rPr>
        <w:t> </w:t>
      </w:r>
      <w:r>
        <w:rPr>
          <w:b/>
          <w:sz w:val="19"/>
        </w:rPr>
        <w:t>F.</w:t>
      </w:r>
      <w:r>
        <w:rPr>
          <w:b/>
          <w:spacing w:val="-7"/>
          <w:sz w:val="19"/>
        </w:rPr>
        <w:t> </w:t>
      </w:r>
      <w:r>
        <w:rPr>
          <w:b/>
          <w:sz w:val="19"/>
        </w:rPr>
        <w:t>Cocco,</w:t>
      </w:r>
      <w:r>
        <w:rPr>
          <w:b/>
          <w:spacing w:val="-9"/>
          <w:sz w:val="19"/>
        </w:rPr>
        <w:t> </w:t>
      </w:r>
      <w:r>
        <w:rPr>
          <w:b/>
          <w:sz w:val="19"/>
        </w:rPr>
        <w:t>(2003)</w:t>
      </w:r>
      <w:r>
        <w:rPr>
          <w:sz w:val="19"/>
        </w:rPr>
        <w:t>,</w:t>
      </w:r>
      <w:r>
        <w:rPr>
          <w:spacing w:val="-9"/>
          <w:sz w:val="19"/>
        </w:rPr>
        <w:t> </w:t>
      </w:r>
      <w:r>
        <w:rPr>
          <w:sz w:val="19"/>
        </w:rPr>
        <w:t>“Household</w:t>
      </w:r>
      <w:r>
        <w:rPr>
          <w:spacing w:val="-9"/>
          <w:sz w:val="19"/>
        </w:rPr>
        <w:t> </w:t>
      </w:r>
      <w:r>
        <w:rPr>
          <w:sz w:val="19"/>
        </w:rPr>
        <w:t>risk</w:t>
      </w:r>
      <w:r>
        <w:rPr>
          <w:spacing w:val="-8"/>
          <w:sz w:val="19"/>
        </w:rPr>
        <w:t> </w:t>
      </w:r>
      <w:r>
        <w:rPr>
          <w:sz w:val="19"/>
        </w:rPr>
        <w:t>management</w:t>
      </w:r>
      <w:r>
        <w:rPr>
          <w:spacing w:val="-7"/>
          <w:sz w:val="19"/>
        </w:rPr>
        <w:t> </w:t>
      </w:r>
      <w:r>
        <w:rPr>
          <w:sz w:val="19"/>
        </w:rPr>
        <w:t>and</w:t>
      </w:r>
      <w:r>
        <w:rPr>
          <w:spacing w:val="-10"/>
          <w:sz w:val="19"/>
        </w:rPr>
        <w:t> </w:t>
      </w:r>
      <w:r>
        <w:rPr>
          <w:sz w:val="19"/>
        </w:rPr>
        <w:t>optimal</w:t>
      </w:r>
      <w:r>
        <w:rPr>
          <w:spacing w:val="-9"/>
          <w:sz w:val="19"/>
        </w:rPr>
        <w:t> </w:t>
      </w:r>
      <w:r>
        <w:rPr>
          <w:sz w:val="19"/>
        </w:rPr>
        <w:t>mortgage choice”, </w:t>
      </w:r>
      <w:r>
        <w:rPr>
          <w:i/>
          <w:sz w:val="19"/>
        </w:rPr>
        <w:t>Quarterly Journal of Economics </w:t>
      </w:r>
      <w:r>
        <w:rPr>
          <w:sz w:val="19"/>
        </w:rPr>
        <w:t>118, pages</w:t>
      </w:r>
      <w:r>
        <w:rPr>
          <w:spacing w:val="-6"/>
          <w:sz w:val="19"/>
        </w:rPr>
        <w:t> </w:t>
      </w:r>
      <w:r>
        <w:rPr>
          <w:sz w:val="19"/>
        </w:rPr>
        <w:t>1449-1494.</w:t>
      </w:r>
    </w:p>
    <w:p>
      <w:pPr>
        <w:pStyle w:val="BodyText"/>
        <w:spacing w:before="5"/>
      </w:pPr>
    </w:p>
    <w:p>
      <w:pPr>
        <w:spacing w:before="0"/>
        <w:ind w:left="226" w:right="0" w:firstLine="0"/>
        <w:jc w:val="left"/>
        <w:rPr>
          <w:sz w:val="19"/>
        </w:rPr>
      </w:pPr>
      <w:r>
        <w:rPr>
          <w:b/>
          <w:sz w:val="19"/>
        </w:rPr>
        <w:t>Caplin, A., Chan, S., Freeman, C., and Tracy, J. (1997) </w:t>
      </w:r>
      <w:r>
        <w:rPr>
          <w:i/>
          <w:sz w:val="19"/>
        </w:rPr>
        <w:t>Housing Partnerships</w:t>
      </w:r>
      <w:r>
        <w:rPr>
          <w:sz w:val="19"/>
        </w:rPr>
        <w:t>, MIT Press.</w:t>
      </w:r>
    </w:p>
    <w:p>
      <w:pPr>
        <w:pStyle w:val="BodyText"/>
        <w:spacing w:before="4"/>
      </w:pPr>
    </w:p>
    <w:p>
      <w:pPr>
        <w:spacing w:before="0"/>
        <w:ind w:left="226" w:right="0" w:firstLine="0"/>
        <w:jc w:val="left"/>
        <w:rPr>
          <w:sz w:val="19"/>
        </w:rPr>
      </w:pPr>
      <w:r>
        <w:rPr>
          <w:b/>
          <w:sz w:val="19"/>
        </w:rPr>
        <w:t>Caplin,</w:t>
      </w:r>
      <w:r>
        <w:rPr>
          <w:b/>
          <w:spacing w:val="-10"/>
          <w:sz w:val="19"/>
        </w:rPr>
        <w:t> </w:t>
      </w:r>
      <w:r>
        <w:rPr>
          <w:b/>
          <w:sz w:val="19"/>
        </w:rPr>
        <w:t>A.,</w:t>
      </w:r>
      <w:r>
        <w:rPr>
          <w:b/>
          <w:spacing w:val="-10"/>
          <w:sz w:val="19"/>
        </w:rPr>
        <w:t> </w:t>
      </w:r>
      <w:r>
        <w:rPr>
          <w:b/>
          <w:sz w:val="19"/>
        </w:rPr>
        <w:t>Carr,</w:t>
      </w:r>
      <w:r>
        <w:rPr>
          <w:b/>
          <w:spacing w:val="-10"/>
          <w:sz w:val="19"/>
        </w:rPr>
        <w:t> </w:t>
      </w:r>
      <w:r>
        <w:rPr>
          <w:b/>
          <w:sz w:val="19"/>
        </w:rPr>
        <w:t>J.,</w:t>
      </w:r>
      <w:r>
        <w:rPr>
          <w:b/>
          <w:spacing w:val="-10"/>
          <w:sz w:val="19"/>
        </w:rPr>
        <w:t> </w:t>
      </w:r>
      <w:r>
        <w:rPr>
          <w:b/>
          <w:sz w:val="19"/>
        </w:rPr>
        <w:t>Pollock,</w:t>
      </w:r>
      <w:r>
        <w:rPr>
          <w:b/>
          <w:spacing w:val="-10"/>
          <w:sz w:val="19"/>
        </w:rPr>
        <w:t> </w:t>
      </w:r>
      <w:r>
        <w:rPr>
          <w:b/>
          <w:sz w:val="19"/>
        </w:rPr>
        <w:t>F.,</w:t>
      </w:r>
      <w:r>
        <w:rPr>
          <w:b/>
          <w:spacing w:val="-8"/>
          <w:sz w:val="19"/>
        </w:rPr>
        <w:t> </w:t>
      </w:r>
      <w:r>
        <w:rPr>
          <w:b/>
          <w:sz w:val="19"/>
        </w:rPr>
        <w:t>and</w:t>
      </w:r>
      <w:r>
        <w:rPr>
          <w:b/>
          <w:spacing w:val="-9"/>
          <w:sz w:val="19"/>
        </w:rPr>
        <w:t> </w:t>
      </w:r>
      <w:r>
        <w:rPr>
          <w:b/>
          <w:sz w:val="19"/>
        </w:rPr>
        <w:t>Zhong,</w:t>
      </w:r>
      <w:r>
        <w:rPr>
          <w:b/>
          <w:spacing w:val="-11"/>
          <w:sz w:val="19"/>
        </w:rPr>
        <w:t> </w:t>
      </w:r>
      <w:r>
        <w:rPr>
          <w:b/>
          <w:sz w:val="19"/>
        </w:rPr>
        <w:t>Y.</w:t>
      </w:r>
      <w:r>
        <w:rPr>
          <w:b/>
          <w:spacing w:val="-8"/>
          <w:sz w:val="19"/>
        </w:rPr>
        <w:t> </w:t>
      </w:r>
      <w:r>
        <w:rPr>
          <w:b/>
          <w:sz w:val="19"/>
        </w:rPr>
        <w:t>(2007)</w:t>
      </w:r>
      <w:r>
        <w:rPr>
          <w:sz w:val="19"/>
        </w:rPr>
        <w:t>,</w:t>
      </w:r>
      <w:r>
        <w:rPr>
          <w:spacing w:val="-9"/>
          <w:sz w:val="19"/>
        </w:rPr>
        <w:t> </w:t>
      </w:r>
      <w:r>
        <w:rPr>
          <w:i/>
          <w:sz w:val="19"/>
        </w:rPr>
        <w:t>Shared-equity</w:t>
      </w:r>
      <w:r>
        <w:rPr>
          <w:i/>
          <w:spacing w:val="-9"/>
          <w:sz w:val="19"/>
        </w:rPr>
        <w:t> </w:t>
      </w:r>
      <w:r>
        <w:rPr>
          <w:i/>
          <w:sz w:val="19"/>
        </w:rPr>
        <w:t>mortgages,</w:t>
      </w:r>
      <w:r>
        <w:rPr>
          <w:i/>
          <w:spacing w:val="-8"/>
          <w:sz w:val="19"/>
        </w:rPr>
        <w:t> </w:t>
      </w:r>
      <w:r>
        <w:rPr>
          <w:i/>
          <w:sz w:val="19"/>
        </w:rPr>
        <w:t>housing</w:t>
      </w:r>
      <w:r>
        <w:rPr>
          <w:i/>
          <w:spacing w:val="-10"/>
          <w:sz w:val="19"/>
        </w:rPr>
        <w:t> </w:t>
      </w:r>
      <w:r>
        <w:rPr>
          <w:i/>
          <w:sz w:val="19"/>
        </w:rPr>
        <w:t>affordability,</w:t>
      </w:r>
      <w:r>
        <w:rPr>
          <w:i/>
          <w:spacing w:val="-8"/>
          <w:sz w:val="19"/>
        </w:rPr>
        <w:t> </w:t>
      </w:r>
      <w:r>
        <w:rPr>
          <w:i/>
          <w:sz w:val="19"/>
        </w:rPr>
        <w:t>and </w:t>
      </w:r>
      <w:r>
        <w:rPr>
          <w:i/>
          <w:sz w:val="19"/>
        </w:rPr>
        <w:t>homeownership</w:t>
      </w:r>
      <w:r>
        <w:rPr>
          <w:sz w:val="19"/>
        </w:rPr>
        <w:t>, Special Report, Fannie Mae Foundation: Washington</w:t>
      </w:r>
      <w:r>
        <w:rPr>
          <w:spacing w:val="-17"/>
          <w:sz w:val="19"/>
        </w:rPr>
        <w:t> </w:t>
      </w:r>
      <w:r>
        <w:rPr>
          <w:sz w:val="19"/>
        </w:rPr>
        <w:t>DC.</w:t>
      </w:r>
    </w:p>
    <w:p>
      <w:pPr>
        <w:pStyle w:val="BodyText"/>
        <w:spacing w:before="5"/>
      </w:pPr>
    </w:p>
    <w:p>
      <w:pPr>
        <w:spacing w:line="237" w:lineRule="auto" w:before="1"/>
        <w:ind w:left="226" w:right="672" w:firstLine="0"/>
        <w:jc w:val="left"/>
        <w:rPr>
          <w:sz w:val="19"/>
        </w:rPr>
      </w:pPr>
      <w:r>
        <w:rPr>
          <w:b/>
          <w:sz w:val="19"/>
        </w:rPr>
        <w:t>Caplin, A., Cunningham, N., Engler, M., and Pollack, F. (2008)</w:t>
      </w:r>
      <w:r>
        <w:rPr>
          <w:sz w:val="19"/>
        </w:rPr>
        <w:t>, “Facilitating shared appreciation mortgages</w:t>
      </w:r>
      <w:r>
        <w:rPr>
          <w:spacing w:val="-10"/>
          <w:sz w:val="19"/>
        </w:rPr>
        <w:t> </w:t>
      </w:r>
      <w:r>
        <w:rPr>
          <w:sz w:val="19"/>
        </w:rPr>
        <w:t>to</w:t>
      </w:r>
      <w:r>
        <w:rPr>
          <w:spacing w:val="-12"/>
          <w:sz w:val="19"/>
        </w:rPr>
        <w:t> </w:t>
      </w:r>
      <w:r>
        <w:rPr>
          <w:sz w:val="19"/>
        </w:rPr>
        <w:t>prevent</w:t>
      </w:r>
      <w:r>
        <w:rPr>
          <w:spacing w:val="-12"/>
          <w:sz w:val="19"/>
        </w:rPr>
        <w:t> </w:t>
      </w:r>
      <w:r>
        <w:rPr>
          <w:sz w:val="19"/>
        </w:rPr>
        <w:t>crashes</w:t>
      </w:r>
      <w:r>
        <w:rPr>
          <w:spacing w:val="-10"/>
          <w:sz w:val="19"/>
        </w:rPr>
        <w:t> </w:t>
      </w:r>
      <w:r>
        <w:rPr>
          <w:sz w:val="19"/>
        </w:rPr>
        <w:t>and</w:t>
      </w:r>
      <w:r>
        <w:rPr>
          <w:spacing w:val="-11"/>
          <w:sz w:val="19"/>
        </w:rPr>
        <w:t> </w:t>
      </w:r>
      <w:r>
        <w:rPr>
          <w:sz w:val="19"/>
        </w:rPr>
        <w:t>affordability</w:t>
      </w:r>
      <w:r>
        <w:rPr>
          <w:spacing w:val="-10"/>
          <w:sz w:val="19"/>
        </w:rPr>
        <w:t> </w:t>
      </w:r>
      <w:r>
        <w:rPr>
          <w:sz w:val="19"/>
        </w:rPr>
        <w:t>crises”,</w:t>
      </w:r>
      <w:r>
        <w:rPr>
          <w:spacing w:val="-10"/>
          <w:sz w:val="19"/>
        </w:rPr>
        <w:t> </w:t>
      </w:r>
      <w:r>
        <w:rPr>
          <w:i/>
          <w:sz w:val="19"/>
        </w:rPr>
        <w:t>Hamilton</w:t>
      </w:r>
      <w:r>
        <w:rPr>
          <w:i/>
          <w:spacing w:val="-13"/>
          <w:sz w:val="19"/>
        </w:rPr>
        <w:t> </w:t>
      </w:r>
      <w:r>
        <w:rPr>
          <w:i/>
          <w:sz w:val="19"/>
        </w:rPr>
        <w:t>Project</w:t>
      </w:r>
      <w:r>
        <w:rPr>
          <w:i/>
          <w:spacing w:val="-9"/>
          <w:sz w:val="19"/>
        </w:rPr>
        <w:t> </w:t>
      </w:r>
      <w:r>
        <w:rPr>
          <w:i/>
          <w:sz w:val="19"/>
        </w:rPr>
        <w:t>Discussion</w:t>
      </w:r>
      <w:r>
        <w:rPr>
          <w:i/>
          <w:spacing w:val="-11"/>
          <w:sz w:val="19"/>
        </w:rPr>
        <w:t> </w:t>
      </w:r>
      <w:r>
        <w:rPr>
          <w:i/>
          <w:sz w:val="19"/>
        </w:rPr>
        <w:t>Paper</w:t>
      </w:r>
      <w:r>
        <w:rPr>
          <w:sz w:val="19"/>
        </w:rPr>
        <w:t>,</w:t>
      </w:r>
      <w:r>
        <w:rPr>
          <w:spacing w:val="-11"/>
          <w:sz w:val="19"/>
        </w:rPr>
        <w:t> </w:t>
      </w:r>
      <w:r>
        <w:rPr>
          <w:sz w:val="19"/>
        </w:rPr>
        <w:t>Brookings Institute.</w:t>
      </w:r>
    </w:p>
    <w:p>
      <w:pPr>
        <w:pStyle w:val="BodyText"/>
        <w:spacing w:before="4"/>
      </w:pPr>
    </w:p>
    <w:p>
      <w:pPr>
        <w:spacing w:before="0"/>
        <w:ind w:left="226" w:right="708" w:firstLine="0"/>
        <w:jc w:val="left"/>
        <w:rPr>
          <w:sz w:val="19"/>
        </w:rPr>
      </w:pPr>
      <w:r>
        <w:rPr>
          <w:b/>
          <w:sz w:val="19"/>
        </w:rPr>
        <w:t>Cassidy, H, Dennis, B. and Yang, T. (2008)</w:t>
      </w:r>
      <w:r>
        <w:rPr>
          <w:sz w:val="19"/>
        </w:rPr>
        <w:t>, “Home Appreciation Participation Notes: A Solution to Housing</w:t>
      </w:r>
      <w:r>
        <w:rPr>
          <w:spacing w:val="-11"/>
          <w:sz w:val="19"/>
        </w:rPr>
        <w:t> </w:t>
      </w:r>
      <w:r>
        <w:rPr>
          <w:sz w:val="19"/>
        </w:rPr>
        <w:t>Affordability</w:t>
      </w:r>
      <w:r>
        <w:rPr>
          <w:spacing w:val="-10"/>
          <w:sz w:val="19"/>
        </w:rPr>
        <w:t> </w:t>
      </w:r>
      <w:r>
        <w:rPr>
          <w:sz w:val="19"/>
        </w:rPr>
        <w:t>and</w:t>
      </w:r>
      <w:r>
        <w:rPr>
          <w:spacing w:val="-10"/>
          <w:sz w:val="19"/>
        </w:rPr>
        <w:t> </w:t>
      </w:r>
      <w:r>
        <w:rPr>
          <w:sz w:val="19"/>
        </w:rPr>
        <w:t>the</w:t>
      </w:r>
      <w:r>
        <w:rPr>
          <w:spacing w:val="-10"/>
          <w:sz w:val="19"/>
        </w:rPr>
        <w:t> </w:t>
      </w:r>
      <w:r>
        <w:rPr>
          <w:sz w:val="19"/>
        </w:rPr>
        <w:t>Current</w:t>
      </w:r>
      <w:r>
        <w:rPr>
          <w:spacing w:val="-9"/>
          <w:sz w:val="19"/>
        </w:rPr>
        <w:t> </w:t>
      </w:r>
      <w:r>
        <w:rPr>
          <w:sz w:val="19"/>
        </w:rPr>
        <w:t>Mortgage</w:t>
      </w:r>
      <w:r>
        <w:rPr>
          <w:spacing w:val="-10"/>
          <w:sz w:val="19"/>
        </w:rPr>
        <w:t> </w:t>
      </w:r>
      <w:r>
        <w:rPr>
          <w:sz w:val="19"/>
        </w:rPr>
        <w:t>Crisis”,</w:t>
      </w:r>
      <w:r>
        <w:rPr>
          <w:spacing w:val="-10"/>
          <w:sz w:val="19"/>
        </w:rPr>
        <w:t> </w:t>
      </w:r>
      <w:r>
        <w:rPr>
          <w:i/>
          <w:sz w:val="19"/>
        </w:rPr>
        <w:t>International</w:t>
      </w:r>
      <w:r>
        <w:rPr>
          <w:i/>
          <w:spacing w:val="-9"/>
          <w:sz w:val="19"/>
        </w:rPr>
        <w:t> </w:t>
      </w:r>
      <w:r>
        <w:rPr>
          <w:i/>
          <w:sz w:val="19"/>
        </w:rPr>
        <w:t>Real</w:t>
      </w:r>
      <w:r>
        <w:rPr>
          <w:i/>
          <w:spacing w:val="-9"/>
          <w:sz w:val="19"/>
        </w:rPr>
        <w:t> </w:t>
      </w:r>
      <w:r>
        <w:rPr>
          <w:i/>
          <w:sz w:val="19"/>
        </w:rPr>
        <w:t>Estate</w:t>
      </w:r>
      <w:r>
        <w:rPr>
          <w:i/>
          <w:spacing w:val="-10"/>
          <w:sz w:val="19"/>
        </w:rPr>
        <w:t> </w:t>
      </w:r>
      <w:r>
        <w:rPr>
          <w:i/>
          <w:sz w:val="19"/>
        </w:rPr>
        <w:t>Review</w:t>
      </w:r>
      <w:r>
        <w:rPr>
          <w:i/>
          <w:spacing w:val="-11"/>
          <w:sz w:val="19"/>
        </w:rPr>
        <w:t> </w:t>
      </w:r>
      <w:r>
        <w:rPr>
          <w:sz w:val="19"/>
        </w:rPr>
        <w:t>11(2),</w:t>
      </w:r>
      <w:r>
        <w:rPr>
          <w:spacing w:val="-10"/>
          <w:sz w:val="19"/>
        </w:rPr>
        <w:t> </w:t>
      </w:r>
      <w:r>
        <w:rPr>
          <w:sz w:val="19"/>
        </w:rPr>
        <w:t>pages 126-141.</w:t>
      </w:r>
    </w:p>
    <w:p>
      <w:pPr>
        <w:pStyle w:val="BodyText"/>
        <w:spacing w:before="1"/>
      </w:pPr>
    </w:p>
    <w:p>
      <w:pPr>
        <w:spacing w:before="0"/>
        <w:ind w:left="226" w:right="590" w:firstLine="0"/>
        <w:jc w:val="left"/>
        <w:rPr>
          <w:sz w:val="19"/>
        </w:rPr>
      </w:pPr>
      <w:r>
        <w:rPr>
          <w:b/>
          <w:sz w:val="19"/>
        </w:rPr>
        <w:t>Crowe, C., Dell’Ariccia, G., Igan, D., and Rabanal, P. (2013)</w:t>
      </w:r>
      <w:r>
        <w:rPr>
          <w:sz w:val="19"/>
        </w:rPr>
        <w:t>, “How to Deal with Real Estate Booms: Lessons from Country Experiences” </w:t>
      </w:r>
      <w:r>
        <w:rPr>
          <w:i/>
          <w:sz w:val="19"/>
        </w:rPr>
        <w:t>Journal of Financial Stability </w:t>
      </w:r>
      <w:r>
        <w:rPr>
          <w:sz w:val="19"/>
        </w:rPr>
        <w:t>9, pages 300-319.</w:t>
      </w:r>
    </w:p>
    <w:p>
      <w:pPr>
        <w:pStyle w:val="BodyText"/>
        <w:spacing w:before="4"/>
      </w:pPr>
    </w:p>
    <w:p>
      <w:pPr>
        <w:spacing w:before="0"/>
        <w:ind w:left="226" w:right="726" w:firstLine="0"/>
        <w:jc w:val="left"/>
        <w:rPr>
          <w:sz w:val="19"/>
        </w:rPr>
      </w:pPr>
      <w:r>
        <w:rPr>
          <w:b/>
          <w:sz w:val="19"/>
        </w:rPr>
        <w:t>Dynan, K. (2012) </w:t>
      </w:r>
      <w:r>
        <w:rPr>
          <w:sz w:val="19"/>
        </w:rPr>
        <w:t>“Is a Household Debt Overhang Holding Back Consumption” </w:t>
      </w:r>
      <w:r>
        <w:rPr>
          <w:i/>
          <w:sz w:val="19"/>
        </w:rPr>
        <w:t>Brookings Papers on </w:t>
      </w:r>
      <w:r>
        <w:rPr>
          <w:i/>
          <w:sz w:val="19"/>
        </w:rPr>
        <w:t>Economic Activity</w:t>
      </w:r>
      <w:r>
        <w:rPr>
          <w:sz w:val="19"/>
        </w:rPr>
        <w:t>, Spring, pages 299-362.</w:t>
      </w:r>
    </w:p>
    <w:p>
      <w:pPr>
        <w:pStyle w:val="BodyText"/>
        <w:spacing w:before="2"/>
      </w:pPr>
    </w:p>
    <w:p>
      <w:pPr>
        <w:spacing w:before="1"/>
        <w:ind w:left="226" w:right="0" w:firstLine="0"/>
        <w:jc w:val="left"/>
        <w:rPr>
          <w:sz w:val="19"/>
        </w:rPr>
      </w:pPr>
      <w:r>
        <w:rPr>
          <w:b/>
          <w:sz w:val="19"/>
        </w:rPr>
        <w:t>Lacoviello,</w:t>
      </w:r>
      <w:r>
        <w:rPr>
          <w:b/>
          <w:spacing w:val="-13"/>
          <w:sz w:val="19"/>
        </w:rPr>
        <w:t> </w:t>
      </w:r>
      <w:r>
        <w:rPr>
          <w:b/>
          <w:sz w:val="19"/>
        </w:rPr>
        <w:t>M.</w:t>
      </w:r>
      <w:r>
        <w:rPr>
          <w:b/>
          <w:spacing w:val="-11"/>
          <w:sz w:val="19"/>
        </w:rPr>
        <w:t> </w:t>
      </w:r>
      <w:r>
        <w:rPr>
          <w:b/>
          <w:sz w:val="19"/>
        </w:rPr>
        <w:t>(2011)</w:t>
      </w:r>
      <w:r>
        <w:rPr>
          <w:b/>
          <w:spacing w:val="-13"/>
          <w:sz w:val="19"/>
        </w:rPr>
        <w:t> </w:t>
      </w:r>
      <w:r>
        <w:rPr>
          <w:sz w:val="19"/>
        </w:rPr>
        <w:t>“Housing</w:t>
      </w:r>
      <w:r>
        <w:rPr>
          <w:spacing w:val="-12"/>
          <w:sz w:val="19"/>
        </w:rPr>
        <w:t> </w:t>
      </w:r>
      <w:r>
        <w:rPr>
          <w:sz w:val="19"/>
        </w:rPr>
        <w:t>Wealth</w:t>
      </w:r>
      <w:r>
        <w:rPr>
          <w:spacing w:val="-12"/>
          <w:sz w:val="19"/>
        </w:rPr>
        <w:t> </w:t>
      </w:r>
      <w:r>
        <w:rPr>
          <w:sz w:val="19"/>
        </w:rPr>
        <w:t>and</w:t>
      </w:r>
      <w:r>
        <w:rPr>
          <w:spacing w:val="-12"/>
          <w:sz w:val="19"/>
        </w:rPr>
        <w:t> </w:t>
      </w:r>
      <w:r>
        <w:rPr>
          <w:sz w:val="19"/>
        </w:rPr>
        <w:t>Consumption",</w:t>
      </w:r>
      <w:r>
        <w:rPr>
          <w:spacing w:val="-12"/>
          <w:sz w:val="19"/>
        </w:rPr>
        <w:t> </w:t>
      </w:r>
      <w:r>
        <w:rPr>
          <w:i/>
          <w:sz w:val="19"/>
        </w:rPr>
        <w:t>International</w:t>
      </w:r>
      <w:r>
        <w:rPr>
          <w:i/>
          <w:spacing w:val="-12"/>
          <w:sz w:val="19"/>
        </w:rPr>
        <w:t> </w:t>
      </w:r>
      <w:r>
        <w:rPr>
          <w:i/>
          <w:sz w:val="19"/>
        </w:rPr>
        <w:t>Finance</w:t>
      </w:r>
      <w:r>
        <w:rPr>
          <w:i/>
          <w:spacing w:val="-12"/>
          <w:sz w:val="19"/>
        </w:rPr>
        <w:t> </w:t>
      </w:r>
      <w:r>
        <w:rPr>
          <w:i/>
          <w:sz w:val="19"/>
        </w:rPr>
        <w:t>Discussion</w:t>
      </w:r>
      <w:r>
        <w:rPr>
          <w:i/>
          <w:spacing w:val="-13"/>
          <w:sz w:val="19"/>
        </w:rPr>
        <w:t> </w:t>
      </w:r>
      <w:r>
        <w:rPr>
          <w:i/>
          <w:sz w:val="19"/>
        </w:rPr>
        <w:t>Papers</w:t>
      </w:r>
      <w:r>
        <w:rPr>
          <w:i/>
          <w:spacing w:val="-11"/>
          <w:sz w:val="19"/>
        </w:rPr>
        <w:t> </w:t>
      </w:r>
      <w:r>
        <w:rPr>
          <w:sz w:val="19"/>
        </w:rPr>
        <w:t>1027, Board of Governors of the Federal Reserve</w:t>
      </w:r>
      <w:r>
        <w:rPr>
          <w:spacing w:val="-12"/>
          <w:sz w:val="19"/>
        </w:rPr>
        <w:t> </w:t>
      </w:r>
      <w:r>
        <w:rPr>
          <w:sz w:val="19"/>
        </w:rPr>
        <w:t>System.</w:t>
      </w:r>
    </w:p>
    <w:p>
      <w:pPr>
        <w:pStyle w:val="BodyText"/>
        <w:spacing w:before="4"/>
      </w:pPr>
    </w:p>
    <w:p>
      <w:pPr>
        <w:spacing w:line="237" w:lineRule="auto" w:before="1"/>
        <w:ind w:left="226" w:right="105" w:firstLine="0"/>
        <w:jc w:val="left"/>
        <w:rPr>
          <w:sz w:val="19"/>
        </w:rPr>
      </w:pPr>
      <w:r>
        <w:rPr>
          <w:b/>
          <w:sz w:val="19"/>
        </w:rPr>
        <w:t>Kuttner, K. and Shim I. (2012) </w:t>
      </w:r>
      <w:r>
        <w:rPr>
          <w:sz w:val="19"/>
        </w:rPr>
        <w:t>“Taming the Real Estate Beast: The Effects of Monetary and Macroprudential</w:t>
      </w:r>
      <w:r>
        <w:rPr>
          <w:spacing w:val="-9"/>
          <w:sz w:val="19"/>
        </w:rPr>
        <w:t> </w:t>
      </w:r>
      <w:r>
        <w:rPr>
          <w:sz w:val="19"/>
        </w:rPr>
        <w:t>Policies</w:t>
      </w:r>
      <w:r>
        <w:rPr>
          <w:spacing w:val="-8"/>
          <w:sz w:val="19"/>
        </w:rPr>
        <w:t> </w:t>
      </w:r>
      <w:r>
        <w:rPr>
          <w:sz w:val="19"/>
        </w:rPr>
        <w:t>on</w:t>
      </w:r>
      <w:r>
        <w:rPr>
          <w:spacing w:val="-9"/>
          <w:sz w:val="19"/>
        </w:rPr>
        <w:t> </w:t>
      </w:r>
      <w:r>
        <w:rPr>
          <w:sz w:val="19"/>
        </w:rPr>
        <w:t>Housing</w:t>
      </w:r>
      <w:r>
        <w:rPr>
          <w:spacing w:val="-10"/>
          <w:sz w:val="19"/>
        </w:rPr>
        <w:t> </w:t>
      </w:r>
      <w:r>
        <w:rPr>
          <w:sz w:val="19"/>
        </w:rPr>
        <w:t>Prices</w:t>
      </w:r>
      <w:r>
        <w:rPr>
          <w:spacing w:val="-8"/>
          <w:sz w:val="19"/>
        </w:rPr>
        <w:t> </w:t>
      </w:r>
      <w:r>
        <w:rPr>
          <w:sz w:val="19"/>
        </w:rPr>
        <w:t>and</w:t>
      </w:r>
      <w:r>
        <w:rPr>
          <w:spacing w:val="-9"/>
          <w:sz w:val="19"/>
        </w:rPr>
        <w:t> </w:t>
      </w:r>
      <w:r>
        <w:rPr>
          <w:sz w:val="19"/>
        </w:rPr>
        <w:t>Credit”,</w:t>
      </w:r>
      <w:r>
        <w:rPr>
          <w:spacing w:val="-8"/>
          <w:sz w:val="19"/>
        </w:rPr>
        <w:t> </w:t>
      </w:r>
      <w:r>
        <w:rPr>
          <w:sz w:val="19"/>
        </w:rPr>
        <w:t>in:</w:t>
      </w:r>
      <w:r>
        <w:rPr>
          <w:spacing w:val="-7"/>
          <w:sz w:val="19"/>
        </w:rPr>
        <w:t> </w:t>
      </w:r>
      <w:r>
        <w:rPr>
          <w:sz w:val="19"/>
        </w:rPr>
        <w:t>Heath,</w:t>
      </w:r>
      <w:r>
        <w:rPr>
          <w:spacing w:val="-10"/>
          <w:sz w:val="19"/>
        </w:rPr>
        <w:t> </w:t>
      </w:r>
      <w:r>
        <w:rPr>
          <w:sz w:val="19"/>
        </w:rPr>
        <w:t>A.,</w:t>
      </w:r>
      <w:r>
        <w:rPr>
          <w:spacing w:val="-10"/>
          <w:sz w:val="19"/>
        </w:rPr>
        <w:t> </w:t>
      </w:r>
      <w:r>
        <w:rPr>
          <w:sz w:val="19"/>
        </w:rPr>
        <w:t>Packer,</w:t>
      </w:r>
      <w:r>
        <w:rPr>
          <w:spacing w:val="-8"/>
          <w:sz w:val="19"/>
        </w:rPr>
        <w:t> </w:t>
      </w:r>
      <w:r>
        <w:rPr>
          <w:sz w:val="19"/>
        </w:rPr>
        <w:t>F.,</w:t>
      </w:r>
      <w:r>
        <w:rPr>
          <w:spacing w:val="-8"/>
          <w:sz w:val="19"/>
        </w:rPr>
        <w:t> </w:t>
      </w:r>
      <w:r>
        <w:rPr>
          <w:sz w:val="19"/>
        </w:rPr>
        <w:t>and</w:t>
      </w:r>
      <w:r>
        <w:rPr>
          <w:spacing w:val="-9"/>
          <w:sz w:val="19"/>
        </w:rPr>
        <w:t> </w:t>
      </w:r>
      <w:r>
        <w:rPr>
          <w:sz w:val="19"/>
        </w:rPr>
        <w:t>Windsor,</w:t>
      </w:r>
      <w:r>
        <w:rPr>
          <w:spacing w:val="-7"/>
          <w:sz w:val="19"/>
        </w:rPr>
        <w:t> </w:t>
      </w:r>
      <w:r>
        <w:rPr>
          <w:sz w:val="19"/>
        </w:rPr>
        <w:t>C.</w:t>
      </w:r>
      <w:r>
        <w:rPr>
          <w:spacing w:val="-9"/>
          <w:sz w:val="19"/>
        </w:rPr>
        <w:t> </w:t>
      </w:r>
      <w:r>
        <w:rPr>
          <w:sz w:val="19"/>
        </w:rPr>
        <w:t>(eds), </w:t>
      </w:r>
      <w:r>
        <w:rPr>
          <w:i/>
          <w:sz w:val="19"/>
        </w:rPr>
        <w:t>Property Markets and Financial Stability</w:t>
      </w:r>
      <w:r>
        <w:rPr>
          <w:sz w:val="19"/>
        </w:rPr>
        <w:t>, Reserve Bank of</w:t>
      </w:r>
      <w:r>
        <w:rPr>
          <w:spacing w:val="-17"/>
          <w:sz w:val="19"/>
        </w:rPr>
        <w:t> </w:t>
      </w:r>
      <w:r>
        <w:rPr>
          <w:sz w:val="19"/>
        </w:rPr>
        <w:t>Australia.</w:t>
      </w:r>
    </w:p>
    <w:p>
      <w:pPr>
        <w:pStyle w:val="BodyText"/>
        <w:spacing w:before="5"/>
      </w:pPr>
    </w:p>
    <w:p>
      <w:pPr>
        <w:spacing w:before="0"/>
        <w:ind w:left="226" w:right="105" w:firstLine="0"/>
        <w:jc w:val="left"/>
        <w:rPr>
          <w:sz w:val="19"/>
        </w:rPr>
      </w:pPr>
      <w:r>
        <w:rPr>
          <w:b/>
          <w:sz w:val="19"/>
        </w:rPr>
        <w:t>Leamer,</w:t>
      </w:r>
      <w:r>
        <w:rPr>
          <w:b/>
          <w:spacing w:val="-8"/>
          <w:sz w:val="19"/>
        </w:rPr>
        <w:t> </w:t>
      </w:r>
      <w:r>
        <w:rPr>
          <w:b/>
          <w:sz w:val="19"/>
        </w:rPr>
        <w:t>E.</w:t>
      </w:r>
      <w:r>
        <w:rPr>
          <w:b/>
          <w:spacing w:val="-10"/>
          <w:sz w:val="19"/>
        </w:rPr>
        <w:t> </w:t>
      </w:r>
      <w:r>
        <w:rPr>
          <w:b/>
          <w:sz w:val="19"/>
        </w:rPr>
        <w:t>(2007)</w:t>
      </w:r>
      <w:r>
        <w:rPr>
          <w:sz w:val="19"/>
        </w:rPr>
        <w:t>,</w:t>
      </w:r>
      <w:r>
        <w:rPr>
          <w:spacing w:val="-8"/>
          <w:sz w:val="19"/>
        </w:rPr>
        <w:t> </w:t>
      </w:r>
      <w:r>
        <w:rPr>
          <w:sz w:val="19"/>
        </w:rPr>
        <w:t>"Housing</w:t>
      </w:r>
      <w:r>
        <w:rPr>
          <w:spacing w:val="-10"/>
          <w:sz w:val="19"/>
        </w:rPr>
        <w:t> </w:t>
      </w:r>
      <w:r>
        <w:rPr>
          <w:sz w:val="19"/>
        </w:rPr>
        <w:t>is</w:t>
      </w:r>
      <w:r>
        <w:rPr>
          <w:spacing w:val="-9"/>
          <w:sz w:val="19"/>
        </w:rPr>
        <w:t> </w:t>
      </w:r>
      <w:r>
        <w:rPr>
          <w:sz w:val="19"/>
        </w:rPr>
        <w:t>the</w:t>
      </w:r>
      <w:r>
        <w:rPr>
          <w:spacing w:val="-9"/>
          <w:sz w:val="19"/>
        </w:rPr>
        <w:t> </w:t>
      </w:r>
      <w:r>
        <w:rPr>
          <w:sz w:val="19"/>
        </w:rPr>
        <w:t>business</w:t>
      </w:r>
      <w:r>
        <w:rPr>
          <w:spacing w:val="-9"/>
          <w:sz w:val="19"/>
        </w:rPr>
        <w:t> </w:t>
      </w:r>
      <w:r>
        <w:rPr>
          <w:sz w:val="19"/>
        </w:rPr>
        <w:t>cycle",</w:t>
      </w:r>
      <w:r>
        <w:rPr>
          <w:spacing w:val="-10"/>
          <w:sz w:val="19"/>
        </w:rPr>
        <w:t> </w:t>
      </w:r>
      <w:r>
        <w:rPr>
          <w:i/>
          <w:sz w:val="19"/>
        </w:rPr>
        <w:t>Proceedings</w:t>
      </w:r>
      <w:r>
        <w:rPr>
          <w:sz w:val="19"/>
        </w:rPr>
        <w:t>,</w:t>
      </w:r>
      <w:r>
        <w:rPr>
          <w:spacing w:val="-10"/>
          <w:sz w:val="19"/>
        </w:rPr>
        <w:t> </w:t>
      </w:r>
      <w:r>
        <w:rPr>
          <w:sz w:val="19"/>
        </w:rPr>
        <w:t>Federal</w:t>
      </w:r>
      <w:r>
        <w:rPr>
          <w:spacing w:val="-9"/>
          <w:sz w:val="19"/>
        </w:rPr>
        <w:t> </w:t>
      </w:r>
      <w:r>
        <w:rPr>
          <w:sz w:val="19"/>
        </w:rPr>
        <w:t>Reserve</w:t>
      </w:r>
      <w:r>
        <w:rPr>
          <w:spacing w:val="-9"/>
          <w:sz w:val="19"/>
        </w:rPr>
        <w:t> </w:t>
      </w:r>
      <w:r>
        <w:rPr>
          <w:sz w:val="19"/>
        </w:rPr>
        <w:t>Bank</w:t>
      </w:r>
      <w:r>
        <w:rPr>
          <w:spacing w:val="-8"/>
          <w:sz w:val="19"/>
        </w:rPr>
        <w:t> </w:t>
      </w:r>
      <w:r>
        <w:rPr>
          <w:sz w:val="19"/>
        </w:rPr>
        <w:t>of</w:t>
      </w:r>
      <w:r>
        <w:rPr>
          <w:spacing w:val="-10"/>
          <w:sz w:val="19"/>
        </w:rPr>
        <w:t> </w:t>
      </w:r>
      <w:r>
        <w:rPr>
          <w:sz w:val="19"/>
        </w:rPr>
        <w:t>Kansas</w:t>
      </w:r>
      <w:r>
        <w:rPr>
          <w:spacing w:val="-8"/>
          <w:sz w:val="19"/>
        </w:rPr>
        <w:t> </w:t>
      </w:r>
      <w:r>
        <w:rPr>
          <w:sz w:val="19"/>
        </w:rPr>
        <w:t>City, pages</w:t>
      </w:r>
      <w:r>
        <w:rPr>
          <w:spacing w:val="-1"/>
          <w:sz w:val="19"/>
        </w:rPr>
        <w:t> </w:t>
      </w:r>
      <w:r>
        <w:rPr>
          <w:sz w:val="19"/>
        </w:rPr>
        <w:t>149-233.</w:t>
      </w:r>
    </w:p>
    <w:p>
      <w:pPr>
        <w:pStyle w:val="BodyText"/>
        <w:spacing w:before="5"/>
      </w:pPr>
    </w:p>
    <w:p>
      <w:pPr>
        <w:spacing w:before="0"/>
        <w:ind w:left="226" w:right="0" w:firstLine="0"/>
        <w:jc w:val="left"/>
        <w:rPr>
          <w:i/>
          <w:sz w:val="19"/>
        </w:rPr>
      </w:pPr>
      <w:r>
        <w:rPr>
          <w:b/>
          <w:sz w:val="19"/>
        </w:rPr>
        <w:t>Miles, D. (1994) </w:t>
      </w:r>
      <w:r>
        <w:rPr>
          <w:i/>
          <w:sz w:val="19"/>
        </w:rPr>
        <w:t>Housing, Financial Markets and the Wider Economy, </w:t>
      </w:r>
      <w:r>
        <w:rPr>
          <w:sz w:val="19"/>
        </w:rPr>
        <w:t>John Wiley</w:t>
      </w:r>
      <w:r>
        <w:rPr>
          <w:i/>
          <w:sz w:val="19"/>
        </w:rPr>
        <w:t>.</w:t>
      </w:r>
    </w:p>
    <w:p>
      <w:pPr>
        <w:pStyle w:val="BodyText"/>
        <w:spacing w:before="3"/>
        <w:rPr>
          <w:i/>
        </w:rPr>
      </w:pPr>
    </w:p>
    <w:p>
      <w:pPr>
        <w:spacing w:before="0"/>
        <w:ind w:left="226" w:right="579" w:firstLine="0"/>
        <w:jc w:val="left"/>
        <w:rPr>
          <w:sz w:val="19"/>
        </w:rPr>
      </w:pPr>
      <w:r>
        <w:rPr>
          <w:b/>
          <w:sz w:val="19"/>
        </w:rPr>
        <w:t>Miles, D (2003)</w:t>
      </w:r>
      <w:r>
        <w:rPr>
          <w:sz w:val="19"/>
        </w:rPr>
        <w:t>, “The UK Mortgage Market: Taking a Longer Term View”, </w:t>
      </w:r>
      <w:r>
        <w:rPr>
          <w:i/>
          <w:sz w:val="19"/>
        </w:rPr>
        <w:t>The Miles Review of the UK </w:t>
      </w:r>
      <w:r>
        <w:rPr>
          <w:i/>
          <w:sz w:val="19"/>
        </w:rPr>
        <w:t>Mortgage Market</w:t>
      </w:r>
      <w:r>
        <w:rPr>
          <w:sz w:val="19"/>
        </w:rPr>
        <w:t>, HM Treasury.</w:t>
      </w:r>
    </w:p>
    <w:p>
      <w:pPr>
        <w:pStyle w:val="BodyText"/>
        <w:spacing w:before="6"/>
      </w:pPr>
    </w:p>
    <w:p>
      <w:pPr>
        <w:spacing w:line="237" w:lineRule="auto" w:before="1"/>
        <w:ind w:left="226" w:right="715" w:firstLine="0"/>
        <w:jc w:val="left"/>
        <w:rPr>
          <w:sz w:val="19"/>
        </w:rPr>
      </w:pPr>
      <w:r>
        <w:rPr>
          <w:b/>
          <w:sz w:val="19"/>
        </w:rPr>
        <w:t>Miles D (2012)</w:t>
      </w:r>
      <w:r>
        <w:rPr>
          <w:sz w:val="19"/>
        </w:rPr>
        <w:t>, Population Density, House Prices and Mortgage Design, </w:t>
      </w:r>
      <w:r>
        <w:rPr>
          <w:i/>
          <w:sz w:val="19"/>
        </w:rPr>
        <w:t>Scottish Journal of Political </w:t>
      </w:r>
      <w:r>
        <w:rPr>
          <w:i/>
          <w:sz w:val="19"/>
        </w:rPr>
        <w:t>Economy</w:t>
      </w:r>
      <w:r>
        <w:rPr>
          <w:sz w:val="19"/>
        </w:rPr>
        <w:t>, Vol. 59, pages 444-466.</w:t>
      </w:r>
    </w:p>
    <w:p>
      <w:pPr>
        <w:pStyle w:val="BodyText"/>
        <w:spacing w:before="4"/>
      </w:pPr>
    </w:p>
    <w:p>
      <w:pPr>
        <w:spacing w:before="0"/>
        <w:ind w:left="226" w:right="0" w:firstLine="0"/>
        <w:jc w:val="left"/>
        <w:rPr>
          <w:sz w:val="19"/>
        </w:rPr>
      </w:pPr>
      <w:r>
        <w:rPr>
          <w:b/>
          <w:sz w:val="19"/>
        </w:rPr>
        <w:t>Miles,</w:t>
      </w:r>
      <w:r>
        <w:rPr>
          <w:b/>
          <w:spacing w:val="-9"/>
          <w:sz w:val="19"/>
        </w:rPr>
        <w:t> </w:t>
      </w:r>
      <w:r>
        <w:rPr>
          <w:b/>
          <w:sz w:val="19"/>
        </w:rPr>
        <w:t>D.,</w:t>
      </w:r>
      <w:r>
        <w:rPr>
          <w:b/>
          <w:spacing w:val="-8"/>
          <w:sz w:val="19"/>
        </w:rPr>
        <w:t> </w:t>
      </w:r>
      <w:r>
        <w:rPr>
          <w:b/>
          <w:sz w:val="19"/>
        </w:rPr>
        <w:t>Marcheggiano,</w:t>
      </w:r>
      <w:r>
        <w:rPr>
          <w:b/>
          <w:spacing w:val="-11"/>
          <w:sz w:val="19"/>
        </w:rPr>
        <w:t> </w:t>
      </w:r>
      <w:r>
        <w:rPr>
          <w:b/>
          <w:sz w:val="19"/>
        </w:rPr>
        <w:t>G.</w:t>
      </w:r>
      <w:r>
        <w:rPr>
          <w:b/>
          <w:spacing w:val="-9"/>
          <w:sz w:val="19"/>
        </w:rPr>
        <w:t> </w:t>
      </w:r>
      <w:r>
        <w:rPr>
          <w:b/>
          <w:sz w:val="19"/>
        </w:rPr>
        <w:t>and</w:t>
      </w:r>
      <w:r>
        <w:rPr>
          <w:b/>
          <w:spacing w:val="-10"/>
          <w:sz w:val="19"/>
        </w:rPr>
        <w:t> </w:t>
      </w:r>
      <w:r>
        <w:rPr>
          <w:b/>
          <w:sz w:val="19"/>
        </w:rPr>
        <w:t>Yang,</w:t>
      </w:r>
      <w:r>
        <w:rPr>
          <w:b/>
          <w:spacing w:val="-9"/>
          <w:sz w:val="19"/>
        </w:rPr>
        <w:t> </w:t>
      </w:r>
      <w:r>
        <w:rPr>
          <w:b/>
          <w:sz w:val="19"/>
        </w:rPr>
        <w:t>J.</w:t>
      </w:r>
      <w:r>
        <w:rPr>
          <w:b/>
          <w:spacing w:val="-9"/>
          <w:sz w:val="19"/>
        </w:rPr>
        <w:t> </w:t>
      </w:r>
      <w:r>
        <w:rPr>
          <w:b/>
          <w:sz w:val="19"/>
        </w:rPr>
        <w:t>(2013)</w:t>
      </w:r>
      <w:r>
        <w:rPr>
          <w:sz w:val="19"/>
        </w:rPr>
        <w:t>,</w:t>
      </w:r>
      <w:r>
        <w:rPr>
          <w:spacing w:val="-9"/>
          <w:sz w:val="19"/>
        </w:rPr>
        <w:t> </w:t>
      </w:r>
      <w:r>
        <w:rPr>
          <w:sz w:val="19"/>
        </w:rPr>
        <w:t>‘Optimal</w:t>
      </w:r>
      <w:r>
        <w:rPr>
          <w:spacing w:val="-10"/>
          <w:sz w:val="19"/>
        </w:rPr>
        <w:t> </w:t>
      </w:r>
      <w:r>
        <w:rPr>
          <w:sz w:val="19"/>
        </w:rPr>
        <w:t>Bank</w:t>
      </w:r>
      <w:r>
        <w:rPr>
          <w:spacing w:val="-10"/>
          <w:sz w:val="19"/>
        </w:rPr>
        <w:t> </w:t>
      </w:r>
      <w:r>
        <w:rPr>
          <w:sz w:val="19"/>
        </w:rPr>
        <w:t>Capital’,</w:t>
      </w:r>
      <w:r>
        <w:rPr>
          <w:spacing w:val="-8"/>
          <w:sz w:val="19"/>
        </w:rPr>
        <w:t> </w:t>
      </w:r>
      <w:r>
        <w:rPr>
          <w:i/>
          <w:sz w:val="19"/>
        </w:rPr>
        <w:t>The</w:t>
      </w:r>
      <w:r>
        <w:rPr>
          <w:i/>
          <w:spacing w:val="-10"/>
          <w:sz w:val="19"/>
        </w:rPr>
        <w:t> </w:t>
      </w:r>
      <w:r>
        <w:rPr>
          <w:i/>
          <w:sz w:val="19"/>
        </w:rPr>
        <w:t>Economic</w:t>
      </w:r>
      <w:r>
        <w:rPr>
          <w:i/>
          <w:spacing w:val="-9"/>
          <w:sz w:val="19"/>
        </w:rPr>
        <w:t> </w:t>
      </w:r>
      <w:r>
        <w:rPr>
          <w:i/>
          <w:sz w:val="19"/>
        </w:rPr>
        <w:t>Journal</w:t>
      </w:r>
      <w:r>
        <w:rPr>
          <w:i/>
          <w:spacing w:val="-10"/>
          <w:sz w:val="19"/>
        </w:rPr>
        <w:t> </w:t>
      </w:r>
      <w:r>
        <w:rPr>
          <w:sz w:val="19"/>
        </w:rPr>
        <w:t>123(567), pages</w:t>
      </w:r>
      <w:r>
        <w:rPr>
          <w:spacing w:val="-1"/>
          <w:sz w:val="19"/>
        </w:rPr>
        <w:t> </w:t>
      </w:r>
      <w:r>
        <w:rPr>
          <w:sz w:val="19"/>
        </w:rPr>
        <w:t>1-37.</w:t>
      </w:r>
    </w:p>
    <w:p>
      <w:pPr>
        <w:pStyle w:val="BodyText"/>
        <w:spacing w:before="4"/>
      </w:pPr>
    </w:p>
    <w:p>
      <w:pPr>
        <w:spacing w:before="0"/>
        <w:ind w:left="226" w:right="0" w:firstLine="0"/>
        <w:jc w:val="left"/>
        <w:rPr>
          <w:sz w:val="19"/>
        </w:rPr>
      </w:pPr>
      <w:r>
        <w:rPr>
          <w:b/>
          <w:sz w:val="19"/>
        </w:rPr>
        <w:t>Sanders,</w:t>
      </w:r>
      <w:r>
        <w:rPr>
          <w:b/>
          <w:spacing w:val="-10"/>
          <w:sz w:val="19"/>
        </w:rPr>
        <w:t> </w:t>
      </w:r>
      <w:r>
        <w:rPr>
          <w:b/>
          <w:sz w:val="19"/>
        </w:rPr>
        <w:t>A.</w:t>
      </w:r>
      <w:r>
        <w:rPr>
          <w:b/>
          <w:spacing w:val="-10"/>
          <w:sz w:val="19"/>
        </w:rPr>
        <w:t> </w:t>
      </w:r>
      <w:r>
        <w:rPr>
          <w:b/>
          <w:sz w:val="19"/>
        </w:rPr>
        <w:t>and</w:t>
      </w:r>
      <w:r>
        <w:rPr>
          <w:b/>
          <w:spacing w:val="-10"/>
          <w:sz w:val="19"/>
        </w:rPr>
        <w:t> </w:t>
      </w:r>
      <w:r>
        <w:rPr>
          <w:b/>
          <w:sz w:val="19"/>
        </w:rPr>
        <w:t>Slawson,</w:t>
      </w:r>
      <w:r>
        <w:rPr>
          <w:b/>
          <w:spacing w:val="-10"/>
          <w:sz w:val="19"/>
        </w:rPr>
        <w:t> </w:t>
      </w:r>
      <w:r>
        <w:rPr>
          <w:b/>
          <w:sz w:val="19"/>
        </w:rPr>
        <w:t>C.</w:t>
      </w:r>
      <w:r>
        <w:rPr>
          <w:b/>
          <w:spacing w:val="-8"/>
          <w:sz w:val="19"/>
        </w:rPr>
        <w:t> </w:t>
      </w:r>
      <w:r>
        <w:rPr>
          <w:b/>
          <w:sz w:val="19"/>
        </w:rPr>
        <w:t>(2005)</w:t>
      </w:r>
      <w:r>
        <w:rPr>
          <w:sz w:val="19"/>
        </w:rPr>
        <w:t>,</w:t>
      </w:r>
      <w:r>
        <w:rPr>
          <w:spacing w:val="-8"/>
          <w:sz w:val="19"/>
        </w:rPr>
        <w:t> </w:t>
      </w:r>
      <w:r>
        <w:rPr>
          <w:sz w:val="19"/>
        </w:rPr>
        <w:t>“Shared</w:t>
      </w:r>
      <w:r>
        <w:rPr>
          <w:spacing w:val="-10"/>
          <w:sz w:val="19"/>
        </w:rPr>
        <w:t> </w:t>
      </w:r>
      <w:r>
        <w:rPr>
          <w:sz w:val="19"/>
        </w:rPr>
        <w:t>appreciation</w:t>
      </w:r>
      <w:r>
        <w:rPr>
          <w:spacing w:val="-10"/>
          <w:sz w:val="19"/>
        </w:rPr>
        <w:t> </w:t>
      </w:r>
      <w:r>
        <w:rPr>
          <w:sz w:val="19"/>
        </w:rPr>
        <w:t>mortgages:</w:t>
      </w:r>
      <w:r>
        <w:rPr>
          <w:spacing w:val="-10"/>
          <w:sz w:val="19"/>
        </w:rPr>
        <w:t> </w:t>
      </w:r>
      <w:r>
        <w:rPr>
          <w:sz w:val="19"/>
        </w:rPr>
        <w:t>Lessons</w:t>
      </w:r>
      <w:r>
        <w:rPr>
          <w:spacing w:val="-10"/>
          <w:sz w:val="19"/>
        </w:rPr>
        <w:t> </w:t>
      </w:r>
      <w:r>
        <w:rPr>
          <w:sz w:val="19"/>
        </w:rPr>
        <w:t>from</w:t>
      </w:r>
      <w:r>
        <w:rPr>
          <w:spacing w:val="-9"/>
          <w:sz w:val="19"/>
        </w:rPr>
        <w:t> </w:t>
      </w:r>
      <w:r>
        <w:rPr>
          <w:sz w:val="19"/>
        </w:rPr>
        <w:t>the</w:t>
      </w:r>
      <w:r>
        <w:rPr>
          <w:spacing w:val="-10"/>
          <w:sz w:val="19"/>
        </w:rPr>
        <w:t> </w:t>
      </w:r>
      <w:r>
        <w:rPr>
          <w:sz w:val="19"/>
        </w:rPr>
        <w:t>U.K”,</w:t>
      </w:r>
      <w:r>
        <w:rPr>
          <w:spacing w:val="-9"/>
          <w:sz w:val="19"/>
        </w:rPr>
        <w:t> </w:t>
      </w:r>
      <w:r>
        <w:rPr>
          <w:i/>
          <w:sz w:val="19"/>
        </w:rPr>
        <w:t>Journal</w:t>
      </w:r>
      <w:r>
        <w:rPr>
          <w:i/>
          <w:spacing w:val="-10"/>
          <w:sz w:val="19"/>
        </w:rPr>
        <w:t> </w:t>
      </w:r>
      <w:r>
        <w:rPr>
          <w:i/>
          <w:sz w:val="19"/>
        </w:rPr>
        <w:t>of </w:t>
      </w:r>
      <w:r>
        <w:rPr>
          <w:i/>
          <w:sz w:val="19"/>
        </w:rPr>
        <w:t>Housing Economics </w:t>
      </w:r>
      <w:r>
        <w:rPr>
          <w:sz w:val="19"/>
        </w:rPr>
        <w:t>14, pages</w:t>
      </w:r>
      <w:r>
        <w:rPr>
          <w:spacing w:val="-2"/>
          <w:sz w:val="19"/>
        </w:rPr>
        <w:t> </w:t>
      </w:r>
      <w:r>
        <w:rPr>
          <w:sz w:val="19"/>
        </w:rPr>
        <w:t>178-193.</w:t>
      </w:r>
    </w:p>
    <w:p>
      <w:pPr>
        <w:pStyle w:val="BodyText"/>
        <w:spacing w:before="2"/>
      </w:pPr>
    </w:p>
    <w:p>
      <w:pPr>
        <w:spacing w:before="0"/>
        <w:ind w:left="226" w:right="0" w:hanging="1"/>
        <w:jc w:val="left"/>
        <w:rPr>
          <w:sz w:val="19"/>
        </w:rPr>
      </w:pPr>
      <w:r>
        <w:rPr>
          <w:b/>
          <w:sz w:val="19"/>
        </w:rPr>
        <w:t>Shiller,</w:t>
      </w:r>
      <w:r>
        <w:rPr>
          <w:b/>
          <w:spacing w:val="-11"/>
          <w:sz w:val="19"/>
        </w:rPr>
        <w:t> </w:t>
      </w:r>
      <w:r>
        <w:rPr>
          <w:b/>
          <w:sz w:val="19"/>
        </w:rPr>
        <w:t>R.</w:t>
      </w:r>
      <w:r>
        <w:rPr>
          <w:b/>
          <w:spacing w:val="-9"/>
          <w:sz w:val="19"/>
        </w:rPr>
        <w:t> </w:t>
      </w:r>
      <w:r>
        <w:rPr>
          <w:b/>
          <w:sz w:val="19"/>
        </w:rPr>
        <w:t>J.</w:t>
      </w:r>
      <w:r>
        <w:rPr>
          <w:b/>
          <w:spacing w:val="-10"/>
          <w:sz w:val="19"/>
        </w:rPr>
        <w:t> </w:t>
      </w:r>
      <w:r>
        <w:rPr>
          <w:b/>
          <w:sz w:val="19"/>
        </w:rPr>
        <w:t>(1998)</w:t>
      </w:r>
      <w:r>
        <w:rPr>
          <w:sz w:val="19"/>
        </w:rPr>
        <w:t>,</w:t>
      </w:r>
      <w:r>
        <w:rPr>
          <w:spacing w:val="-9"/>
          <w:sz w:val="19"/>
        </w:rPr>
        <w:t> </w:t>
      </w:r>
      <w:r>
        <w:rPr>
          <w:i/>
          <w:sz w:val="19"/>
        </w:rPr>
        <w:t>Macro</w:t>
      </w:r>
      <w:r>
        <w:rPr>
          <w:i/>
          <w:spacing w:val="-10"/>
          <w:sz w:val="19"/>
        </w:rPr>
        <w:t> </w:t>
      </w:r>
      <w:r>
        <w:rPr>
          <w:i/>
          <w:sz w:val="19"/>
        </w:rPr>
        <w:t>Markets:</w:t>
      </w:r>
      <w:r>
        <w:rPr>
          <w:i/>
          <w:spacing w:val="-10"/>
          <w:sz w:val="19"/>
        </w:rPr>
        <w:t> </w:t>
      </w:r>
      <w:r>
        <w:rPr>
          <w:i/>
          <w:sz w:val="19"/>
        </w:rPr>
        <w:t>Creating</w:t>
      </w:r>
      <w:r>
        <w:rPr>
          <w:i/>
          <w:spacing w:val="-11"/>
          <w:sz w:val="19"/>
        </w:rPr>
        <w:t> </w:t>
      </w:r>
      <w:r>
        <w:rPr>
          <w:i/>
          <w:sz w:val="19"/>
        </w:rPr>
        <w:t>Institutions</w:t>
      </w:r>
      <w:r>
        <w:rPr>
          <w:i/>
          <w:spacing w:val="-9"/>
          <w:sz w:val="19"/>
        </w:rPr>
        <w:t> </w:t>
      </w:r>
      <w:r>
        <w:rPr>
          <w:i/>
          <w:sz w:val="19"/>
        </w:rPr>
        <w:t>for</w:t>
      </w:r>
      <w:r>
        <w:rPr>
          <w:i/>
          <w:spacing w:val="-10"/>
          <w:sz w:val="19"/>
        </w:rPr>
        <w:t> </w:t>
      </w:r>
      <w:r>
        <w:rPr>
          <w:i/>
          <w:sz w:val="19"/>
        </w:rPr>
        <w:t>Managing</w:t>
      </w:r>
      <w:r>
        <w:rPr>
          <w:i/>
          <w:spacing w:val="-11"/>
          <w:sz w:val="19"/>
        </w:rPr>
        <w:t> </w:t>
      </w:r>
      <w:r>
        <w:rPr>
          <w:i/>
          <w:sz w:val="19"/>
        </w:rPr>
        <w:t>Society's</w:t>
      </w:r>
      <w:r>
        <w:rPr>
          <w:i/>
          <w:spacing w:val="-10"/>
          <w:sz w:val="19"/>
        </w:rPr>
        <w:t> </w:t>
      </w:r>
      <w:r>
        <w:rPr>
          <w:i/>
          <w:sz w:val="19"/>
        </w:rPr>
        <w:t>Largest</w:t>
      </w:r>
      <w:r>
        <w:rPr>
          <w:i/>
          <w:spacing w:val="-9"/>
          <w:sz w:val="19"/>
        </w:rPr>
        <w:t> </w:t>
      </w:r>
      <w:r>
        <w:rPr>
          <w:i/>
          <w:sz w:val="19"/>
        </w:rPr>
        <w:t>Economic</w:t>
      </w:r>
      <w:r>
        <w:rPr>
          <w:i/>
          <w:spacing w:val="-10"/>
          <w:sz w:val="19"/>
        </w:rPr>
        <w:t> </w:t>
      </w:r>
      <w:r>
        <w:rPr>
          <w:i/>
          <w:sz w:val="19"/>
        </w:rPr>
        <w:t>Risks</w:t>
      </w:r>
      <w:r>
        <w:rPr>
          <w:sz w:val="19"/>
        </w:rPr>
        <w:t>, Oxford University</w:t>
      </w:r>
      <w:r>
        <w:rPr>
          <w:spacing w:val="-2"/>
          <w:sz w:val="19"/>
        </w:rPr>
        <w:t> </w:t>
      </w:r>
      <w:r>
        <w:rPr>
          <w:sz w:val="19"/>
        </w:rPr>
        <w:t>Press.</w:t>
      </w:r>
    </w:p>
    <w:p>
      <w:pPr>
        <w:pStyle w:val="BodyText"/>
        <w:spacing w:before="4"/>
      </w:pPr>
    </w:p>
    <w:p>
      <w:pPr>
        <w:spacing w:before="0"/>
        <w:ind w:left="226" w:right="0" w:firstLine="0"/>
        <w:jc w:val="left"/>
        <w:rPr>
          <w:sz w:val="19"/>
        </w:rPr>
      </w:pPr>
      <w:r>
        <w:rPr>
          <w:b/>
          <w:sz w:val="19"/>
        </w:rPr>
        <w:t>Shiller, R. J. (2003)</w:t>
      </w:r>
      <w:r>
        <w:rPr>
          <w:sz w:val="19"/>
        </w:rPr>
        <w:t>, </w:t>
      </w:r>
      <w:r>
        <w:rPr>
          <w:i/>
          <w:sz w:val="19"/>
        </w:rPr>
        <w:t>The New Financial Order: Risk in the 21st Century</w:t>
      </w:r>
      <w:r>
        <w:rPr>
          <w:sz w:val="19"/>
        </w:rPr>
        <w:t>, Princeton University Press.</w:t>
      </w:r>
    </w:p>
    <w:p>
      <w:pPr>
        <w:spacing w:after="0"/>
        <w:jc w:val="left"/>
        <w:rPr>
          <w:sz w:val="19"/>
        </w:rPr>
        <w:sectPr>
          <w:pgSz w:w="12240" w:h="15840"/>
          <w:pgMar w:header="0" w:footer="1240" w:top="1340" w:bottom="1440" w:left="1360" w:right="1480"/>
        </w:sectPr>
      </w:pPr>
    </w:p>
    <w:p>
      <w:pPr>
        <w:spacing w:before="70"/>
        <w:ind w:left="226" w:right="0" w:firstLine="0"/>
        <w:jc w:val="left"/>
        <w:rPr>
          <w:sz w:val="19"/>
        </w:rPr>
      </w:pPr>
      <w:r>
        <w:rPr>
          <w:b/>
          <w:sz w:val="19"/>
        </w:rPr>
        <w:t>Shiller,</w:t>
      </w:r>
      <w:r>
        <w:rPr>
          <w:b/>
          <w:spacing w:val="-9"/>
          <w:sz w:val="19"/>
        </w:rPr>
        <w:t> </w:t>
      </w:r>
      <w:r>
        <w:rPr>
          <w:b/>
          <w:sz w:val="19"/>
        </w:rPr>
        <w:t>R.</w:t>
      </w:r>
      <w:r>
        <w:rPr>
          <w:b/>
          <w:spacing w:val="-7"/>
          <w:sz w:val="19"/>
        </w:rPr>
        <w:t> </w:t>
      </w:r>
      <w:r>
        <w:rPr>
          <w:b/>
          <w:sz w:val="19"/>
        </w:rPr>
        <w:t>J.</w:t>
      </w:r>
      <w:r>
        <w:rPr>
          <w:b/>
          <w:spacing w:val="-8"/>
          <w:sz w:val="19"/>
        </w:rPr>
        <w:t> </w:t>
      </w:r>
      <w:r>
        <w:rPr>
          <w:b/>
          <w:sz w:val="19"/>
        </w:rPr>
        <w:t>and</w:t>
      </w:r>
      <w:r>
        <w:rPr>
          <w:b/>
          <w:spacing w:val="-7"/>
          <w:sz w:val="19"/>
        </w:rPr>
        <w:t> </w:t>
      </w:r>
      <w:r>
        <w:rPr>
          <w:b/>
          <w:sz w:val="19"/>
        </w:rPr>
        <w:t>Weiss,</w:t>
      </w:r>
      <w:r>
        <w:rPr>
          <w:b/>
          <w:spacing w:val="-6"/>
          <w:sz w:val="19"/>
        </w:rPr>
        <w:t> </w:t>
      </w:r>
      <w:r>
        <w:rPr>
          <w:b/>
          <w:sz w:val="19"/>
        </w:rPr>
        <w:t>A.</w:t>
      </w:r>
      <w:r>
        <w:rPr>
          <w:b/>
          <w:spacing w:val="-7"/>
          <w:sz w:val="19"/>
        </w:rPr>
        <w:t> </w:t>
      </w:r>
      <w:r>
        <w:rPr>
          <w:b/>
          <w:sz w:val="19"/>
        </w:rPr>
        <w:t>(2000)</w:t>
      </w:r>
      <w:r>
        <w:rPr>
          <w:sz w:val="19"/>
        </w:rPr>
        <w:t>,</w:t>
      </w:r>
      <w:r>
        <w:rPr>
          <w:spacing w:val="-8"/>
          <w:sz w:val="19"/>
        </w:rPr>
        <w:t> </w:t>
      </w:r>
      <w:r>
        <w:rPr>
          <w:sz w:val="19"/>
        </w:rPr>
        <w:t>“Moral</w:t>
      </w:r>
      <w:r>
        <w:rPr>
          <w:spacing w:val="-8"/>
          <w:sz w:val="19"/>
        </w:rPr>
        <w:t> </w:t>
      </w:r>
      <w:r>
        <w:rPr>
          <w:sz w:val="19"/>
        </w:rPr>
        <w:t>hazard</w:t>
      </w:r>
      <w:r>
        <w:rPr>
          <w:spacing w:val="-8"/>
          <w:sz w:val="19"/>
        </w:rPr>
        <w:t> </w:t>
      </w:r>
      <w:r>
        <w:rPr>
          <w:sz w:val="19"/>
        </w:rPr>
        <w:t>in</w:t>
      </w:r>
      <w:r>
        <w:rPr>
          <w:spacing w:val="-7"/>
          <w:sz w:val="19"/>
        </w:rPr>
        <w:t> </w:t>
      </w:r>
      <w:r>
        <w:rPr>
          <w:sz w:val="19"/>
        </w:rPr>
        <w:t>home</w:t>
      </w:r>
      <w:r>
        <w:rPr>
          <w:spacing w:val="-8"/>
          <w:sz w:val="19"/>
        </w:rPr>
        <w:t> </w:t>
      </w:r>
      <w:r>
        <w:rPr>
          <w:sz w:val="19"/>
        </w:rPr>
        <w:t>equity</w:t>
      </w:r>
      <w:r>
        <w:rPr>
          <w:spacing w:val="-7"/>
          <w:sz w:val="19"/>
        </w:rPr>
        <w:t> </w:t>
      </w:r>
      <w:r>
        <w:rPr>
          <w:sz w:val="19"/>
        </w:rPr>
        <w:t>conversion”,</w:t>
      </w:r>
      <w:r>
        <w:rPr>
          <w:spacing w:val="-8"/>
          <w:sz w:val="19"/>
        </w:rPr>
        <w:t> </w:t>
      </w:r>
      <w:r>
        <w:rPr>
          <w:i/>
          <w:sz w:val="19"/>
        </w:rPr>
        <w:t>Real</w:t>
      </w:r>
      <w:r>
        <w:rPr>
          <w:i/>
          <w:spacing w:val="-7"/>
          <w:sz w:val="19"/>
        </w:rPr>
        <w:t> </w:t>
      </w:r>
      <w:r>
        <w:rPr>
          <w:i/>
          <w:sz w:val="19"/>
        </w:rPr>
        <w:t>Estate</w:t>
      </w:r>
      <w:r>
        <w:rPr>
          <w:i/>
          <w:spacing w:val="-10"/>
          <w:sz w:val="19"/>
        </w:rPr>
        <w:t> </w:t>
      </w:r>
      <w:r>
        <w:rPr>
          <w:i/>
          <w:sz w:val="19"/>
        </w:rPr>
        <w:t>Economics</w:t>
      </w:r>
      <w:r>
        <w:rPr>
          <w:i/>
          <w:spacing w:val="-7"/>
          <w:sz w:val="19"/>
        </w:rPr>
        <w:t> </w:t>
      </w:r>
      <w:r>
        <w:rPr>
          <w:sz w:val="19"/>
        </w:rPr>
        <w:t>28, pages</w:t>
      </w:r>
      <w:r>
        <w:rPr>
          <w:spacing w:val="-1"/>
          <w:sz w:val="19"/>
        </w:rPr>
        <w:t> </w:t>
      </w:r>
      <w:r>
        <w:rPr>
          <w:sz w:val="19"/>
        </w:rPr>
        <w:t>1-31.</w:t>
      </w:r>
    </w:p>
    <w:p>
      <w:pPr>
        <w:pStyle w:val="BodyText"/>
        <w:spacing w:before="2"/>
      </w:pPr>
    </w:p>
    <w:p>
      <w:pPr>
        <w:spacing w:before="0"/>
        <w:ind w:left="226" w:right="218" w:firstLine="0"/>
        <w:jc w:val="left"/>
        <w:rPr>
          <w:sz w:val="19"/>
        </w:rPr>
      </w:pPr>
      <w:r>
        <w:rPr>
          <w:b/>
          <w:sz w:val="19"/>
        </w:rPr>
        <w:t>Whitehead, C. and Yates, J. (2010)</w:t>
      </w:r>
      <w:r>
        <w:rPr>
          <w:sz w:val="19"/>
        </w:rPr>
        <w:t>, “Is there a role for shared equity products in twenty-first century housing?</w:t>
      </w:r>
      <w:r>
        <w:rPr>
          <w:spacing w:val="-10"/>
          <w:sz w:val="19"/>
        </w:rPr>
        <w:t> </w:t>
      </w:r>
      <w:r>
        <w:rPr>
          <w:sz w:val="19"/>
        </w:rPr>
        <w:t>Experience</w:t>
      </w:r>
      <w:r>
        <w:rPr>
          <w:spacing w:val="-8"/>
          <w:sz w:val="19"/>
        </w:rPr>
        <w:t> </w:t>
      </w:r>
      <w:r>
        <w:rPr>
          <w:sz w:val="19"/>
        </w:rPr>
        <w:t>in</w:t>
      </w:r>
      <w:r>
        <w:rPr>
          <w:spacing w:val="-9"/>
          <w:sz w:val="19"/>
        </w:rPr>
        <w:t> </w:t>
      </w:r>
      <w:r>
        <w:rPr>
          <w:sz w:val="19"/>
        </w:rPr>
        <w:t>Australia</w:t>
      </w:r>
      <w:r>
        <w:rPr>
          <w:spacing w:val="-8"/>
          <w:sz w:val="19"/>
        </w:rPr>
        <w:t> </w:t>
      </w:r>
      <w:r>
        <w:rPr>
          <w:sz w:val="19"/>
        </w:rPr>
        <w:t>and</w:t>
      </w:r>
      <w:r>
        <w:rPr>
          <w:spacing w:val="-9"/>
          <w:sz w:val="19"/>
        </w:rPr>
        <w:t> </w:t>
      </w:r>
      <w:r>
        <w:rPr>
          <w:sz w:val="19"/>
        </w:rPr>
        <w:t>the</w:t>
      </w:r>
      <w:r>
        <w:rPr>
          <w:spacing w:val="-8"/>
          <w:sz w:val="19"/>
        </w:rPr>
        <w:t> </w:t>
      </w:r>
      <w:r>
        <w:rPr>
          <w:sz w:val="19"/>
        </w:rPr>
        <w:t>UK”</w:t>
      </w:r>
      <w:r>
        <w:rPr>
          <w:i/>
          <w:sz w:val="19"/>
        </w:rPr>
        <w:t>,</w:t>
      </w:r>
      <w:r>
        <w:rPr>
          <w:i/>
          <w:spacing w:val="-7"/>
          <w:sz w:val="19"/>
        </w:rPr>
        <w:t> </w:t>
      </w:r>
      <w:r>
        <w:rPr>
          <w:sz w:val="19"/>
        </w:rPr>
        <w:t>in</w:t>
      </w:r>
      <w:r>
        <w:rPr>
          <w:spacing w:val="-9"/>
          <w:sz w:val="19"/>
        </w:rPr>
        <w:t> </w:t>
      </w:r>
      <w:r>
        <w:rPr>
          <w:sz w:val="19"/>
        </w:rPr>
        <w:t>Smith,</w:t>
      </w:r>
      <w:r>
        <w:rPr>
          <w:spacing w:val="-9"/>
          <w:sz w:val="19"/>
        </w:rPr>
        <w:t> </w:t>
      </w:r>
      <w:r>
        <w:rPr>
          <w:sz w:val="19"/>
        </w:rPr>
        <w:t>S.</w:t>
      </w:r>
      <w:r>
        <w:rPr>
          <w:spacing w:val="-8"/>
          <w:sz w:val="19"/>
        </w:rPr>
        <w:t> </w:t>
      </w:r>
      <w:r>
        <w:rPr>
          <w:sz w:val="19"/>
        </w:rPr>
        <w:t>and</w:t>
      </w:r>
      <w:r>
        <w:rPr>
          <w:spacing w:val="-10"/>
          <w:sz w:val="19"/>
        </w:rPr>
        <w:t> </w:t>
      </w:r>
      <w:r>
        <w:rPr>
          <w:sz w:val="19"/>
        </w:rPr>
        <w:t>Searle,</w:t>
      </w:r>
      <w:r>
        <w:rPr>
          <w:spacing w:val="-8"/>
          <w:sz w:val="19"/>
        </w:rPr>
        <w:t> </w:t>
      </w:r>
      <w:r>
        <w:rPr>
          <w:sz w:val="19"/>
        </w:rPr>
        <w:t>B.,</w:t>
      </w:r>
      <w:r>
        <w:rPr>
          <w:spacing w:val="-9"/>
          <w:sz w:val="19"/>
        </w:rPr>
        <w:t> </w:t>
      </w:r>
      <w:r>
        <w:rPr>
          <w:sz w:val="19"/>
        </w:rPr>
        <w:t>(eds),</w:t>
      </w:r>
      <w:r>
        <w:rPr>
          <w:spacing w:val="-10"/>
          <w:sz w:val="19"/>
        </w:rPr>
        <w:t> </w:t>
      </w:r>
      <w:r>
        <w:rPr>
          <w:i/>
          <w:sz w:val="19"/>
        </w:rPr>
        <w:t>The</w:t>
      </w:r>
      <w:r>
        <w:rPr>
          <w:i/>
          <w:spacing w:val="-8"/>
          <w:sz w:val="19"/>
        </w:rPr>
        <w:t> </w:t>
      </w:r>
      <w:r>
        <w:rPr>
          <w:i/>
          <w:sz w:val="19"/>
        </w:rPr>
        <w:t>Blackwell</w:t>
      </w:r>
      <w:r>
        <w:rPr>
          <w:i/>
          <w:spacing w:val="-9"/>
          <w:sz w:val="19"/>
        </w:rPr>
        <w:t> </w:t>
      </w:r>
      <w:r>
        <w:rPr>
          <w:i/>
          <w:sz w:val="19"/>
        </w:rPr>
        <w:t>companion </w:t>
      </w:r>
      <w:r>
        <w:rPr>
          <w:i/>
          <w:sz w:val="19"/>
        </w:rPr>
        <w:t>to</w:t>
      </w:r>
      <w:r>
        <w:rPr>
          <w:i/>
          <w:spacing w:val="-5"/>
          <w:sz w:val="19"/>
        </w:rPr>
        <w:t> </w:t>
      </w:r>
      <w:r>
        <w:rPr>
          <w:i/>
          <w:sz w:val="19"/>
        </w:rPr>
        <w:t>the</w:t>
      </w:r>
      <w:r>
        <w:rPr>
          <w:i/>
          <w:spacing w:val="-4"/>
          <w:sz w:val="19"/>
        </w:rPr>
        <w:t> </w:t>
      </w:r>
      <w:r>
        <w:rPr>
          <w:i/>
          <w:sz w:val="19"/>
        </w:rPr>
        <w:t>economics</w:t>
      </w:r>
      <w:r>
        <w:rPr>
          <w:i/>
          <w:spacing w:val="-4"/>
          <w:sz w:val="19"/>
        </w:rPr>
        <w:t> </w:t>
      </w:r>
      <w:r>
        <w:rPr>
          <w:i/>
          <w:sz w:val="19"/>
        </w:rPr>
        <w:t>of</w:t>
      </w:r>
      <w:r>
        <w:rPr>
          <w:i/>
          <w:spacing w:val="-3"/>
          <w:sz w:val="19"/>
        </w:rPr>
        <w:t> </w:t>
      </w:r>
      <w:r>
        <w:rPr>
          <w:i/>
          <w:sz w:val="19"/>
        </w:rPr>
        <w:t>housing:</w:t>
      </w:r>
      <w:r>
        <w:rPr>
          <w:i/>
          <w:spacing w:val="-3"/>
          <w:sz w:val="19"/>
        </w:rPr>
        <w:t> </w:t>
      </w:r>
      <w:r>
        <w:rPr>
          <w:i/>
          <w:sz w:val="19"/>
        </w:rPr>
        <w:t>the</w:t>
      </w:r>
      <w:r>
        <w:rPr>
          <w:i/>
          <w:spacing w:val="-5"/>
          <w:sz w:val="19"/>
        </w:rPr>
        <w:t> </w:t>
      </w:r>
      <w:r>
        <w:rPr>
          <w:i/>
          <w:sz w:val="19"/>
        </w:rPr>
        <w:t>housing</w:t>
      </w:r>
      <w:r>
        <w:rPr>
          <w:i/>
          <w:spacing w:val="-4"/>
          <w:sz w:val="19"/>
        </w:rPr>
        <w:t> </w:t>
      </w:r>
      <w:r>
        <w:rPr>
          <w:i/>
          <w:sz w:val="19"/>
        </w:rPr>
        <w:t>wealth</w:t>
      </w:r>
      <w:r>
        <w:rPr>
          <w:i/>
          <w:spacing w:val="-5"/>
          <w:sz w:val="19"/>
        </w:rPr>
        <w:t> </w:t>
      </w:r>
      <w:r>
        <w:rPr>
          <w:i/>
          <w:sz w:val="19"/>
        </w:rPr>
        <w:t>of</w:t>
      </w:r>
      <w:r>
        <w:rPr>
          <w:i/>
          <w:spacing w:val="-2"/>
          <w:sz w:val="19"/>
        </w:rPr>
        <w:t> </w:t>
      </w:r>
      <w:r>
        <w:rPr>
          <w:i/>
          <w:sz w:val="19"/>
        </w:rPr>
        <w:t>nations,</w:t>
      </w:r>
      <w:r>
        <w:rPr>
          <w:i/>
          <w:spacing w:val="-3"/>
          <w:sz w:val="19"/>
        </w:rPr>
        <w:t> </w:t>
      </w:r>
      <w:r>
        <w:rPr>
          <w:sz w:val="19"/>
        </w:rPr>
        <w:t>Wiley-Blackwell,</w:t>
      </w:r>
      <w:r>
        <w:rPr>
          <w:spacing w:val="-2"/>
          <w:sz w:val="19"/>
        </w:rPr>
        <w:t> </w:t>
      </w:r>
      <w:r>
        <w:rPr>
          <w:sz w:val="19"/>
        </w:rPr>
        <w:t>pages</w:t>
      </w:r>
      <w:r>
        <w:rPr>
          <w:spacing w:val="-4"/>
          <w:sz w:val="19"/>
        </w:rPr>
        <w:t> </w:t>
      </w:r>
      <w:r>
        <w:rPr>
          <w:sz w:val="19"/>
        </w:rPr>
        <w:t>481-498.</w:t>
      </w:r>
    </w:p>
    <w:sectPr>
      <w:pgSz w:w="12240" w:h="15840"/>
      <w:pgMar w:header="0" w:footer="1240" w:top="128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14688"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291366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4998pt;width:439.6pt;height:12.55pt;mso-position-horizontal-relative:page;mso-position-vertical-relative:page;z-index:-25291264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1161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9105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pt;margin-top:726.185547pt;width:439.6pt;height:12.55pt;mso-position-horizontal-relative:page;mso-position-vertical-relative:page;z-index:-25290956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90854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0752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9064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66.680pt;margin-top:726.185547pt;width:439.6pt;height:12.55pt;mso-position-horizontal-relative:page;mso-position-vertical-relative:page;z-index:-2529054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904448" type="#_x0000_t202" filled="false" stroked="false">
          <v:textbox inset="0,0,0,0">
            <w:txbxContent>
              <w:p>
                <w:pPr>
                  <w:pStyle w:val="BodyText"/>
                  <w:spacing w:before="12"/>
                  <w:ind w:left="20"/>
                </w:pPr>
                <w:r>
                  <w:rPr>
                    <w:w w:val="99"/>
                  </w:rPr>
                  <w:t>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0342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90240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pt;margin-top:726.185547pt;width:439.6pt;height:12.55pt;mso-position-horizontal-relative:page;mso-position-vertical-relative:page;z-index:-2529013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900352" type="#_x0000_t202" filled="false" stroked="false">
          <v:textbox inset="0,0,0,0">
            <w:txbxContent>
              <w:p>
                <w:pPr>
                  <w:pStyle w:val="BodyText"/>
                  <w:spacing w:before="12"/>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9932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89830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6.680pt;margin-top:726.185547pt;width:439.6pt;height:12.55pt;mso-position-horizontal-relative:page;mso-position-vertical-relative:page;z-index:-25289728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896256"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27" w:hanging="299"/>
        <w:jc w:val="left"/>
      </w:pPr>
      <w:rPr>
        <w:rFonts w:hint="default" w:ascii="Arial" w:hAnsi="Arial" w:eastAsia="Arial" w:cs="Arial"/>
        <w:w w:val="99"/>
        <w:sz w:val="15"/>
        <w:szCs w:val="15"/>
      </w:rPr>
    </w:lvl>
    <w:lvl w:ilvl="1">
      <w:start w:val="0"/>
      <w:numFmt w:val="bullet"/>
      <w:lvlText w:val="•"/>
      <w:lvlJc w:val="left"/>
      <w:pPr>
        <w:ind w:left="1498" w:hanging="299"/>
      </w:pPr>
      <w:rPr>
        <w:rFonts w:hint="default"/>
      </w:rPr>
    </w:lvl>
    <w:lvl w:ilvl="2">
      <w:start w:val="0"/>
      <w:numFmt w:val="bullet"/>
      <w:lvlText w:val="•"/>
      <w:lvlJc w:val="left"/>
      <w:pPr>
        <w:ind w:left="2376" w:hanging="299"/>
      </w:pPr>
      <w:rPr>
        <w:rFonts w:hint="default"/>
      </w:rPr>
    </w:lvl>
    <w:lvl w:ilvl="3">
      <w:start w:val="0"/>
      <w:numFmt w:val="bullet"/>
      <w:lvlText w:val="•"/>
      <w:lvlJc w:val="left"/>
      <w:pPr>
        <w:ind w:left="3254" w:hanging="299"/>
      </w:pPr>
      <w:rPr>
        <w:rFonts w:hint="default"/>
      </w:rPr>
    </w:lvl>
    <w:lvl w:ilvl="4">
      <w:start w:val="0"/>
      <w:numFmt w:val="bullet"/>
      <w:lvlText w:val="•"/>
      <w:lvlJc w:val="left"/>
      <w:pPr>
        <w:ind w:left="4132" w:hanging="299"/>
      </w:pPr>
      <w:rPr>
        <w:rFonts w:hint="default"/>
      </w:rPr>
    </w:lvl>
    <w:lvl w:ilvl="5">
      <w:start w:val="0"/>
      <w:numFmt w:val="bullet"/>
      <w:lvlText w:val="•"/>
      <w:lvlJc w:val="left"/>
      <w:pPr>
        <w:ind w:left="5010" w:hanging="299"/>
      </w:pPr>
      <w:rPr>
        <w:rFonts w:hint="default"/>
      </w:rPr>
    </w:lvl>
    <w:lvl w:ilvl="6">
      <w:start w:val="0"/>
      <w:numFmt w:val="bullet"/>
      <w:lvlText w:val="•"/>
      <w:lvlJc w:val="left"/>
      <w:pPr>
        <w:ind w:left="5888" w:hanging="299"/>
      </w:pPr>
      <w:rPr>
        <w:rFonts w:hint="default"/>
      </w:rPr>
    </w:lvl>
    <w:lvl w:ilvl="7">
      <w:start w:val="0"/>
      <w:numFmt w:val="bullet"/>
      <w:lvlText w:val="•"/>
      <w:lvlJc w:val="left"/>
      <w:pPr>
        <w:ind w:left="6766" w:hanging="299"/>
      </w:pPr>
      <w:rPr>
        <w:rFonts w:hint="default"/>
      </w:rPr>
    </w:lvl>
    <w:lvl w:ilvl="8">
      <w:start w:val="0"/>
      <w:numFmt w:val="bullet"/>
      <w:lvlText w:val="•"/>
      <w:lvlJc w:val="left"/>
      <w:pPr>
        <w:ind w:left="7644" w:hanging="299"/>
      </w:pPr>
      <w:rPr>
        <w:rFonts w:hint="default"/>
      </w:rPr>
    </w:lvl>
  </w:abstractNum>
  <w:abstractNum w:abstractNumId="0">
    <w:multiLevelType w:val="hybridMultilevel"/>
    <w:lvl w:ilvl="0">
      <w:start w:val="0"/>
      <w:numFmt w:val="bullet"/>
      <w:lvlText w:val="–"/>
      <w:lvlJc w:val="left"/>
      <w:pPr>
        <w:ind w:left="226" w:hanging="158"/>
      </w:pPr>
      <w:rPr>
        <w:rFonts w:hint="default" w:ascii="Arial" w:hAnsi="Arial" w:eastAsia="Arial" w:cs="Arial"/>
        <w:w w:val="99"/>
        <w:sz w:val="19"/>
        <w:szCs w:val="19"/>
      </w:rPr>
    </w:lvl>
    <w:lvl w:ilvl="1">
      <w:start w:val="0"/>
      <w:numFmt w:val="bullet"/>
      <w:lvlText w:val="•"/>
      <w:lvlJc w:val="left"/>
      <w:pPr>
        <w:ind w:left="1138" w:hanging="158"/>
      </w:pPr>
      <w:rPr>
        <w:rFonts w:hint="default"/>
      </w:rPr>
    </w:lvl>
    <w:lvl w:ilvl="2">
      <w:start w:val="0"/>
      <w:numFmt w:val="bullet"/>
      <w:lvlText w:val="•"/>
      <w:lvlJc w:val="left"/>
      <w:pPr>
        <w:ind w:left="2056" w:hanging="158"/>
      </w:pPr>
      <w:rPr>
        <w:rFonts w:hint="default"/>
      </w:rPr>
    </w:lvl>
    <w:lvl w:ilvl="3">
      <w:start w:val="0"/>
      <w:numFmt w:val="bullet"/>
      <w:lvlText w:val="•"/>
      <w:lvlJc w:val="left"/>
      <w:pPr>
        <w:ind w:left="2974" w:hanging="158"/>
      </w:pPr>
      <w:rPr>
        <w:rFonts w:hint="default"/>
      </w:rPr>
    </w:lvl>
    <w:lvl w:ilvl="4">
      <w:start w:val="0"/>
      <w:numFmt w:val="bullet"/>
      <w:lvlText w:val="•"/>
      <w:lvlJc w:val="left"/>
      <w:pPr>
        <w:ind w:left="3892" w:hanging="158"/>
      </w:pPr>
      <w:rPr>
        <w:rFonts w:hint="default"/>
      </w:rPr>
    </w:lvl>
    <w:lvl w:ilvl="5">
      <w:start w:val="0"/>
      <w:numFmt w:val="bullet"/>
      <w:lvlText w:val="•"/>
      <w:lvlJc w:val="left"/>
      <w:pPr>
        <w:ind w:left="4810" w:hanging="158"/>
      </w:pPr>
      <w:rPr>
        <w:rFonts w:hint="default"/>
      </w:rPr>
    </w:lvl>
    <w:lvl w:ilvl="6">
      <w:start w:val="0"/>
      <w:numFmt w:val="bullet"/>
      <w:lvlText w:val="•"/>
      <w:lvlJc w:val="left"/>
      <w:pPr>
        <w:ind w:left="5728" w:hanging="158"/>
      </w:pPr>
      <w:rPr>
        <w:rFonts w:hint="default"/>
      </w:rPr>
    </w:lvl>
    <w:lvl w:ilvl="7">
      <w:start w:val="0"/>
      <w:numFmt w:val="bullet"/>
      <w:lvlText w:val="•"/>
      <w:lvlJc w:val="left"/>
      <w:pPr>
        <w:ind w:left="6646" w:hanging="158"/>
      </w:pPr>
      <w:rPr>
        <w:rFonts w:hint="default"/>
      </w:rPr>
    </w:lvl>
    <w:lvl w:ilvl="8">
      <w:start w:val="0"/>
      <w:numFmt w:val="bullet"/>
      <w:lvlText w:val="•"/>
      <w:lvlJc w:val="left"/>
      <w:pPr>
        <w:ind w:left="7564" w:hanging="15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ind w:left="226" w:right="138"/>
    </w:pPr>
    <w:rPr>
      <w:rFonts w:ascii="Arial" w:hAnsi="Arial" w:eastAsia="Arial" w:cs="Arial"/>
    </w:rPr>
  </w:style>
  <w:style w:styleId="TableParagraph" w:type="paragraph">
    <w:name w:val="Table Paragraph"/>
    <w:basedOn w:val="Normal"/>
    <w:uiPriority w:val="1"/>
    <w:qFormat/>
    <w:pPr>
      <w:spacing w:before="8"/>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hyperlink" Target="http://www.housingamerica.org/RIHA/RIHA/Publications/74023_10122_Research_RIHA_Lea_Report.pdf" TargetMode="External"/><Relationship Id="rId11" Type="http://schemas.openxmlformats.org/officeDocument/2006/relationships/hyperlink" Target="http://www.rba.gov.au/publications/bulletin/2012/dec/2.html)" TargetMode="Externa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David Miles</dc:subject>
  <dc:title>Housing, leverage and stability in the wider economy</dc:title>
  <dcterms:created xsi:type="dcterms:W3CDTF">2020-06-02T17:42:07Z</dcterms:created>
  <dcterms:modified xsi:type="dcterms:W3CDTF">2020-06-02T17:42:07Z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2013-11-14T00:00:00Z</vt:filetime>
  </property>
  <property fmtid="{D5CDD505-2E9C-101B-9397-08002B2CF9AE}" pid="3" name="Creator">
    <vt:lpwstr>PScript5.dll Version 5.2.2</vt:lpwstr>
  </property>
  <property fmtid="{D5CDD505-2E9C-101B-9397-08002B2CF9AE}" pid="4" name="LastSaved">
    <vt:filetime>2020-06-02T00:00:00Z</vt:filetime>
  </property>
</Properties>
</file>