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3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17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313" w:right="0" w:firstLine="0"/>
        <w:jc w:val="left"/>
        <w:rPr>
          <w:b/>
          <w:sz w:val="32"/>
        </w:rPr>
      </w:pPr>
      <w:r>
        <w:rPr>
          <w:b/>
          <w:color w:val="6A709F"/>
          <w:sz w:val="32"/>
        </w:rPr>
        <w:t>How Monetary Policy Affects Your GDP</w:t>
      </w:r>
    </w:p>
    <w:p>
      <w:pPr>
        <w:spacing w:before="281"/>
        <w:ind w:left="313" w:right="0" w:firstLine="0"/>
        <w:jc w:val="left"/>
        <w:rPr>
          <w:sz w:val="24"/>
        </w:rPr>
      </w:pPr>
      <w:r>
        <w:rPr>
          <w:sz w:val="24"/>
        </w:rPr>
        <w:t>Speech given</w:t>
      </w:r>
      <w:r>
        <w:rPr>
          <w:spacing w:val="-7"/>
          <w:sz w:val="24"/>
        </w:rPr>
        <w:t> </w:t>
      </w:r>
      <w:r>
        <w:rPr>
          <w:sz w:val="24"/>
        </w:rPr>
        <w:t>by</w:t>
      </w:r>
    </w:p>
    <w:p>
      <w:pPr>
        <w:pStyle w:val="BodyText"/>
        <w:rPr>
          <w:sz w:val="26"/>
        </w:rPr>
      </w:pPr>
    </w:p>
    <w:p>
      <w:pPr>
        <w:pStyle w:val="BodyText"/>
        <w:rPr>
          <w:sz w:val="22"/>
        </w:rPr>
      </w:pPr>
    </w:p>
    <w:p>
      <w:pPr>
        <w:spacing w:line="360" w:lineRule="auto" w:before="0"/>
        <w:ind w:left="313" w:right="7542" w:firstLine="0"/>
        <w:jc w:val="left"/>
        <w:rPr>
          <w:sz w:val="24"/>
        </w:rPr>
      </w:pPr>
      <w:r>
        <w:rPr>
          <w:sz w:val="24"/>
        </w:rPr>
        <w:t>Andrew G </w:t>
      </w:r>
      <w:r>
        <w:rPr>
          <w:spacing w:val="-3"/>
          <w:sz w:val="24"/>
        </w:rPr>
        <w:t>Haldane </w:t>
      </w:r>
      <w:r>
        <w:rPr>
          <w:sz w:val="24"/>
        </w:rPr>
        <w:t>Chief Economist Bank of</w:t>
      </w:r>
      <w:r>
        <w:rPr>
          <w:spacing w:val="-2"/>
          <w:sz w:val="24"/>
        </w:rPr>
        <w:t> </w:t>
      </w:r>
      <w:r>
        <w:rPr>
          <w:sz w:val="24"/>
        </w:rPr>
        <w:t>England</w:t>
      </w:r>
    </w:p>
    <w:p>
      <w:pPr>
        <w:pStyle w:val="BodyText"/>
        <w:rPr>
          <w:sz w:val="26"/>
        </w:rPr>
      </w:pPr>
    </w:p>
    <w:p>
      <w:pPr>
        <w:pStyle w:val="BodyText"/>
        <w:rPr>
          <w:sz w:val="26"/>
        </w:rPr>
      </w:pPr>
    </w:p>
    <w:p>
      <w:pPr>
        <w:pStyle w:val="BodyText"/>
        <w:rPr>
          <w:sz w:val="26"/>
        </w:rPr>
      </w:pPr>
    </w:p>
    <w:p>
      <w:pPr>
        <w:pStyle w:val="BodyText"/>
        <w:spacing w:before="1"/>
        <w:rPr>
          <w:sz w:val="30"/>
        </w:rPr>
      </w:pPr>
    </w:p>
    <w:p>
      <w:pPr>
        <w:spacing w:line="360" w:lineRule="auto" w:before="0"/>
        <w:ind w:left="313" w:right="5688" w:firstLine="0"/>
        <w:jc w:val="left"/>
        <w:rPr>
          <w:sz w:val="24"/>
        </w:rPr>
      </w:pPr>
      <w:r>
        <w:rPr>
          <w:sz w:val="24"/>
        </w:rPr>
        <w:t>Finch Lecture, University of Melbourne 10 April 2018</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28"/>
        </w:rPr>
      </w:pPr>
    </w:p>
    <w:p>
      <w:pPr>
        <w:pStyle w:val="BodyText"/>
        <w:spacing w:before="93"/>
        <w:ind w:left="313" w:right="1058"/>
      </w:pPr>
      <w:r>
        <w:rPr/>
        <w:t>The views expressed here are not necessarily those of the Bank of England or the Monetary Policy Committee. I would like to thank Phil Bunn, Shiv Chowla, Fergus Cumming, Alice Pugh and</w:t>
      </w:r>
    </w:p>
    <w:p>
      <w:pPr>
        <w:pStyle w:val="BodyText"/>
        <w:spacing w:before="1"/>
        <w:ind w:left="313" w:right="848"/>
      </w:pPr>
      <w:r>
        <w:rPr/>
        <w:t>Chris Yeates for their help in preparing the text. I would like to thank James Benford, Tom Belsham, Ben Broadbent, David Halpern, Michael Hallsworth, Clare Macallan and Michael Saunders for their comments.</w:t>
      </w:r>
    </w:p>
    <w:p>
      <w:pPr>
        <w:spacing w:after="0"/>
        <w:sectPr>
          <w:footerReference w:type="default" r:id="rId5"/>
          <w:type w:val="continuous"/>
          <w:pgSz w:w="11910" w:h="16840"/>
          <w:pgMar w:footer="1338" w:top="1180" w:bottom="1520" w:left="820" w:right="960"/>
        </w:sectPr>
      </w:pPr>
    </w:p>
    <w:p>
      <w:pPr>
        <w:pStyle w:val="BodyText"/>
        <w:spacing w:before="79"/>
        <w:ind w:left="313"/>
      </w:pPr>
      <w:r>
        <w:rPr/>
        <w:t>I am honoured to be here at the University of Melbourne to deliver this year’s Finch Lecture.</w:t>
      </w:r>
    </w:p>
    <w:p>
      <w:pPr>
        <w:pStyle w:val="BodyText"/>
        <w:rPr>
          <w:sz w:val="22"/>
        </w:rPr>
      </w:pPr>
    </w:p>
    <w:p>
      <w:pPr>
        <w:pStyle w:val="BodyText"/>
        <w:spacing w:before="10"/>
        <w:rPr>
          <w:sz w:val="17"/>
        </w:rPr>
      </w:pPr>
    </w:p>
    <w:p>
      <w:pPr>
        <w:pStyle w:val="BodyText"/>
        <w:spacing w:line="360" w:lineRule="auto"/>
        <w:ind w:left="313" w:right="314"/>
      </w:pPr>
      <w:r>
        <w:rPr/>
        <w:t>Colin David Finch built his brilliant academic and professional career on nurturing international co-operation on economic and financial matters: in his studies here at the University of Melbourne and at the London School of Economics; in his long and distinguished time at the International Monetary Fund; and, in later life, at the Institute for International Economics in Washington DC.</w:t>
      </w:r>
    </w:p>
    <w:p>
      <w:pPr>
        <w:pStyle w:val="BodyText"/>
        <w:spacing w:before="1"/>
        <w:rPr>
          <w:sz w:val="30"/>
        </w:rPr>
      </w:pPr>
    </w:p>
    <w:p>
      <w:pPr>
        <w:pStyle w:val="BodyText"/>
        <w:spacing w:line="360" w:lineRule="auto"/>
        <w:ind w:left="313" w:right="194"/>
      </w:pPr>
      <w:r>
        <w:rPr/>
        <w:t>Citizens of the UK owe Finch a particular debt of gratitude. He led the IMF rescue mission to the UK in 1976. That, in many respects, marked the turning point in the UK’s economic fortunes. It heralded the start of a long period of liberalisation and integration of markets in goods, services, people and money. The world economy broadly mirrored those trends towards increased international liberalisation and</w:t>
      </w:r>
      <w:r>
        <w:rPr>
          <w:spacing w:val="-18"/>
        </w:rPr>
        <w:t> </w:t>
      </w:r>
      <w:r>
        <w:rPr/>
        <w:t>integration.</w:t>
      </w:r>
    </w:p>
    <w:p>
      <w:pPr>
        <w:pStyle w:val="BodyText"/>
        <w:spacing w:before="1"/>
        <w:rPr>
          <w:sz w:val="30"/>
        </w:rPr>
      </w:pPr>
    </w:p>
    <w:p>
      <w:pPr>
        <w:pStyle w:val="BodyText"/>
        <w:spacing w:line="360" w:lineRule="auto"/>
        <w:ind w:left="313" w:right="169"/>
      </w:pPr>
      <w:r>
        <w:rPr/>
        <w:t>The benefits the world economy has reaped from having pursued that path are now only too clear. Global integration and co-operation has boosted dramatically flows of goods, services, people and monies. Each is at levels never previously seen. This, in turn, has helped deliver higher living standards and lower levels of poverty in pretty much every country on the planet.</w:t>
      </w:r>
      <w:r>
        <w:rPr>
          <w:vertAlign w:val="superscript"/>
        </w:rPr>
        <w:t>1</w:t>
      </w:r>
      <w:r>
        <w:rPr>
          <w:vertAlign w:val="baseline"/>
        </w:rPr>
        <w:t> Finch would have wholeheartedly approved.</w:t>
      </w:r>
    </w:p>
    <w:p>
      <w:pPr>
        <w:pStyle w:val="BodyText"/>
        <w:spacing w:before="1"/>
        <w:rPr>
          <w:sz w:val="30"/>
        </w:rPr>
      </w:pPr>
    </w:p>
    <w:p>
      <w:pPr>
        <w:pStyle w:val="BodyText"/>
        <w:spacing w:line="360" w:lineRule="auto"/>
        <w:ind w:left="313" w:right="169"/>
      </w:pPr>
      <w:r>
        <w:rPr/>
        <w:t>Looking to the future, however, this wind is at risk of changing direction. The global financial crisis has left lasting scars. That has created pressure to place speedbumps, or in some cases roadblocks, on flows of goods, services, people and monies. One of the key policy challenges ahead will be to prevent the hard-won gains from global integration and co-operation being lost. The stakes could scarcely be higher.</w:t>
      </w:r>
    </w:p>
    <w:p>
      <w:pPr>
        <w:pStyle w:val="BodyText"/>
        <w:spacing w:before="10"/>
        <w:rPr>
          <w:sz w:val="29"/>
        </w:rPr>
      </w:pPr>
    </w:p>
    <w:p>
      <w:pPr>
        <w:pStyle w:val="BodyText"/>
        <w:spacing w:line="360" w:lineRule="auto"/>
        <w:ind w:left="313" w:right="169"/>
      </w:pPr>
      <w:r>
        <w:rPr/>
        <w:t>Tonight, I want to discuss a different policy challenge facing policymakers, specifically central banks. It too has risen in prominence since the global financial crisis. It too has posed big questions about the existing policy order. And it too needs, I believe, to be tackled transparently and comprehensively if stability and trust in the international monetary system is to be preserved.</w:t>
      </w:r>
    </w:p>
    <w:p>
      <w:pPr>
        <w:pStyle w:val="BodyText"/>
        <w:spacing w:before="1"/>
        <w:rPr>
          <w:sz w:val="30"/>
        </w:rPr>
      </w:pPr>
    </w:p>
    <w:p>
      <w:pPr>
        <w:pStyle w:val="BodyText"/>
        <w:spacing w:line="360" w:lineRule="auto"/>
        <w:ind w:left="313" w:right="169"/>
      </w:pPr>
      <w:r>
        <w:rPr/>
        <w:t>Just before the 2016 referendum on EU membership, Professor Anand Menon of King’s College London was explaining to an audience in Newcastle that, in the view of most economists, leaving the EU would be bad for their economic health. GDP was likely to fall. A woman rose from the audience and, with finger pointed, uttered the memorable line: “That’s your bloody GDP, not ours!” There was no right of reply.</w:t>
      </w:r>
    </w:p>
    <w:p>
      <w:pPr>
        <w:pStyle w:val="BodyText"/>
        <w:spacing w:before="1"/>
        <w:rPr>
          <w:sz w:val="30"/>
        </w:rPr>
      </w:pPr>
    </w:p>
    <w:p>
      <w:pPr>
        <w:pStyle w:val="BodyText"/>
        <w:spacing w:line="360" w:lineRule="auto"/>
        <w:ind w:left="313"/>
      </w:pPr>
      <w:r>
        <w:rPr/>
        <w:t>Issues of inequality have loomed large in many public debates, not just Brexit, over the past decade or so. Recent books on the rising tide of inequality by Thomas Piketty, Tony Atkinson, Joe Stiglitz and Branko Milanovic have, somewhat surprisingly, become best-sellers.</w:t>
      </w:r>
      <w:r>
        <w:rPr>
          <w:vertAlign w:val="superscript"/>
        </w:rPr>
        <w:t>2</w:t>
      </w:r>
      <w:r>
        <w:rPr>
          <w:vertAlign w:val="baseline"/>
        </w:rPr>
        <w:t> So too have books by Martin Ford and</w:t>
      </w:r>
    </w:p>
    <w:p>
      <w:pPr>
        <w:pStyle w:val="BodyText"/>
        <w:spacing w:line="360" w:lineRule="auto"/>
        <w:ind w:left="313" w:right="848"/>
      </w:pPr>
      <w:r>
        <w:rPr/>
        <w:t>Eric Brynjolfsson and Andrew McAfee discussing how the rise of the robots may further worsen these inequality problems.</w:t>
      </w:r>
      <w:r>
        <w:rPr>
          <w:vertAlign w:val="superscript"/>
        </w:rPr>
        <w:t>3</w:t>
      </w:r>
    </w:p>
    <w:p>
      <w:pPr>
        <w:pStyle w:val="BodyText"/>
        <w:spacing w:before="9"/>
        <w:rPr>
          <w:sz w:val="8"/>
        </w:rPr>
      </w:pPr>
      <w:r>
        <w:rPr/>
        <w:pict>
          <v:shape style="position:absolute;margin-left:56.664001pt;margin-top:7.294112pt;width:144.050pt;height:.1pt;mso-position-horizontal-relative:page;mso-position-vertical-relative:paragraph;z-index:-251657216;mso-wrap-distance-left:0;mso-wrap-distance-right:0" coordorigin="1133,146" coordsize="2881,0" path="m1133,146l4014,146e" filled="false" stroked="true" strokeweight=".47998pt" strokecolor="#000000">
            <v:path arrowok="t"/>
            <v:stroke dashstyle="solid"/>
            <w10:wrap type="topAndBottom"/>
          </v:shape>
        </w:pict>
      </w:r>
    </w:p>
    <w:p>
      <w:pPr>
        <w:spacing w:line="196" w:lineRule="exact" w:before="27"/>
        <w:ind w:left="313" w:right="0" w:firstLine="0"/>
        <w:jc w:val="left"/>
        <w:rPr>
          <w:sz w:val="16"/>
        </w:rPr>
      </w:pPr>
      <w:r>
        <w:rPr>
          <w:position w:val="8"/>
          <w:sz w:val="10"/>
        </w:rPr>
        <w:t>1   </w:t>
      </w:r>
      <w:r>
        <w:rPr>
          <w:sz w:val="16"/>
        </w:rPr>
        <w:t>See, for example, Carney (2016) and World Bank Group</w:t>
      </w:r>
      <w:r>
        <w:rPr>
          <w:spacing w:val="-14"/>
          <w:sz w:val="16"/>
        </w:rPr>
        <w:t> </w:t>
      </w:r>
      <w:r>
        <w:rPr>
          <w:sz w:val="16"/>
        </w:rPr>
        <w:t>(2016).</w:t>
      </w:r>
    </w:p>
    <w:p>
      <w:pPr>
        <w:spacing w:line="185" w:lineRule="exact" w:before="0"/>
        <w:ind w:left="313" w:right="0" w:firstLine="0"/>
        <w:jc w:val="left"/>
        <w:rPr>
          <w:sz w:val="16"/>
        </w:rPr>
      </w:pPr>
      <w:r>
        <w:rPr>
          <w:position w:val="8"/>
          <w:sz w:val="10"/>
        </w:rPr>
        <w:t>2   </w:t>
      </w:r>
      <w:r>
        <w:rPr>
          <w:sz w:val="16"/>
        </w:rPr>
        <w:t>Piketty (2014), Atkinson (2015), Stiglitz (2013), Milanovic</w:t>
      </w:r>
      <w:r>
        <w:rPr>
          <w:spacing w:val="-18"/>
          <w:sz w:val="16"/>
        </w:rPr>
        <w:t> </w:t>
      </w:r>
      <w:r>
        <w:rPr>
          <w:sz w:val="16"/>
        </w:rPr>
        <w:t>(2016).</w:t>
      </w:r>
    </w:p>
    <w:p>
      <w:pPr>
        <w:spacing w:line="196" w:lineRule="exact" w:before="0"/>
        <w:ind w:left="313" w:right="0" w:firstLine="0"/>
        <w:jc w:val="left"/>
        <w:rPr>
          <w:sz w:val="16"/>
        </w:rPr>
      </w:pPr>
      <w:r>
        <w:rPr>
          <w:position w:val="8"/>
          <w:sz w:val="10"/>
        </w:rPr>
        <w:t>3 </w:t>
      </w:r>
      <w:r>
        <w:rPr>
          <w:sz w:val="16"/>
        </w:rPr>
        <w:t>Ford (2016), Brynjolfsson and McAfee (2016).</w:t>
      </w:r>
    </w:p>
    <w:p>
      <w:pPr>
        <w:spacing w:after="0" w:line="196" w:lineRule="exact"/>
        <w:jc w:val="left"/>
        <w:rPr>
          <w:sz w:val="16"/>
        </w:rPr>
        <w:sectPr>
          <w:footerReference w:type="default" r:id="rId7"/>
          <w:pgSz w:w="11910" w:h="16840"/>
          <w:pgMar w:footer="1338" w:header="0" w:top="1340" w:bottom="1520" w:left="820" w:right="960"/>
        </w:sectPr>
      </w:pPr>
    </w:p>
    <w:p>
      <w:pPr>
        <w:pStyle w:val="BodyText"/>
        <w:spacing w:line="360" w:lineRule="auto" w:before="79"/>
        <w:ind w:left="313" w:right="353"/>
      </w:pPr>
      <w:r>
        <w:rPr/>
        <w:t>At around the same time, monetary policy in a number of countries became more expansionary than at any time in recent history. Interest rates in a number of advanced economies fell to their lowest-ever levels during the financial crisis. In some countries, additional stimulus was provided through asset purchases – so-called Quantitative Easing or QE. Those asset purchases are currently running at around a cumulative 15% of annual global</w:t>
      </w:r>
      <w:r>
        <w:rPr>
          <w:spacing w:val="-1"/>
        </w:rPr>
        <w:t> </w:t>
      </w:r>
      <w:r>
        <w:rPr/>
        <w:t>GDP.</w:t>
      </w:r>
      <w:r>
        <w:rPr>
          <w:vertAlign w:val="superscript"/>
        </w:rPr>
        <w:t>4</w:t>
      </w:r>
    </w:p>
    <w:p>
      <w:pPr>
        <w:pStyle w:val="BodyText"/>
        <w:spacing w:before="10"/>
        <w:rPr>
          <w:sz w:val="29"/>
        </w:rPr>
      </w:pPr>
    </w:p>
    <w:p>
      <w:pPr>
        <w:pStyle w:val="BodyText"/>
        <w:spacing w:line="360" w:lineRule="auto"/>
        <w:ind w:left="313" w:right="202"/>
      </w:pPr>
      <w:r>
        <w:rPr/>
        <w:t>Given the increased interest in distributional issues, and the increasingly activist role of monetary policy, it is perhaps no surprise that there has been increasing public interest in the fusion of the two – that is to say, the distributional impact of monetary policy itself, which is what I’m going to talk about today. Chart 1 shows a simple metric of that increased public interest since the financial crisis based on that most scientific of metrics, the Google</w:t>
      </w:r>
      <w:r>
        <w:rPr>
          <w:spacing w:val="-4"/>
        </w:rPr>
        <w:t> </w:t>
      </w:r>
      <w:r>
        <w:rPr/>
        <w:t>search.</w:t>
      </w:r>
    </w:p>
    <w:p>
      <w:pPr>
        <w:pStyle w:val="BodyText"/>
        <w:spacing w:before="2"/>
        <w:rPr>
          <w:sz w:val="30"/>
        </w:rPr>
      </w:pPr>
    </w:p>
    <w:p>
      <w:pPr>
        <w:pStyle w:val="BodyText"/>
        <w:spacing w:line="360" w:lineRule="auto"/>
        <w:ind w:left="313" w:right="199"/>
      </w:pPr>
      <w:r>
        <w:rPr/>
        <w:t>Interest in these issues has sometimes spilt over into sharp criticism of central banks’ actions.  Surveys of the general public have suggested that a large proportion may believe lower interest rates have actually made them worse off.</w:t>
      </w:r>
      <w:r>
        <w:rPr>
          <w:vertAlign w:val="superscript"/>
        </w:rPr>
        <w:t>5</w:t>
      </w:r>
      <w:r>
        <w:rPr>
          <w:vertAlign w:val="baseline"/>
        </w:rPr>
        <w:t> Meanwhile, QE is held by some to have increased inequalities between rich and poor and to have harmed pension funds and the companies sponsoring</w:t>
      </w:r>
      <w:r>
        <w:rPr>
          <w:spacing w:val="-8"/>
          <w:vertAlign w:val="baseline"/>
        </w:rPr>
        <w:t> </w:t>
      </w:r>
      <w:r>
        <w:rPr>
          <w:vertAlign w:val="baseline"/>
        </w:rPr>
        <w:t>them.</w:t>
      </w:r>
      <w:r>
        <w:rPr>
          <w:vertAlign w:val="superscript"/>
        </w:rPr>
        <w:t>6</w:t>
      </w:r>
    </w:p>
    <w:p>
      <w:pPr>
        <w:pStyle w:val="BodyText"/>
        <w:spacing w:before="1"/>
        <w:rPr>
          <w:sz w:val="30"/>
        </w:rPr>
      </w:pPr>
    </w:p>
    <w:p>
      <w:pPr>
        <w:pStyle w:val="BodyText"/>
        <w:spacing w:line="360" w:lineRule="auto"/>
        <w:ind w:left="313" w:right="324"/>
      </w:pPr>
      <w:r>
        <w:rPr/>
        <w:t>Some have gone further, suggesting that QE may have caused central banks to cross the thin line between monetary and fiscal policy, between economic policy and political economy.</w:t>
      </w:r>
      <w:r>
        <w:rPr>
          <w:vertAlign w:val="superscript"/>
        </w:rPr>
        <w:t>7</w:t>
      </w:r>
      <w:r>
        <w:rPr>
          <w:vertAlign w:val="baseline"/>
        </w:rPr>
        <w:t> Others still have suggested that these unconventional monetary measures may have called into question central banks’ operational independence from government in the setting of monetary policy.</w:t>
      </w:r>
      <w:r>
        <w:rPr>
          <w:vertAlign w:val="superscript"/>
        </w:rPr>
        <w:t>8</w:t>
      </w:r>
    </w:p>
    <w:p>
      <w:pPr>
        <w:pStyle w:val="BodyText"/>
        <w:spacing w:before="10"/>
        <w:rPr>
          <w:sz w:val="29"/>
        </w:rPr>
      </w:pPr>
    </w:p>
    <w:p>
      <w:pPr>
        <w:pStyle w:val="BodyText"/>
        <w:spacing w:line="360" w:lineRule="auto"/>
        <w:ind w:left="313" w:right="169"/>
      </w:pPr>
      <w:r>
        <w:rPr/>
        <w:t>My aim in this lecture is not to resolve these questions, one way or the other. Rather, it is to provide a framework for assessing the first claim – that recent monetary policy actions have had a significant distributional impact. The answer to this question clearly has an important bearing on the broader normative questions some have posed about the role of central banks.</w:t>
      </w:r>
    </w:p>
    <w:p>
      <w:pPr>
        <w:pStyle w:val="BodyText"/>
        <w:spacing w:before="1"/>
        <w:rPr>
          <w:sz w:val="30"/>
        </w:rPr>
      </w:pPr>
    </w:p>
    <w:p>
      <w:pPr>
        <w:pStyle w:val="BodyText"/>
        <w:spacing w:line="360" w:lineRule="auto"/>
        <w:ind w:left="313" w:right="314"/>
      </w:pPr>
      <w:r>
        <w:rPr/>
        <w:t>I begin by explaining why I think distributional issues are relevant to central bankers and to policymakers generally. This is not always agreed territory. I will then set out a framework for assessing the quantitative impact of monetary policy on different cohorts of society. This is done in both standard units of measurement (money amounts and percentages) and in non-standard units (welfare and well-being).</w:t>
      </w:r>
    </w:p>
    <w:p>
      <w:pPr>
        <w:pStyle w:val="BodyText"/>
        <w:spacing w:before="1"/>
        <w:rPr>
          <w:sz w:val="30"/>
        </w:rPr>
      </w:pPr>
    </w:p>
    <w:p>
      <w:pPr>
        <w:pStyle w:val="BodyText"/>
        <w:spacing w:line="360" w:lineRule="auto"/>
        <w:ind w:left="313" w:right="314"/>
      </w:pPr>
      <w:r>
        <w:rPr/>
        <w:pict>
          <v:shape style="position:absolute;margin-left:56.664001pt;margin-top:56.689865pt;width:144.050pt;height:.1pt;mso-position-horizontal-relative:page;mso-position-vertical-relative:paragraph;z-index:-251656192;mso-wrap-distance-left:0;mso-wrap-distance-right:0" coordorigin="1133,1134" coordsize="2881,0" path="m1133,1134l4014,1134e" filled="false" stroked="true" strokeweight=".48004pt" strokecolor="#000000">
            <v:path arrowok="t"/>
            <v:stroke dashstyle="solid"/>
            <w10:wrap type="topAndBottom"/>
          </v:shape>
        </w:pict>
      </w:r>
      <w:r>
        <w:rPr/>
        <w:t>This framework is calibrated using as a case study the loosening of UK monetary policy after the global financial crisis. The main results are easily summarised. There is nothing to suggest monetary policy has had significant effects on either income or wealth inequality in the UK over recent years. Indeed, the</w:t>
      </w:r>
    </w:p>
    <w:p>
      <w:pPr>
        <w:spacing w:before="30"/>
        <w:ind w:left="313" w:right="574" w:firstLine="0"/>
        <w:jc w:val="left"/>
        <w:rPr>
          <w:sz w:val="16"/>
        </w:rPr>
      </w:pPr>
      <w:r>
        <w:rPr>
          <w:position w:val="8"/>
          <w:sz w:val="10"/>
        </w:rPr>
        <w:t>4 </w:t>
      </w:r>
      <w:r>
        <w:rPr>
          <w:sz w:val="16"/>
        </w:rPr>
        <w:t>QE calculated with reference to combined purchases by US, UK, euro-area and Japanese central banks between start-2007 and end-2017.</w:t>
      </w:r>
    </w:p>
    <w:p>
      <w:pPr>
        <w:spacing w:line="172" w:lineRule="exact" w:before="0"/>
        <w:ind w:left="313" w:right="0" w:firstLine="0"/>
        <w:jc w:val="left"/>
        <w:rPr>
          <w:sz w:val="16"/>
        </w:rPr>
      </w:pPr>
      <w:r>
        <w:rPr>
          <w:position w:val="8"/>
          <w:sz w:val="10"/>
        </w:rPr>
        <w:t>5 </w:t>
      </w:r>
      <w:r>
        <w:rPr>
          <w:sz w:val="16"/>
        </w:rPr>
        <w:t>Bank of England and NMG survey (2017).</w:t>
      </w:r>
    </w:p>
    <w:p>
      <w:pPr>
        <w:spacing w:line="184" w:lineRule="exact" w:before="0"/>
        <w:ind w:left="313" w:right="0" w:firstLine="0"/>
        <w:jc w:val="left"/>
        <w:rPr>
          <w:sz w:val="16"/>
        </w:rPr>
      </w:pPr>
      <w:r>
        <w:rPr>
          <w:position w:val="8"/>
          <w:sz w:val="10"/>
        </w:rPr>
        <w:t>6 </w:t>
      </w:r>
      <w:r>
        <w:rPr>
          <w:sz w:val="16"/>
        </w:rPr>
        <w:t>For example, Lysenko </w:t>
      </w:r>
      <w:r>
        <w:rPr>
          <w:i/>
          <w:sz w:val="16"/>
        </w:rPr>
        <w:t>et al </w:t>
      </w:r>
      <w:r>
        <w:rPr>
          <w:sz w:val="16"/>
        </w:rPr>
        <w:t>(2016) and Altmann (2009).</w:t>
      </w:r>
    </w:p>
    <w:p>
      <w:pPr>
        <w:spacing w:line="184" w:lineRule="exact" w:before="0"/>
        <w:ind w:left="313" w:right="0" w:firstLine="0"/>
        <w:jc w:val="left"/>
        <w:rPr>
          <w:sz w:val="16"/>
        </w:rPr>
      </w:pPr>
      <w:r>
        <w:rPr>
          <w:position w:val="8"/>
          <w:sz w:val="10"/>
        </w:rPr>
        <w:t>7 </w:t>
      </w:r>
      <w:r>
        <w:rPr>
          <w:sz w:val="16"/>
        </w:rPr>
        <w:t>For example, Buiter (2014).</w:t>
      </w:r>
    </w:p>
    <w:p>
      <w:pPr>
        <w:spacing w:line="184" w:lineRule="exact" w:before="15"/>
        <w:ind w:left="313" w:right="314" w:firstLine="0"/>
        <w:jc w:val="left"/>
        <w:rPr>
          <w:sz w:val="16"/>
        </w:rPr>
      </w:pPr>
      <w:r>
        <w:rPr>
          <w:position w:val="8"/>
          <w:sz w:val="10"/>
        </w:rPr>
        <w:t>8 </w:t>
      </w:r>
      <w:r>
        <w:rPr>
          <w:sz w:val="16"/>
        </w:rPr>
        <w:t>See Bank of England ‘Independence 20 Years On’ conference: </w:t>
      </w:r>
      <w:hyperlink r:id="rId9">
        <w:r>
          <w:rPr>
            <w:color w:val="0000FF"/>
            <w:sz w:val="16"/>
            <w:u w:val="single" w:color="0000FF"/>
          </w:rPr>
          <w:t>https://www.bankofengland.co.uk/events/2017/september/20-years-</w:t>
        </w:r>
      </w:hyperlink>
      <w:r>
        <w:rPr>
          <w:color w:val="0000FF"/>
          <w:sz w:val="16"/>
        </w:rPr>
        <w:t> </w:t>
      </w:r>
      <w:hyperlink r:id="rId9">
        <w:r>
          <w:rPr>
            <w:color w:val="0000FF"/>
            <w:sz w:val="16"/>
            <w:u w:val="single" w:color="0000FF"/>
          </w:rPr>
          <w:t>on</w:t>
        </w:r>
      </w:hyperlink>
    </w:p>
    <w:p>
      <w:pPr>
        <w:spacing w:after="0" w:line="184" w:lineRule="exact"/>
        <w:jc w:val="left"/>
        <w:rPr>
          <w:sz w:val="16"/>
        </w:rPr>
        <w:sectPr>
          <w:footerReference w:type="default" r:id="rId8"/>
          <w:pgSz w:w="11910" w:h="16840"/>
          <w:pgMar w:footer="1338" w:header="0" w:top="1340" w:bottom="1520" w:left="820" w:right="960"/>
        </w:sectPr>
      </w:pPr>
    </w:p>
    <w:p>
      <w:pPr>
        <w:pStyle w:val="BodyText"/>
        <w:spacing w:line="360" w:lineRule="auto" w:before="79"/>
        <w:ind w:left="313" w:right="314"/>
      </w:pPr>
      <w:r>
        <w:rPr/>
        <w:t>loosening of monetary policy after the crisis appears to have delivered significant financial and welfare benefits to almost all cohorts of the UK economy, albeit often through different channels.</w:t>
      </w:r>
    </w:p>
    <w:p>
      <w:pPr>
        <w:pStyle w:val="BodyText"/>
        <w:spacing w:before="11"/>
        <w:rPr>
          <w:sz w:val="29"/>
        </w:rPr>
      </w:pPr>
    </w:p>
    <w:p>
      <w:pPr>
        <w:pStyle w:val="BodyText"/>
        <w:spacing w:line="360" w:lineRule="auto"/>
        <w:ind w:left="313" w:right="314"/>
      </w:pPr>
      <w:r>
        <w:rPr/>
        <w:t>I conclude with thoughts on the implications of this analysis for policymakers. My view is that there is a strong case for making, on a periodic basis, comprehensive and transparent assessments of the distributional impact of monetary policy. This would help people understand the purpose and impact of monetary policy, both on the economy in general and on them as individuals, on “their GDP”.</w:t>
      </w:r>
    </w:p>
    <w:p>
      <w:pPr>
        <w:pStyle w:val="BodyText"/>
        <w:rPr>
          <w:sz w:val="30"/>
        </w:rPr>
      </w:pPr>
    </w:p>
    <w:p>
      <w:pPr>
        <w:pStyle w:val="BodyText"/>
        <w:spacing w:line="360" w:lineRule="auto" w:before="1"/>
        <w:ind w:left="313" w:right="169"/>
      </w:pPr>
      <w:r>
        <w:rPr/>
        <w:t>I give some illustrative examples of a “Monetary Policy Scorecard” summarising the impact of monetary actions on particular cohorts. Greater transparency of this type would not, by itself, reduce any distributional effects of policy. But it could help in explaining the impact of these actions, in a localised and personalised way, as a means of improving understanding and trust in central banks. Both have been a casualty of the crisis.</w:t>
      </w:r>
    </w:p>
    <w:p>
      <w:pPr>
        <w:pStyle w:val="BodyText"/>
        <w:spacing w:before="8"/>
        <w:rPr>
          <w:sz w:val="29"/>
        </w:rPr>
      </w:pPr>
    </w:p>
    <w:p>
      <w:pPr>
        <w:pStyle w:val="Heading1"/>
        <w:spacing w:before="0"/>
      </w:pPr>
      <w:r>
        <w:rPr/>
        <w:t>Why Distributions Matter</w:t>
      </w:r>
    </w:p>
    <w:p>
      <w:pPr>
        <w:pStyle w:val="BodyText"/>
        <w:rPr>
          <w:b/>
          <w:sz w:val="22"/>
        </w:rPr>
      </w:pPr>
    </w:p>
    <w:p>
      <w:pPr>
        <w:pStyle w:val="BodyText"/>
        <w:spacing w:before="1"/>
        <w:rPr>
          <w:b/>
          <w:sz w:val="18"/>
        </w:rPr>
      </w:pPr>
    </w:p>
    <w:p>
      <w:pPr>
        <w:pStyle w:val="BodyText"/>
        <w:spacing w:line="360" w:lineRule="auto" w:before="1"/>
        <w:ind w:left="313" w:right="169"/>
      </w:pPr>
      <w:r>
        <w:rPr/>
        <w:t>Let me start with a bald statement: </w:t>
      </w:r>
      <w:r>
        <w:rPr>
          <w:i/>
        </w:rPr>
        <w:t>all </w:t>
      </w:r>
      <w:r>
        <w:rPr/>
        <w:t>public policy is distributional, be it monetary, fiscal, structural or social. The reason I know this is because redistribution is the way public policy works; it is what policy does for a living. Some policies redistribute resources between agents </w:t>
      </w:r>
      <w:r>
        <w:rPr>
          <w:i/>
        </w:rPr>
        <w:t>at a point in time</w:t>
      </w:r>
      <w:r>
        <w:rPr/>
        <w:t>. Others redistribute resources between agents </w:t>
      </w:r>
      <w:r>
        <w:rPr>
          <w:i/>
        </w:rPr>
        <w:t>over time</w:t>
      </w:r>
      <w:r>
        <w:rPr/>
        <w:t>. If policy is not working through one of these channels, it is not working.</w:t>
      </w:r>
    </w:p>
    <w:p>
      <w:pPr>
        <w:pStyle w:val="BodyText"/>
        <w:rPr>
          <w:sz w:val="30"/>
        </w:rPr>
      </w:pPr>
    </w:p>
    <w:p>
      <w:pPr>
        <w:pStyle w:val="BodyText"/>
        <w:spacing w:line="360" w:lineRule="auto"/>
        <w:ind w:left="313" w:right="247"/>
      </w:pPr>
      <w:r>
        <w:rPr/>
        <w:t>If all policy is distributional, it does not take much of a leap of imagination to see that policymakers may wish to understand and explain its distributional impact. In some policy settings, that already happens – in fiscal policy, social policy, climate change policy, pension policy. Published assessments of policy impact can improve public understanding of, and debate about, often difficult distributional choices.</w:t>
      </w:r>
      <w:r>
        <w:rPr>
          <w:vertAlign w:val="superscript"/>
        </w:rPr>
        <w:t>9</w:t>
      </w:r>
    </w:p>
    <w:p>
      <w:pPr>
        <w:pStyle w:val="BodyText"/>
        <w:spacing w:before="1"/>
        <w:rPr>
          <w:sz w:val="30"/>
        </w:rPr>
      </w:pPr>
    </w:p>
    <w:p>
      <w:pPr>
        <w:pStyle w:val="BodyText"/>
        <w:spacing w:line="360" w:lineRule="auto"/>
        <w:ind w:left="313"/>
      </w:pPr>
      <w:r>
        <w:rPr/>
        <w:t>When it comes to monetary policy, the position until recently has been rather different. There has been no particular clamour for published assessments of the distributional impact of monetary policy. Why? Because monetary policy has benefitted from, not one, but two “Get Out of Jail” cards. Both have their origin in Milton Friedman’s 1968 Presidential Address to the American Economic Association, half a century ago.</w:t>
      </w:r>
      <w:r>
        <w:rPr>
          <w:vertAlign w:val="superscript"/>
        </w:rPr>
        <w:t>10</w:t>
      </w:r>
    </w:p>
    <w:p>
      <w:pPr>
        <w:pStyle w:val="BodyText"/>
        <w:spacing w:before="1"/>
        <w:rPr>
          <w:sz w:val="30"/>
        </w:rPr>
      </w:pPr>
    </w:p>
    <w:p>
      <w:pPr>
        <w:pStyle w:val="BodyText"/>
        <w:spacing w:line="360" w:lineRule="auto"/>
        <w:ind w:left="313" w:right="247"/>
      </w:pPr>
      <w:r>
        <w:rPr/>
        <w:t>The first follows from the neutrality of monetary policy with respect to real variables over the longer run.</w:t>
      </w:r>
      <w:r>
        <w:rPr>
          <w:vertAlign w:val="superscript"/>
        </w:rPr>
        <w:t>11</w:t>
      </w:r>
      <w:r>
        <w:rPr>
          <w:vertAlign w:val="baseline"/>
        </w:rPr>
        <w:t> Typically, this neutrality is associated with the </w:t>
      </w:r>
      <w:r>
        <w:rPr>
          <w:i/>
          <w:vertAlign w:val="baseline"/>
        </w:rPr>
        <w:t>total </w:t>
      </w:r>
      <w:r>
        <w:rPr>
          <w:vertAlign w:val="baseline"/>
        </w:rPr>
        <w:t>level of resources in the economy, such as employment or output – the vertical long-run Phillips curve. But neutrality applies, with no less force, to the </w:t>
      </w:r>
      <w:r>
        <w:rPr>
          <w:i/>
          <w:vertAlign w:val="baseline"/>
        </w:rPr>
        <w:t>distribution </w:t>
      </w:r>
      <w:r>
        <w:rPr>
          <w:vertAlign w:val="baseline"/>
        </w:rPr>
        <w:t>of resources in the economy, whether between sectors or regions. In theory, monetary policy ought also to be neutral in its longer-run impact on economic inequality.</w:t>
      </w:r>
    </w:p>
    <w:p>
      <w:pPr>
        <w:pStyle w:val="BodyText"/>
      </w:pPr>
    </w:p>
    <w:p>
      <w:pPr>
        <w:pStyle w:val="BodyText"/>
        <w:spacing w:before="10"/>
        <w:rPr>
          <w:sz w:val="18"/>
        </w:rPr>
      </w:pPr>
      <w:r>
        <w:rPr/>
        <w:pict>
          <v:shape style="position:absolute;margin-left:56.664001pt;margin-top:13.093623pt;width:144.050pt;height:.1pt;mso-position-horizontal-relative:page;mso-position-vertical-relative:paragraph;z-index:-251655168;mso-wrap-distance-left:0;mso-wrap-distance-right:0" coordorigin="1133,262" coordsize="2881,0" path="m1133,262l4014,262e" filled="false" stroked="true" strokeweight=".47998pt" strokecolor="#000000">
            <v:path arrowok="t"/>
            <v:stroke dashstyle="solid"/>
            <w10:wrap type="topAndBottom"/>
          </v:shape>
        </w:pict>
      </w:r>
    </w:p>
    <w:p>
      <w:pPr>
        <w:spacing w:line="196" w:lineRule="exact" w:before="27"/>
        <w:ind w:left="313" w:right="0" w:firstLine="0"/>
        <w:jc w:val="left"/>
        <w:rPr>
          <w:sz w:val="16"/>
        </w:rPr>
      </w:pPr>
      <w:r>
        <w:rPr>
          <w:position w:val="8"/>
          <w:sz w:val="10"/>
        </w:rPr>
        <w:t>9 </w:t>
      </w:r>
      <w:r>
        <w:rPr>
          <w:sz w:val="16"/>
        </w:rPr>
        <w:t>For example, Ball </w:t>
      </w:r>
      <w:r>
        <w:rPr>
          <w:i/>
          <w:sz w:val="16"/>
        </w:rPr>
        <w:t>et al </w:t>
      </w:r>
      <w:r>
        <w:rPr>
          <w:sz w:val="16"/>
        </w:rPr>
        <w:t>(2013) and Büchs </w:t>
      </w:r>
      <w:r>
        <w:rPr>
          <w:i/>
          <w:sz w:val="16"/>
        </w:rPr>
        <w:t>et al </w:t>
      </w:r>
      <w:r>
        <w:rPr>
          <w:sz w:val="16"/>
        </w:rPr>
        <w:t>(2011).</w:t>
      </w:r>
    </w:p>
    <w:p>
      <w:pPr>
        <w:spacing w:line="185" w:lineRule="exact" w:before="0"/>
        <w:ind w:left="313" w:right="0" w:firstLine="0"/>
        <w:jc w:val="left"/>
        <w:rPr>
          <w:sz w:val="16"/>
        </w:rPr>
      </w:pPr>
      <w:r>
        <w:rPr>
          <w:position w:val="8"/>
          <w:sz w:val="10"/>
        </w:rPr>
        <w:t>10 </w:t>
      </w:r>
      <w:r>
        <w:rPr>
          <w:sz w:val="16"/>
        </w:rPr>
        <w:t>Friedman (1968).</w:t>
      </w:r>
    </w:p>
    <w:p>
      <w:pPr>
        <w:spacing w:line="196" w:lineRule="exact" w:before="0"/>
        <w:ind w:left="313" w:right="0" w:firstLine="0"/>
        <w:jc w:val="left"/>
        <w:rPr>
          <w:sz w:val="16"/>
        </w:rPr>
      </w:pPr>
      <w:r>
        <w:rPr>
          <w:position w:val="8"/>
          <w:sz w:val="10"/>
        </w:rPr>
        <w:t>11 </w:t>
      </w:r>
      <w:r>
        <w:rPr>
          <w:sz w:val="16"/>
        </w:rPr>
        <w:t>Patinkin (1987) traces the history of thought relating to the neutrality of money.</w:t>
      </w:r>
    </w:p>
    <w:p>
      <w:pPr>
        <w:spacing w:after="0" w:line="196" w:lineRule="exact"/>
        <w:jc w:val="left"/>
        <w:rPr>
          <w:sz w:val="16"/>
        </w:rPr>
        <w:sectPr>
          <w:footerReference w:type="default" r:id="rId10"/>
          <w:pgSz w:w="11910" w:h="16840"/>
          <w:pgMar w:footer="1338" w:header="0" w:top="1340" w:bottom="1520" w:left="820" w:right="960"/>
        </w:sectPr>
      </w:pPr>
    </w:p>
    <w:p>
      <w:pPr>
        <w:pStyle w:val="BodyText"/>
        <w:spacing w:line="360" w:lineRule="auto" w:before="79"/>
        <w:ind w:left="313" w:right="280"/>
      </w:pPr>
      <w:r>
        <w:rPr/>
        <w:t>The second Friedman point is that the monetary policy tools of the trade should be simple and singular – for example, the money supply or short-term interest rate. These instruments are levied at an economy-wide level. Central banks simply cannot set different interest rates for different sectors or individuals or regions. Monetary policy tools are thus too blunt an instrument to offset distributional differences.</w:t>
      </w:r>
    </w:p>
    <w:p>
      <w:pPr>
        <w:pStyle w:val="BodyText"/>
        <w:rPr>
          <w:sz w:val="30"/>
        </w:rPr>
      </w:pPr>
    </w:p>
    <w:p>
      <w:pPr>
        <w:pStyle w:val="BodyText"/>
        <w:spacing w:line="360" w:lineRule="auto" w:before="1"/>
        <w:ind w:left="313" w:right="175"/>
      </w:pPr>
      <w:r>
        <w:rPr/>
        <w:t>So whether viewed from an objectives or instruments perspective, the case for monetary policy needing to take much account of its distributional impact is weaker than for the other arms of public policy, such as fiscal and social policy. The latter have objectives which are often explicitly distributional and their instruments are better-equipped to achieve such redistribution. This much is relatively well-accepted in academic circles.</w:t>
      </w:r>
      <w:r>
        <w:rPr>
          <w:vertAlign w:val="superscript"/>
        </w:rPr>
        <w:t>12</w:t>
      </w:r>
    </w:p>
    <w:p>
      <w:pPr>
        <w:pStyle w:val="BodyText"/>
        <w:spacing w:before="9"/>
        <w:rPr>
          <w:sz w:val="29"/>
        </w:rPr>
      </w:pPr>
    </w:p>
    <w:p>
      <w:pPr>
        <w:pStyle w:val="BodyText"/>
        <w:spacing w:line="360" w:lineRule="auto"/>
        <w:ind w:left="313" w:right="169"/>
      </w:pPr>
      <w:r>
        <w:rPr/>
        <w:t>It does not follow from that, however, that distributional effects are irrelevant in the setting of monetary policy. Both in theory and in practice, there are several reasons why distributional effects might still matter to monetary policy and to monetary policymakers and hence why understanding and explaining these effects might be important public policy-wise.</w:t>
      </w:r>
      <w:r>
        <w:rPr>
          <w:vertAlign w:val="superscript"/>
        </w:rPr>
        <w:t>13</w:t>
      </w:r>
    </w:p>
    <w:p>
      <w:pPr>
        <w:pStyle w:val="BodyText"/>
        <w:spacing w:before="2"/>
        <w:rPr>
          <w:sz w:val="30"/>
        </w:rPr>
      </w:pPr>
    </w:p>
    <w:p>
      <w:pPr>
        <w:pStyle w:val="BodyText"/>
        <w:spacing w:line="360" w:lineRule="auto"/>
        <w:ind w:left="313" w:right="314"/>
      </w:pPr>
      <w:r>
        <w:rPr/>
        <w:t>First, even though it may be neutral over the longer-run, monetary policy can and does have potent effects on the economy over the shorter-term, including potentially on the distribution of resources. This should not be a bone of contention. We know this is likely to be the case because this is the very reason monetary policy is non-neutral in the first place. Monetary policy, like all policy, relies on redistribution for its efficacy.</w:t>
      </w:r>
    </w:p>
    <w:p>
      <w:pPr>
        <w:pStyle w:val="BodyText"/>
        <w:rPr>
          <w:sz w:val="30"/>
        </w:rPr>
      </w:pPr>
    </w:p>
    <w:p>
      <w:pPr>
        <w:pStyle w:val="BodyText"/>
        <w:spacing w:line="357" w:lineRule="auto" w:before="1"/>
        <w:ind w:left="313" w:right="325"/>
      </w:pPr>
      <w:r>
        <w:rPr/>
        <w:t>For example, changes in interest rates redistribute interest payments between savers and borrowers at any point in time. They also affect, over time, the balance between saving and borrowing in the economy.</w:t>
      </w:r>
    </w:p>
    <w:p>
      <w:pPr>
        <w:pStyle w:val="BodyText"/>
        <w:spacing w:line="360" w:lineRule="auto" w:before="3"/>
        <w:ind w:left="313" w:right="358"/>
      </w:pPr>
      <w:r>
        <w:rPr/>
        <w:t>Central bank asset purchases potentially affect differently those with assets and those with debt, as well as affecting the balance between asset and debt-holding over time. This is how monetary policy works.</w:t>
      </w:r>
    </w:p>
    <w:p>
      <w:pPr>
        <w:pStyle w:val="BodyText"/>
        <w:rPr>
          <w:sz w:val="30"/>
        </w:rPr>
      </w:pPr>
    </w:p>
    <w:p>
      <w:pPr>
        <w:pStyle w:val="BodyText"/>
        <w:spacing w:line="360" w:lineRule="auto"/>
        <w:ind w:left="313" w:right="314"/>
      </w:pPr>
      <w:r>
        <w:rPr/>
        <w:t>When it comes to understanding how (indeed, whether) monetary policy is working, then, it is important to understand and monitor these distributional moving parts. Distributional analysis provides a window on the monetary policy engine at work. For example, when interest rates change it is important to gauge not only how cash flow switches between savers and borrowers, but whether it is being saved or spent.</w:t>
      </w:r>
      <w:r>
        <w:rPr>
          <w:vertAlign w:val="superscript"/>
        </w:rPr>
        <w:t>14</w:t>
      </w:r>
    </w:p>
    <w:p>
      <w:pPr>
        <w:pStyle w:val="BodyText"/>
        <w:rPr>
          <w:sz w:val="30"/>
        </w:rPr>
      </w:pPr>
    </w:p>
    <w:p>
      <w:pPr>
        <w:pStyle w:val="BodyText"/>
        <w:spacing w:line="360" w:lineRule="auto" w:before="1"/>
        <w:ind w:left="313" w:right="455"/>
      </w:pPr>
      <w:r>
        <w:rPr/>
        <w:t>Second, explaining the distributional impact of monetary policy is potentially important for building and maintaining understanding and trust among the general public in these policies. It can help preserve that all-important social contract between policymakers and citizens.</w:t>
      </w:r>
      <w:r>
        <w:rPr>
          <w:vertAlign w:val="superscript"/>
        </w:rPr>
        <w:t>15</w:t>
      </w:r>
      <w:r>
        <w:rPr>
          <w:vertAlign w:val="baseline"/>
        </w:rPr>
        <w:t> Doing so effectively may call for explaining the impact of policy on the general public, not just at an aggregate level but on a disaggregated basis.</w:t>
      </w:r>
    </w:p>
    <w:p>
      <w:pPr>
        <w:pStyle w:val="BodyText"/>
      </w:pPr>
    </w:p>
    <w:p>
      <w:pPr>
        <w:pStyle w:val="BodyText"/>
      </w:pPr>
    </w:p>
    <w:p>
      <w:pPr>
        <w:pStyle w:val="BodyText"/>
        <w:spacing w:before="10"/>
        <w:rPr>
          <w:sz w:val="12"/>
        </w:rPr>
      </w:pPr>
      <w:r>
        <w:rPr/>
        <w:pict>
          <v:shape style="position:absolute;margin-left:56.664001pt;margin-top:9.608164pt;width:144.050pt;height:.1pt;mso-position-horizontal-relative:page;mso-position-vertical-relative:paragraph;z-index:-251654144;mso-wrap-distance-left:0;mso-wrap-distance-right:0" coordorigin="1133,192" coordsize="2881,0" path="m1133,192l4014,192e" filled="false" stroked="true" strokeweight=".47998pt" strokecolor="#000000">
            <v:path arrowok="t"/>
            <v:stroke dashstyle="solid"/>
            <w10:wrap type="topAndBottom"/>
          </v:shape>
        </w:pict>
      </w:r>
    </w:p>
    <w:p>
      <w:pPr>
        <w:spacing w:line="195" w:lineRule="exact" w:before="30"/>
        <w:ind w:left="313" w:right="0" w:firstLine="0"/>
        <w:jc w:val="left"/>
        <w:rPr>
          <w:sz w:val="16"/>
        </w:rPr>
      </w:pPr>
      <w:r>
        <w:rPr>
          <w:position w:val="8"/>
          <w:sz w:val="10"/>
        </w:rPr>
        <w:t>12 </w:t>
      </w:r>
      <w:r>
        <w:rPr>
          <w:sz w:val="16"/>
        </w:rPr>
        <w:t>For example, Lipton (2014) and Cœuré (2012).</w:t>
      </w:r>
    </w:p>
    <w:p>
      <w:pPr>
        <w:spacing w:line="184" w:lineRule="exact" w:before="0"/>
        <w:ind w:left="313" w:right="0" w:firstLine="0"/>
        <w:jc w:val="left"/>
        <w:rPr>
          <w:sz w:val="16"/>
        </w:rPr>
      </w:pPr>
      <w:r>
        <w:rPr>
          <w:position w:val="8"/>
          <w:sz w:val="10"/>
        </w:rPr>
        <w:t>13 </w:t>
      </w:r>
      <w:r>
        <w:rPr>
          <w:sz w:val="16"/>
        </w:rPr>
        <w:t>For example, Haldane (2016) and Carney (2016).</w:t>
      </w:r>
    </w:p>
    <w:p>
      <w:pPr>
        <w:spacing w:line="185" w:lineRule="exact" w:before="0"/>
        <w:ind w:left="313" w:right="0" w:firstLine="0"/>
        <w:jc w:val="left"/>
        <w:rPr>
          <w:sz w:val="16"/>
        </w:rPr>
      </w:pPr>
      <w:r>
        <w:rPr>
          <w:position w:val="8"/>
          <w:sz w:val="10"/>
        </w:rPr>
        <w:t>14 </w:t>
      </w:r>
      <w:r>
        <w:rPr>
          <w:sz w:val="16"/>
        </w:rPr>
        <w:t>Bunn </w:t>
      </w:r>
      <w:r>
        <w:rPr>
          <w:i/>
          <w:sz w:val="16"/>
        </w:rPr>
        <w:t>et al </w:t>
      </w:r>
      <w:r>
        <w:rPr>
          <w:sz w:val="16"/>
        </w:rPr>
        <w:t>(2015).</w:t>
      </w:r>
    </w:p>
    <w:p>
      <w:pPr>
        <w:spacing w:line="196" w:lineRule="exact" w:before="0"/>
        <w:ind w:left="313" w:right="0" w:firstLine="0"/>
        <w:jc w:val="left"/>
        <w:rPr>
          <w:sz w:val="16"/>
        </w:rPr>
      </w:pPr>
      <w:r>
        <w:rPr>
          <w:position w:val="8"/>
          <w:sz w:val="10"/>
        </w:rPr>
        <w:t>15 </w:t>
      </w:r>
      <w:r>
        <w:rPr>
          <w:sz w:val="16"/>
        </w:rPr>
        <w:t>Haldane (2017).</w:t>
      </w:r>
    </w:p>
    <w:p>
      <w:pPr>
        <w:spacing w:after="0" w:line="196" w:lineRule="exact"/>
        <w:jc w:val="left"/>
        <w:rPr>
          <w:sz w:val="16"/>
        </w:rPr>
        <w:sectPr>
          <w:footerReference w:type="default" r:id="rId11"/>
          <w:pgSz w:w="11910" w:h="16840"/>
          <w:pgMar w:footer="1338" w:header="0" w:top="1340" w:bottom="1520" w:left="820" w:right="960"/>
        </w:sectPr>
      </w:pPr>
    </w:p>
    <w:p>
      <w:pPr>
        <w:pStyle w:val="BodyText"/>
        <w:spacing w:line="360" w:lineRule="auto" w:before="79"/>
        <w:ind w:left="313" w:right="269"/>
      </w:pPr>
      <w:r>
        <w:rPr/>
        <w:t>Third, the ultimate yardstick of policy success is its impact on people’s well-being. That is affected importantly by how the effects of policy are distributed across society. A rise in aggregate GDP in an economy need not necessarily mean higher welfare for all its citizens or regions, as the lady in the audience made clear. The more uneven the distribution of winners and losers, and the greater the skew in gains, the less likely it is aggregate social welfare will have risen.</w:t>
      </w:r>
    </w:p>
    <w:p>
      <w:pPr>
        <w:pStyle w:val="BodyText"/>
        <w:spacing w:before="10"/>
        <w:rPr>
          <w:sz w:val="29"/>
        </w:rPr>
      </w:pPr>
    </w:p>
    <w:p>
      <w:pPr>
        <w:pStyle w:val="BodyText"/>
        <w:spacing w:line="360" w:lineRule="auto"/>
        <w:ind w:left="313" w:right="314"/>
      </w:pPr>
      <w:r>
        <w:rPr/>
        <w:t>When it comes to evidence on the distributional impact of monetary policy, there are wide gaps in understanding and even wider gaps in perception. Even among policymakers and academics, work in this area remains embryonic and the results are often ambiguous.</w:t>
      </w:r>
      <w:r>
        <w:rPr>
          <w:vertAlign w:val="superscript"/>
        </w:rPr>
        <w:t>16</w:t>
      </w:r>
      <w:r>
        <w:rPr>
          <w:vertAlign w:val="baseline"/>
        </w:rPr>
        <w:t> If I were summarising this research evidence, I would say it suggests monetary policy can and has affected inequality, but that these effects have probably been modest quantitatively.</w:t>
      </w:r>
    </w:p>
    <w:p>
      <w:pPr>
        <w:pStyle w:val="BodyText"/>
        <w:spacing w:before="2"/>
        <w:rPr>
          <w:sz w:val="30"/>
        </w:rPr>
      </w:pPr>
    </w:p>
    <w:p>
      <w:pPr>
        <w:pStyle w:val="BodyText"/>
        <w:spacing w:line="360" w:lineRule="auto"/>
        <w:ind w:left="313" w:right="314"/>
      </w:pPr>
      <w:r>
        <w:rPr/>
        <w:t>There are a number of reasons why existing research may not have been clear-cut in its conclusions. Studies have used different measures of monetary impulse (interest rates versus QE) and different methodologies (macro versus micro). Perhaps most importantly, these studies have tended to focus on different monetary policy transmission channels. Doing so can give quite different perspectives on the impact of monetary policy on overall inequality.</w:t>
      </w:r>
    </w:p>
    <w:p>
      <w:pPr>
        <w:pStyle w:val="BodyText"/>
        <w:spacing w:before="11"/>
        <w:rPr>
          <w:sz w:val="29"/>
        </w:rPr>
      </w:pPr>
    </w:p>
    <w:p>
      <w:pPr>
        <w:pStyle w:val="BodyText"/>
        <w:spacing w:line="360" w:lineRule="auto"/>
        <w:ind w:left="313" w:right="169"/>
      </w:pPr>
      <w:r>
        <w:rPr/>
        <w:t>The general public probably suffers from a particularly acute version of this problem. When asked to assess the impact of changes in monetary policy, they tend to focus on those channels which have an observable and immediate impact on their finances. These are likely to include the cash flow effects of interest rate changes on interest payments and receipts and the effects of asset prices on wealth</w:t>
      </w:r>
      <w:r>
        <w:rPr>
          <w:spacing w:val="-5"/>
        </w:rPr>
        <w:t> </w:t>
      </w:r>
      <w:r>
        <w:rPr/>
        <w:t>portfolios.</w:t>
      </w:r>
    </w:p>
    <w:p>
      <w:pPr>
        <w:pStyle w:val="BodyText"/>
        <w:spacing w:before="1"/>
        <w:rPr>
          <w:sz w:val="30"/>
        </w:rPr>
      </w:pPr>
    </w:p>
    <w:p>
      <w:pPr>
        <w:pStyle w:val="BodyText"/>
        <w:spacing w:line="360" w:lineRule="auto"/>
        <w:ind w:left="313" w:right="280"/>
      </w:pPr>
      <w:r>
        <w:rPr/>
        <w:t>For example, when asked about whether lower interest rates have benefitted them, around a third of the UK public – and more than half of those aged over 50 – suggest not.</w:t>
      </w:r>
      <w:r>
        <w:rPr>
          <w:vertAlign w:val="superscript"/>
        </w:rPr>
        <w:t>17</w:t>
      </w:r>
      <w:r>
        <w:rPr>
          <w:vertAlign w:val="baseline"/>
        </w:rPr>
        <w:t> Within that group, a large majority – around 80% – focus only on the negative effects of lower rates on their savings income. This is only one of the channels through which monetary policy works, albeit the most immediate and</w:t>
      </w:r>
      <w:r>
        <w:rPr>
          <w:spacing w:val="-12"/>
          <w:vertAlign w:val="baseline"/>
        </w:rPr>
        <w:t> </w:t>
      </w:r>
      <w:r>
        <w:rPr>
          <w:vertAlign w:val="baseline"/>
        </w:rPr>
        <w:t>observable.</w:t>
      </w:r>
    </w:p>
    <w:p>
      <w:pPr>
        <w:pStyle w:val="BodyText"/>
        <w:spacing w:before="1"/>
        <w:rPr>
          <w:sz w:val="30"/>
        </w:rPr>
      </w:pPr>
    </w:p>
    <w:p>
      <w:pPr>
        <w:pStyle w:val="BodyText"/>
        <w:spacing w:line="360" w:lineRule="auto"/>
        <w:ind w:left="313" w:right="314"/>
      </w:pPr>
      <w:r>
        <w:rPr/>
        <w:t>It is far harder for the public to take account of the other channels, many of them neither immediate nor observable, through which a relaxation of monetary policy might benefit them. This includes the effects of looser policy in boosting wages and jobs. Not taking account of these channels can give a distorted lens on the impact of policy on the economy at large, on inequality and on individuals’ personal finances.</w:t>
      </w:r>
    </w:p>
    <w:p>
      <w:pPr>
        <w:pStyle w:val="BodyText"/>
        <w:spacing w:before="9"/>
        <w:rPr>
          <w:sz w:val="29"/>
        </w:rPr>
      </w:pPr>
    </w:p>
    <w:p>
      <w:pPr>
        <w:pStyle w:val="BodyText"/>
        <w:spacing w:line="360" w:lineRule="auto" w:before="1"/>
        <w:ind w:left="313" w:right="169"/>
      </w:pPr>
      <w:r>
        <w:rPr/>
        <w:t>To gauge fully the distributional impact of monetary policy, then, we need to capture as many as possible of its transmission channels, direct and indirect, immediate and slower-moving. It is only by considering all of these channels in combination that we can then properly evaluate the impact of monetary policy on the income, wealth and welfare of people and the distribution of these effects. It is to those we now turn.</w:t>
      </w:r>
    </w:p>
    <w:p>
      <w:pPr>
        <w:pStyle w:val="BodyText"/>
        <w:spacing w:before="11"/>
        <w:rPr>
          <w:sz w:val="8"/>
        </w:rPr>
      </w:pPr>
      <w:r>
        <w:rPr/>
        <w:pict>
          <v:shape style="position:absolute;margin-left:56.664001pt;margin-top:7.369063pt;width:144.050pt;height:.1pt;mso-position-horizontal-relative:page;mso-position-vertical-relative:paragraph;z-index:-251653120;mso-wrap-distance-left:0;mso-wrap-distance-right:0" coordorigin="1133,147" coordsize="2881,0" path="m1133,147l4014,147e" filled="false" stroked="true" strokeweight=".47998pt" strokecolor="#000000">
            <v:path arrowok="t"/>
            <v:stroke dashstyle="solid"/>
            <w10:wrap type="topAndBottom"/>
          </v:shape>
        </w:pict>
      </w:r>
    </w:p>
    <w:p>
      <w:pPr>
        <w:spacing w:before="27"/>
        <w:ind w:left="313" w:right="0" w:firstLine="0"/>
        <w:jc w:val="left"/>
        <w:rPr>
          <w:sz w:val="16"/>
        </w:rPr>
      </w:pPr>
      <w:r>
        <w:rPr>
          <w:position w:val="8"/>
          <w:sz w:val="10"/>
        </w:rPr>
        <w:t>16 </w:t>
      </w:r>
      <w:r>
        <w:rPr>
          <w:sz w:val="16"/>
        </w:rPr>
        <w:t>Recent summaries of the literature are contained in Deutsche Bundesbank (2016) and Monnin (2017). The Bank of England working paper on this topic (Bunn, Pugh and Yeates (2018) on which this speech draws) contains a good survey of the recent literature.</w:t>
      </w:r>
    </w:p>
    <w:p>
      <w:pPr>
        <w:spacing w:line="186" w:lineRule="exact" w:before="0"/>
        <w:ind w:left="313" w:right="0" w:firstLine="0"/>
        <w:jc w:val="left"/>
        <w:rPr>
          <w:sz w:val="16"/>
        </w:rPr>
      </w:pPr>
      <w:r>
        <w:rPr>
          <w:position w:val="8"/>
          <w:sz w:val="10"/>
        </w:rPr>
        <w:t>17 </w:t>
      </w:r>
      <w:r>
        <w:rPr>
          <w:sz w:val="16"/>
        </w:rPr>
        <w:t>April 2017 NMG Consulting survey of households, as discussed in Bunn </w:t>
      </w:r>
      <w:r>
        <w:rPr>
          <w:i/>
          <w:sz w:val="16"/>
        </w:rPr>
        <w:t>et al </w:t>
      </w:r>
      <w:r>
        <w:rPr>
          <w:sz w:val="16"/>
        </w:rPr>
        <w:t>(2018).</w:t>
      </w:r>
    </w:p>
    <w:p>
      <w:pPr>
        <w:spacing w:after="0" w:line="186" w:lineRule="exact"/>
        <w:jc w:val="left"/>
        <w:rPr>
          <w:sz w:val="16"/>
        </w:rPr>
        <w:sectPr>
          <w:footerReference w:type="default" r:id="rId12"/>
          <w:pgSz w:w="11910" w:h="16840"/>
          <w:pgMar w:footer="1338" w:header="0" w:top="1340" w:bottom="1520" w:left="820" w:right="960"/>
        </w:sectPr>
      </w:pPr>
    </w:p>
    <w:p>
      <w:pPr>
        <w:pStyle w:val="Heading1"/>
        <w:spacing w:before="76"/>
      </w:pPr>
      <w:r>
        <w:rPr/>
        <w:t>Assessing the Quantitative Impact of Monetary Policy</w:t>
      </w:r>
    </w:p>
    <w:p>
      <w:pPr>
        <w:pStyle w:val="BodyText"/>
        <w:rPr>
          <w:b/>
          <w:sz w:val="22"/>
        </w:rPr>
      </w:pPr>
    </w:p>
    <w:p>
      <w:pPr>
        <w:pStyle w:val="BodyText"/>
        <w:spacing w:before="2"/>
        <w:rPr>
          <w:b/>
          <w:sz w:val="18"/>
        </w:rPr>
      </w:pPr>
    </w:p>
    <w:p>
      <w:pPr>
        <w:pStyle w:val="BodyText"/>
        <w:spacing w:line="360" w:lineRule="auto"/>
        <w:ind w:left="313" w:right="249"/>
      </w:pPr>
      <w:r>
        <w:rPr>
          <w:spacing w:val="3"/>
        </w:rPr>
        <w:t>We </w:t>
      </w:r>
      <w:r>
        <w:rPr/>
        <w:t>develop a quantitative framework to measure the impact of monetary policy on the economy as a whole and on different cohorts within it. </w:t>
      </w:r>
      <w:r>
        <w:rPr>
          <w:spacing w:val="5"/>
        </w:rPr>
        <w:t>We </w:t>
      </w:r>
      <w:r>
        <w:rPr/>
        <w:t>use the UK as a case study. The framework draws heavily on recent research by Bank of England staff, Phil Bunn, Alice Pugh and Chris Yeates. Their working paper contains full details of the exercise, which involves three broad steps.</w:t>
      </w:r>
      <w:r>
        <w:rPr>
          <w:vertAlign w:val="superscript"/>
        </w:rPr>
        <w:t>18</w:t>
      </w:r>
      <w:r>
        <w:rPr>
          <w:vertAlign w:val="baseline"/>
        </w:rPr>
        <w:t> As with any quantitative analysis, there are of course uncertainties and confidence intervals around the results. As such, the broad qualitative conclusions are probably worth emphasising more than any precise</w:t>
      </w:r>
      <w:r>
        <w:rPr>
          <w:spacing w:val="-5"/>
          <w:vertAlign w:val="baseline"/>
        </w:rPr>
        <w:t> </w:t>
      </w:r>
      <w:r>
        <w:rPr>
          <w:vertAlign w:val="baseline"/>
        </w:rPr>
        <w:t>figures.</w:t>
      </w:r>
    </w:p>
    <w:p>
      <w:pPr>
        <w:pStyle w:val="BodyText"/>
        <w:spacing w:before="2"/>
        <w:rPr>
          <w:sz w:val="30"/>
        </w:rPr>
      </w:pPr>
    </w:p>
    <w:p>
      <w:pPr>
        <w:pStyle w:val="BodyText"/>
        <w:ind w:left="313"/>
      </w:pPr>
      <w:r>
        <w:rPr>
          <w:u w:val="single"/>
        </w:rPr>
        <w:t>Step One: Starting Distributions</w:t>
      </w:r>
    </w:p>
    <w:p>
      <w:pPr>
        <w:pStyle w:val="BodyText"/>
      </w:pPr>
    </w:p>
    <w:p>
      <w:pPr>
        <w:pStyle w:val="BodyText"/>
        <w:spacing w:before="10"/>
        <w:rPr>
          <w:sz w:val="19"/>
        </w:rPr>
      </w:pPr>
    </w:p>
    <w:p>
      <w:pPr>
        <w:pStyle w:val="BodyText"/>
        <w:spacing w:line="360" w:lineRule="auto"/>
        <w:ind w:left="313" w:right="247"/>
      </w:pPr>
      <w:r>
        <w:rPr/>
        <w:t>The starting point is an initial set of distributions for the variables of interest, looking across a representative sample of households. For this exercise, data are taken primarily from the Wealth and Asset Survey (WAS), a biennial survey of UK households’ assets and debts.</w:t>
      </w:r>
      <w:r>
        <w:rPr>
          <w:vertAlign w:val="superscript"/>
        </w:rPr>
        <w:t>19</w:t>
      </w:r>
      <w:r>
        <w:rPr>
          <w:vertAlign w:val="baseline"/>
        </w:rPr>
        <w:t> Specifically, we focus on a fixed panel of 10,000 households across 4 waves of this survey between 2006-08 and 2012-14.</w:t>
      </w:r>
    </w:p>
    <w:p>
      <w:pPr>
        <w:pStyle w:val="BodyText"/>
        <w:spacing w:before="1"/>
        <w:rPr>
          <w:sz w:val="30"/>
        </w:rPr>
      </w:pPr>
    </w:p>
    <w:p>
      <w:pPr>
        <w:pStyle w:val="BodyText"/>
        <w:spacing w:line="360" w:lineRule="auto"/>
        <w:ind w:left="313" w:right="218"/>
      </w:pPr>
      <w:r>
        <w:rPr/>
        <w:t>The survey design and sampling means these households are broadly representative of the UK population as a whole.</w:t>
      </w:r>
      <w:r>
        <w:rPr>
          <w:vertAlign w:val="superscript"/>
        </w:rPr>
        <w:t>20</w:t>
      </w:r>
      <w:r>
        <w:rPr>
          <w:vertAlign w:val="baseline"/>
        </w:rPr>
        <w:t> It is well-known, however, that household surveys tend to under-sample the tails of the income and wealth distribution, in particular the upper tail.</w:t>
      </w:r>
      <w:r>
        <w:rPr>
          <w:vertAlign w:val="superscript"/>
        </w:rPr>
        <w:t>21</w:t>
      </w:r>
      <w:r>
        <w:rPr>
          <w:vertAlign w:val="baseline"/>
        </w:rPr>
        <w:t> In the analysis, we focus on the Gini coefficient and the ratio of the 90</w:t>
      </w:r>
      <w:r>
        <w:rPr>
          <w:vertAlign w:val="superscript"/>
        </w:rPr>
        <w:t>th</w:t>
      </w:r>
      <w:r>
        <w:rPr>
          <w:vertAlign w:val="baseline"/>
        </w:rPr>
        <w:t> to the 10</w:t>
      </w:r>
      <w:r>
        <w:rPr>
          <w:vertAlign w:val="superscript"/>
        </w:rPr>
        <w:t>th</w:t>
      </w:r>
      <w:r>
        <w:rPr>
          <w:vertAlign w:val="baseline"/>
        </w:rPr>
        <w:t> percentile of the distribution (“90/10 ratio”) as measures of inequality.</w:t>
      </w:r>
    </w:p>
    <w:p>
      <w:pPr>
        <w:pStyle w:val="BodyText"/>
        <w:spacing w:before="10"/>
        <w:rPr>
          <w:sz w:val="29"/>
        </w:rPr>
      </w:pPr>
    </w:p>
    <w:p>
      <w:pPr>
        <w:pStyle w:val="BodyText"/>
        <w:spacing w:line="360" w:lineRule="auto"/>
        <w:ind w:left="313" w:right="336"/>
      </w:pPr>
      <w:r>
        <w:rPr/>
        <w:t>Charts 2 and 3 plot the distribution of income and net wealth across UK households just prior to the crisis.</w:t>
      </w:r>
      <w:r>
        <w:rPr>
          <w:vertAlign w:val="superscript"/>
        </w:rPr>
        <w:t>22</w:t>
      </w:r>
      <w:r>
        <w:rPr>
          <w:vertAlign w:val="baseline"/>
        </w:rPr>
        <w:t> This is the starting date for the exercise, after which UK monetary policy was loosened materially. As is well-known, these distributions are extremely uneven. For example, in 2007 the richest 10% of households accounted for around a quarter of total income and over 40% of wealth.</w:t>
      </w:r>
    </w:p>
    <w:p>
      <w:pPr>
        <w:pStyle w:val="BodyText"/>
        <w:spacing w:before="1"/>
        <w:rPr>
          <w:sz w:val="30"/>
        </w:rPr>
      </w:pPr>
    </w:p>
    <w:p>
      <w:pPr>
        <w:pStyle w:val="BodyText"/>
        <w:spacing w:line="360" w:lineRule="auto"/>
        <w:ind w:left="313" w:right="314"/>
      </w:pPr>
      <w:r>
        <w:rPr/>
        <w:t>At the other end of the distribution, the whole bottom half of households by income accounted for only around a quarter of income in the economy and only around 10% of net wealth. Around 50% of households earned less than £20,000 in income each year and around 40% had fewer than £90,000 in net wealth.</w:t>
      </w:r>
    </w:p>
    <w:p>
      <w:pPr>
        <w:pStyle w:val="BodyText"/>
        <w:rPr>
          <w:sz w:val="30"/>
        </w:rPr>
      </w:pPr>
    </w:p>
    <w:p>
      <w:pPr>
        <w:pStyle w:val="BodyText"/>
        <w:spacing w:line="360" w:lineRule="auto" w:before="1"/>
        <w:ind w:left="313" w:right="358"/>
      </w:pPr>
      <w:r>
        <w:rPr/>
        <w:pict>
          <v:shape style="position:absolute;margin-left:56.664001pt;margin-top:72.939857pt;width:144.050pt;height:.1pt;mso-position-horizontal-relative:page;mso-position-vertical-relative:paragraph;z-index:-251652096;mso-wrap-distance-left:0;mso-wrap-distance-right:0" coordorigin="1133,1459" coordsize="2881,0" path="m1133,1459l4014,1459e" filled="false" stroked="true" strokeweight=".48004pt" strokecolor="#000000">
            <v:path arrowok="t"/>
            <v:stroke dashstyle="solid"/>
            <w10:wrap type="topAndBottom"/>
          </v:shape>
        </w:pict>
      </w:r>
      <w:r>
        <w:rPr/>
        <w:t>Age is an important factor shaping these distributions, as life-cycle theory would suggest. Chart 4 plots the net wealth distribution by age. Those over 50 account for around 80% of aggregate net wealth and those over 70 for around a quarter. By contrast, those under 30 account for less than 5% of wealth. In general, the young are borrowers with a stock of debt, the old are savers with a pool of assets.</w:t>
      </w:r>
    </w:p>
    <w:p>
      <w:pPr>
        <w:spacing w:line="195" w:lineRule="exact" w:before="30"/>
        <w:ind w:left="313" w:right="0" w:firstLine="0"/>
        <w:jc w:val="left"/>
        <w:rPr>
          <w:sz w:val="16"/>
        </w:rPr>
      </w:pPr>
      <w:r>
        <w:rPr>
          <w:position w:val="8"/>
          <w:sz w:val="10"/>
        </w:rPr>
        <w:t>18 </w:t>
      </w:r>
      <w:r>
        <w:rPr>
          <w:sz w:val="16"/>
        </w:rPr>
        <w:t>Bunn </w:t>
      </w:r>
      <w:r>
        <w:rPr>
          <w:i/>
          <w:sz w:val="16"/>
        </w:rPr>
        <w:t>et al </w:t>
      </w:r>
      <w:r>
        <w:rPr>
          <w:sz w:val="16"/>
        </w:rPr>
        <w:t>(2018).</w:t>
      </w:r>
    </w:p>
    <w:p>
      <w:pPr>
        <w:spacing w:line="184" w:lineRule="exact" w:before="0"/>
        <w:ind w:left="313" w:right="0" w:firstLine="0"/>
        <w:jc w:val="left"/>
        <w:rPr>
          <w:sz w:val="16"/>
        </w:rPr>
      </w:pPr>
      <w:r>
        <w:rPr>
          <w:position w:val="8"/>
          <w:sz w:val="10"/>
        </w:rPr>
        <w:t>19 </w:t>
      </w:r>
      <w:r>
        <w:rPr>
          <w:sz w:val="16"/>
        </w:rPr>
        <w:t>We also use the Family Resources Survey (FRS) for household incomes.</w:t>
      </w:r>
    </w:p>
    <w:p>
      <w:pPr>
        <w:spacing w:line="182" w:lineRule="exact" w:before="16"/>
        <w:ind w:left="313" w:right="182" w:firstLine="0"/>
        <w:jc w:val="left"/>
        <w:rPr>
          <w:sz w:val="16"/>
        </w:rPr>
      </w:pPr>
      <w:r>
        <w:rPr>
          <w:position w:val="8"/>
          <w:sz w:val="10"/>
        </w:rPr>
        <w:t>20 </w:t>
      </w:r>
      <w:r>
        <w:rPr>
          <w:sz w:val="16"/>
        </w:rPr>
        <w:t>See </w:t>
      </w:r>
      <w:hyperlink r:id="rId14">
        <w:r>
          <w:rPr>
            <w:color w:val="0000FF"/>
            <w:sz w:val="16"/>
            <w:u w:val="single" w:color="0000FF"/>
          </w:rPr>
          <w:t>https://www.ons.gov.uk/peoplepopulationandcommunity/personalandhouseholdfinances/debt/methodologies/wealthandassetssurveyqmi</w:t>
        </w:r>
      </w:hyperlink>
    </w:p>
    <w:p>
      <w:pPr>
        <w:spacing w:line="184" w:lineRule="exact" w:before="2"/>
        <w:ind w:left="313" w:right="314" w:firstLine="0"/>
        <w:jc w:val="left"/>
        <w:rPr>
          <w:sz w:val="16"/>
        </w:rPr>
      </w:pPr>
      <w:r>
        <w:rPr>
          <w:position w:val="8"/>
          <w:sz w:val="10"/>
        </w:rPr>
        <w:t>21 </w:t>
      </w:r>
      <w:r>
        <w:rPr>
          <w:sz w:val="16"/>
        </w:rPr>
        <w:t>As discussed in Vermeulen (2016), for example. The ONS Wealth and Asset Survey is probably the UK household survey with the best coverage of the tails of the distribution.</w:t>
      </w:r>
    </w:p>
    <w:p>
      <w:pPr>
        <w:spacing w:line="180" w:lineRule="exact" w:before="0"/>
        <w:ind w:left="313" w:right="0" w:firstLine="0"/>
        <w:jc w:val="left"/>
        <w:rPr>
          <w:sz w:val="16"/>
        </w:rPr>
      </w:pPr>
      <w:r>
        <w:rPr>
          <w:position w:val="8"/>
          <w:sz w:val="10"/>
        </w:rPr>
        <w:t>22 </w:t>
      </w:r>
      <w:r>
        <w:rPr>
          <w:sz w:val="16"/>
        </w:rPr>
        <w:t>The measure of wealth used is net total wealth, comprising financial, property, physical and pension assets, net of debt. There is a</w:t>
      </w:r>
    </w:p>
    <w:p>
      <w:pPr>
        <w:spacing w:before="1"/>
        <w:ind w:left="313" w:right="169" w:firstLine="0"/>
        <w:jc w:val="left"/>
        <w:rPr>
          <w:sz w:val="16"/>
        </w:rPr>
      </w:pPr>
      <w:r>
        <w:rPr>
          <w:sz w:val="16"/>
        </w:rPr>
        <w:t>question about how much households are aware of pension wealth, and therefore value it. The distributions are not especially sensitive to whether pension wealth is included.</w:t>
      </w:r>
    </w:p>
    <w:p>
      <w:pPr>
        <w:spacing w:after="0"/>
        <w:jc w:val="left"/>
        <w:rPr>
          <w:sz w:val="16"/>
        </w:rPr>
        <w:sectPr>
          <w:footerReference w:type="default" r:id="rId13"/>
          <w:pgSz w:w="11910" w:h="16840"/>
          <w:pgMar w:footer="1338" w:header="0" w:top="1340" w:bottom="1520" w:left="820" w:right="960"/>
        </w:sectPr>
      </w:pPr>
    </w:p>
    <w:p>
      <w:pPr>
        <w:pStyle w:val="BodyText"/>
        <w:spacing w:line="360" w:lineRule="auto" w:before="79"/>
        <w:ind w:left="313" w:right="218"/>
      </w:pPr>
      <w:r>
        <w:rPr/>
        <w:t>If we overlay the income and wealth distributions in 2007 and 2013 (the end-date for our exercise), these are pretty-much identically-shaped (Charts 5 and 6). On that basis alone, there has not been any clear shift in income or wealth inequality since the crisis. Standard summary measures of inequality, such as the Gini coefficient, confirm that conclusion: for both income and wealth, the Gini is largely unchanged.</w:t>
      </w:r>
      <w:r>
        <w:rPr>
          <w:vertAlign w:val="superscript"/>
        </w:rPr>
        <w:t>23</w:t>
      </w:r>
    </w:p>
    <w:p>
      <w:pPr>
        <w:pStyle w:val="BodyText"/>
        <w:rPr>
          <w:sz w:val="30"/>
        </w:rPr>
      </w:pPr>
    </w:p>
    <w:p>
      <w:pPr>
        <w:pStyle w:val="BodyText"/>
        <w:spacing w:line="360" w:lineRule="auto" w:before="1"/>
        <w:ind w:left="313" w:right="436"/>
      </w:pPr>
      <w:r>
        <w:rPr/>
        <w:t>On the face of it, then, this does not strongly suggest that the relaxation of monetary policy since the crisis has significantly worsened inequality. Unless, that is, other factors have more than counterbalanced the effect of monetary policy. To assess that, we need to identify the distinct impact of monetary policy on the economy, both in aggregate and looking across the household distribution.</w:t>
      </w:r>
    </w:p>
    <w:p>
      <w:pPr>
        <w:pStyle w:val="BodyText"/>
        <w:spacing w:before="9"/>
        <w:rPr>
          <w:sz w:val="29"/>
        </w:rPr>
      </w:pPr>
    </w:p>
    <w:p>
      <w:pPr>
        <w:pStyle w:val="BodyText"/>
        <w:ind w:left="313"/>
      </w:pPr>
      <w:r>
        <w:rPr>
          <w:u w:val="single"/>
        </w:rPr>
        <w:t>Step Two: Calibrating the Impact of Monetary Policy</w:t>
      </w:r>
    </w:p>
    <w:p>
      <w:pPr>
        <w:pStyle w:val="BodyText"/>
      </w:pPr>
    </w:p>
    <w:p>
      <w:pPr>
        <w:pStyle w:val="BodyText"/>
        <w:spacing w:before="2"/>
      </w:pPr>
    </w:p>
    <w:p>
      <w:pPr>
        <w:pStyle w:val="BodyText"/>
        <w:spacing w:line="360" w:lineRule="auto"/>
        <w:ind w:left="313" w:right="269"/>
      </w:pPr>
      <w:r>
        <w:rPr/>
        <w:t>The policy episode we consider is the relaxation of UK monetary policy after the global financial crisis. These actions by the Bank’s Monetary Policy Committee (MPC) comprised: first, the reduction of short-term interest rates by 5 percentage points (from 5.5% to 0.5%) between February 2008 and March 2009; and second, the purchase of £375 billion of government securities between March 2009 and</w:t>
      </w:r>
      <w:r>
        <w:rPr>
          <w:spacing w:val="-11"/>
        </w:rPr>
        <w:t> </w:t>
      </w:r>
      <w:r>
        <w:rPr/>
        <w:t>mid-2012.</w:t>
      </w:r>
    </w:p>
    <w:p>
      <w:pPr>
        <w:pStyle w:val="BodyText"/>
        <w:spacing w:before="1"/>
        <w:rPr>
          <w:sz w:val="30"/>
        </w:rPr>
      </w:pPr>
    </w:p>
    <w:p>
      <w:pPr>
        <w:pStyle w:val="BodyText"/>
        <w:spacing w:line="360" w:lineRule="auto"/>
        <w:ind w:left="313" w:right="169"/>
      </w:pPr>
      <w:r>
        <w:rPr/>
        <w:t>In combination, these measures represented a very significant relaxation of UK monetary policy, perhaps the largest in the Bank of England’s history. We consider their combined effects, as interest rates and QE were part of a single monetary policy strategy by the MPC. Nonetheless, given their potentially different distributional consequences, we also consider the effects of QE and interest rates separately.</w:t>
      </w:r>
    </w:p>
    <w:p>
      <w:pPr>
        <w:pStyle w:val="BodyText"/>
        <w:spacing w:before="10"/>
        <w:rPr>
          <w:sz w:val="29"/>
        </w:rPr>
      </w:pPr>
    </w:p>
    <w:p>
      <w:pPr>
        <w:pStyle w:val="BodyText"/>
        <w:spacing w:line="360" w:lineRule="auto"/>
        <w:ind w:left="313" w:right="264"/>
      </w:pPr>
      <w:r>
        <w:rPr/>
        <w:t>To trace out the impact of these monetary interventions on the economy and on households, we use a </w:t>
      </w:r>
      <w:r>
        <w:rPr>
          <w:i/>
        </w:rPr>
        <w:t>macro-to-micro </w:t>
      </w:r>
      <w:r>
        <w:rPr/>
        <w:t>simulation approach. This involves two mappings. The first is from the monetary impulse to a small set of macro-economic aggregates (interest rates, employment, wages, equity and house prices and consumer prices). This is done using the Bank of England’s macro-economic</w:t>
      </w:r>
      <w:r>
        <w:rPr>
          <w:spacing w:val="-7"/>
        </w:rPr>
        <w:t> </w:t>
      </w:r>
      <w:r>
        <w:rPr/>
        <w:t>model.</w:t>
      </w:r>
    </w:p>
    <w:p>
      <w:pPr>
        <w:pStyle w:val="BodyText"/>
        <w:spacing w:before="1"/>
        <w:rPr>
          <w:sz w:val="30"/>
        </w:rPr>
      </w:pPr>
    </w:p>
    <w:p>
      <w:pPr>
        <w:pStyle w:val="BodyText"/>
        <w:spacing w:line="360" w:lineRule="auto"/>
        <w:ind w:left="313" w:right="280"/>
      </w:pPr>
      <w:r>
        <w:rPr/>
        <w:t>Charts 7-9 show the effects of the combined monetary stimulus on aggregate GDP, unemployment and CPI inflation.</w:t>
      </w:r>
      <w:r>
        <w:rPr>
          <w:vertAlign w:val="superscript"/>
        </w:rPr>
        <w:t>24</w:t>
      </w:r>
      <w:r>
        <w:rPr>
          <w:vertAlign w:val="baseline"/>
        </w:rPr>
        <w:t> Without the monetary stimulus, GDP in the UK would have been around 8% lower, unemployment 4 percentage points higher and the level of consumer prices 20% lower. Although there are significant uncertainties around these estimates, especially at crisis time, these effects are clearly large.</w:t>
      </w:r>
    </w:p>
    <w:p>
      <w:pPr>
        <w:pStyle w:val="BodyText"/>
        <w:spacing w:before="1"/>
        <w:rPr>
          <w:sz w:val="30"/>
        </w:rPr>
      </w:pPr>
    </w:p>
    <w:p>
      <w:pPr>
        <w:pStyle w:val="BodyText"/>
        <w:spacing w:line="357" w:lineRule="auto"/>
        <w:ind w:left="313"/>
      </w:pPr>
      <w:r>
        <w:rPr/>
        <w:t>The second mapping is from these macro-economic aggregates to the balance sheets of households. This mapping focusses on four main channels of transmission: (a) </w:t>
      </w:r>
      <w:r>
        <w:rPr>
          <w:i/>
        </w:rPr>
        <w:t>cash flow channel </w:t>
      </w:r>
      <w:r>
        <w:rPr/>
        <w:t>(the direct effects on households’ interest payments and receipts); (b) </w:t>
      </w:r>
      <w:r>
        <w:rPr>
          <w:i/>
        </w:rPr>
        <w:t>labour income channel </w:t>
      </w:r>
      <w:r>
        <w:rPr/>
        <w:t>(the effect on household wages and</w:t>
      </w:r>
    </w:p>
    <w:p>
      <w:pPr>
        <w:pStyle w:val="BodyText"/>
      </w:pPr>
    </w:p>
    <w:p>
      <w:pPr>
        <w:pStyle w:val="BodyText"/>
      </w:pPr>
    </w:p>
    <w:p>
      <w:pPr>
        <w:pStyle w:val="BodyText"/>
        <w:spacing w:before="4"/>
        <w:rPr>
          <w:sz w:val="13"/>
        </w:rPr>
      </w:pPr>
      <w:r>
        <w:rPr/>
        <w:pict>
          <v:shape style="position:absolute;margin-left:56.664001pt;margin-top:9.898106pt;width:144.050pt;height:.1pt;mso-position-horizontal-relative:page;mso-position-vertical-relative:paragraph;z-index:-251651072;mso-wrap-distance-left:0;mso-wrap-distance-right:0" coordorigin="1133,198" coordsize="2881,0" path="m1133,198l4014,198e" filled="false" stroked="true" strokeweight=".47998pt" strokecolor="#000000">
            <v:path arrowok="t"/>
            <v:stroke dashstyle="solid"/>
            <w10:wrap type="topAndBottom"/>
          </v:shape>
        </w:pict>
      </w:r>
    </w:p>
    <w:p>
      <w:pPr>
        <w:spacing w:before="30"/>
        <w:ind w:left="313" w:right="1058" w:firstLine="0"/>
        <w:jc w:val="left"/>
        <w:rPr>
          <w:sz w:val="16"/>
        </w:rPr>
      </w:pPr>
      <w:r>
        <w:rPr>
          <w:position w:val="8"/>
          <w:sz w:val="10"/>
        </w:rPr>
        <w:t>23 </w:t>
      </w:r>
      <w:r>
        <w:rPr>
          <w:sz w:val="16"/>
        </w:rPr>
        <w:t>The same is true of other measures of inequality, such as the 90/10 ratio. Sampling issues mean caution is needed when interpreting in particular the wealth-based measures of inequality.</w:t>
      </w:r>
    </w:p>
    <w:p>
      <w:pPr>
        <w:spacing w:line="184" w:lineRule="exact" w:before="2"/>
        <w:ind w:left="313" w:right="0" w:firstLine="0"/>
        <w:jc w:val="left"/>
        <w:rPr>
          <w:sz w:val="16"/>
        </w:rPr>
      </w:pPr>
      <w:r>
        <w:rPr>
          <w:position w:val="8"/>
          <w:sz w:val="10"/>
        </w:rPr>
        <w:t>24 </w:t>
      </w:r>
      <w:r>
        <w:rPr>
          <w:sz w:val="16"/>
        </w:rPr>
        <w:t>See Carney (2016) and Haldane (2016) for more details. Lower interest rates and QE operate through slightly different transmission channels.</w:t>
      </w:r>
    </w:p>
    <w:p>
      <w:pPr>
        <w:spacing w:after="0" w:line="184" w:lineRule="exact"/>
        <w:jc w:val="left"/>
        <w:rPr>
          <w:sz w:val="16"/>
        </w:rPr>
        <w:sectPr>
          <w:footerReference w:type="default" r:id="rId15"/>
          <w:pgSz w:w="11910" w:h="16840"/>
          <w:pgMar w:footer="1338" w:header="0" w:top="1340" w:bottom="1520" w:left="820" w:right="960"/>
        </w:sectPr>
      </w:pPr>
    </w:p>
    <w:p>
      <w:pPr>
        <w:pStyle w:val="BodyText"/>
        <w:spacing w:before="76"/>
        <w:ind w:left="313"/>
      </w:pPr>
      <w:r>
        <w:rPr/>
        <w:t>employment); (c) </w:t>
      </w:r>
      <w:r>
        <w:rPr>
          <w:i/>
        </w:rPr>
        <w:t>wealth channel </w:t>
      </w:r>
      <w:r>
        <w:rPr/>
        <w:t>(the effect on households’ financial, housing and pension wealth); and (d)</w:t>
      </w:r>
    </w:p>
    <w:p>
      <w:pPr>
        <w:spacing w:before="116"/>
        <w:ind w:left="313" w:right="0" w:firstLine="0"/>
        <w:jc w:val="left"/>
        <w:rPr>
          <w:sz w:val="20"/>
        </w:rPr>
      </w:pPr>
      <w:r>
        <w:rPr>
          <w:i/>
          <w:sz w:val="20"/>
        </w:rPr>
        <w:t>inflation channel </w:t>
      </w:r>
      <w:r>
        <w:rPr>
          <w:sz w:val="20"/>
        </w:rPr>
        <w:t>(the effect of prices on real household deposits and</w:t>
      </w:r>
      <w:r>
        <w:rPr>
          <w:spacing w:val="-20"/>
          <w:sz w:val="20"/>
        </w:rPr>
        <w:t> </w:t>
      </w:r>
      <w:r>
        <w:rPr>
          <w:sz w:val="20"/>
        </w:rPr>
        <w:t>debt).</w:t>
      </w:r>
      <w:r>
        <w:rPr>
          <w:sz w:val="20"/>
          <w:vertAlign w:val="superscript"/>
        </w:rPr>
        <w:t>25</w:t>
      </w:r>
    </w:p>
    <w:p>
      <w:pPr>
        <w:pStyle w:val="BodyText"/>
        <w:rPr>
          <w:sz w:val="26"/>
        </w:rPr>
      </w:pPr>
    </w:p>
    <w:p>
      <w:pPr>
        <w:pStyle w:val="BodyText"/>
        <w:spacing w:line="360" w:lineRule="auto" w:before="162"/>
        <w:ind w:left="313" w:right="169"/>
      </w:pPr>
      <w:r>
        <w:rPr/>
        <w:t>The key point is that these multiple channels of monetary transmission are fully recognised and calibrated. Some of these channels are direct and immediate, such as cash flow. Others are indirect and slower-acting, such as labour income. By combining them, we can calibrate the general equilibrium consequences of the UK’s monetary relaxation on the economy, in aggregate and across</w:t>
      </w:r>
      <w:r>
        <w:rPr>
          <w:spacing w:val="-5"/>
        </w:rPr>
        <w:t> </w:t>
      </w:r>
      <w:r>
        <w:rPr/>
        <w:t>cohorts.</w:t>
      </w:r>
    </w:p>
    <w:p>
      <w:pPr>
        <w:pStyle w:val="BodyText"/>
        <w:spacing w:before="1"/>
        <w:rPr>
          <w:sz w:val="30"/>
        </w:rPr>
      </w:pPr>
    </w:p>
    <w:p>
      <w:pPr>
        <w:pStyle w:val="BodyText"/>
        <w:spacing w:line="360" w:lineRule="auto"/>
        <w:ind w:left="313" w:right="807"/>
      </w:pPr>
      <w:r>
        <w:rPr/>
        <w:t>As we would expect, the potency of these channels varies across households depending on their characteristics. For example, the strength of the cash flow effect depends on individuals’ stock of interest-bearing assets and liabilities. The labour income channel depends on the skills and age of the household. And the wealth channel depends on the size and composition of their wealth portfolio.</w:t>
      </w:r>
    </w:p>
    <w:p>
      <w:pPr>
        <w:pStyle w:val="BodyText"/>
        <w:spacing w:before="1"/>
        <w:rPr>
          <w:sz w:val="30"/>
        </w:rPr>
      </w:pPr>
    </w:p>
    <w:p>
      <w:pPr>
        <w:pStyle w:val="BodyText"/>
        <w:ind w:left="313"/>
      </w:pPr>
      <w:r>
        <w:rPr>
          <w:u w:val="single"/>
        </w:rPr>
        <w:t>Step Three: Final Distributions</w:t>
      </w:r>
    </w:p>
    <w:p>
      <w:pPr>
        <w:pStyle w:val="BodyText"/>
      </w:pPr>
    </w:p>
    <w:p>
      <w:pPr>
        <w:pStyle w:val="BodyText"/>
        <w:spacing w:before="11"/>
        <w:rPr>
          <w:sz w:val="19"/>
        </w:rPr>
      </w:pPr>
    </w:p>
    <w:p>
      <w:pPr>
        <w:pStyle w:val="BodyText"/>
        <w:spacing w:line="360" w:lineRule="auto"/>
        <w:ind w:left="313"/>
      </w:pPr>
      <w:r>
        <w:rPr/>
        <w:t>With these mappings, we can calculate the impact of the MPC’s monetary loosening on different household cohorts. Charts 10 and 11 plot this effect on household income, looking across the income distribution. This impact is shown on both a “money amount” and “percentage of income” basis. </w:t>
      </w:r>
      <w:r>
        <w:rPr>
          <w:vertAlign w:val="superscript"/>
        </w:rPr>
        <w:t>26</w:t>
      </w:r>
      <w:r>
        <w:rPr>
          <w:vertAlign w:val="baseline"/>
        </w:rPr>
        <w:t> These effects are also split between the “cash flow” and “labour income” channels.</w:t>
      </w:r>
    </w:p>
    <w:p>
      <w:pPr>
        <w:pStyle w:val="BodyText"/>
        <w:rPr>
          <w:sz w:val="30"/>
        </w:rPr>
      </w:pPr>
    </w:p>
    <w:p>
      <w:pPr>
        <w:pStyle w:val="BodyText"/>
        <w:spacing w:line="360" w:lineRule="auto" w:before="1"/>
        <w:ind w:left="313" w:right="308"/>
      </w:pPr>
      <w:r>
        <w:rPr/>
        <w:t>The average household has gained in income terms by around £1,500 each year, or close to £9,000 cumulatively, from the MPC’s monetary loosening. Put differently, the average household would have been around 5% worse off each year had monetary policy not been loosened in response to the financial crisis. The lion’s share of this boost resulted from the positive impact of looser policy on jobs and wages. This is a slower-moving, harder to observe, channel by which monetary policy benefits households, but clearly a quantitatively important one.</w:t>
      </w:r>
    </w:p>
    <w:p>
      <w:pPr>
        <w:pStyle w:val="BodyText"/>
        <w:spacing w:before="11"/>
        <w:rPr>
          <w:sz w:val="29"/>
        </w:rPr>
      </w:pPr>
    </w:p>
    <w:p>
      <w:pPr>
        <w:pStyle w:val="BodyText"/>
        <w:spacing w:line="360" w:lineRule="auto"/>
        <w:ind w:left="313" w:right="453"/>
        <w:jc w:val="both"/>
      </w:pPr>
      <w:r>
        <w:rPr/>
        <w:t>Looking at the distribution of these income gains across deciles, these are reasonably evenly spread as a percentage of income. The percentage gains are slightly lower among lower income households and are slightly negative for the lowest income decile. Nonetheless, if we calculate a Gini coefficient or 90/10 ratio based on these distributions, they are largely unaffected by the monetary policy loosening.</w:t>
      </w:r>
      <w:r>
        <w:rPr>
          <w:vertAlign w:val="superscript"/>
        </w:rPr>
        <w:t>27</w:t>
      </w:r>
    </w:p>
    <w:p>
      <w:pPr>
        <w:pStyle w:val="BodyText"/>
        <w:spacing w:before="1"/>
        <w:rPr>
          <w:sz w:val="30"/>
        </w:rPr>
      </w:pPr>
    </w:p>
    <w:p>
      <w:pPr>
        <w:pStyle w:val="BodyText"/>
        <w:spacing w:line="360" w:lineRule="auto"/>
        <w:ind w:left="313" w:right="342"/>
        <w:jc w:val="both"/>
      </w:pPr>
      <w:r>
        <w:rPr/>
        <w:t>If we look at money amounts, rather than percentages, the balance of benefits is significantly more uneven. Around half the total income gain accrues to the top two income deciles. But this reflects the highly uneven distribution of income prior to the crisis, rather than telling us anything about the effects of monetary policy. These monetary gains may, nonetheless, have had a bearing on public perceptions of monetary policy.</w:t>
      </w:r>
    </w:p>
    <w:p>
      <w:pPr>
        <w:pStyle w:val="BodyText"/>
      </w:pPr>
    </w:p>
    <w:p>
      <w:pPr>
        <w:pStyle w:val="BodyText"/>
        <w:spacing w:before="9"/>
        <w:rPr>
          <w:sz w:val="18"/>
        </w:rPr>
      </w:pPr>
      <w:r>
        <w:rPr/>
        <w:pict>
          <v:shape style="position:absolute;margin-left:56.664001pt;margin-top:13.042452pt;width:144.050pt;height:.1pt;mso-position-horizontal-relative:page;mso-position-vertical-relative:paragraph;z-index:-251650048;mso-wrap-distance-left:0;mso-wrap-distance-right:0" coordorigin="1133,261" coordsize="2881,0" path="m1133,261l4014,261e" filled="false" stroked="true" strokeweight=".47998pt" strokecolor="#000000">
            <v:path arrowok="t"/>
            <v:stroke dashstyle="solid"/>
            <w10:wrap type="topAndBottom"/>
          </v:shape>
        </w:pict>
      </w:r>
    </w:p>
    <w:p>
      <w:pPr>
        <w:spacing w:line="196" w:lineRule="exact" w:before="27"/>
        <w:ind w:left="313" w:right="0" w:firstLine="0"/>
        <w:jc w:val="left"/>
        <w:rPr>
          <w:sz w:val="16"/>
        </w:rPr>
      </w:pPr>
      <w:r>
        <w:rPr>
          <w:position w:val="8"/>
          <w:sz w:val="10"/>
        </w:rPr>
        <w:t>25 </w:t>
      </w:r>
      <w:r>
        <w:rPr>
          <w:sz w:val="16"/>
        </w:rPr>
        <w:t>Bunn </w:t>
      </w:r>
      <w:r>
        <w:rPr>
          <w:i/>
          <w:sz w:val="16"/>
        </w:rPr>
        <w:t>et al </w:t>
      </w:r>
      <w:r>
        <w:rPr>
          <w:sz w:val="16"/>
        </w:rPr>
        <w:t>(2018) provide details on these mappings and the assumptions they make in arriving at them.</w:t>
      </w:r>
    </w:p>
    <w:p>
      <w:pPr>
        <w:spacing w:line="185" w:lineRule="exact" w:before="0"/>
        <w:ind w:left="313" w:right="0" w:firstLine="0"/>
        <w:jc w:val="left"/>
        <w:rPr>
          <w:sz w:val="16"/>
        </w:rPr>
      </w:pPr>
      <w:r>
        <w:rPr>
          <w:position w:val="8"/>
          <w:sz w:val="10"/>
        </w:rPr>
        <w:t>26 </w:t>
      </w:r>
      <w:r>
        <w:rPr>
          <w:sz w:val="16"/>
        </w:rPr>
        <w:t>The ‘money amount’ numbers that follow in this section refer to real income, defined in 2013 prices.</w:t>
      </w:r>
    </w:p>
    <w:p>
      <w:pPr>
        <w:spacing w:line="196" w:lineRule="exact" w:before="0"/>
        <w:ind w:left="313" w:right="0" w:firstLine="0"/>
        <w:jc w:val="left"/>
        <w:rPr>
          <w:sz w:val="16"/>
        </w:rPr>
      </w:pPr>
      <w:r>
        <w:rPr>
          <w:position w:val="8"/>
          <w:sz w:val="10"/>
        </w:rPr>
        <w:t>27 </w:t>
      </w:r>
      <w:r>
        <w:rPr>
          <w:sz w:val="16"/>
        </w:rPr>
        <w:t>Bunn </w:t>
      </w:r>
      <w:r>
        <w:rPr>
          <w:i/>
          <w:sz w:val="16"/>
        </w:rPr>
        <w:t>et al </w:t>
      </w:r>
      <w:r>
        <w:rPr>
          <w:sz w:val="16"/>
        </w:rPr>
        <w:t>(2018) provide more details.</w:t>
      </w:r>
    </w:p>
    <w:p>
      <w:pPr>
        <w:spacing w:after="0" w:line="196" w:lineRule="exact"/>
        <w:jc w:val="left"/>
        <w:rPr>
          <w:sz w:val="16"/>
        </w:rPr>
        <w:sectPr>
          <w:footerReference w:type="default" r:id="rId16"/>
          <w:pgSz w:w="11910" w:h="16840"/>
          <w:pgMar w:footer="1338" w:header="0" w:top="1340" w:bottom="1520" w:left="820" w:right="960"/>
        </w:sectPr>
      </w:pPr>
    </w:p>
    <w:p>
      <w:pPr>
        <w:pStyle w:val="BodyText"/>
        <w:spacing w:line="360" w:lineRule="auto" w:before="79"/>
        <w:ind w:left="313" w:right="169"/>
      </w:pPr>
      <w:r>
        <w:rPr/>
        <w:t>Turning to wealth, Charts 12 and 13 do the equivalent analysis looking along the wealth distribution. As with income, the average UK household has benefitted significantly in net wealth terms from looser monetary policy, by on average almost £90,000 or 20% of net wealth. All asset classes have benefitted – financial, housing and pension. These gains arise from the boost to asset prices from looser monetary policy.</w:t>
      </w:r>
    </w:p>
    <w:p>
      <w:pPr>
        <w:pStyle w:val="BodyText"/>
        <w:rPr>
          <w:sz w:val="30"/>
        </w:rPr>
      </w:pPr>
    </w:p>
    <w:p>
      <w:pPr>
        <w:pStyle w:val="BodyText"/>
        <w:spacing w:line="360" w:lineRule="auto" w:before="1"/>
        <w:ind w:left="313" w:right="314"/>
      </w:pPr>
      <w:r>
        <w:rPr/>
        <w:t>As with income, in percentage terms these gains are evenly spread across the distribution. Every wealth decile has gained from looser policy. Also as with income, the net effect of monetary policy on measures of wealth inequality is negligible. The unequal prior distribution means, however, that monetary gains are heavily skewed, with the top two deciles accounting for 60% of total net wealth gains.</w:t>
      </w:r>
    </w:p>
    <w:p>
      <w:pPr>
        <w:pStyle w:val="BodyText"/>
        <w:spacing w:before="7"/>
        <w:rPr>
          <w:sz w:val="29"/>
        </w:rPr>
      </w:pPr>
    </w:p>
    <w:p>
      <w:pPr>
        <w:pStyle w:val="BodyText"/>
        <w:spacing w:line="360" w:lineRule="auto"/>
        <w:ind w:left="313" w:right="302"/>
      </w:pPr>
      <w:r>
        <w:rPr/>
        <w:t>Charts 14-17 look at the effect of monetary policy on income and wealth looking across the </w:t>
      </w:r>
      <w:r>
        <w:rPr>
          <w:i/>
        </w:rPr>
        <w:t>age </w:t>
      </w:r>
      <w:r>
        <w:rPr/>
        <w:t>distribution. They show some notable generational differences. In percentage terms, the income gains from looser monetary policy have been largest among the young, largely due to improved employment prospects.</w:t>
      </w:r>
      <w:r>
        <w:rPr>
          <w:vertAlign w:val="superscript"/>
        </w:rPr>
        <w:t>28</w:t>
      </w:r>
      <w:r>
        <w:rPr>
          <w:vertAlign w:val="baseline"/>
        </w:rPr>
        <w:t> Recessions typically generate sharper rises in unemployment among those who are less educated or less skilled, so it is also worth noting that the loosening in monetary policy during the crisis played an important role in limiting that effect. Older cohorts, by contrast, lost out in income terms due to lower interest receipts on their savings.</w:t>
      </w:r>
    </w:p>
    <w:p>
      <w:pPr>
        <w:pStyle w:val="BodyText"/>
        <w:spacing w:before="3"/>
        <w:rPr>
          <w:sz w:val="30"/>
        </w:rPr>
      </w:pPr>
    </w:p>
    <w:p>
      <w:pPr>
        <w:pStyle w:val="BodyText"/>
        <w:spacing w:line="360" w:lineRule="auto"/>
        <w:ind w:left="313" w:right="314"/>
      </w:pPr>
      <w:r>
        <w:rPr/>
        <w:t>By contrast, wealth gains have been evenly spread across the age distribution in percentage terms, with every cohort gaining. In money terms, the largest beneficiaries have been older age groups, the value of whose pensions and houses have been boosted by the policy-induced rise in asset prices. Looking at the oldest age group, this boost to wealth has exceeded their income losses by a factor of around</w:t>
      </w:r>
      <w:r>
        <w:rPr>
          <w:spacing w:val="-17"/>
        </w:rPr>
        <w:t> </w:t>
      </w:r>
      <w:r>
        <w:rPr/>
        <w:t>10.</w:t>
      </w:r>
    </w:p>
    <w:p>
      <w:pPr>
        <w:pStyle w:val="BodyText"/>
        <w:spacing w:before="10"/>
        <w:rPr>
          <w:sz w:val="29"/>
        </w:rPr>
      </w:pPr>
    </w:p>
    <w:p>
      <w:pPr>
        <w:pStyle w:val="BodyText"/>
        <w:spacing w:line="360" w:lineRule="auto" w:before="1"/>
        <w:ind w:left="313" w:right="447"/>
      </w:pPr>
      <w:r>
        <w:rPr/>
        <w:t>Looking at the effects of monetary policy by </w:t>
      </w:r>
      <w:r>
        <w:rPr>
          <w:i/>
        </w:rPr>
        <w:t>region</w:t>
      </w:r>
      <w:r>
        <w:rPr/>
        <w:t>, the benefits of monetary policy on incomes have been evenly spread in percentage terms (Charts 18 and 19). Monetary policy has not caused any significant widening in regional inequality. Given the unequal starting position, however, the distribution of monetary gains for both income and net wealth is heavily skewed, with a quarter centred in London and</w:t>
      </w:r>
      <w:r>
        <w:rPr>
          <w:spacing w:val="-12"/>
        </w:rPr>
        <w:t> </w:t>
      </w:r>
      <w:r>
        <w:rPr/>
        <w:t>the</w:t>
      </w:r>
    </w:p>
    <w:p>
      <w:pPr>
        <w:pStyle w:val="BodyText"/>
        <w:spacing w:before="2"/>
        <w:ind w:left="313"/>
      </w:pPr>
      <w:r>
        <w:rPr/>
        <w:t>South-East.</w:t>
      </w:r>
    </w:p>
    <w:p>
      <w:pPr>
        <w:pStyle w:val="BodyText"/>
        <w:rPr>
          <w:sz w:val="22"/>
        </w:rPr>
      </w:pPr>
    </w:p>
    <w:p>
      <w:pPr>
        <w:pStyle w:val="BodyText"/>
        <w:spacing w:before="10"/>
        <w:rPr>
          <w:sz w:val="17"/>
        </w:rPr>
      </w:pPr>
    </w:p>
    <w:p>
      <w:pPr>
        <w:pStyle w:val="BodyText"/>
        <w:spacing w:line="360" w:lineRule="auto"/>
        <w:ind w:left="313"/>
      </w:pPr>
      <w:r>
        <w:rPr/>
        <w:t>Charts 20 and 21 look separately at the effects of lower interest rates and QE, respectively, on the income distribution. Although part of the same strategy, these two instruments clearly operate through different channels and have different distributional effects. The effects of QE are predictably slanted towards financial wealth effects, while the effects of Bank Rate operate more through net interest income and house price channels.</w:t>
      </w:r>
    </w:p>
    <w:p>
      <w:pPr>
        <w:pStyle w:val="BodyText"/>
        <w:spacing w:before="2"/>
        <w:rPr>
          <w:sz w:val="30"/>
        </w:rPr>
      </w:pPr>
    </w:p>
    <w:p>
      <w:pPr>
        <w:pStyle w:val="BodyText"/>
        <w:spacing w:line="360" w:lineRule="auto"/>
        <w:ind w:left="313" w:right="247"/>
      </w:pPr>
      <w:r>
        <w:rPr/>
        <w:t>This analysis suggests that, with few exceptions, the impact of looser monetary policy on different cohorts of society has been positive and significant in income and wealth terms. Another way of making this point is to</w:t>
      </w:r>
    </w:p>
    <w:p>
      <w:pPr>
        <w:pStyle w:val="BodyText"/>
        <w:spacing w:before="8"/>
        <w:rPr>
          <w:sz w:val="24"/>
        </w:rPr>
      </w:pPr>
      <w:r>
        <w:rPr/>
        <w:pict>
          <v:shape style="position:absolute;margin-left:56.664001pt;margin-top:16.439062pt;width:144.050pt;height:.1pt;mso-position-horizontal-relative:page;mso-position-vertical-relative:paragraph;z-index:-251649024;mso-wrap-distance-left:0;mso-wrap-distance-right:0" coordorigin="1133,329" coordsize="2881,0" path="m1133,329l4014,329e" filled="false" stroked="true" strokeweight=".47998pt" strokecolor="#000000">
            <v:path arrowok="t"/>
            <v:stroke dashstyle="solid"/>
            <w10:wrap type="topAndBottom"/>
          </v:shape>
        </w:pict>
      </w:r>
    </w:p>
    <w:p>
      <w:pPr>
        <w:spacing w:before="30"/>
        <w:ind w:left="313" w:right="202" w:firstLine="0"/>
        <w:jc w:val="left"/>
        <w:rPr>
          <w:sz w:val="16"/>
        </w:rPr>
      </w:pPr>
      <w:r>
        <w:rPr>
          <w:position w:val="8"/>
          <w:sz w:val="10"/>
        </w:rPr>
        <w:t>28 </w:t>
      </w:r>
      <w:r>
        <w:rPr>
          <w:sz w:val="16"/>
        </w:rPr>
        <w:t>Though a notable feature of the UK’s recovery has been that, notwithstanding the positive effects of monetary policy, the real income of younger people has fallen further and recovered more slowly than older age groups (Haldane (2016)).</w:t>
      </w:r>
    </w:p>
    <w:p>
      <w:pPr>
        <w:spacing w:after="0"/>
        <w:jc w:val="left"/>
        <w:rPr>
          <w:sz w:val="16"/>
        </w:rPr>
        <w:sectPr>
          <w:footerReference w:type="default" r:id="rId17"/>
          <w:pgSz w:w="11910" w:h="16840"/>
          <w:pgMar w:footer="1338" w:header="0" w:top="1340" w:bottom="1520" w:left="820" w:right="960"/>
        </w:sectPr>
      </w:pPr>
    </w:p>
    <w:p>
      <w:pPr>
        <w:pStyle w:val="BodyText"/>
        <w:spacing w:line="360" w:lineRule="auto" w:before="79"/>
        <w:ind w:left="313" w:right="373"/>
        <w:jc w:val="both"/>
      </w:pPr>
      <w:r>
        <w:rPr/>
        <w:t>ask what fraction of households are likely to have been made worse off from the loosening of UK monetary policy. Taking income and wealth effects together, only 4% of households were made £500 or more worse off.</w:t>
      </w:r>
      <w:r>
        <w:rPr>
          <w:vertAlign w:val="superscript"/>
        </w:rPr>
        <w:t>29</w:t>
      </w:r>
    </w:p>
    <w:p>
      <w:pPr>
        <w:pStyle w:val="BodyText"/>
        <w:rPr>
          <w:sz w:val="30"/>
        </w:rPr>
      </w:pPr>
    </w:p>
    <w:p>
      <w:pPr>
        <w:pStyle w:val="BodyText"/>
        <w:spacing w:line="360" w:lineRule="auto"/>
        <w:ind w:left="313" w:right="247"/>
      </w:pPr>
      <w:r>
        <w:rPr/>
        <w:t>At the same time, this analysis has made clear that there are often large differences in the nature and scale of impact across cohorts. Some households will have seen these benefits through higher employment, others through lower debt payments, others still through higher wealth. Even if people observed and understood all of these channels, their lived experience would have been quite different.</w:t>
      </w:r>
    </w:p>
    <w:p>
      <w:pPr>
        <w:pStyle w:val="BodyText"/>
        <w:spacing w:before="1"/>
        <w:rPr>
          <w:sz w:val="30"/>
        </w:rPr>
      </w:pPr>
    </w:p>
    <w:p>
      <w:pPr>
        <w:pStyle w:val="BodyText"/>
        <w:spacing w:line="360" w:lineRule="auto"/>
        <w:ind w:left="313" w:right="169"/>
      </w:pPr>
      <w:r>
        <w:rPr/>
        <w:t>In practice, we know people’s understanding of these channels is partial and imperfect. Some channels are hard to observe or take time to take effect, such as the quantitatively important effect of monetary policy in boosting jobs and hence household labour income. It will have been difficult for households to tie the effects of looser monetary policy to their improved job prospects, given the long lags in transmission.</w:t>
      </w:r>
    </w:p>
    <w:p>
      <w:pPr>
        <w:pStyle w:val="BodyText"/>
        <w:spacing w:before="10"/>
        <w:rPr>
          <w:sz w:val="29"/>
        </w:rPr>
      </w:pPr>
    </w:p>
    <w:p>
      <w:pPr>
        <w:pStyle w:val="BodyText"/>
        <w:spacing w:line="360" w:lineRule="auto"/>
        <w:ind w:left="313" w:right="314"/>
      </w:pPr>
      <w:r>
        <w:rPr/>
        <w:t>People’s subjective sense of well-being might also be influenced by more than their percentage gains. How people’s gains, in money terms, compare with others’ monetary gains might also matter. In experimental and real-world settings, these relativities often matter to people’s sense of fairness and hence well-being.</w:t>
      </w:r>
      <w:r>
        <w:rPr>
          <w:vertAlign w:val="superscript"/>
        </w:rPr>
        <w:t>30</w:t>
      </w:r>
      <w:r>
        <w:rPr>
          <w:vertAlign w:val="baseline"/>
        </w:rPr>
        <w:t> With that in mind, we now turn to a fully-fledged welfare analysis of the impact of monetary policy.</w:t>
      </w:r>
    </w:p>
    <w:p>
      <w:pPr>
        <w:pStyle w:val="BodyText"/>
        <w:spacing w:before="10"/>
        <w:rPr>
          <w:sz w:val="29"/>
        </w:rPr>
      </w:pPr>
    </w:p>
    <w:p>
      <w:pPr>
        <w:pStyle w:val="Heading1"/>
        <w:spacing w:before="0"/>
      </w:pPr>
      <w:r>
        <w:rPr/>
        <w:t>Assessing the Welfare Impact of Monetary Policy</w:t>
      </w:r>
    </w:p>
    <w:p>
      <w:pPr>
        <w:pStyle w:val="BodyText"/>
        <w:rPr>
          <w:b/>
          <w:sz w:val="22"/>
        </w:rPr>
      </w:pPr>
    </w:p>
    <w:p>
      <w:pPr>
        <w:pStyle w:val="BodyText"/>
        <w:spacing w:before="10"/>
        <w:rPr>
          <w:b/>
          <w:sz w:val="17"/>
        </w:rPr>
      </w:pPr>
    </w:p>
    <w:p>
      <w:pPr>
        <w:pStyle w:val="BodyText"/>
        <w:ind w:left="313"/>
      </w:pPr>
      <w:r>
        <w:rPr/>
        <w:t>Assessing the impact of monetary policy on the </w:t>
      </w:r>
      <w:r>
        <w:rPr>
          <w:i/>
        </w:rPr>
        <w:t>welfare </w:t>
      </w:r>
      <w:r>
        <w:rPr/>
        <w:t>of different cohorts is interesting for several reasons.</w:t>
      </w:r>
    </w:p>
    <w:p>
      <w:pPr>
        <w:pStyle w:val="BodyText"/>
        <w:rPr>
          <w:sz w:val="22"/>
        </w:rPr>
      </w:pPr>
    </w:p>
    <w:p>
      <w:pPr>
        <w:pStyle w:val="BodyText"/>
        <w:spacing w:before="4"/>
        <w:rPr>
          <w:sz w:val="18"/>
        </w:rPr>
      </w:pPr>
    </w:p>
    <w:p>
      <w:pPr>
        <w:pStyle w:val="BodyText"/>
        <w:spacing w:line="360" w:lineRule="auto"/>
        <w:ind w:left="313" w:right="314"/>
      </w:pPr>
      <w:r>
        <w:rPr/>
        <w:t>First, it is the sum of individuals’ subjective well-being – that is, social welfare – that ought ultimately to matter</w:t>
      </w:r>
      <w:r>
        <w:rPr>
          <w:spacing w:val="-6"/>
        </w:rPr>
        <w:t> </w:t>
      </w:r>
      <w:r>
        <w:rPr/>
        <w:t>for</w:t>
      </w:r>
      <w:r>
        <w:rPr>
          <w:spacing w:val="-2"/>
        </w:rPr>
        <w:t> </w:t>
      </w:r>
      <w:r>
        <w:rPr/>
        <w:t>policymakers,</w:t>
      </w:r>
      <w:r>
        <w:rPr>
          <w:spacing w:val="-3"/>
        </w:rPr>
        <w:t> </w:t>
      </w:r>
      <w:r>
        <w:rPr/>
        <w:t>even</w:t>
      </w:r>
      <w:r>
        <w:rPr>
          <w:spacing w:val="-4"/>
        </w:rPr>
        <w:t> </w:t>
      </w:r>
      <w:r>
        <w:rPr/>
        <w:t>though</w:t>
      </w:r>
      <w:r>
        <w:rPr>
          <w:spacing w:val="-3"/>
        </w:rPr>
        <w:t> </w:t>
      </w:r>
      <w:r>
        <w:rPr/>
        <w:t>policymakers’</w:t>
      </w:r>
      <w:r>
        <w:rPr>
          <w:spacing w:val="-4"/>
        </w:rPr>
        <w:t> </w:t>
      </w:r>
      <w:r>
        <w:rPr/>
        <w:t>legal</w:t>
      </w:r>
      <w:r>
        <w:rPr>
          <w:spacing w:val="-4"/>
        </w:rPr>
        <w:t> </w:t>
      </w:r>
      <w:r>
        <w:rPr/>
        <w:t>mandates</w:t>
      </w:r>
      <w:r>
        <w:rPr>
          <w:spacing w:val="-2"/>
        </w:rPr>
        <w:t> </w:t>
      </w:r>
      <w:r>
        <w:rPr/>
        <w:t>are</w:t>
      </w:r>
      <w:r>
        <w:rPr>
          <w:spacing w:val="-3"/>
        </w:rPr>
        <w:t> </w:t>
      </w:r>
      <w:r>
        <w:rPr/>
        <w:t>typically</w:t>
      </w:r>
      <w:r>
        <w:rPr>
          <w:spacing w:val="-4"/>
        </w:rPr>
        <w:t> </w:t>
      </w:r>
      <w:r>
        <w:rPr/>
        <w:t>cast</w:t>
      </w:r>
      <w:r>
        <w:rPr>
          <w:spacing w:val="-3"/>
        </w:rPr>
        <w:t> </w:t>
      </w:r>
      <w:r>
        <w:rPr/>
        <w:t>in</w:t>
      </w:r>
      <w:r>
        <w:rPr>
          <w:spacing w:val="-3"/>
        </w:rPr>
        <w:t> </w:t>
      </w:r>
      <w:r>
        <w:rPr/>
        <w:t>terms</w:t>
      </w:r>
      <w:r>
        <w:rPr>
          <w:spacing w:val="-3"/>
        </w:rPr>
        <w:t> </w:t>
      </w:r>
      <w:r>
        <w:rPr/>
        <w:t>of</w:t>
      </w:r>
      <w:r>
        <w:rPr>
          <w:spacing w:val="-1"/>
        </w:rPr>
        <w:t> </w:t>
      </w:r>
      <w:r>
        <w:rPr/>
        <w:t>a</w:t>
      </w:r>
      <w:r>
        <w:rPr>
          <w:spacing w:val="-4"/>
        </w:rPr>
        <w:t> </w:t>
      </w:r>
      <w:r>
        <w:rPr/>
        <w:t>set</w:t>
      </w:r>
      <w:r>
        <w:rPr>
          <w:spacing w:val="-4"/>
        </w:rPr>
        <w:t> </w:t>
      </w:r>
      <w:r>
        <w:rPr/>
        <w:t>of more objective macro-economic measures, such as inflation and</w:t>
      </w:r>
      <w:r>
        <w:rPr>
          <w:spacing w:val="-7"/>
        </w:rPr>
        <w:t> </w:t>
      </w:r>
      <w:r>
        <w:rPr/>
        <w:t>employment.</w:t>
      </w:r>
      <w:r>
        <w:rPr>
          <w:vertAlign w:val="superscript"/>
        </w:rPr>
        <w:t>31</w:t>
      </w:r>
    </w:p>
    <w:p>
      <w:pPr>
        <w:pStyle w:val="BodyText"/>
        <w:rPr>
          <w:sz w:val="30"/>
        </w:rPr>
      </w:pPr>
    </w:p>
    <w:p>
      <w:pPr>
        <w:pStyle w:val="BodyText"/>
        <w:spacing w:line="360" w:lineRule="auto" w:before="1"/>
        <w:ind w:left="313" w:right="314"/>
      </w:pPr>
      <w:r>
        <w:rPr/>
        <w:t>Second, translating estimates of financial gain into welfare terms can help when deciding how best to aggregate across different channels to gauge their general equilibrium impact. For example, how do we appropriately aggregate changes to income and wealth in their impact on well-being? And should we focus on percentage or money changes when judging the impact on people’s</w:t>
      </w:r>
      <w:r>
        <w:rPr>
          <w:spacing w:val="-1"/>
        </w:rPr>
        <w:t> </w:t>
      </w:r>
      <w:r>
        <w:rPr/>
        <w:t>welfare?</w:t>
      </w:r>
    </w:p>
    <w:p>
      <w:pPr>
        <w:pStyle w:val="BodyText"/>
      </w:pPr>
    </w:p>
    <w:p>
      <w:pPr>
        <w:pStyle w:val="BodyText"/>
      </w:pPr>
    </w:p>
    <w:p>
      <w:pPr>
        <w:pStyle w:val="BodyText"/>
      </w:pPr>
    </w:p>
    <w:p>
      <w:pPr>
        <w:pStyle w:val="BodyText"/>
      </w:pPr>
    </w:p>
    <w:p>
      <w:pPr>
        <w:pStyle w:val="BodyText"/>
      </w:pPr>
    </w:p>
    <w:p>
      <w:pPr>
        <w:pStyle w:val="BodyText"/>
      </w:pPr>
    </w:p>
    <w:p>
      <w:pPr>
        <w:pStyle w:val="BodyText"/>
        <w:spacing w:before="10"/>
      </w:pPr>
      <w:r>
        <w:rPr/>
        <w:pict>
          <v:shape style="position:absolute;margin-left:56.664001pt;margin-top:14.216133pt;width:144.050pt;height:.1pt;mso-position-horizontal-relative:page;mso-position-vertical-relative:paragraph;z-index:-251648000;mso-wrap-distance-left:0;mso-wrap-distance-right:0" coordorigin="1133,284" coordsize="2881,0" path="m1133,284l4014,284e" filled="false" stroked="true" strokeweight=".47998pt" strokecolor="#000000">
            <v:path arrowok="t"/>
            <v:stroke dashstyle="solid"/>
            <w10:wrap type="topAndBottom"/>
          </v:shape>
        </w:pict>
      </w:r>
    </w:p>
    <w:p>
      <w:pPr>
        <w:spacing w:before="27"/>
        <w:ind w:left="313" w:right="314" w:firstLine="0"/>
        <w:jc w:val="left"/>
        <w:rPr>
          <w:sz w:val="16"/>
        </w:rPr>
      </w:pPr>
      <w:r>
        <w:rPr>
          <w:position w:val="8"/>
          <w:sz w:val="10"/>
        </w:rPr>
        <w:t>29 </w:t>
      </w:r>
      <w:r>
        <w:rPr>
          <w:sz w:val="16"/>
        </w:rPr>
        <w:t>Carney (2016) notes that just 2% of households have deposit holdings in excess of £5,000, few other financial assets, and do not own a home. Therefore, “the vast majority of savers who might have lost some interest income from lower policy rates have stood to gain from increases in asset prices, particularly the recovery in house prices.”</w:t>
      </w:r>
    </w:p>
    <w:p>
      <w:pPr>
        <w:spacing w:line="173" w:lineRule="exact" w:before="0"/>
        <w:ind w:left="313" w:right="0" w:firstLine="0"/>
        <w:jc w:val="left"/>
        <w:rPr>
          <w:sz w:val="16"/>
        </w:rPr>
      </w:pPr>
      <w:r>
        <w:rPr>
          <w:position w:val="8"/>
          <w:sz w:val="10"/>
        </w:rPr>
        <w:t>30 </w:t>
      </w:r>
      <w:r>
        <w:rPr>
          <w:sz w:val="16"/>
        </w:rPr>
        <w:t>As discussed in Ball and Chernova (2008) and Clark, Frijters and Shields (2007), for example.</w:t>
      </w:r>
    </w:p>
    <w:p>
      <w:pPr>
        <w:spacing w:line="184" w:lineRule="exact" w:before="15"/>
        <w:ind w:left="313" w:right="0" w:firstLine="0"/>
        <w:jc w:val="left"/>
        <w:rPr>
          <w:sz w:val="16"/>
        </w:rPr>
      </w:pPr>
      <w:r>
        <w:rPr>
          <w:position w:val="8"/>
          <w:sz w:val="10"/>
        </w:rPr>
        <w:t>31 </w:t>
      </w:r>
      <w:r>
        <w:rPr>
          <w:sz w:val="16"/>
        </w:rPr>
        <w:t>Taking the sum of individuals’ utility is consistent with a Benthamite utilitarian concept of social welfare, but other specifications are possible. A Rawlsian specification, for example, would define social welfare as the wellbeing of the worst off member of society.</w:t>
      </w:r>
    </w:p>
    <w:p>
      <w:pPr>
        <w:spacing w:after="0" w:line="184" w:lineRule="exact"/>
        <w:jc w:val="left"/>
        <w:rPr>
          <w:sz w:val="16"/>
        </w:rPr>
        <w:sectPr>
          <w:footerReference w:type="default" r:id="rId18"/>
          <w:pgSz w:w="11910" w:h="16840"/>
          <w:pgMar w:footer="1338" w:header="0" w:top="1340" w:bottom="1520" w:left="820" w:right="960"/>
        </w:sectPr>
      </w:pPr>
    </w:p>
    <w:p>
      <w:pPr>
        <w:pStyle w:val="BodyText"/>
        <w:spacing w:line="360" w:lineRule="auto" w:before="79"/>
        <w:ind w:left="313" w:right="169"/>
      </w:pPr>
      <w:r>
        <w:rPr/>
        <w:t>In principle, a welfare-based analysis allows us to answer those questions. Doing so is not, however, simple. In algebraic terms, consider a utility function of the general form:</w:t>
      </w:r>
    </w:p>
    <w:p>
      <w:pPr>
        <w:pStyle w:val="BodyText"/>
        <w:spacing w:before="1"/>
        <w:rPr>
          <w:sz w:val="29"/>
        </w:rPr>
      </w:pPr>
    </w:p>
    <w:p>
      <w:pPr>
        <w:pStyle w:val="BodyText"/>
        <w:ind w:left="141"/>
        <w:jc w:val="center"/>
        <w:rPr>
          <w:rFonts w:ascii="Cambria Math" w:hAnsi="Cambria Math" w:eastAsia="Cambria Math"/>
        </w:rPr>
      </w:pPr>
      <w:r>
        <w:rPr>
          <w:rFonts w:ascii="Cambria Math" w:hAnsi="Cambria Math" w:eastAsia="Cambria Math"/>
        </w:rPr>
        <w:t>𝑈 =  ∅(𝛼</w:t>
      </w:r>
      <w:r>
        <w:rPr>
          <w:rFonts w:ascii="Cambria Math" w:hAnsi="Cambria Math" w:eastAsia="Cambria Math"/>
          <w:position w:val="1"/>
        </w:rPr>
        <w:t>(</w:t>
      </w:r>
      <w:r>
        <w:rPr>
          <w:rFonts w:ascii="Cambria Math" w:hAnsi="Cambria Math" w:eastAsia="Cambria Math"/>
        </w:rPr>
        <w:t>𝑦</w:t>
      </w:r>
      <w:r>
        <w:rPr>
          <w:rFonts w:ascii="Cambria Math" w:hAnsi="Cambria Math" w:eastAsia="Cambria Math"/>
          <w:position w:val="1"/>
        </w:rPr>
        <w:t>)</w:t>
      </w:r>
      <w:r>
        <w:rPr>
          <w:rFonts w:ascii="Cambria Math" w:hAnsi="Cambria Math" w:eastAsia="Cambria Math"/>
        </w:rPr>
        <w:t>, 𝛽</w:t>
      </w:r>
      <w:r>
        <w:rPr>
          <w:rFonts w:ascii="Cambria Math" w:hAnsi="Cambria Math" w:eastAsia="Cambria Math"/>
          <w:position w:val="1"/>
        </w:rPr>
        <w:t>(</w:t>
      </w:r>
      <w:r>
        <w:rPr>
          <w:rFonts w:ascii="Cambria Math" w:hAnsi="Cambria Math" w:eastAsia="Cambria Math"/>
        </w:rPr>
        <w:t>𝑤</w:t>
      </w:r>
      <w:r>
        <w:rPr>
          <w:rFonts w:ascii="Cambria Math" w:hAnsi="Cambria Math" w:eastAsia="Cambria Math"/>
          <w:position w:val="1"/>
        </w:rPr>
        <w:t>)</w:t>
      </w:r>
      <w:r>
        <w:rPr>
          <w:rFonts w:ascii="Cambria Math" w:hAnsi="Cambria Math" w:eastAsia="Cambria Math"/>
        </w:rPr>
        <w:t>, 𝛾</w:t>
      </w:r>
      <w:r>
        <w:rPr>
          <w:rFonts w:ascii="Cambria Math" w:hAnsi="Cambria Math" w:eastAsia="Cambria Math"/>
          <w:position w:val="1"/>
        </w:rPr>
        <w:t>(</w:t>
      </w:r>
      <w:r>
        <w:rPr>
          <w:rFonts w:ascii="Cambria Math" w:hAnsi="Cambria Math" w:eastAsia="Cambria Math"/>
        </w:rPr>
        <w:t>𝑋</w:t>
      </w:r>
      <w:r>
        <w:rPr>
          <w:rFonts w:ascii="Cambria Math" w:hAnsi="Cambria Math" w:eastAsia="Cambria Math"/>
          <w:position w:val="1"/>
        </w:rPr>
        <w:t>)</w:t>
      </w:r>
      <w:r>
        <w:rPr>
          <w:rFonts w:ascii="Cambria Math" w:hAnsi="Cambria Math" w:eastAsia="Cambria Math"/>
        </w:rPr>
        <w:t>)</w:t>
      </w:r>
    </w:p>
    <w:p>
      <w:pPr>
        <w:pStyle w:val="BodyText"/>
        <w:rPr>
          <w:rFonts w:ascii="Cambria Math"/>
          <w:sz w:val="24"/>
        </w:rPr>
      </w:pPr>
    </w:p>
    <w:p>
      <w:pPr>
        <w:pStyle w:val="BodyText"/>
        <w:spacing w:line="360" w:lineRule="auto" w:before="180"/>
        <w:ind w:left="313" w:right="410"/>
      </w:pPr>
      <w:r>
        <w:rPr/>
        <w:t>Let’s call this Equation (1). </w:t>
      </w:r>
      <w:r>
        <w:rPr>
          <w:rFonts w:ascii="Cambria Math" w:hAnsi="Cambria Math" w:eastAsia="Cambria Math"/>
        </w:rPr>
        <w:t>𝑈 </w:t>
      </w:r>
      <w:r>
        <w:rPr/>
        <w:t>is utility, </w:t>
      </w:r>
      <w:r>
        <w:rPr>
          <w:rFonts w:ascii="Cambria Math" w:hAnsi="Cambria Math" w:eastAsia="Cambria Math"/>
        </w:rPr>
        <w:t>𝑦 </w:t>
      </w:r>
      <w:r>
        <w:rPr/>
        <w:t>is income and </w:t>
      </w:r>
      <w:r>
        <w:rPr>
          <w:rFonts w:ascii="Cambria Math" w:hAnsi="Cambria Math" w:eastAsia="Cambria Math"/>
        </w:rPr>
        <w:t>𝑤 </w:t>
      </w:r>
      <w:r>
        <w:rPr/>
        <w:t>is wealth. To turn our quantitative estimates into welfare-equivalent measures, three empirical uncertainties loom large. First, calibrating the weights on current and permanent income (wealth), </w:t>
      </w:r>
      <w:r>
        <w:rPr>
          <w:rFonts w:ascii="Cambria Math" w:hAnsi="Cambria Math" w:eastAsia="Cambria Math"/>
        </w:rPr>
        <w:t>𝛼 </w:t>
      </w:r>
      <w:r>
        <w:rPr/>
        <w:t>and </w:t>
      </w:r>
      <w:r>
        <w:rPr>
          <w:rFonts w:ascii="Cambria Math" w:hAnsi="Cambria Math" w:eastAsia="Cambria Math"/>
        </w:rPr>
        <w:t>𝛽</w:t>
      </w:r>
      <w:r>
        <w:rPr/>
        <w:t>; second, determining which variables other than income and wealth affect well-being, </w:t>
      </w:r>
      <w:r>
        <w:rPr>
          <w:rFonts w:ascii="Cambria Math" w:hAnsi="Cambria Math" w:eastAsia="Cambria Math"/>
        </w:rPr>
        <w:t>𝑋</w:t>
      </w:r>
      <w:r>
        <w:rPr/>
        <w:t>, and with what weight, </w:t>
      </w:r>
      <w:r>
        <w:rPr>
          <w:rFonts w:ascii="Cambria Math" w:hAnsi="Cambria Math" w:eastAsia="Cambria Math"/>
        </w:rPr>
        <w:t>𝛾</w:t>
      </w:r>
      <w:r>
        <w:rPr/>
        <w:t>; and, third, calibrating the curvature of the utility function with respect to its arguments, </w:t>
      </w:r>
      <w:r>
        <w:rPr>
          <w:rFonts w:ascii="Cambria Math" w:hAnsi="Cambria Math" w:eastAsia="Cambria Math"/>
        </w:rPr>
        <w:t>∅</w:t>
      </w:r>
      <w:r>
        <w:rPr/>
        <w:t>.</w:t>
      </w:r>
    </w:p>
    <w:p>
      <w:pPr>
        <w:pStyle w:val="BodyText"/>
        <w:spacing w:before="1"/>
        <w:rPr>
          <w:sz w:val="30"/>
        </w:rPr>
      </w:pPr>
    </w:p>
    <w:p>
      <w:pPr>
        <w:pStyle w:val="BodyText"/>
        <w:spacing w:line="360" w:lineRule="auto"/>
        <w:ind w:left="313" w:right="202"/>
      </w:pPr>
      <w:r>
        <w:rPr/>
        <w:t>That is a lot of free parameters. One approach to pinning down these parameters would be to calibrate them using past studies. This might be a decent approximation but is not ideal if past behaviour might be a poor guide to behaviour in today’s very different environment. This factor is likely to be relevant at times of financial crisis and exceptional movements in monetary policy, for which there is no precedent.</w:t>
      </w:r>
    </w:p>
    <w:p>
      <w:pPr>
        <w:pStyle w:val="BodyText"/>
        <w:spacing w:before="1"/>
        <w:rPr>
          <w:sz w:val="30"/>
        </w:rPr>
      </w:pPr>
    </w:p>
    <w:p>
      <w:pPr>
        <w:pStyle w:val="BodyText"/>
        <w:spacing w:line="360" w:lineRule="auto"/>
        <w:ind w:left="313" w:right="314"/>
      </w:pPr>
      <w:r>
        <w:rPr/>
        <w:t>While no approach can fully get around these problems, we use an approach that places fewer arbitrary restrictions on people’s preferences. Instead these preferences are revealed, courtesy of empirical estimation, and then used to parameterise a social welfare function. This involves direct estimation of the parameters in Equation (1) using our sample of households.</w:t>
      </w:r>
      <w:r>
        <w:rPr>
          <w:vertAlign w:val="superscript"/>
        </w:rPr>
        <w:t>32</w:t>
      </w:r>
    </w:p>
    <w:p>
      <w:pPr>
        <w:pStyle w:val="BodyText"/>
        <w:spacing w:before="1"/>
        <w:rPr>
          <w:sz w:val="30"/>
        </w:rPr>
      </w:pPr>
    </w:p>
    <w:p>
      <w:pPr>
        <w:pStyle w:val="BodyText"/>
        <w:spacing w:line="360" w:lineRule="auto"/>
        <w:ind w:left="313" w:right="314"/>
      </w:pPr>
      <w:r>
        <w:rPr/>
        <w:t>Estimating (1) requires a measure of household well-being. The Wealth and Asset Survey began asking households about their well-being or “happiness” from 2010-12. Specifically, households are asked to rate their well-being on a scale of 1-10, based on four questions based around satisfaction, happiness and anxiety. We use an average of some of these well-being scores when estimating (1).</w:t>
      </w:r>
      <w:r>
        <w:rPr>
          <w:vertAlign w:val="superscript"/>
        </w:rPr>
        <w:t>33</w:t>
      </w:r>
    </w:p>
    <w:p>
      <w:pPr>
        <w:pStyle w:val="BodyText"/>
        <w:spacing w:before="10"/>
        <w:rPr>
          <w:sz w:val="29"/>
        </w:rPr>
      </w:pPr>
    </w:p>
    <w:p>
      <w:pPr>
        <w:pStyle w:val="BodyText"/>
        <w:spacing w:line="360" w:lineRule="auto"/>
        <w:ind w:left="313" w:right="314"/>
      </w:pPr>
      <w:r>
        <w:rPr/>
        <w:t>We tested a variety of specifications of Equation (1) to see which fit best, using different set of factors and different functional specifications for the utility function. Some of these specifications are shown in Table 1. Our preferred specification is shown in Column 5. Its key features are:</w:t>
      </w:r>
    </w:p>
    <w:p>
      <w:pPr>
        <w:pStyle w:val="BodyText"/>
        <w:spacing w:before="1"/>
        <w:rPr>
          <w:sz w:val="30"/>
        </w:rPr>
      </w:pPr>
    </w:p>
    <w:p>
      <w:pPr>
        <w:pStyle w:val="ListParagraph"/>
        <w:numPr>
          <w:ilvl w:val="0"/>
          <w:numId w:val="1"/>
        </w:numPr>
        <w:tabs>
          <w:tab w:pos="1033" w:val="left" w:leader="none"/>
          <w:tab w:pos="1034" w:val="left" w:leader="none"/>
        </w:tabs>
        <w:spacing w:line="352" w:lineRule="auto" w:before="0" w:after="0"/>
        <w:ind w:left="1033" w:right="743" w:hanging="360"/>
        <w:jc w:val="left"/>
        <w:rPr>
          <w:sz w:val="20"/>
        </w:rPr>
      </w:pPr>
      <w:r>
        <w:rPr>
          <w:sz w:val="20"/>
        </w:rPr>
        <w:t>Both current income and wealth (permanent income) affect household well-being, as we would expect in a standard utility function, in a statistically significant</w:t>
      </w:r>
      <w:r>
        <w:rPr>
          <w:spacing w:val="-13"/>
          <w:sz w:val="20"/>
        </w:rPr>
        <w:t> </w:t>
      </w:r>
      <w:r>
        <w:rPr>
          <w:sz w:val="20"/>
        </w:rPr>
        <w:t>way.</w:t>
      </w:r>
    </w:p>
    <w:p>
      <w:pPr>
        <w:pStyle w:val="BodyText"/>
        <w:spacing w:before="6"/>
        <w:rPr>
          <w:sz w:val="30"/>
        </w:rPr>
      </w:pPr>
    </w:p>
    <w:p>
      <w:pPr>
        <w:pStyle w:val="ListParagraph"/>
        <w:numPr>
          <w:ilvl w:val="0"/>
          <w:numId w:val="1"/>
        </w:numPr>
        <w:tabs>
          <w:tab w:pos="1033" w:val="left" w:leader="none"/>
          <w:tab w:pos="1034" w:val="left" w:leader="none"/>
        </w:tabs>
        <w:spacing w:line="355" w:lineRule="auto" w:before="0" w:after="0"/>
        <w:ind w:left="1033" w:right="308" w:hanging="360"/>
        <w:jc w:val="left"/>
        <w:rPr>
          <w:sz w:val="20"/>
        </w:rPr>
      </w:pPr>
      <w:r>
        <w:rPr>
          <w:sz w:val="20"/>
        </w:rPr>
        <w:t>Our preferred specification includes a variety of separate measures of gross wealth and gross debt. The different components of wealth have a different likelihood of being spent and hence have a different impact on well-being. For example, the coefficient on deposit wealth is eight times</w:t>
      </w:r>
      <w:r>
        <w:rPr>
          <w:spacing w:val="-19"/>
          <w:sz w:val="20"/>
        </w:rPr>
        <w:t> </w:t>
      </w:r>
      <w:r>
        <w:rPr>
          <w:sz w:val="20"/>
        </w:rPr>
        <w:t>larger</w:t>
      </w:r>
    </w:p>
    <w:p>
      <w:pPr>
        <w:pStyle w:val="BodyText"/>
      </w:pPr>
    </w:p>
    <w:p>
      <w:pPr>
        <w:pStyle w:val="BodyText"/>
        <w:spacing w:before="10"/>
        <w:rPr>
          <w:sz w:val="29"/>
        </w:rPr>
      </w:pPr>
      <w:r>
        <w:rPr/>
        <w:pict>
          <v:shape style="position:absolute;margin-left:56.664001pt;margin-top:19.382666pt;width:144.050pt;height:.1pt;mso-position-horizontal-relative:page;mso-position-vertical-relative:paragraph;z-index:-251646976;mso-wrap-distance-left:0;mso-wrap-distance-right:0" coordorigin="1133,388" coordsize="2881,0" path="m1133,388l4014,388e" filled="false" stroked="true" strokeweight=".47998pt" strokecolor="#000000">
            <v:path arrowok="t"/>
            <v:stroke dashstyle="solid"/>
            <w10:wrap type="topAndBottom"/>
          </v:shape>
        </w:pict>
      </w:r>
    </w:p>
    <w:p>
      <w:pPr>
        <w:spacing w:line="196" w:lineRule="exact" w:before="30"/>
        <w:ind w:left="313" w:right="0" w:firstLine="0"/>
        <w:jc w:val="left"/>
        <w:rPr>
          <w:sz w:val="16"/>
        </w:rPr>
      </w:pPr>
      <w:r>
        <w:rPr>
          <w:position w:val="8"/>
          <w:sz w:val="10"/>
        </w:rPr>
        <w:t>32 </w:t>
      </w:r>
      <w:r>
        <w:rPr>
          <w:sz w:val="16"/>
        </w:rPr>
        <w:t>See, for example, Layard, Nickell, Mayraz (2008).</w:t>
      </w:r>
    </w:p>
    <w:p>
      <w:pPr>
        <w:spacing w:line="196" w:lineRule="exact" w:before="0"/>
        <w:ind w:left="313" w:right="0" w:firstLine="0"/>
        <w:jc w:val="left"/>
        <w:rPr>
          <w:sz w:val="16"/>
        </w:rPr>
      </w:pPr>
      <w:r>
        <w:rPr>
          <w:position w:val="8"/>
          <w:sz w:val="10"/>
        </w:rPr>
        <w:t>33 </w:t>
      </w:r>
      <w:r>
        <w:rPr>
          <w:sz w:val="16"/>
        </w:rPr>
        <w:t>The results are not sensitive to using subsets of the answers.</w:t>
      </w:r>
    </w:p>
    <w:p>
      <w:pPr>
        <w:spacing w:after="0" w:line="196" w:lineRule="exact"/>
        <w:jc w:val="left"/>
        <w:rPr>
          <w:sz w:val="16"/>
        </w:rPr>
        <w:sectPr>
          <w:footerReference w:type="default" r:id="rId19"/>
          <w:pgSz w:w="11910" w:h="16840"/>
          <w:pgMar w:footer="1338" w:header="0" w:top="1340" w:bottom="1520" w:left="820" w:right="960"/>
          <w:pgNumType w:start="12"/>
        </w:sectPr>
      </w:pPr>
    </w:p>
    <w:p>
      <w:pPr>
        <w:pStyle w:val="BodyText"/>
        <w:spacing w:line="360" w:lineRule="auto" w:before="79"/>
        <w:ind w:left="1033" w:right="314"/>
      </w:pPr>
      <w:r>
        <w:rPr/>
        <w:t>than the coefficient on pension wealth, consistent with the former being more accessible than the latter and, therefore, more likely to be spent. Debt is bad for household well-being, as others have found.</w:t>
      </w:r>
      <w:r>
        <w:rPr>
          <w:vertAlign w:val="superscript"/>
        </w:rPr>
        <w:t>34</w:t>
      </w:r>
    </w:p>
    <w:p>
      <w:pPr>
        <w:pStyle w:val="BodyText"/>
        <w:spacing w:before="1"/>
        <w:rPr>
          <w:sz w:val="30"/>
        </w:rPr>
      </w:pPr>
    </w:p>
    <w:p>
      <w:pPr>
        <w:pStyle w:val="ListParagraph"/>
        <w:numPr>
          <w:ilvl w:val="0"/>
          <w:numId w:val="1"/>
        </w:numPr>
        <w:tabs>
          <w:tab w:pos="1033" w:val="left" w:leader="none"/>
          <w:tab w:pos="1034" w:val="left" w:leader="none"/>
        </w:tabs>
        <w:spacing w:line="357" w:lineRule="auto" w:before="0" w:after="0"/>
        <w:ind w:left="1033" w:right="346" w:hanging="360"/>
        <w:jc w:val="left"/>
        <w:rPr>
          <w:sz w:val="20"/>
        </w:rPr>
      </w:pPr>
      <w:r>
        <w:rPr>
          <w:sz w:val="20"/>
        </w:rPr>
        <w:t>The functional specification which best fits the happiness regression is a logarithmic one. This implies that there is diminishing marginal utility of income, as we would expect and as other studies have found. It also implies that changes in happiness that arise as a result of changes in income and wealth are appropriately captured in percentage, rather than in money,</w:t>
      </w:r>
      <w:r>
        <w:rPr>
          <w:spacing w:val="-5"/>
          <w:sz w:val="20"/>
        </w:rPr>
        <w:t> </w:t>
      </w:r>
      <w:r>
        <w:rPr>
          <w:sz w:val="20"/>
        </w:rPr>
        <w:t>terms.</w:t>
      </w:r>
      <w:r>
        <w:rPr>
          <w:sz w:val="20"/>
          <w:vertAlign w:val="superscript"/>
        </w:rPr>
        <w:t>35</w:t>
      </w:r>
    </w:p>
    <w:p>
      <w:pPr>
        <w:pStyle w:val="BodyText"/>
        <w:spacing w:before="11"/>
        <w:rPr>
          <w:sz w:val="29"/>
        </w:rPr>
      </w:pPr>
    </w:p>
    <w:p>
      <w:pPr>
        <w:pStyle w:val="ListParagraph"/>
        <w:numPr>
          <w:ilvl w:val="0"/>
          <w:numId w:val="1"/>
        </w:numPr>
        <w:tabs>
          <w:tab w:pos="1033" w:val="left" w:leader="none"/>
          <w:tab w:pos="1034" w:val="left" w:leader="none"/>
        </w:tabs>
        <w:spacing w:line="357" w:lineRule="auto" w:before="0" w:after="0"/>
        <w:ind w:left="1033" w:right="189" w:hanging="360"/>
        <w:jc w:val="left"/>
        <w:rPr>
          <w:sz w:val="20"/>
        </w:rPr>
      </w:pPr>
      <w:r>
        <w:rPr>
          <w:sz w:val="20"/>
        </w:rPr>
        <w:t>Various previous studies have found that employment and financial security can have an important effect on people’s happiness, over and above their impact on income and wealth.</w:t>
      </w:r>
      <w:r>
        <w:rPr>
          <w:sz w:val="20"/>
          <w:vertAlign w:val="superscript"/>
        </w:rPr>
        <w:t>36</w:t>
      </w:r>
      <w:r>
        <w:rPr>
          <w:sz w:val="20"/>
          <w:vertAlign w:val="baseline"/>
        </w:rPr>
        <w:t>  For example, it is well-established that having a job improves significantly people’s confidence and self-esteem, over and above any effect on pay. Those conclusions are borne out here. </w:t>
      </w:r>
      <w:r>
        <w:rPr>
          <w:spacing w:val="4"/>
          <w:sz w:val="20"/>
          <w:vertAlign w:val="baseline"/>
        </w:rPr>
        <w:t>We </w:t>
      </w:r>
      <w:r>
        <w:rPr>
          <w:sz w:val="20"/>
          <w:vertAlign w:val="baseline"/>
        </w:rPr>
        <w:t>find there is a statistically significant role for unemployment and arrears in explaining household well-being, over and above the effects from income and</w:t>
      </w:r>
      <w:r>
        <w:rPr>
          <w:spacing w:val="1"/>
          <w:sz w:val="20"/>
          <w:vertAlign w:val="baseline"/>
        </w:rPr>
        <w:t> </w:t>
      </w:r>
      <w:r>
        <w:rPr>
          <w:sz w:val="20"/>
          <w:vertAlign w:val="baseline"/>
        </w:rPr>
        <w:t>wealth.</w:t>
      </w:r>
    </w:p>
    <w:p>
      <w:pPr>
        <w:pStyle w:val="BodyText"/>
        <w:spacing w:before="6"/>
        <w:rPr>
          <w:sz w:val="30"/>
        </w:rPr>
      </w:pPr>
    </w:p>
    <w:p>
      <w:pPr>
        <w:pStyle w:val="ListParagraph"/>
        <w:numPr>
          <w:ilvl w:val="0"/>
          <w:numId w:val="1"/>
        </w:numPr>
        <w:tabs>
          <w:tab w:pos="1033" w:val="left" w:leader="none"/>
          <w:tab w:pos="1034" w:val="left" w:leader="none"/>
        </w:tabs>
        <w:spacing w:line="357" w:lineRule="auto" w:before="0" w:after="0"/>
        <w:ind w:left="1033" w:right="242" w:hanging="360"/>
        <w:jc w:val="left"/>
        <w:rPr>
          <w:sz w:val="20"/>
        </w:rPr>
      </w:pPr>
      <w:r>
        <w:rPr>
          <w:sz w:val="20"/>
        </w:rPr>
        <w:t>The effects of unemployment and arrears on well-being are quantitatively large. To gauge that, we can translate them into income-equivalent terms using our welfare regression. The effects of having a job are, in well-being terms, equivalent to around 3 months’ extra income on average, across all households. </w:t>
      </w:r>
      <w:r>
        <w:rPr>
          <w:sz w:val="20"/>
          <w:vertAlign w:val="superscript"/>
        </w:rPr>
        <w:t>37</w:t>
      </w:r>
      <w:r>
        <w:rPr>
          <w:spacing w:val="14"/>
          <w:sz w:val="20"/>
          <w:vertAlign w:val="baseline"/>
        </w:rPr>
        <w:t> </w:t>
      </w:r>
      <w:r>
        <w:rPr>
          <w:sz w:val="20"/>
          <w:vertAlign w:val="baseline"/>
        </w:rPr>
        <w:t>This is consistent with powerful effects of work and financial security on happiness.</w:t>
      </w:r>
      <w:r>
        <w:rPr>
          <w:sz w:val="20"/>
          <w:vertAlign w:val="superscript"/>
        </w:rPr>
        <w:t>38</w:t>
      </w:r>
    </w:p>
    <w:p>
      <w:pPr>
        <w:pStyle w:val="BodyText"/>
        <w:spacing w:before="10"/>
        <w:rPr>
          <w:sz w:val="29"/>
        </w:rPr>
      </w:pPr>
    </w:p>
    <w:p>
      <w:pPr>
        <w:pStyle w:val="BodyText"/>
        <w:spacing w:line="360" w:lineRule="auto"/>
        <w:ind w:left="313" w:right="314"/>
      </w:pPr>
      <w:r>
        <w:rPr/>
        <w:t>Using this framework, our earlier quantitative estimates of the impact of looser monetary policy can be translated into welfare terms. Charts 22 and 23 show these welfare benefits, broken down into their component parts (income, wealth, unemployment), looking across the age and income distribution. A few key points stand out.</w:t>
      </w:r>
    </w:p>
    <w:p>
      <w:pPr>
        <w:pStyle w:val="BodyText"/>
        <w:spacing w:before="1"/>
        <w:rPr>
          <w:sz w:val="30"/>
        </w:rPr>
      </w:pPr>
    </w:p>
    <w:p>
      <w:pPr>
        <w:pStyle w:val="BodyText"/>
        <w:spacing w:line="360" w:lineRule="auto"/>
        <w:ind w:left="313" w:right="292"/>
      </w:pPr>
      <w:r>
        <w:rPr/>
        <w:t>First, the effects of monetary policy in lowering the probability of unemployment have a very material impact on household well-being. These effects often account for more than half of the total welfare gain for households across all cohorts. This means that, if we looked only at the boost to income and wealth from looser monetary policy, this would significantly understate the well-being benefits to households from the MPC’s monetary actions, by a factor of at least two.</w:t>
      </w:r>
    </w:p>
    <w:p>
      <w:pPr>
        <w:pStyle w:val="BodyText"/>
      </w:pPr>
    </w:p>
    <w:p>
      <w:pPr>
        <w:pStyle w:val="BodyText"/>
      </w:pPr>
    </w:p>
    <w:p>
      <w:pPr>
        <w:pStyle w:val="BodyText"/>
        <w:spacing w:before="3"/>
        <w:rPr>
          <w:sz w:val="17"/>
        </w:rPr>
      </w:pPr>
      <w:r>
        <w:rPr/>
        <w:pict>
          <v:shape style="position:absolute;margin-left:56.664001pt;margin-top:12.125909pt;width:144.050pt;height:.1pt;mso-position-horizontal-relative:page;mso-position-vertical-relative:paragraph;z-index:-251645952;mso-wrap-distance-left:0;mso-wrap-distance-right:0" coordorigin="1133,243" coordsize="2881,0" path="m1133,243l4014,243e" filled="false" stroked="true" strokeweight=".47998pt" strokecolor="#000000">
            <v:path arrowok="t"/>
            <v:stroke dashstyle="solid"/>
            <w10:wrap type="topAndBottom"/>
          </v:shape>
        </w:pict>
      </w:r>
    </w:p>
    <w:p>
      <w:pPr>
        <w:spacing w:line="197" w:lineRule="exact" w:before="30"/>
        <w:ind w:left="313" w:right="0" w:firstLine="0"/>
        <w:jc w:val="left"/>
        <w:rPr>
          <w:sz w:val="16"/>
        </w:rPr>
      </w:pPr>
      <w:r>
        <w:rPr>
          <w:position w:val="8"/>
          <w:sz w:val="10"/>
        </w:rPr>
        <w:t>34 </w:t>
      </w:r>
      <w:r>
        <w:rPr>
          <w:sz w:val="16"/>
        </w:rPr>
        <w:t>For example, Jacoby (2002).</w:t>
      </w:r>
    </w:p>
    <w:p>
      <w:pPr>
        <w:spacing w:line="197" w:lineRule="exact" w:before="0"/>
        <w:ind w:left="313" w:right="0" w:firstLine="0"/>
        <w:jc w:val="left"/>
        <w:rPr>
          <w:sz w:val="16"/>
        </w:rPr>
      </w:pPr>
      <w:r>
        <w:rPr>
          <w:position w:val="8"/>
          <w:sz w:val="10"/>
        </w:rPr>
        <w:t>35 </w:t>
      </w:r>
      <w:r>
        <w:rPr>
          <w:sz w:val="16"/>
        </w:rPr>
        <w:t>Both are shown in Table 1. Log utility is the best fit for happiness across households, but it is also common to use this functional</w:t>
      </w:r>
    </w:p>
    <w:p>
      <w:pPr>
        <w:spacing w:before="0"/>
        <w:ind w:left="313" w:right="314" w:firstLine="0"/>
        <w:jc w:val="left"/>
        <w:rPr>
          <w:sz w:val="16"/>
        </w:rPr>
      </w:pPr>
      <w:r>
        <w:rPr>
          <w:sz w:val="16"/>
        </w:rPr>
        <w:t>form at the individual level. We also experimented with a variety of other specifications, with higher order terms to capture greater curvature in the utility function, but these were generally not statistically significant. Note that our regressions are based on a pooled cross section of households and so are not pure estimates of the impact on happiness of changes in income and wealth over time.</w:t>
      </w:r>
    </w:p>
    <w:p>
      <w:pPr>
        <w:spacing w:line="170" w:lineRule="exact" w:before="0"/>
        <w:ind w:left="313" w:right="0" w:firstLine="0"/>
        <w:jc w:val="left"/>
        <w:rPr>
          <w:sz w:val="16"/>
        </w:rPr>
      </w:pPr>
      <w:r>
        <w:rPr>
          <w:position w:val="8"/>
          <w:sz w:val="10"/>
        </w:rPr>
        <w:t>36 </w:t>
      </w:r>
      <w:r>
        <w:rPr>
          <w:sz w:val="16"/>
        </w:rPr>
        <w:t>For example, Winkelmann and Winkelmann (1998) and Di Tella </w:t>
      </w:r>
      <w:r>
        <w:rPr>
          <w:i/>
          <w:sz w:val="16"/>
        </w:rPr>
        <w:t>et al </w:t>
      </w:r>
      <w:r>
        <w:rPr>
          <w:sz w:val="16"/>
        </w:rPr>
        <w:t>(2003).</w:t>
      </w:r>
    </w:p>
    <w:p>
      <w:pPr>
        <w:spacing w:line="196" w:lineRule="exact" w:before="0"/>
        <w:ind w:left="313" w:right="0" w:firstLine="0"/>
        <w:jc w:val="left"/>
        <w:rPr>
          <w:sz w:val="16"/>
        </w:rPr>
      </w:pPr>
      <w:r>
        <w:rPr>
          <w:position w:val="8"/>
          <w:sz w:val="10"/>
        </w:rPr>
        <w:t>37 </w:t>
      </w:r>
      <w:r>
        <w:rPr>
          <w:sz w:val="16"/>
        </w:rPr>
        <w:t>There are various ways to calculate the income-equivalence of the lower probability of unemployment, and these numbers would vary</w:t>
      </w:r>
    </w:p>
    <w:p>
      <w:pPr>
        <w:spacing w:before="1"/>
        <w:ind w:left="313" w:right="0" w:firstLine="0"/>
        <w:jc w:val="left"/>
        <w:rPr>
          <w:sz w:val="16"/>
        </w:rPr>
      </w:pPr>
      <w:r>
        <w:rPr>
          <w:sz w:val="16"/>
        </w:rPr>
        <w:t>depending on the assumptions made. For simplicity, we exploit the results from our analysis, which show the effect on welfare from the lower probability of unemployment on the average household to be around six times larger than the welfare boost from higher labour income.</w:t>
      </w:r>
    </w:p>
    <w:p>
      <w:pPr>
        <w:spacing w:line="184" w:lineRule="exact" w:before="0"/>
        <w:ind w:left="313" w:right="0" w:firstLine="0"/>
        <w:jc w:val="left"/>
        <w:rPr>
          <w:sz w:val="16"/>
        </w:rPr>
      </w:pPr>
      <w:r>
        <w:rPr>
          <w:position w:val="8"/>
          <w:sz w:val="10"/>
        </w:rPr>
        <w:t>38 </w:t>
      </w:r>
      <w:r>
        <w:rPr>
          <w:sz w:val="16"/>
        </w:rPr>
        <w:t>For example, Clark and Oswald (1994).</w:t>
      </w:r>
    </w:p>
    <w:p>
      <w:pPr>
        <w:spacing w:after="0" w:line="184" w:lineRule="exact"/>
        <w:jc w:val="left"/>
        <w:rPr>
          <w:sz w:val="16"/>
        </w:rPr>
        <w:sectPr>
          <w:footerReference w:type="default" r:id="rId20"/>
          <w:pgSz w:w="11910" w:h="16840"/>
          <w:pgMar w:footer="1338" w:header="0" w:top="1340" w:bottom="1520" w:left="820" w:right="960"/>
          <w:pgNumType w:start="13"/>
        </w:sectPr>
      </w:pPr>
    </w:p>
    <w:p>
      <w:pPr>
        <w:pStyle w:val="BodyText"/>
        <w:spacing w:line="360" w:lineRule="auto" w:before="79"/>
        <w:ind w:left="313" w:right="280"/>
      </w:pPr>
      <w:r>
        <w:rPr/>
        <w:t>Second, these gains from higher employment are felt particularly strongly by younger people who gain most from having a job. In welfare terms, the biggest gainers from the MPC’s monetary loosening have been the young, though every age cohort benefits overall. The same is true looking along the income distribution, where every cohort gains in welfare terms, even though the same was not true of purely financial gains.</w:t>
      </w:r>
    </w:p>
    <w:p>
      <w:pPr>
        <w:pStyle w:val="BodyText"/>
        <w:spacing w:before="10"/>
        <w:rPr>
          <w:sz w:val="29"/>
        </w:rPr>
      </w:pPr>
    </w:p>
    <w:p>
      <w:pPr>
        <w:pStyle w:val="Heading1"/>
        <w:spacing w:before="0"/>
      </w:pPr>
      <w:r>
        <w:rPr/>
        <w:t>Policy Implications</w:t>
      </w:r>
    </w:p>
    <w:p>
      <w:pPr>
        <w:pStyle w:val="BodyText"/>
        <w:rPr>
          <w:b/>
          <w:sz w:val="22"/>
        </w:rPr>
      </w:pPr>
    </w:p>
    <w:p>
      <w:pPr>
        <w:pStyle w:val="BodyText"/>
        <w:spacing w:before="1"/>
        <w:rPr>
          <w:b/>
          <w:sz w:val="18"/>
        </w:rPr>
      </w:pPr>
    </w:p>
    <w:p>
      <w:pPr>
        <w:pStyle w:val="BodyText"/>
        <w:spacing w:line="360" w:lineRule="auto"/>
        <w:ind w:left="313" w:right="218"/>
      </w:pPr>
      <w:r>
        <w:rPr/>
        <w:t>Where does this leave us? Let me summarise the key empirical conclusions before turning to policy</w:t>
      </w:r>
      <w:r>
        <w:rPr>
          <w:spacing w:val="-36"/>
        </w:rPr>
        <w:t> </w:t>
      </w:r>
      <w:r>
        <w:rPr/>
        <w:t>lessons. I take the key empirical conclusions to</w:t>
      </w:r>
      <w:r>
        <w:rPr>
          <w:spacing w:val="-11"/>
        </w:rPr>
        <w:t> </w:t>
      </w:r>
      <w:r>
        <w:rPr/>
        <w:t>be:</w:t>
      </w:r>
    </w:p>
    <w:p>
      <w:pPr>
        <w:pStyle w:val="BodyText"/>
        <w:rPr>
          <w:sz w:val="30"/>
        </w:rPr>
      </w:pPr>
    </w:p>
    <w:p>
      <w:pPr>
        <w:pStyle w:val="ListParagraph"/>
        <w:numPr>
          <w:ilvl w:val="0"/>
          <w:numId w:val="1"/>
        </w:numPr>
        <w:tabs>
          <w:tab w:pos="1033" w:val="left" w:leader="none"/>
          <w:tab w:pos="1034" w:val="left" w:leader="none"/>
        </w:tabs>
        <w:spacing w:line="355" w:lineRule="auto" w:before="0" w:after="0"/>
        <w:ind w:left="1033" w:right="527" w:hanging="360"/>
        <w:jc w:val="left"/>
        <w:rPr>
          <w:sz w:val="20"/>
        </w:rPr>
      </w:pPr>
      <w:r>
        <w:rPr>
          <w:sz w:val="20"/>
        </w:rPr>
        <w:t>The material loosening of UK monetary policy after 2007 has had a significantly positive effect</w:t>
      </w:r>
      <w:r>
        <w:rPr>
          <w:spacing w:val="-27"/>
          <w:sz w:val="20"/>
        </w:rPr>
        <w:t> </w:t>
      </w:r>
      <w:r>
        <w:rPr>
          <w:sz w:val="20"/>
        </w:rPr>
        <w:t>on employment, income and wealth, without which average living standards in the UK would be materially</w:t>
      </w:r>
      <w:r>
        <w:rPr>
          <w:spacing w:val="-5"/>
          <w:sz w:val="20"/>
        </w:rPr>
        <w:t> </w:t>
      </w:r>
      <w:r>
        <w:rPr>
          <w:sz w:val="20"/>
        </w:rPr>
        <w:t>lower.</w:t>
      </w:r>
    </w:p>
    <w:p>
      <w:pPr>
        <w:pStyle w:val="BodyText"/>
        <w:spacing w:before="7"/>
        <w:rPr>
          <w:sz w:val="30"/>
        </w:rPr>
      </w:pPr>
    </w:p>
    <w:p>
      <w:pPr>
        <w:pStyle w:val="ListParagraph"/>
        <w:numPr>
          <w:ilvl w:val="0"/>
          <w:numId w:val="1"/>
        </w:numPr>
        <w:tabs>
          <w:tab w:pos="1033" w:val="left" w:leader="none"/>
          <w:tab w:pos="1034" w:val="left" w:leader="none"/>
        </w:tabs>
        <w:spacing w:line="357" w:lineRule="auto" w:before="0" w:after="0"/>
        <w:ind w:left="1033" w:right="451" w:hanging="360"/>
        <w:jc w:val="left"/>
        <w:rPr>
          <w:sz w:val="20"/>
        </w:rPr>
      </w:pPr>
      <w:r>
        <w:rPr>
          <w:sz w:val="20"/>
        </w:rPr>
        <w:t>These gains have been shared right across the distribution of income and wealth, age and region, though the precise scale and nature of these benefits does differ across cohorts. Very few households across the UK are likely to have been net losers in financial terms from the MPC’s monetary loosening, once all of its effects are take into</w:t>
      </w:r>
      <w:r>
        <w:rPr>
          <w:spacing w:val="-4"/>
          <w:sz w:val="20"/>
        </w:rPr>
        <w:t> </w:t>
      </w:r>
      <w:r>
        <w:rPr>
          <w:sz w:val="20"/>
        </w:rPr>
        <w:t>account.</w:t>
      </w:r>
    </w:p>
    <w:p>
      <w:pPr>
        <w:pStyle w:val="BodyText"/>
        <w:spacing w:before="11"/>
        <w:rPr>
          <w:sz w:val="29"/>
        </w:rPr>
      </w:pPr>
    </w:p>
    <w:p>
      <w:pPr>
        <w:pStyle w:val="ListParagraph"/>
        <w:numPr>
          <w:ilvl w:val="0"/>
          <w:numId w:val="1"/>
        </w:numPr>
        <w:tabs>
          <w:tab w:pos="1033" w:val="left" w:leader="none"/>
          <w:tab w:pos="1034" w:val="left" w:leader="none"/>
        </w:tabs>
        <w:spacing w:line="357" w:lineRule="auto" w:before="0" w:after="0"/>
        <w:ind w:left="1033" w:right="197" w:hanging="360"/>
        <w:jc w:val="left"/>
        <w:rPr>
          <w:sz w:val="20"/>
        </w:rPr>
      </w:pPr>
      <w:r>
        <w:rPr>
          <w:sz w:val="20"/>
        </w:rPr>
        <w:t>This conclusion is reinforced if we consider the impact of monetary loosening on people’s well-being. In addition to the financial gains from higher income and wealth, many people have benefitted significantly from greater job security and reduced financial anxiety. In welfare terms, these benefits may have been as large as the financial gains. The number of households who have lost out in welfare terms from looser monetary policy is only</w:t>
      </w:r>
      <w:r>
        <w:rPr>
          <w:spacing w:val="-7"/>
          <w:sz w:val="20"/>
        </w:rPr>
        <w:t> </w:t>
      </w:r>
      <w:r>
        <w:rPr>
          <w:sz w:val="20"/>
        </w:rPr>
        <w:t>12%.</w:t>
      </w:r>
    </w:p>
    <w:p>
      <w:pPr>
        <w:pStyle w:val="BodyText"/>
        <w:spacing w:before="3"/>
        <w:rPr>
          <w:sz w:val="30"/>
        </w:rPr>
      </w:pPr>
    </w:p>
    <w:p>
      <w:pPr>
        <w:pStyle w:val="ListParagraph"/>
        <w:numPr>
          <w:ilvl w:val="0"/>
          <w:numId w:val="1"/>
        </w:numPr>
        <w:tabs>
          <w:tab w:pos="1033" w:val="left" w:leader="none"/>
          <w:tab w:pos="1034" w:val="left" w:leader="none"/>
        </w:tabs>
        <w:spacing w:line="357" w:lineRule="auto" w:before="0" w:after="0"/>
        <w:ind w:left="1033" w:right="206" w:hanging="360"/>
        <w:jc w:val="left"/>
        <w:rPr>
          <w:sz w:val="20"/>
        </w:rPr>
      </w:pPr>
      <w:r>
        <w:rPr>
          <w:sz w:val="20"/>
        </w:rPr>
        <w:t>These quantitative results differ sharply from public perceptions of the impact of monetary policy. To illustrate, Charts 23 and 24 compare the welfare impact of lower interest rates among different age cohorts with people’s self-reported survey impact. These differ not just in scale but </w:t>
      </w:r>
      <w:r>
        <w:rPr>
          <w:i/>
          <w:sz w:val="20"/>
        </w:rPr>
        <w:t>sign</w:t>
      </w:r>
      <w:r>
        <w:rPr>
          <w:sz w:val="20"/>
        </w:rPr>
        <w:t>. It suggests the public perception gap around monetary policy is large. This is symptomatic of a deficit of public understanding, and is likely to have contributed to a deficit of public trust, on the public’s</w:t>
      </w:r>
      <w:r>
        <w:rPr>
          <w:spacing w:val="-16"/>
          <w:sz w:val="20"/>
        </w:rPr>
        <w:t> </w:t>
      </w:r>
      <w:r>
        <w:rPr>
          <w:sz w:val="20"/>
        </w:rPr>
        <w:t>part.</w:t>
      </w:r>
    </w:p>
    <w:p>
      <w:pPr>
        <w:pStyle w:val="BodyText"/>
        <w:spacing w:before="4"/>
        <w:rPr>
          <w:sz w:val="23"/>
        </w:rPr>
      </w:pPr>
    </w:p>
    <w:p>
      <w:pPr>
        <w:pStyle w:val="ListParagraph"/>
        <w:numPr>
          <w:ilvl w:val="0"/>
          <w:numId w:val="1"/>
        </w:numPr>
        <w:tabs>
          <w:tab w:pos="1033" w:val="left" w:leader="none"/>
          <w:tab w:pos="1034" w:val="left" w:leader="none"/>
        </w:tabs>
        <w:spacing w:line="357" w:lineRule="auto" w:before="0" w:after="0"/>
        <w:ind w:left="1033" w:right="235" w:hanging="360"/>
        <w:jc w:val="left"/>
        <w:rPr>
          <w:sz w:val="22"/>
        </w:rPr>
      </w:pPr>
      <w:r>
        <w:rPr>
          <w:sz w:val="20"/>
        </w:rPr>
        <w:t>These deficits may not be that surprising. It is very difficult for people to identify, much less quantify, the channels through which monetary policy affects their lives, directly and indirectly. For most people, this information is simply not to hand. If it were, in a simple and personal form, this might contribute to closing the gaps in public trust and understanding about monetary</w:t>
      </w:r>
      <w:r>
        <w:rPr>
          <w:spacing w:val="-5"/>
          <w:sz w:val="20"/>
        </w:rPr>
        <w:t> </w:t>
      </w:r>
      <w:r>
        <w:rPr>
          <w:sz w:val="20"/>
        </w:rPr>
        <w:t>policy</w:t>
      </w:r>
      <w:r>
        <w:rPr>
          <w:sz w:val="22"/>
        </w:rPr>
        <w:t>.</w:t>
      </w:r>
    </w:p>
    <w:p>
      <w:pPr>
        <w:spacing w:after="0" w:line="357" w:lineRule="auto"/>
        <w:jc w:val="left"/>
        <w:rPr>
          <w:sz w:val="22"/>
        </w:rPr>
        <w:sectPr>
          <w:pgSz w:w="11910" w:h="16840"/>
          <w:pgMar w:header="0" w:footer="1338" w:top="1340" w:bottom="1520" w:left="820" w:right="960"/>
        </w:sectPr>
      </w:pPr>
    </w:p>
    <w:p>
      <w:pPr>
        <w:pStyle w:val="BodyText"/>
        <w:spacing w:line="360" w:lineRule="auto" w:before="79"/>
        <w:ind w:left="313" w:right="314"/>
      </w:pPr>
      <w:r>
        <w:rPr/>
        <w:t>That takes me naturally to practical ways of closing the twin deficits. Inequality issues are likely to continue to loom large in public debate in the years ahead, not least due to the impact of technology on jobs and skills.</w:t>
      </w:r>
      <w:r>
        <w:rPr>
          <w:vertAlign w:val="superscript"/>
        </w:rPr>
        <w:t>39</w:t>
      </w:r>
    </w:p>
    <w:p>
      <w:pPr>
        <w:pStyle w:val="BodyText"/>
        <w:rPr>
          <w:sz w:val="30"/>
        </w:rPr>
      </w:pPr>
    </w:p>
    <w:p>
      <w:pPr>
        <w:pStyle w:val="BodyText"/>
        <w:spacing w:line="360" w:lineRule="auto"/>
        <w:ind w:left="313" w:right="314"/>
      </w:pPr>
      <w:r>
        <w:rPr/>
        <w:t>It seems perfectly reasonable that policymakers should periodically explain the impact of their actions on both aggregate outcomes and its distribution. Indeed, doing so consistently and transparently could I think deliver important benefits, helping close the public perception gap and those twin deficits of trust and understanding about monetary policy. But how is that best done?</w:t>
      </w:r>
    </w:p>
    <w:p>
      <w:pPr>
        <w:pStyle w:val="BodyText"/>
        <w:spacing w:before="1"/>
        <w:rPr>
          <w:sz w:val="30"/>
        </w:rPr>
      </w:pPr>
    </w:p>
    <w:p>
      <w:pPr>
        <w:pStyle w:val="BodyText"/>
        <w:spacing w:line="360" w:lineRule="auto"/>
        <w:ind w:left="313"/>
      </w:pPr>
      <w:r>
        <w:rPr/>
        <w:t>Other domains of public policy have developed mechanisms for improving transparency about the impact of policy. These often involve “framing” the effects of policy in ways which increase the public’s interest, understanding and hence trust in policy.</w:t>
      </w:r>
      <w:r>
        <w:rPr>
          <w:vertAlign w:val="superscript"/>
        </w:rPr>
        <w:t>40</w:t>
      </w:r>
      <w:r>
        <w:rPr>
          <w:vertAlign w:val="baseline"/>
        </w:rPr>
        <w:t> This can be done on either an aggregate or disaggregated basis.</w:t>
      </w:r>
    </w:p>
    <w:p>
      <w:pPr>
        <w:pStyle w:val="BodyText"/>
        <w:rPr>
          <w:sz w:val="30"/>
        </w:rPr>
      </w:pPr>
    </w:p>
    <w:p>
      <w:pPr>
        <w:pStyle w:val="BodyText"/>
        <w:spacing w:line="360" w:lineRule="auto"/>
        <w:ind w:left="313" w:right="169"/>
      </w:pPr>
      <w:r>
        <w:rPr/>
        <w:t>One approach, “social good framing”, emphasises the aggregate or societal benefits of policy. For example, tax payments by an individual can be allocated to the uses of taxpayer funds to support public or social goods, such as improved hospitals, schools and roads. In experiments, this approach has been shown to improve both understanding of, and compliance with, tax policies.</w:t>
      </w:r>
      <w:r>
        <w:rPr>
          <w:vertAlign w:val="superscript"/>
        </w:rPr>
        <w:t>41</w:t>
      </w:r>
    </w:p>
    <w:p>
      <w:pPr>
        <w:pStyle w:val="BodyText"/>
        <w:spacing w:before="10"/>
        <w:rPr>
          <w:sz w:val="29"/>
        </w:rPr>
      </w:pPr>
    </w:p>
    <w:p>
      <w:pPr>
        <w:pStyle w:val="BodyText"/>
        <w:spacing w:line="360" w:lineRule="auto"/>
        <w:ind w:left="313" w:right="169"/>
      </w:pPr>
      <w:r>
        <w:rPr/>
        <w:t>As an example of this approach, in 2014 the UK authorities began issuing taxpayers with annual tax summaries, breaking down the tax paid into the uses to which it was put. This was prompted, in part, by the large perception gap between the public’s view of how taxes were being spent and their true destination – a perception gap similar, but smaller, than for monetary policy. There is evidence these tax summaries improved the public’s understanding of government spending and use of taxpayer money.</w:t>
      </w:r>
      <w:r>
        <w:rPr>
          <w:vertAlign w:val="superscript"/>
        </w:rPr>
        <w:t>42</w:t>
      </w:r>
    </w:p>
    <w:p>
      <w:pPr>
        <w:pStyle w:val="BodyText"/>
        <w:spacing w:before="2"/>
        <w:rPr>
          <w:sz w:val="30"/>
        </w:rPr>
      </w:pPr>
    </w:p>
    <w:p>
      <w:pPr>
        <w:pStyle w:val="BodyText"/>
        <w:spacing w:line="360" w:lineRule="auto"/>
        <w:ind w:left="313" w:right="314"/>
      </w:pPr>
      <w:r>
        <w:rPr/>
        <w:t>What would be the monetary policy equivalent? There are estimates to hand on the social or public good benefits of monetary policy. For example, without the post-crisis loosening of monetary policy, UK GDP would have been around 8% lower and unemployment 4 percentage points higher. Greater awareness of these public goods might help, at least a little, in closing the public perception gap.</w:t>
      </w:r>
    </w:p>
    <w:p>
      <w:pPr>
        <w:pStyle w:val="BodyText"/>
        <w:spacing w:before="10"/>
        <w:rPr>
          <w:sz w:val="29"/>
        </w:rPr>
      </w:pPr>
    </w:p>
    <w:p>
      <w:pPr>
        <w:pStyle w:val="BodyText"/>
        <w:spacing w:line="360" w:lineRule="auto"/>
        <w:ind w:left="313" w:right="336"/>
      </w:pPr>
      <w:r>
        <w:rPr/>
        <w:t>A more promising approach is “personalised framing”. This links a policy intervention to the specific circumstances of an individual or set of individuals. For example, experimental trials suggest people are more likely to pay taxes or donate to charity if they are told about the local or personal impact of doing so.</w:t>
      </w:r>
      <w:r>
        <w:rPr>
          <w:vertAlign w:val="superscript"/>
        </w:rPr>
        <w:t>43</w:t>
      </w:r>
      <w:r>
        <w:rPr>
          <w:vertAlign w:val="baseline"/>
        </w:rPr>
        <w:t> Personalising a message in this way increases the changes of it being heard, understood and acted on.</w:t>
      </w:r>
    </w:p>
    <w:p>
      <w:pPr>
        <w:pStyle w:val="BodyText"/>
        <w:spacing w:before="1"/>
        <w:rPr>
          <w:sz w:val="30"/>
        </w:rPr>
      </w:pPr>
    </w:p>
    <w:p>
      <w:pPr>
        <w:pStyle w:val="BodyText"/>
        <w:spacing w:line="360" w:lineRule="auto"/>
        <w:ind w:left="313" w:right="458"/>
      </w:pPr>
      <w:r>
        <w:rPr/>
        <w:pict>
          <v:shape style="position:absolute;margin-left:56.664001pt;margin-top:40.579891pt;width:144.050pt;height:.1pt;mso-position-horizontal-relative:page;mso-position-vertical-relative:paragraph;z-index:-251644928;mso-wrap-distance-left:0;mso-wrap-distance-right:0" coordorigin="1133,812" coordsize="2881,0" path="m1133,812l4014,812e" filled="false" stroked="true" strokeweight=".47998pt" strokecolor="#000000">
            <v:path arrowok="t"/>
            <v:stroke dashstyle="solid"/>
            <w10:wrap type="topAndBottom"/>
          </v:shape>
        </w:pict>
      </w:r>
      <w:r>
        <w:rPr/>
        <w:t>What would be the monetary policy equivalent? Imagine a personal monetary policy scorecard, similar in spirit to a personal tax scorecard, tailored to an individual’s characteristics – assets and liabilities, housing</w:t>
      </w:r>
    </w:p>
    <w:p>
      <w:pPr>
        <w:spacing w:line="196" w:lineRule="exact" w:before="30"/>
        <w:ind w:left="313" w:right="0" w:firstLine="0"/>
        <w:jc w:val="left"/>
        <w:rPr>
          <w:sz w:val="16"/>
        </w:rPr>
      </w:pPr>
      <w:r>
        <w:rPr>
          <w:position w:val="8"/>
          <w:sz w:val="10"/>
        </w:rPr>
        <w:t>39 </w:t>
      </w:r>
      <w:r>
        <w:rPr>
          <w:sz w:val="16"/>
        </w:rPr>
        <w:t>For example, Ford (2016).</w:t>
      </w:r>
    </w:p>
    <w:p>
      <w:pPr>
        <w:spacing w:line="184" w:lineRule="exact" w:before="0"/>
        <w:ind w:left="313" w:right="0" w:firstLine="0"/>
        <w:jc w:val="left"/>
        <w:rPr>
          <w:sz w:val="16"/>
        </w:rPr>
      </w:pPr>
      <w:r>
        <w:rPr>
          <w:position w:val="8"/>
          <w:sz w:val="10"/>
        </w:rPr>
        <w:t>40 </w:t>
      </w:r>
      <w:r>
        <w:rPr>
          <w:sz w:val="16"/>
        </w:rPr>
        <w:t>The Behavioural Insights Team are specialists in this area, see Halpern (2015) for a discussion of their methodologies.</w:t>
      </w:r>
    </w:p>
    <w:p>
      <w:pPr>
        <w:spacing w:line="184" w:lineRule="exact" w:before="0"/>
        <w:ind w:left="313" w:right="0" w:firstLine="0"/>
        <w:jc w:val="left"/>
        <w:rPr>
          <w:sz w:val="16"/>
        </w:rPr>
      </w:pPr>
      <w:r>
        <w:rPr>
          <w:position w:val="8"/>
          <w:sz w:val="10"/>
        </w:rPr>
        <w:t>41 </w:t>
      </w:r>
      <w:r>
        <w:rPr>
          <w:sz w:val="16"/>
        </w:rPr>
        <w:t>For example, Hallsworth </w:t>
      </w:r>
      <w:r>
        <w:rPr>
          <w:i/>
          <w:sz w:val="16"/>
        </w:rPr>
        <w:t>et al </w:t>
      </w:r>
      <w:r>
        <w:rPr>
          <w:sz w:val="16"/>
        </w:rPr>
        <w:t>(2014).</w:t>
      </w:r>
    </w:p>
    <w:p>
      <w:pPr>
        <w:spacing w:line="185" w:lineRule="exact" w:before="0"/>
        <w:ind w:left="313" w:right="0" w:firstLine="0"/>
        <w:jc w:val="left"/>
        <w:rPr>
          <w:sz w:val="16"/>
        </w:rPr>
      </w:pPr>
      <w:r>
        <w:rPr>
          <w:position w:val="8"/>
          <w:sz w:val="10"/>
        </w:rPr>
        <w:t>42 </w:t>
      </w:r>
      <w:r>
        <w:rPr>
          <w:sz w:val="16"/>
        </w:rPr>
        <w:t>Barnes </w:t>
      </w:r>
      <w:r>
        <w:rPr>
          <w:i/>
          <w:sz w:val="16"/>
        </w:rPr>
        <w:t>et al </w:t>
      </w:r>
      <w:r>
        <w:rPr>
          <w:sz w:val="16"/>
        </w:rPr>
        <w:t>(forthcoming) and Sheffield Political Economy Research Institute (2015).</w:t>
      </w:r>
    </w:p>
    <w:p>
      <w:pPr>
        <w:spacing w:line="196" w:lineRule="exact" w:before="0"/>
        <w:ind w:left="313" w:right="0" w:firstLine="0"/>
        <w:jc w:val="left"/>
        <w:rPr>
          <w:sz w:val="16"/>
        </w:rPr>
      </w:pPr>
      <w:r>
        <w:rPr>
          <w:position w:val="8"/>
          <w:sz w:val="10"/>
        </w:rPr>
        <w:t>43 </w:t>
      </w:r>
      <w:r>
        <w:rPr>
          <w:sz w:val="16"/>
        </w:rPr>
        <w:t>Agerström </w:t>
      </w:r>
      <w:r>
        <w:rPr>
          <w:i/>
          <w:sz w:val="16"/>
        </w:rPr>
        <w:t>et al </w:t>
      </w:r>
      <w:r>
        <w:rPr>
          <w:sz w:val="16"/>
        </w:rPr>
        <w:t>(2016), Service </w:t>
      </w:r>
      <w:r>
        <w:rPr>
          <w:i/>
          <w:sz w:val="16"/>
        </w:rPr>
        <w:t>et al </w:t>
      </w:r>
      <w:r>
        <w:rPr>
          <w:sz w:val="16"/>
        </w:rPr>
        <w:t>(2014).</w:t>
      </w:r>
    </w:p>
    <w:p>
      <w:pPr>
        <w:spacing w:after="0" w:line="196" w:lineRule="exact"/>
        <w:jc w:val="left"/>
        <w:rPr>
          <w:sz w:val="16"/>
        </w:rPr>
        <w:sectPr>
          <w:pgSz w:w="11910" w:h="16840"/>
          <w:pgMar w:header="0" w:footer="1338" w:top="1340" w:bottom="1520" w:left="820" w:right="960"/>
        </w:sectPr>
      </w:pPr>
    </w:p>
    <w:p>
      <w:pPr>
        <w:pStyle w:val="BodyText"/>
        <w:spacing w:line="360" w:lineRule="auto" w:before="79"/>
        <w:ind w:left="313" w:right="202"/>
      </w:pPr>
      <w:r>
        <w:rPr/>
        <w:t>tenure, age, employment status etc. This would identify the channels and the amounts by which a significant change in monetary policy affected people’s finances (income, wealth) and wider well-being (employment and financial security).</w:t>
      </w:r>
    </w:p>
    <w:p>
      <w:pPr>
        <w:pStyle w:val="BodyText"/>
        <w:rPr>
          <w:sz w:val="30"/>
        </w:rPr>
      </w:pPr>
    </w:p>
    <w:p>
      <w:pPr>
        <w:pStyle w:val="BodyText"/>
        <w:spacing w:line="360" w:lineRule="auto"/>
        <w:ind w:left="313" w:right="169"/>
      </w:pPr>
      <w:r>
        <w:rPr/>
        <w:t>Now stop imagining. Figure 1 shows such a scorecard for the contribution of monetary policy since the crisis for the average UK household. In the upper part, it quantifies the annual impact on the average household’s finances. For example, the MPC’s monetary loosening added around £260 per year to the average household’s net interest income, £1,200 to their labour income and £14,000 to their net wealth.</w:t>
      </w:r>
    </w:p>
    <w:p>
      <w:pPr>
        <w:pStyle w:val="BodyText"/>
        <w:spacing w:before="1"/>
        <w:rPr>
          <w:sz w:val="30"/>
        </w:rPr>
      </w:pPr>
    </w:p>
    <w:p>
      <w:pPr>
        <w:pStyle w:val="BodyText"/>
        <w:spacing w:line="360" w:lineRule="auto"/>
        <w:ind w:left="313" w:right="202"/>
      </w:pPr>
      <w:r>
        <w:rPr/>
        <w:t>The lower part of Figure 1 looks at the effects of non-financial channels on well-being, namely the reduction in the probability of unemployment, translated into income-equivalent units.</w:t>
      </w:r>
      <w:r>
        <w:rPr>
          <w:vertAlign w:val="superscript"/>
        </w:rPr>
        <w:t>44</w:t>
      </w:r>
      <w:r>
        <w:rPr>
          <w:vertAlign w:val="baseline"/>
        </w:rPr>
        <w:t> The increased probability of being in a job adds in excess of £7,000 each year for the average household. All in, this gives a boost to welfare for the average UK household of close to £23,000. This is large relative to annual household income of £32,000.</w:t>
      </w:r>
    </w:p>
    <w:p>
      <w:pPr>
        <w:pStyle w:val="BodyText"/>
        <w:spacing w:before="11"/>
        <w:rPr>
          <w:sz w:val="29"/>
        </w:rPr>
      </w:pPr>
    </w:p>
    <w:p>
      <w:pPr>
        <w:pStyle w:val="BodyText"/>
        <w:spacing w:line="360" w:lineRule="auto"/>
        <w:ind w:left="313" w:right="183"/>
      </w:pPr>
      <w:r>
        <w:rPr/>
        <w:t>As a memo item, and point of comparison, Figure 1 also shows an estimate of the annual cost of undertaking monetary policy, using data from the Bank of England’s accounts.</w:t>
      </w:r>
      <w:r>
        <w:rPr>
          <w:vertAlign w:val="superscript"/>
        </w:rPr>
        <w:t>45</w:t>
      </w:r>
      <w:r>
        <w:rPr>
          <w:vertAlign w:val="baseline"/>
        </w:rPr>
        <w:t> On a broad estimate, this annual cost amounts to around £2.80 per household per year. This “servicing charge” for monetary policy is clearly a very small fraction of the annual benefit to households from looser monetary policy over the</w:t>
      </w:r>
      <w:r>
        <w:rPr>
          <w:spacing w:val="-17"/>
          <w:vertAlign w:val="baseline"/>
        </w:rPr>
        <w:t> </w:t>
      </w:r>
      <w:r>
        <w:rPr>
          <w:vertAlign w:val="baseline"/>
        </w:rPr>
        <w:t>period.</w:t>
      </w:r>
    </w:p>
    <w:p>
      <w:pPr>
        <w:pStyle w:val="BodyText"/>
        <w:rPr>
          <w:sz w:val="30"/>
        </w:rPr>
      </w:pPr>
    </w:p>
    <w:p>
      <w:pPr>
        <w:pStyle w:val="BodyText"/>
        <w:spacing w:line="360" w:lineRule="auto" w:before="1"/>
        <w:ind w:left="313" w:right="452"/>
      </w:pPr>
      <w:r>
        <w:rPr/>
        <w:t>The disaggregated analysis set out means that, in principle, a monetary policy scorecard like this could be fitted to any individual’s circumstances. As an illustration, Figures 2-4 show scorecards for three different hypothetical households: a renter under the age of 30; a 30-50 year old mortgagor; and a 50-plus home-owning household.</w:t>
      </w:r>
    </w:p>
    <w:p>
      <w:pPr>
        <w:pStyle w:val="BodyText"/>
        <w:spacing w:before="10"/>
        <w:rPr>
          <w:sz w:val="29"/>
        </w:rPr>
      </w:pPr>
    </w:p>
    <w:p>
      <w:pPr>
        <w:pStyle w:val="BodyText"/>
        <w:spacing w:line="360" w:lineRule="auto"/>
        <w:ind w:left="313"/>
      </w:pPr>
      <w:r>
        <w:rPr/>
        <w:t>As we might expect, there are large differences in both the channels and scale of impact across these three cohorts, though in each case the net effect is strongly positive. As a point of comparison, Figure 5 gives a scorecard for the relatively small set of households for whom the net effects have been negative – a retired household renting a property whose wealth is held mainly in deposits.</w:t>
      </w:r>
    </w:p>
    <w:p>
      <w:pPr>
        <w:pStyle w:val="BodyText"/>
        <w:rPr>
          <w:sz w:val="30"/>
        </w:rPr>
      </w:pPr>
    </w:p>
    <w:p>
      <w:pPr>
        <w:pStyle w:val="BodyText"/>
        <w:spacing w:line="360" w:lineRule="auto" w:before="1"/>
        <w:ind w:left="313"/>
      </w:pPr>
      <w:r>
        <w:rPr/>
        <w:t>In principle, this sort of personalised monetary policy scorecard could be drawn up at any level of disaggregation and for any monetary intervention, past or present. Clearly, the results and methodology underpinning any scorecard-type approach need to be treated with caution. For example, there are wide confidence intervals around the estimates presented here.</w:t>
      </w:r>
    </w:p>
    <w:p>
      <w:pPr>
        <w:pStyle w:val="BodyText"/>
      </w:pPr>
    </w:p>
    <w:p>
      <w:pPr>
        <w:pStyle w:val="BodyText"/>
        <w:spacing w:before="10"/>
        <w:rPr>
          <w:sz w:val="14"/>
        </w:rPr>
      </w:pPr>
      <w:r>
        <w:rPr/>
        <w:pict>
          <v:shape style="position:absolute;margin-left:56.664001pt;margin-top:10.750664pt;width:144.050pt;height:.1pt;mso-position-horizontal-relative:page;mso-position-vertical-relative:paragraph;z-index:-251643904;mso-wrap-distance-left:0;mso-wrap-distance-right:0" coordorigin="1133,215" coordsize="2881,0" path="m1133,215l4014,215e" filled="false" stroked="true" strokeweight=".48004pt" strokecolor="#000000">
            <v:path arrowok="t"/>
            <v:stroke dashstyle="solid"/>
            <w10:wrap type="topAndBottom"/>
          </v:shape>
        </w:pict>
      </w:r>
    </w:p>
    <w:p>
      <w:pPr>
        <w:spacing w:before="30"/>
        <w:ind w:left="313" w:right="0" w:firstLine="0"/>
        <w:jc w:val="left"/>
        <w:rPr>
          <w:sz w:val="16"/>
        </w:rPr>
      </w:pPr>
      <w:r>
        <w:rPr>
          <w:position w:val="8"/>
          <w:sz w:val="10"/>
        </w:rPr>
        <w:t>44 </w:t>
      </w:r>
      <w:r>
        <w:rPr>
          <w:sz w:val="16"/>
        </w:rPr>
        <w:t>There are various ways to calculate the income-equivalence of the lower probability of unemployment, and these numbers would vary depending on the assumptions made. For simplicity, we exploit the results from our analysis, which show the effect on welfare from the lower probability of unemployment on the average household to be around six times larger than the welfare boost from higher labour income. This ratio is then applied to the boost to labour income experienced by different cohorts in Figures 1-5.</w:t>
      </w:r>
    </w:p>
    <w:p>
      <w:pPr>
        <w:spacing w:line="184" w:lineRule="exact" w:before="1"/>
        <w:ind w:left="313" w:right="314" w:firstLine="0"/>
        <w:jc w:val="left"/>
        <w:rPr>
          <w:sz w:val="16"/>
        </w:rPr>
      </w:pPr>
      <w:r>
        <w:rPr>
          <w:position w:val="8"/>
          <w:sz w:val="10"/>
        </w:rPr>
        <w:t>45 </w:t>
      </w:r>
      <w:r>
        <w:rPr>
          <w:sz w:val="16"/>
        </w:rPr>
        <w:t>The cost of monetary policy, broadly defined, was £77mn in 2017, and there are around 27.2mn households in the UK. The cost of monetary policy includes the Bank’s monetary analysis area and the relevant share of other business areas’ (research, statistics, markets, banking, HR, technology etc.) expenses toward monetary policy. This should probably be considered an upper bound.</w:t>
      </w:r>
    </w:p>
    <w:p>
      <w:pPr>
        <w:spacing w:after="0" w:line="184" w:lineRule="exact"/>
        <w:jc w:val="left"/>
        <w:rPr>
          <w:sz w:val="16"/>
        </w:rPr>
        <w:sectPr>
          <w:footerReference w:type="default" r:id="rId21"/>
          <w:pgSz w:w="11910" w:h="16840"/>
          <w:pgMar w:footer="1338" w:header="0" w:top="1340" w:bottom="1520" w:left="820" w:right="960"/>
          <w:pgNumType w:start="16"/>
        </w:sectPr>
      </w:pPr>
    </w:p>
    <w:p>
      <w:pPr>
        <w:pStyle w:val="BodyText"/>
        <w:spacing w:line="360" w:lineRule="auto" w:before="79"/>
        <w:ind w:left="313" w:right="314"/>
      </w:pPr>
      <w:r>
        <w:rPr/>
        <w:t>These sorts of evaluation also have greatest value when conducted at times of significant change in the monetary policy stance or when this change is not expected. That is to say, they are probably best undertaken periodically rather than regularly.</w:t>
      </w:r>
    </w:p>
    <w:p>
      <w:pPr>
        <w:pStyle w:val="BodyText"/>
        <w:rPr>
          <w:sz w:val="30"/>
        </w:rPr>
      </w:pPr>
    </w:p>
    <w:p>
      <w:pPr>
        <w:pStyle w:val="BodyText"/>
        <w:spacing w:line="360" w:lineRule="auto"/>
        <w:ind w:left="313" w:right="191"/>
      </w:pPr>
      <w:r>
        <w:rPr/>
        <w:t>One important point is that the interpretation of these evaluations depends greatly on the reasons monetary policy is changing in the first place. For example, the loosening of monetary policy in the case study was positive for most households. But that does not imply a </w:t>
      </w:r>
      <w:r>
        <w:rPr>
          <w:i/>
        </w:rPr>
        <w:t>tightening </w:t>
      </w:r>
      <w:r>
        <w:rPr/>
        <w:t>of monetary policy would thus be negative for household finances and welfare. For example, if this tightening came in response to a stronger economy, and helped avoid inflation overshooting its target requiring higher-still interest rates, its effects are likely to be positive too. This suggests these scorecard exercises are likely to be context-specific and hence are best done periodically at times of significant change to the monetary stance.</w:t>
      </w:r>
    </w:p>
    <w:p>
      <w:pPr>
        <w:pStyle w:val="BodyText"/>
        <w:spacing w:before="1"/>
        <w:rPr>
          <w:sz w:val="30"/>
        </w:rPr>
      </w:pPr>
    </w:p>
    <w:p>
      <w:pPr>
        <w:pStyle w:val="BodyText"/>
        <w:spacing w:line="360" w:lineRule="auto"/>
        <w:ind w:left="313" w:right="314"/>
      </w:pPr>
      <w:r>
        <w:rPr/>
        <w:t>Reporting its effects in a disaggregated way should not call into question the purpose of monetary policy which, as set in statute, is to stabilise aggregate economic activity and prices. Nor does it imply monetary tools should be used to meet distributional ends. Rather, its purpose would be to improve public understanding of the effects of monetary policy. This would hopefully help close the public perception gap about the effects of monetary policy and the trust deficit facing monetary policymakers.</w:t>
      </w:r>
      <w:r>
        <w:rPr>
          <w:vertAlign w:val="superscript"/>
        </w:rPr>
        <w:t>46</w:t>
      </w:r>
    </w:p>
    <w:p>
      <w:pPr>
        <w:pStyle w:val="BodyText"/>
        <w:spacing w:before="8"/>
        <w:rPr>
          <w:sz w:val="29"/>
        </w:rPr>
      </w:pPr>
    </w:p>
    <w:p>
      <w:pPr>
        <w:pStyle w:val="Heading1"/>
        <w:spacing w:before="0"/>
      </w:pPr>
      <w:r>
        <w:rPr/>
        <w:t>Conclusion</w:t>
      </w:r>
    </w:p>
    <w:p>
      <w:pPr>
        <w:pStyle w:val="BodyText"/>
        <w:rPr>
          <w:b/>
          <w:sz w:val="22"/>
        </w:rPr>
      </w:pPr>
    </w:p>
    <w:p>
      <w:pPr>
        <w:pStyle w:val="BodyText"/>
        <w:spacing w:before="3"/>
        <w:rPr>
          <w:b/>
          <w:sz w:val="18"/>
        </w:rPr>
      </w:pPr>
    </w:p>
    <w:p>
      <w:pPr>
        <w:pStyle w:val="BodyText"/>
        <w:spacing w:line="360" w:lineRule="auto" w:before="1"/>
        <w:ind w:left="313"/>
      </w:pPr>
      <w:r>
        <w:rPr/>
        <w:t>A detailed, disaggregated analysis of household balance sheets suggests the material loosening in UK monetary policy after the financial crisis did not have significant adverse distributional consequences. To the contrary, a detailed household-level analysis suggests that the majority of cohorts across the economy were significant gainers from this loosening, in financial and welfare terms.</w:t>
      </w:r>
    </w:p>
    <w:p>
      <w:pPr>
        <w:pStyle w:val="BodyText"/>
        <w:spacing w:before="10"/>
        <w:rPr>
          <w:sz w:val="29"/>
        </w:rPr>
      </w:pPr>
    </w:p>
    <w:p>
      <w:pPr>
        <w:pStyle w:val="BodyText"/>
        <w:spacing w:line="360" w:lineRule="auto"/>
        <w:ind w:left="313" w:right="314"/>
      </w:pPr>
      <w:r>
        <w:rPr/>
        <w:t>The channels through which monetary policy has affected people’s lives are often neither easy to observe nor well-understood, giving rise to a large perception gap on the part of the public about the true impact of monetary policy on them. This is not a failing on the part of the public. Nor is it a failing in the effectiveness of policy. Rather it reflects the difficulty of capturing the often subtle ways in which monetary policy affects people, in a way that is clear and relevant to them.</w:t>
      </w:r>
    </w:p>
    <w:p>
      <w:pPr>
        <w:pStyle w:val="BodyText"/>
        <w:spacing w:before="1"/>
        <w:rPr>
          <w:sz w:val="30"/>
        </w:rPr>
      </w:pPr>
    </w:p>
    <w:p>
      <w:pPr>
        <w:pStyle w:val="BodyText"/>
        <w:spacing w:line="360" w:lineRule="auto"/>
        <w:ind w:left="313" w:right="314"/>
      </w:pPr>
      <w:r>
        <w:rPr/>
        <w:t>While difficult, this is not an impossible objective, as other domains of public policy have demonstrated. A disaggregated analysis can be used to help decompose the ways and means and amounts by which different sets of households have been affected by monetary policy. Some illustrative and tentative examples of these personal “monetary policy scorecards” have been shown.</w:t>
      </w:r>
    </w:p>
    <w:p>
      <w:pPr>
        <w:pStyle w:val="BodyText"/>
      </w:pPr>
    </w:p>
    <w:p>
      <w:pPr>
        <w:pStyle w:val="BodyText"/>
      </w:pPr>
    </w:p>
    <w:p>
      <w:pPr>
        <w:pStyle w:val="BodyText"/>
      </w:pPr>
    </w:p>
    <w:p>
      <w:pPr>
        <w:pStyle w:val="BodyText"/>
        <w:spacing w:before="9"/>
        <w:rPr>
          <w:sz w:val="24"/>
        </w:rPr>
      </w:pPr>
      <w:r>
        <w:rPr/>
        <w:pict>
          <v:shape style="position:absolute;margin-left:56.664001pt;margin-top:16.464111pt;width:144.050pt;height:.1pt;mso-position-horizontal-relative:page;mso-position-vertical-relative:paragraph;z-index:-251642880;mso-wrap-distance-left:0;mso-wrap-distance-right:0" coordorigin="1133,329" coordsize="2881,0" path="m1133,329l4014,329e" filled="false" stroked="true" strokeweight=".47998pt" strokecolor="#000000">
            <v:path arrowok="t"/>
            <v:stroke dashstyle="solid"/>
            <w10:wrap type="topAndBottom"/>
          </v:shape>
        </w:pict>
      </w:r>
    </w:p>
    <w:p>
      <w:pPr>
        <w:spacing w:before="30"/>
        <w:ind w:left="313" w:right="0" w:firstLine="0"/>
        <w:jc w:val="left"/>
        <w:rPr>
          <w:sz w:val="16"/>
        </w:rPr>
      </w:pPr>
      <w:r>
        <w:rPr>
          <w:position w:val="8"/>
          <w:sz w:val="10"/>
        </w:rPr>
        <w:t>46 </w:t>
      </w:r>
      <w:r>
        <w:rPr>
          <w:sz w:val="16"/>
        </w:rPr>
        <w:t>As discussed in Haldane (2017), the Bank already has various initiatives in train to support an increase in public understanding of the economy, such as layered communication, outreach initiatives and educational materials for schools.</w:t>
      </w:r>
    </w:p>
    <w:p>
      <w:pPr>
        <w:spacing w:after="0"/>
        <w:jc w:val="left"/>
        <w:rPr>
          <w:sz w:val="16"/>
        </w:rPr>
        <w:sectPr>
          <w:footerReference w:type="default" r:id="rId22"/>
          <w:pgSz w:w="11910" w:h="16840"/>
          <w:pgMar w:footer="1334" w:header="0" w:top="1340" w:bottom="1520" w:left="820" w:right="960"/>
          <w:pgNumType w:start="17"/>
        </w:sectPr>
      </w:pPr>
    </w:p>
    <w:p>
      <w:pPr>
        <w:pStyle w:val="BodyText"/>
        <w:spacing w:line="360" w:lineRule="auto" w:before="79"/>
        <w:ind w:left="313" w:right="236"/>
      </w:pPr>
      <w:r>
        <w:rPr/>
        <w:t>Producing something along these lines would be a new departure for macro-economic policy, if not for some of the other arms of policy. Analyses of monetary policy have tended to emphasise the economy-wide effects, measured in terms of macroeconomic outcomes like GDP, unemployment and inflation. This still makes sense as a means of explaining the social good monetary policy is offering.</w:t>
      </w:r>
    </w:p>
    <w:p>
      <w:pPr>
        <w:pStyle w:val="BodyText"/>
        <w:rPr>
          <w:sz w:val="30"/>
        </w:rPr>
      </w:pPr>
    </w:p>
    <w:p>
      <w:pPr>
        <w:pStyle w:val="BodyText"/>
        <w:spacing w:line="360" w:lineRule="auto" w:before="1"/>
        <w:ind w:left="313" w:right="245"/>
      </w:pPr>
      <w:r>
        <w:rPr/>
        <w:t>But messages often land most effectively when they are personalised. Monetary policy has an important personalised impact on most people’s lives. Some scorecard-like device could, at times of significant change in the monetary policy stance, help explain, in simple terms, the personal as well as societal</w:t>
      </w:r>
      <w:r>
        <w:rPr>
          <w:spacing w:val="-31"/>
        </w:rPr>
        <w:t> </w:t>
      </w:r>
      <w:r>
        <w:rPr/>
        <w:t>benefits monetary policy confers. It would seek better to explain how monetary policy is affecting your job, your cost of living, your</w:t>
      </w:r>
      <w:r>
        <w:rPr>
          <w:spacing w:val="3"/>
        </w:rPr>
        <w:t> </w:t>
      </w:r>
      <w:r>
        <w:rPr/>
        <w:t>GDP.</w:t>
      </w:r>
    </w:p>
    <w:p>
      <w:pPr>
        <w:pStyle w:val="BodyText"/>
        <w:spacing w:before="10"/>
        <w:rPr>
          <w:sz w:val="29"/>
        </w:rPr>
      </w:pPr>
    </w:p>
    <w:p>
      <w:pPr>
        <w:pStyle w:val="BodyText"/>
        <w:spacing w:line="360" w:lineRule="auto"/>
        <w:ind w:left="313" w:right="194"/>
      </w:pPr>
      <w:r>
        <w:rPr/>
        <w:t>This should help make monetary policy relevant to people’s everyday lives.  At a time of diminished trust, and some scepticism, it could potentially make a contribution towards improving public understanding of, and trust in, monetary policy.  It would mean the next time someone shouts from the audience “That’s your bloody GDP”, we </w:t>
      </w:r>
      <w:r>
        <w:rPr>
          <w:i/>
        </w:rPr>
        <w:t>would </w:t>
      </w:r>
      <w:r>
        <w:rPr/>
        <w:t>have right of reply: “Oh no it’s not; it’s yours</w:t>
      </w:r>
      <w:r>
        <w:rPr>
          <w:spacing w:val="-3"/>
        </w:rPr>
        <w:t> </w:t>
      </w:r>
      <w:r>
        <w:rPr/>
        <w:t>too.”</w:t>
      </w:r>
    </w:p>
    <w:p>
      <w:pPr>
        <w:spacing w:after="0" w:line="360" w:lineRule="auto"/>
        <w:sectPr>
          <w:pgSz w:w="11910" w:h="16840"/>
          <w:pgMar w:header="0" w:footer="1334" w:top="1340" w:bottom="1520" w:left="820" w:right="960"/>
        </w:sectPr>
      </w:pPr>
    </w:p>
    <w:p>
      <w:pPr>
        <w:pStyle w:val="Heading1"/>
      </w:pPr>
      <w:r>
        <w:rPr/>
        <w:t>References</w:t>
      </w:r>
    </w:p>
    <w:p>
      <w:pPr>
        <w:pStyle w:val="BodyText"/>
        <w:rPr>
          <w:b/>
          <w:sz w:val="22"/>
        </w:rPr>
      </w:pPr>
    </w:p>
    <w:p>
      <w:pPr>
        <w:pStyle w:val="BodyText"/>
        <w:spacing w:before="5"/>
        <w:rPr>
          <w:b/>
          <w:sz w:val="21"/>
        </w:rPr>
      </w:pPr>
    </w:p>
    <w:p>
      <w:pPr>
        <w:spacing w:line="276" w:lineRule="auto" w:before="0"/>
        <w:ind w:left="313" w:right="838" w:firstLine="0"/>
        <w:jc w:val="left"/>
        <w:rPr>
          <w:sz w:val="20"/>
        </w:rPr>
      </w:pPr>
      <w:r>
        <w:rPr>
          <w:b/>
          <w:sz w:val="20"/>
        </w:rPr>
        <w:t>Agerström, J, Carlsson, R, Nicklasson, L and Guntell, L (2016)</w:t>
      </w:r>
      <w:r>
        <w:rPr>
          <w:sz w:val="20"/>
        </w:rPr>
        <w:t>, ‘Using descriptive social norms to increase charitable giving: The power of local norms’, </w:t>
      </w:r>
      <w:r>
        <w:rPr>
          <w:i/>
          <w:sz w:val="20"/>
        </w:rPr>
        <w:t>Journal of Economic Psychology</w:t>
      </w:r>
      <w:r>
        <w:rPr>
          <w:sz w:val="20"/>
        </w:rPr>
        <w:t>, Vol. 52,</w:t>
      </w:r>
    </w:p>
    <w:p>
      <w:pPr>
        <w:pStyle w:val="BodyText"/>
        <w:spacing w:before="2"/>
        <w:ind w:left="313"/>
      </w:pPr>
      <w:r>
        <w:rPr/>
        <w:t>pp. 147-153.</w:t>
      </w:r>
    </w:p>
    <w:p>
      <w:pPr>
        <w:pStyle w:val="BodyText"/>
        <w:spacing w:before="10"/>
        <w:rPr>
          <w:sz w:val="25"/>
        </w:rPr>
      </w:pPr>
    </w:p>
    <w:p>
      <w:pPr>
        <w:spacing w:before="0"/>
        <w:ind w:left="313" w:right="0" w:firstLine="0"/>
        <w:jc w:val="left"/>
        <w:rPr>
          <w:sz w:val="20"/>
        </w:rPr>
      </w:pPr>
      <w:r>
        <w:rPr>
          <w:b/>
          <w:sz w:val="20"/>
        </w:rPr>
        <w:t>Altmann, R (2009)</w:t>
      </w:r>
      <w:r>
        <w:rPr>
          <w:sz w:val="20"/>
        </w:rPr>
        <w:t>, ‘Why quantitative easing is a disaster for pensions’, article in </w:t>
      </w:r>
      <w:r>
        <w:rPr>
          <w:i/>
          <w:sz w:val="20"/>
        </w:rPr>
        <w:t>The Telegraph</w:t>
      </w:r>
      <w:r>
        <w:rPr>
          <w:sz w:val="20"/>
        </w:rPr>
        <w:t>.</w:t>
      </w:r>
    </w:p>
    <w:p>
      <w:pPr>
        <w:pStyle w:val="BodyText"/>
        <w:spacing w:before="10"/>
        <w:rPr>
          <w:sz w:val="25"/>
        </w:rPr>
      </w:pPr>
    </w:p>
    <w:p>
      <w:pPr>
        <w:spacing w:before="1"/>
        <w:ind w:left="313" w:right="0" w:firstLine="0"/>
        <w:jc w:val="left"/>
        <w:rPr>
          <w:sz w:val="20"/>
        </w:rPr>
      </w:pPr>
      <w:r>
        <w:rPr>
          <w:b/>
          <w:sz w:val="20"/>
        </w:rPr>
        <w:t>Atkinson, A (2015)</w:t>
      </w:r>
      <w:r>
        <w:rPr>
          <w:sz w:val="20"/>
        </w:rPr>
        <w:t>, </w:t>
      </w:r>
      <w:r>
        <w:rPr>
          <w:i/>
          <w:sz w:val="20"/>
        </w:rPr>
        <w:t>Inequality</w:t>
      </w:r>
      <w:r>
        <w:rPr>
          <w:sz w:val="20"/>
        </w:rPr>
        <w:t>, Harvard University Press.</w:t>
      </w:r>
    </w:p>
    <w:p>
      <w:pPr>
        <w:pStyle w:val="BodyText"/>
        <w:spacing w:before="10"/>
        <w:rPr>
          <w:sz w:val="25"/>
        </w:rPr>
      </w:pPr>
    </w:p>
    <w:p>
      <w:pPr>
        <w:spacing w:before="0"/>
        <w:ind w:left="313" w:right="0" w:firstLine="0"/>
        <w:jc w:val="left"/>
        <w:rPr>
          <w:sz w:val="20"/>
        </w:rPr>
      </w:pPr>
      <w:r>
        <w:rPr>
          <w:b/>
          <w:sz w:val="20"/>
        </w:rPr>
        <w:t>Ball, L, Furceri, D, Leigh, D and Loungani, P (2013)</w:t>
      </w:r>
      <w:r>
        <w:rPr>
          <w:sz w:val="20"/>
        </w:rPr>
        <w:t>, ‘The Distributional Effects of Fiscal Consolidation’,</w:t>
      </w:r>
    </w:p>
    <w:p>
      <w:pPr>
        <w:spacing w:before="37"/>
        <w:ind w:left="313" w:right="0" w:firstLine="0"/>
        <w:jc w:val="left"/>
        <w:rPr>
          <w:sz w:val="20"/>
        </w:rPr>
      </w:pPr>
      <w:r>
        <w:rPr>
          <w:i/>
          <w:sz w:val="20"/>
        </w:rPr>
        <w:t>IMF Working Paper</w:t>
      </w:r>
      <w:r>
        <w:rPr>
          <w:sz w:val="20"/>
        </w:rPr>
        <w:t>, No. 13/151.</w:t>
      </w:r>
    </w:p>
    <w:p>
      <w:pPr>
        <w:pStyle w:val="BodyText"/>
        <w:spacing w:before="10"/>
        <w:rPr>
          <w:sz w:val="25"/>
        </w:rPr>
      </w:pPr>
    </w:p>
    <w:p>
      <w:pPr>
        <w:spacing w:line="276" w:lineRule="auto" w:before="0"/>
        <w:ind w:left="313" w:right="637" w:firstLine="0"/>
        <w:jc w:val="left"/>
        <w:rPr>
          <w:sz w:val="20"/>
        </w:rPr>
      </w:pPr>
      <w:r>
        <w:rPr>
          <w:b/>
          <w:sz w:val="20"/>
        </w:rPr>
        <w:t>Ball, R and Chernova, K (2008)</w:t>
      </w:r>
      <w:r>
        <w:rPr>
          <w:sz w:val="20"/>
        </w:rPr>
        <w:t>, ‘Absolute Income, Relative Income, and Happiness’, </w:t>
      </w:r>
      <w:r>
        <w:rPr>
          <w:i/>
          <w:sz w:val="20"/>
        </w:rPr>
        <w:t>Social Indicators </w:t>
      </w:r>
      <w:r>
        <w:rPr>
          <w:i/>
          <w:sz w:val="20"/>
        </w:rPr>
        <w:t>Research</w:t>
      </w:r>
      <w:r>
        <w:rPr>
          <w:sz w:val="20"/>
        </w:rPr>
        <w:t>, Vol. 88, No. 3, pp. 497-529.</w:t>
      </w:r>
    </w:p>
    <w:p>
      <w:pPr>
        <w:pStyle w:val="BodyText"/>
        <w:spacing w:before="1"/>
        <w:rPr>
          <w:sz w:val="23"/>
        </w:rPr>
      </w:pPr>
    </w:p>
    <w:p>
      <w:pPr>
        <w:spacing w:line="276" w:lineRule="auto" w:before="1"/>
        <w:ind w:left="313" w:right="282" w:firstLine="0"/>
        <w:jc w:val="left"/>
        <w:rPr>
          <w:sz w:val="20"/>
        </w:rPr>
      </w:pPr>
      <w:r>
        <w:rPr>
          <w:b/>
          <w:sz w:val="20"/>
        </w:rPr>
        <w:t>Barnes, L, Feller, A, Haselswerdt, J and Porter, E (forthcoming)</w:t>
      </w:r>
      <w:r>
        <w:rPr>
          <w:sz w:val="20"/>
        </w:rPr>
        <w:t>, ‘Information, Knowledge and Attitudes: An Evaluation of the Taxpayer Receipt’, </w:t>
      </w:r>
      <w:r>
        <w:rPr>
          <w:i/>
          <w:sz w:val="20"/>
        </w:rPr>
        <w:t>Journal of Politics</w:t>
      </w:r>
      <w:r>
        <w:rPr>
          <w:sz w:val="20"/>
        </w:rPr>
        <w:t>.</w:t>
      </w:r>
    </w:p>
    <w:p>
      <w:pPr>
        <w:pStyle w:val="BodyText"/>
        <w:spacing w:before="10"/>
        <w:rPr>
          <w:sz w:val="22"/>
        </w:rPr>
      </w:pPr>
    </w:p>
    <w:p>
      <w:pPr>
        <w:spacing w:line="276" w:lineRule="auto" w:before="0"/>
        <w:ind w:left="313" w:right="471" w:firstLine="0"/>
        <w:jc w:val="left"/>
        <w:rPr>
          <w:sz w:val="20"/>
        </w:rPr>
      </w:pPr>
      <w:r>
        <w:rPr>
          <w:b/>
          <w:sz w:val="20"/>
        </w:rPr>
        <w:t>Brynjolfsson, E and McAfee, A (2016)</w:t>
      </w:r>
      <w:r>
        <w:rPr>
          <w:sz w:val="20"/>
        </w:rPr>
        <w:t>, </w:t>
      </w:r>
      <w:r>
        <w:rPr>
          <w:i/>
          <w:sz w:val="20"/>
        </w:rPr>
        <w:t>The Second Machine Age – Work, Progress, and Prosperity in a </w:t>
      </w:r>
      <w:r>
        <w:rPr>
          <w:i/>
          <w:sz w:val="20"/>
        </w:rPr>
        <w:t>Time of Brilliant Technologies</w:t>
      </w:r>
      <w:r>
        <w:rPr>
          <w:sz w:val="20"/>
        </w:rPr>
        <w:t>, W. W. Norton &amp; Company.</w:t>
      </w:r>
    </w:p>
    <w:p>
      <w:pPr>
        <w:pStyle w:val="BodyText"/>
        <w:spacing w:before="1"/>
        <w:rPr>
          <w:sz w:val="23"/>
        </w:rPr>
      </w:pPr>
    </w:p>
    <w:p>
      <w:pPr>
        <w:spacing w:line="276" w:lineRule="auto" w:before="0"/>
        <w:ind w:left="313" w:right="0" w:firstLine="0"/>
        <w:jc w:val="left"/>
        <w:rPr>
          <w:sz w:val="20"/>
        </w:rPr>
      </w:pPr>
      <w:r>
        <w:rPr>
          <w:b/>
          <w:sz w:val="20"/>
        </w:rPr>
        <w:t>Büchs, M, Bardsley, N and Duwe, S (2011)</w:t>
      </w:r>
      <w:r>
        <w:rPr>
          <w:sz w:val="20"/>
        </w:rPr>
        <w:t>, ‘Who bears the brunt? Distributional effects of climate change mitigation’, </w:t>
      </w:r>
      <w:r>
        <w:rPr>
          <w:i/>
          <w:sz w:val="20"/>
        </w:rPr>
        <w:t>Critical Social Policy</w:t>
      </w:r>
      <w:r>
        <w:rPr>
          <w:sz w:val="20"/>
        </w:rPr>
        <w:t>, Vol. 31, No. 2, pp. 285-307.</w:t>
      </w:r>
    </w:p>
    <w:p>
      <w:pPr>
        <w:pStyle w:val="BodyText"/>
        <w:spacing w:before="10"/>
        <w:rPr>
          <w:sz w:val="22"/>
        </w:rPr>
      </w:pPr>
    </w:p>
    <w:p>
      <w:pPr>
        <w:spacing w:line="280" w:lineRule="auto" w:before="0"/>
        <w:ind w:left="313" w:right="314" w:firstLine="0"/>
        <w:jc w:val="left"/>
        <w:rPr>
          <w:sz w:val="20"/>
        </w:rPr>
      </w:pPr>
      <w:r>
        <w:rPr>
          <w:b/>
          <w:sz w:val="20"/>
        </w:rPr>
        <w:t>Buiter, W (2014)</w:t>
      </w:r>
      <w:r>
        <w:rPr>
          <w:sz w:val="20"/>
        </w:rPr>
        <w:t>, ‘Central banks: Powerful, political and unaccountable?’, </w:t>
      </w:r>
      <w:r>
        <w:rPr>
          <w:i/>
          <w:sz w:val="20"/>
        </w:rPr>
        <w:t>Journal of the British Academy</w:t>
      </w:r>
      <w:r>
        <w:rPr>
          <w:sz w:val="20"/>
        </w:rPr>
        <w:t>, Vol. 2, pp. 269-303.</w:t>
      </w:r>
    </w:p>
    <w:p>
      <w:pPr>
        <w:pStyle w:val="BodyText"/>
        <w:spacing w:before="3"/>
        <w:rPr>
          <w:sz w:val="22"/>
        </w:rPr>
      </w:pPr>
    </w:p>
    <w:p>
      <w:pPr>
        <w:spacing w:line="276" w:lineRule="auto" w:before="0"/>
        <w:ind w:left="313" w:right="204" w:firstLine="0"/>
        <w:jc w:val="left"/>
        <w:rPr>
          <w:sz w:val="20"/>
        </w:rPr>
      </w:pPr>
      <w:r>
        <w:rPr>
          <w:b/>
          <w:sz w:val="20"/>
        </w:rPr>
        <w:t>Bunn, P, Drapper, L, Rowe, J and Shah, S (2015)</w:t>
      </w:r>
      <w:r>
        <w:rPr>
          <w:sz w:val="20"/>
        </w:rPr>
        <w:t>, ‘The potential impact of higher interest rates and further fiscal consolidation on households: evidence from the 2015 NMG Consulting survey’, </w:t>
      </w:r>
      <w:r>
        <w:rPr>
          <w:i/>
          <w:sz w:val="20"/>
        </w:rPr>
        <w:t>Bank of England </w:t>
      </w:r>
      <w:r>
        <w:rPr>
          <w:i/>
          <w:sz w:val="20"/>
        </w:rPr>
        <w:t>Quarterly Bulletin</w:t>
      </w:r>
      <w:r>
        <w:rPr>
          <w:sz w:val="20"/>
        </w:rPr>
        <w:t>, 2015 Q4, pp. 357-368.</w:t>
      </w:r>
    </w:p>
    <w:p>
      <w:pPr>
        <w:pStyle w:val="BodyText"/>
        <w:spacing w:before="1"/>
        <w:rPr>
          <w:sz w:val="23"/>
        </w:rPr>
      </w:pPr>
    </w:p>
    <w:p>
      <w:pPr>
        <w:spacing w:line="276" w:lineRule="auto" w:before="0"/>
        <w:ind w:left="313" w:right="649" w:firstLine="0"/>
        <w:jc w:val="left"/>
        <w:rPr>
          <w:sz w:val="20"/>
        </w:rPr>
      </w:pPr>
      <w:r>
        <w:rPr>
          <w:b/>
          <w:sz w:val="20"/>
        </w:rPr>
        <w:t>Bunn, P, Pugh, A and Yeates, C (2018)</w:t>
      </w:r>
      <w:r>
        <w:rPr>
          <w:sz w:val="20"/>
        </w:rPr>
        <w:t>, ‘The distributional impact of monetary policy easing in the UK between 2008 and 2014’, </w:t>
      </w:r>
      <w:r>
        <w:rPr>
          <w:i/>
          <w:sz w:val="20"/>
        </w:rPr>
        <w:t>Bank of England Staff Working Paper</w:t>
      </w:r>
      <w:r>
        <w:rPr>
          <w:sz w:val="20"/>
        </w:rPr>
        <w:t>, No. 720.</w:t>
      </w:r>
    </w:p>
    <w:p>
      <w:pPr>
        <w:pStyle w:val="BodyText"/>
        <w:spacing w:before="10"/>
        <w:rPr>
          <w:sz w:val="22"/>
        </w:rPr>
      </w:pPr>
    </w:p>
    <w:p>
      <w:pPr>
        <w:pStyle w:val="BodyText"/>
        <w:spacing w:line="278" w:lineRule="auto"/>
        <w:ind w:left="313" w:right="3274"/>
      </w:pPr>
      <w:r>
        <w:rPr>
          <w:b/>
        </w:rPr>
        <w:t>Carney, M (2016)</w:t>
      </w:r>
      <w:r>
        <w:rPr/>
        <w:t>, ‘The Spectre of Monetarism’, speech available at </w:t>
      </w:r>
      <w:hyperlink r:id="rId23">
        <w:r>
          <w:rPr>
            <w:color w:val="0000FF"/>
            <w:w w:val="95"/>
            <w:u w:val="single" w:color="0000FF"/>
          </w:rPr>
          <w:t>https://www.bankofengland.co.uk/speech/2016/the-spectre-of-monetarism</w:t>
        </w:r>
      </w:hyperlink>
    </w:p>
    <w:p>
      <w:pPr>
        <w:pStyle w:val="BodyText"/>
        <w:spacing w:before="7"/>
        <w:rPr>
          <w:sz w:val="14"/>
        </w:rPr>
      </w:pPr>
    </w:p>
    <w:p>
      <w:pPr>
        <w:spacing w:line="276" w:lineRule="auto" w:before="93"/>
        <w:ind w:left="313" w:right="0" w:firstLine="0"/>
        <w:jc w:val="left"/>
        <w:rPr>
          <w:sz w:val="20"/>
        </w:rPr>
      </w:pPr>
      <w:r>
        <w:rPr>
          <w:b/>
          <w:sz w:val="20"/>
        </w:rPr>
        <w:t>Clark, A, Frijters, P and Shields, M (2007)</w:t>
      </w:r>
      <w:r>
        <w:rPr>
          <w:sz w:val="20"/>
        </w:rPr>
        <w:t>, ‘Relative Income, Happiness and Utility: An Explanation for the Easterlin Paradox and Other Puzzles’, </w:t>
      </w:r>
      <w:r>
        <w:rPr>
          <w:i/>
          <w:sz w:val="20"/>
        </w:rPr>
        <w:t>IZA Discussion Paper Series</w:t>
      </w:r>
      <w:r>
        <w:rPr>
          <w:sz w:val="20"/>
        </w:rPr>
        <w:t>, No. 2840.</w:t>
      </w:r>
    </w:p>
    <w:p>
      <w:pPr>
        <w:pStyle w:val="BodyText"/>
        <w:spacing w:before="10"/>
        <w:rPr>
          <w:sz w:val="22"/>
        </w:rPr>
      </w:pPr>
    </w:p>
    <w:p>
      <w:pPr>
        <w:spacing w:line="280" w:lineRule="auto" w:before="0"/>
        <w:ind w:left="313" w:right="848" w:firstLine="0"/>
        <w:jc w:val="left"/>
        <w:rPr>
          <w:sz w:val="20"/>
        </w:rPr>
      </w:pPr>
      <w:r>
        <w:rPr>
          <w:b/>
          <w:sz w:val="20"/>
        </w:rPr>
        <w:t>Clark, A and Oswald, A (1994)</w:t>
      </w:r>
      <w:r>
        <w:rPr>
          <w:sz w:val="20"/>
        </w:rPr>
        <w:t>, ‘Unhappiness and unemployment’, </w:t>
      </w:r>
      <w:r>
        <w:rPr>
          <w:i/>
          <w:sz w:val="20"/>
        </w:rPr>
        <w:t>The Economic Journal</w:t>
      </w:r>
      <w:r>
        <w:rPr>
          <w:sz w:val="20"/>
        </w:rPr>
        <w:t>, Vol. 104, No. 424, pp. 648-659.</w:t>
      </w:r>
    </w:p>
    <w:p>
      <w:pPr>
        <w:pStyle w:val="BodyText"/>
        <w:spacing w:before="4"/>
        <w:rPr>
          <w:sz w:val="22"/>
        </w:rPr>
      </w:pPr>
    </w:p>
    <w:p>
      <w:pPr>
        <w:pStyle w:val="BodyText"/>
        <w:ind w:left="313"/>
      </w:pPr>
      <w:r>
        <w:rPr>
          <w:b/>
        </w:rPr>
        <w:t>Cœuré, B (2012)</w:t>
      </w:r>
      <w:r>
        <w:rPr/>
        <w:t>, ‘What can monetary policy do about inequality?’, speech at the European Parliament.</w:t>
      </w:r>
    </w:p>
    <w:p>
      <w:pPr>
        <w:pStyle w:val="BodyText"/>
        <w:spacing w:before="10"/>
        <w:rPr>
          <w:sz w:val="25"/>
        </w:rPr>
      </w:pPr>
    </w:p>
    <w:p>
      <w:pPr>
        <w:spacing w:line="278" w:lineRule="auto" w:before="0"/>
        <w:ind w:left="313" w:right="315" w:firstLine="0"/>
        <w:jc w:val="left"/>
        <w:rPr>
          <w:sz w:val="20"/>
        </w:rPr>
      </w:pPr>
      <w:r>
        <w:rPr>
          <w:b/>
          <w:sz w:val="20"/>
        </w:rPr>
        <w:t>Deutsche Bundesbank (2016)</w:t>
      </w:r>
      <w:r>
        <w:rPr>
          <w:sz w:val="20"/>
        </w:rPr>
        <w:t>, ‘Distributional effects of monetary policy’, </w:t>
      </w:r>
      <w:r>
        <w:rPr>
          <w:i/>
          <w:sz w:val="20"/>
        </w:rPr>
        <w:t>Deutsche Bundesbank Monetary </w:t>
      </w:r>
      <w:r>
        <w:rPr>
          <w:i/>
          <w:sz w:val="20"/>
        </w:rPr>
        <w:t>Report</w:t>
      </w:r>
      <w:r>
        <w:rPr>
          <w:sz w:val="20"/>
        </w:rPr>
        <w:t>, September 2016.</w:t>
      </w:r>
    </w:p>
    <w:p>
      <w:pPr>
        <w:spacing w:after="0" w:line="278" w:lineRule="auto"/>
        <w:jc w:val="left"/>
        <w:rPr>
          <w:sz w:val="20"/>
        </w:rPr>
        <w:sectPr>
          <w:pgSz w:w="11910" w:h="16840"/>
          <w:pgMar w:header="0" w:footer="1334" w:top="1340" w:bottom="1520" w:left="820" w:right="960"/>
        </w:sectPr>
      </w:pPr>
    </w:p>
    <w:p>
      <w:pPr>
        <w:spacing w:line="276" w:lineRule="auto" w:before="79"/>
        <w:ind w:left="313" w:right="949" w:firstLine="0"/>
        <w:jc w:val="left"/>
        <w:rPr>
          <w:sz w:val="20"/>
        </w:rPr>
      </w:pPr>
      <w:r>
        <w:rPr>
          <w:b/>
          <w:sz w:val="20"/>
        </w:rPr>
        <w:t>Di Tella, R, MacCulloch, R and Oswald, A (2003)</w:t>
      </w:r>
      <w:r>
        <w:rPr>
          <w:sz w:val="20"/>
        </w:rPr>
        <w:t>, ‘The Macroeconomics of Happiness’, </w:t>
      </w:r>
      <w:r>
        <w:rPr>
          <w:i/>
          <w:sz w:val="20"/>
        </w:rPr>
        <w:t>Review of </w:t>
      </w:r>
      <w:r>
        <w:rPr>
          <w:i/>
          <w:sz w:val="20"/>
        </w:rPr>
        <w:t>Economics and Statistics</w:t>
      </w:r>
      <w:r>
        <w:rPr>
          <w:sz w:val="20"/>
        </w:rPr>
        <w:t>, Vol. 85, No. 4, pp. 809-827.</w:t>
      </w:r>
    </w:p>
    <w:p>
      <w:pPr>
        <w:pStyle w:val="BodyText"/>
        <w:spacing w:before="1"/>
        <w:rPr>
          <w:sz w:val="23"/>
        </w:rPr>
      </w:pPr>
    </w:p>
    <w:p>
      <w:pPr>
        <w:spacing w:line="278" w:lineRule="auto" w:before="0"/>
        <w:ind w:left="313" w:right="0" w:firstLine="0"/>
        <w:jc w:val="left"/>
        <w:rPr>
          <w:sz w:val="20"/>
        </w:rPr>
      </w:pPr>
      <w:r>
        <w:rPr>
          <w:b/>
          <w:sz w:val="20"/>
        </w:rPr>
        <w:t>Ford, M (2016)</w:t>
      </w:r>
      <w:r>
        <w:rPr>
          <w:sz w:val="20"/>
        </w:rPr>
        <w:t>, </w:t>
      </w:r>
      <w:r>
        <w:rPr>
          <w:i/>
          <w:sz w:val="20"/>
        </w:rPr>
        <w:t>The Rise of the Robots: Technology and the Threat of Mass Unemployment</w:t>
      </w:r>
      <w:r>
        <w:rPr>
          <w:sz w:val="20"/>
        </w:rPr>
        <w:t>, Oneworld Publications.</w:t>
      </w:r>
    </w:p>
    <w:p>
      <w:pPr>
        <w:pStyle w:val="BodyText"/>
        <w:spacing w:before="5"/>
        <w:rPr>
          <w:sz w:val="22"/>
        </w:rPr>
      </w:pPr>
    </w:p>
    <w:p>
      <w:pPr>
        <w:spacing w:before="0"/>
        <w:ind w:left="313" w:right="0" w:firstLine="0"/>
        <w:jc w:val="left"/>
        <w:rPr>
          <w:sz w:val="20"/>
        </w:rPr>
      </w:pPr>
      <w:r>
        <w:rPr>
          <w:b/>
          <w:sz w:val="20"/>
        </w:rPr>
        <w:t>Friedman, M (1968)</w:t>
      </w:r>
      <w:r>
        <w:rPr>
          <w:sz w:val="20"/>
        </w:rPr>
        <w:t>, ‘The Role of Monetary Policy’, </w:t>
      </w:r>
      <w:r>
        <w:rPr>
          <w:i/>
          <w:sz w:val="20"/>
        </w:rPr>
        <w:t>American Economic Review</w:t>
      </w:r>
      <w:r>
        <w:rPr>
          <w:sz w:val="20"/>
        </w:rPr>
        <w:t>, Vol. 58, No. 1, pp. 1-17.</w:t>
      </w:r>
    </w:p>
    <w:p>
      <w:pPr>
        <w:pStyle w:val="BodyText"/>
        <w:spacing w:before="2"/>
        <w:rPr>
          <w:sz w:val="26"/>
        </w:rPr>
      </w:pPr>
    </w:p>
    <w:p>
      <w:pPr>
        <w:pStyle w:val="BodyText"/>
        <w:spacing w:line="278" w:lineRule="auto"/>
        <w:ind w:left="313" w:right="4203"/>
      </w:pPr>
      <w:r>
        <w:rPr>
          <w:b/>
        </w:rPr>
        <w:t>Haldane, A (2016)</w:t>
      </w:r>
      <w:r>
        <w:rPr/>
        <w:t>, ‘Whose recovery?’, speech available at </w:t>
      </w:r>
      <w:hyperlink r:id="rId24">
        <w:r>
          <w:rPr>
            <w:color w:val="0000FF"/>
            <w:u w:val="single" w:color="0000FF"/>
          </w:rPr>
          <w:t>https://www.bankofengland.co.uk/speech/2016/whose-recovery</w:t>
        </w:r>
      </w:hyperlink>
    </w:p>
    <w:p>
      <w:pPr>
        <w:pStyle w:val="BodyText"/>
        <w:spacing w:before="4"/>
        <w:rPr>
          <w:sz w:val="14"/>
        </w:rPr>
      </w:pPr>
    </w:p>
    <w:p>
      <w:pPr>
        <w:pStyle w:val="BodyText"/>
        <w:spacing w:line="278" w:lineRule="auto" w:before="93"/>
        <w:ind w:left="313" w:right="1884"/>
      </w:pPr>
      <w:r>
        <w:rPr>
          <w:b/>
        </w:rPr>
        <w:t>Haldane, A (2017)</w:t>
      </w:r>
      <w:r>
        <w:rPr/>
        <w:t>, ‘Everyday Economics’, speech available at </w:t>
      </w:r>
      <w:hyperlink r:id="rId25">
        <w:r>
          <w:rPr>
            <w:color w:val="0000FF"/>
            <w:w w:val="95"/>
            <w:u w:val="single" w:color="0000FF"/>
          </w:rPr>
          <w:t>https://www.bankofengland.co.uk/speech/2017/andy-haldane-speech-during-regional-visit</w:t>
        </w:r>
      </w:hyperlink>
    </w:p>
    <w:p>
      <w:pPr>
        <w:pStyle w:val="BodyText"/>
        <w:spacing w:before="7"/>
        <w:rPr>
          <w:sz w:val="14"/>
        </w:rPr>
      </w:pPr>
    </w:p>
    <w:p>
      <w:pPr>
        <w:spacing w:before="93"/>
        <w:ind w:left="313" w:right="0" w:firstLine="0"/>
        <w:jc w:val="left"/>
        <w:rPr>
          <w:sz w:val="20"/>
        </w:rPr>
      </w:pPr>
      <w:r>
        <w:rPr>
          <w:b/>
          <w:sz w:val="20"/>
        </w:rPr>
        <w:t>Halpern, D (2015)</w:t>
      </w:r>
      <w:r>
        <w:rPr>
          <w:sz w:val="20"/>
        </w:rPr>
        <w:t>, </w:t>
      </w:r>
      <w:r>
        <w:rPr>
          <w:i/>
          <w:sz w:val="20"/>
        </w:rPr>
        <w:t>Inside the Nudge Unit: How small changes can make a big difference</w:t>
      </w:r>
      <w:r>
        <w:rPr>
          <w:sz w:val="20"/>
        </w:rPr>
        <w:t>, WH Allen.</w:t>
      </w:r>
    </w:p>
    <w:p>
      <w:pPr>
        <w:pStyle w:val="BodyText"/>
        <w:rPr>
          <w:sz w:val="26"/>
        </w:rPr>
      </w:pPr>
    </w:p>
    <w:p>
      <w:pPr>
        <w:spacing w:line="276" w:lineRule="auto" w:before="0"/>
        <w:ind w:left="313" w:right="0" w:firstLine="0"/>
        <w:jc w:val="left"/>
        <w:rPr>
          <w:sz w:val="20"/>
        </w:rPr>
      </w:pPr>
      <w:r>
        <w:rPr>
          <w:b/>
          <w:sz w:val="20"/>
        </w:rPr>
        <w:t>Hallsworth, M, List, J, Metcalfe, R and Vlaev, I (2014)</w:t>
      </w:r>
      <w:r>
        <w:rPr>
          <w:sz w:val="20"/>
        </w:rPr>
        <w:t>, ‘The Behavioralist As Tax Collector: Using Natural Field Experiments to Enhance Tax Compliance’, </w:t>
      </w:r>
      <w:r>
        <w:rPr>
          <w:i/>
          <w:sz w:val="20"/>
        </w:rPr>
        <w:t>NBER Working Paper</w:t>
      </w:r>
      <w:r>
        <w:rPr>
          <w:sz w:val="20"/>
        </w:rPr>
        <w:t>, No. 20007.</w:t>
      </w:r>
    </w:p>
    <w:p>
      <w:pPr>
        <w:pStyle w:val="BodyText"/>
        <w:spacing w:before="1"/>
        <w:rPr>
          <w:sz w:val="23"/>
        </w:rPr>
      </w:pPr>
    </w:p>
    <w:p>
      <w:pPr>
        <w:spacing w:line="276" w:lineRule="auto" w:before="0"/>
        <w:ind w:left="313" w:right="314" w:firstLine="0"/>
        <w:jc w:val="left"/>
        <w:rPr>
          <w:sz w:val="20"/>
        </w:rPr>
      </w:pPr>
      <w:r>
        <w:rPr>
          <w:b/>
          <w:sz w:val="20"/>
        </w:rPr>
        <w:t>Jacoby, M (2002)</w:t>
      </w:r>
      <w:r>
        <w:rPr>
          <w:sz w:val="20"/>
        </w:rPr>
        <w:t>, ‘Does Indebtedness Influence Health? A Preliminary Inquiry’, </w:t>
      </w:r>
      <w:r>
        <w:rPr>
          <w:i/>
          <w:sz w:val="20"/>
        </w:rPr>
        <w:t>Journal of Law, Medicine </w:t>
      </w:r>
      <w:r>
        <w:rPr>
          <w:i/>
          <w:sz w:val="20"/>
        </w:rPr>
        <w:t>and Ethics</w:t>
      </w:r>
      <w:r>
        <w:rPr>
          <w:sz w:val="20"/>
        </w:rPr>
        <w:t>, Vol. 30, No. 4, pp. 560-571.</w:t>
      </w:r>
    </w:p>
    <w:p>
      <w:pPr>
        <w:pStyle w:val="BodyText"/>
        <w:spacing w:before="10"/>
        <w:rPr>
          <w:sz w:val="22"/>
        </w:rPr>
      </w:pPr>
    </w:p>
    <w:p>
      <w:pPr>
        <w:spacing w:line="280" w:lineRule="auto" w:before="0"/>
        <w:ind w:left="313" w:right="359" w:firstLine="0"/>
        <w:jc w:val="left"/>
        <w:rPr>
          <w:sz w:val="20"/>
        </w:rPr>
      </w:pPr>
      <w:r>
        <w:rPr>
          <w:b/>
          <w:sz w:val="20"/>
        </w:rPr>
        <w:t>Layard, R, Nickell, S and Mayraz, G (2008)</w:t>
      </w:r>
      <w:r>
        <w:rPr>
          <w:sz w:val="20"/>
        </w:rPr>
        <w:t>, ‘The marginal utility of income’, </w:t>
      </w:r>
      <w:r>
        <w:rPr>
          <w:i/>
          <w:sz w:val="20"/>
        </w:rPr>
        <w:t>Journal of Public Economics</w:t>
      </w:r>
      <w:r>
        <w:rPr>
          <w:sz w:val="20"/>
        </w:rPr>
        <w:t>, Vol. 92, pp. 1846-1857.</w:t>
      </w:r>
    </w:p>
    <w:p>
      <w:pPr>
        <w:pStyle w:val="BodyText"/>
        <w:spacing w:before="3"/>
        <w:rPr>
          <w:sz w:val="22"/>
        </w:rPr>
      </w:pPr>
    </w:p>
    <w:p>
      <w:pPr>
        <w:pStyle w:val="BodyText"/>
        <w:spacing w:line="278" w:lineRule="auto"/>
        <w:ind w:left="313" w:right="603"/>
      </w:pPr>
      <w:r>
        <w:rPr>
          <w:b/>
        </w:rPr>
        <w:t>Lipton, D (2014)</w:t>
      </w:r>
      <w:r>
        <w:rPr/>
        <w:t>, ‘Fiscal Policy and Income Inequality’, speech at the Peterson Institute for International Economics.</w:t>
      </w:r>
    </w:p>
    <w:p>
      <w:pPr>
        <w:pStyle w:val="BodyText"/>
        <w:spacing w:before="8"/>
        <w:rPr>
          <w:sz w:val="22"/>
        </w:rPr>
      </w:pPr>
    </w:p>
    <w:p>
      <w:pPr>
        <w:spacing w:line="276" w:lineRule="auto" w:before="0"/>
        <w:ind w:left="313" w:right="314" w:firstLine="0"/>
        <w:jc w:val="left"/>
        <w:rPr>
          <w:sz w:val="20"/>
        </w:rPr>
      </w:pPr>
      <w:r>
        <w:rPr>
          <w:b/>
          <w:sz w:val="20"/>
        </w:rPr>
        <w:t>Lysenko, T, Glass, B and Six, J-M (2016)</w:t>
      </w:r>
      <w:r>
        <w:rPr>
          <w:sz w:val="20"/>
        </w:rPr>
        <w:t>, ‘QE And Economic Inequality: The U.K. Experience’, </w:t>
      </w:r>
      <w:r>
        <w:rPr>
          <w:i/>
          <w:sz w:val="20"/>
        </w:rPr>
        <w:t>Standard </w:t>
      </w:r>
      <w:r>
        <w:rPr>
          <w:i/>
          <w:sz w:val="20"/>
        </w:rPr>
        <w:t>&amp; Poors Economic Research</w:t>
      </w:r>
      <w:r>
        <w:rPr>
          <w:sz w:val="20"/>
        </w:rPr>
        <w:t>.</w:t>
      </w:r>
    </w:p>
    <w:p>
      <w:pPr>
        <w:pStyle w:val="BodyText"/>
        <w:spacing w:before="10"/>
        <w:rPr>
          <w:sz w:val="22"/>
        </w:rPr>
      </w:pPr>
    </w:p>
    <w:p>
      <w:pPr>
        <w:spacing w:line="278" w:lineRule="auto" w:before="0"/>
        <w:ind w:left="313" w:right="314" w:firstLine="0"/>
        <w:jc w:val="left"/>
        <w:rPr>
          <w:sz w:val="20"/>
        </w:rPr>
      </w:pPr>
      <w:r>
        <w:rPr>
          <w:b/>
          <w:sz w:val="20"/>
        </w:rPr>
        <w:t>Milanovic, B (2016)</w:t>
      </w:r>
      <w:r>
        <w:rPr>
          <w:sz w:val="20"/>
        </w:rPr>
        <w:t>, </w:t>
      </w:r>
      <w:r>
        <w:rPr>
          <w:i/>
          <w:sz w:val="20"/>
        </w:rPr>
        <w:t>Global Inequality: A New Approach for the Age of Globalisation</w:t>
      </w:r>
      <w:r>
        <w:rPr>
          <w:sz w:val="20"/>
        </w:rPr>
        <w:t>, Harvard University Press.</w:t>
      </w:r>
    </w:p>
    <w:p>
      <w:pPr>
        <w:pStyle w:val="BodyText"/>
        <w:spacing w:before="8"/>
        <w:rPr>
          <w:sz w:val="22"/>
        </w:rPr>
      </w:pPr>
    </w:p>
    <w:p>
      <w:pPr>
        <w:spacing w:line="276" w:lineRule="auto" w:before="0"/>
        <w:ind w:left="313" w:right="737" w:firstLine="0"/>
        <w:jc w:val="left"/>
        <w:rPr>
          <w:sz w:val="20"/>
        </w:rPr>
      </w:pPr>
      <w:r>
        <w:rPr>
          <w:b/>
          <w:sz w:val="20"/>
        </w:rPr>
        <w:t>Monnin, P (2017)</w:t>
      </w:r>
      <w:r>
        <w:rPr>
          <w:sz w:val="20"/>
        </w:rPr>
        <w:t>, ‘Monetary Policy, Macroprudential Regulation and Inequality’, </w:t>
      </w:r>
      <w:r>
        <w:rPr>
          <w:i/>
          <w:sz w:val="20"/>
        </w:rPr>
        <w:t>Council on Economic </w:t>
      </w:r>
      <w:r>
        <w:rPr>
          <w:i/>
          <w:sz w:val="20"/>
        </w:rPr>
        <w:t>Policies Discussion Note</w:t>
      </w:r>
      <w:r>
        <w:rPr>
          <w:sz w:val="20"/>
        </w:rPr>
        <w:t>.</w:t>
      </w:r>
    </w:p>
    <w:p>
      <w:pPr>
        <w:pStyle w:val="BodyText"/>
        <w:spacing w:before="10"/>
        <w:rPr>
          <w:sz w:val="22"/>
        </w:rPr>
      </w:pPr>
    </w:p>
    <w:p>
      <w:pPr>
        <w:spacing w:line="278" w:lineRule="auto" w:before="0"/>
        <w:ind w:left="313" w:right="248" w:firstLine="0"/>
        <w:jc w:val="left"/>
        <w:rPr>
          <w:sz w:val="20"/>
        </w:rPr>
      </w:pPr>
      <w:r>
        <w:rPr>
          <w:b/>
          <w:sz w:val="20"/>
        </w:rPr>
        <w:t>Patinkin, D (1987)</w:t>
      </w:r>
      <w:r>
        <w:rPr>
          <w:sz w:val="20"/>
        </w:rPr>
        <w:t>, ‘Neutrality of Money’, in Eatwell, J, Milgate, M and Newman, P (eds), </w:t>
      </w:r>
      <w:r>
        <w:rPr>
          <w:i/>
          <w:sz w:val="20"/>
        </w:rPr>
        <w:t>The New Palgrave </w:t>
      </w:r>
      <w:r>
        <w:rPr>
          <w:i/>
          <w:sz w:val="20"/>
        </w:rPr>
        <w:t>Dictionary of Economics</w:t>
      </w:r>
      <w:r>
        <w:rPr>
          <w:sz w:val="20"/>
        </w:rPr>
        <w:t>, Macmillan Press Ltd.</w:t>
      </w:r>
    </w:p>
    <w:p>
      <w:pPr>
        <w:pStyle w:val="BodyText"/>
        <w:spacing w:before="8"/>
        <w:rPr>
          <w:sz w:val="22"/>
        </w:rPr>
      </w:pPr>
    </w:p>
    <w:p>
      <w:pPr>
        <w:spacing w:before="0"/>
        <w:ind w:left="313" w:right="0" w:firstLine="0"/>
        <w:jc w:val="left"/>
        <w:rPr>
          <w:sz w:val="20"/>
        </w:rPr>
      </w:pPr>
      <w:r>
        <w:rPr>
          <w:b/>
          <w:sz w:val="20"/>
        </w:rPr>
        <w:t>Piketty, T (2014)</w:t>
      </w:r>
      <w:r>
        <w:rPr>
          <w:sz w:val="20"/>
        </w:rPr>
        <w:t>, </w:t>
      </w:r>
      <w:r>
        <w:rPr>
          <w:i/>
          <w:sz w:val="20"/>
        </w:rPr>
        <w:t>Capital in the Twenty-First Century</w:t>
      </w:r>
      <w:r>
        <w:rPr>
          <w:sz w:val="20"/>
        </w:rPr>
        <w:t>, Harvard University Press.</w:t>
      </w:r>
    </w:p>
    <w:p>
      <w:pPr>
        <w:pStyle w:val="BodyText"/>
        <w:spacing w:before="11"/>
        <w:rPr>
          <w:sz w:val="25"/>
        </w:rPr>
      </w:pPr>
    </w:p>
    <w:p>
      <w:pPr>
        <w:spacing w:line="278" w:lineRule="auto" w:before="0"/>
        <w:ind w:left="313" w:right="736" w:firstLine="0"/>
        <w:jc w:val="left"/>
        <w:rPr>
          <w:sz w:val="20"/>
        </w:rPr>
      </w:pPr>
      <w:r>
        <w:rPr>
          <w:b/>
          <w:sz w:val="20"/>
        </w:rPr>
        <w:t>Service, O </w:t>
      </w:r>
      <w:r>
        <w:rPr>
          <w:b/>
          <w:i/>
          <w:sz w:val="20"/>
        </w:rPr>
        <w:t>et al </w:t>
      </w:r>
      <w:r>
        <w:rPr>
          <w:b/>
          <w:sz w:val="20"/>
        </w:rPr>
        <w:t>(2014)</w:t>
      </w:r>
      <w:r>
        <w:rPr>
          <w:sz w:val="20"/>
        </w:rPr>
        <w:t>, ‘EAST – Four simple ways to apply behavioural insights’, </w:t>
      </w:r>
      <w:r>
        <w:rPr>
          <w:i/>
          <w:sz w:val="20"/>
        </w:rPr>
        <w:t>Behavioural Insights </w:t>
      </w:r>
      <w:r>
        <w:rPr>
          <w:i/>
          <w:sz w:val="20"/>
        </w:rPr>
        <w:t>Team</w:t>
      </w:r>
      <w:r>
        <w:rPr>
          <w:sz w:val="20"/>
        </w:rPr>
        <w:t>.</w:t>
      </w:r>
    </w:p>
    <w:p>
      <w:pPr>
        <w:pStyle w:val="BodyText"/>
        <w:spacing w:before="8"/>
        <w:rPr>
          <w:sz w:val="22"/>
        </w:rPr>
      </w:pPr>
    </w:p>
    <w:p>
      <w:pPr>
        <w:spacing w:line="276" w:lineRule="auto" w:before="0"/>
        <w:ind w:left="313" w:right="305" w:firstLine="0"/>
        <w:jc w:val="left"/>
        <w:rPr>
          <w:sz w:val="20"/>
        </w:rPr>
      </w:pPr>
      <w:r>
        <w:rPr>
          <w:b/>
          <w:sz w:val="20"/>
        </w:rPr>
        <w:t>Sheffield Political Economy Research Institute (2015)</w:t>
      </w:r>
      <w:r>
        <w:rPr>
          <w:sz w:val="20"/>
        </w:rPr>
        <w:t>, ‘The UK’s ‘annual tax summaries’’, </w:t>
      </w:r>
      <w:r>
        <w:rPr>
          <w:i/>
          <w:sz w:val="20"/>
        </w:rPr>
        <w:t>SPERI British </w:t>
      </w:r>
      <w:r>
        <w:rPr>
          <w:i/>
          <w:sz w:val="20"/>
        </w:rPr>
        <w:t>Political Economy Brief</w:t>
      </w:r>
      <w:r>
        <w:rPr>
          <w:sz w:val="20"/>
        </w:rPr>
        <w:t>, No. 16.</w:t>
      </w:r>
    </w:p>
    <w:p>
      <w:pPr>
        <w:pStyle w:val="BodyText"/>
        <w:spacing w:before="1"/>
        <w:rPr>
          <w:sz w:val="23"/>
        </w:rPr>
      </w:pPr>
    </w:p>
    <w:p>
      <w:pPr>
        <w:spacing w:before="0"/>
        <w:ind w:left="313" w:right="0" w:firstLine="0"/>
        <w:jc w:val="left"/>
        <w:rPr>
          <w:sz w:val="20"/>
        </w:rPr>
      </w:pPr>
      <w:r>
        <w:rPr>
          <w:b/>
          <w:sz w:val="20"/>
        </w:rPr>
        <w:t>Stiglitz, J (2013)</w:t>
      </w:r>
      <w:r>
        <w:rPr>
          <w:sz w:val="20"/>
        </w:rPr>
        <w:t>, </w:t>
      </w:r>
      <w:r>
        <w:rPr>
          <w:i/>
          <w:sz w:val="20"/>
        </w:rPr>
        <w:t>The Price of Inequality</w:t>
      </w:r>
      <w:r>
        <w:rPr>
          <w:sz w:val="20"/>
        </w:rPr>
        <w:t>, Penguin.</w:t>
      </w:r>
    </w:p>
    <w:p>
      <w:pPr>
        <w:pStyle w:val="BodyText"/>
        <w:spacing w:before="10"/>
        <w:rPr>
          <w:sz w:val="25"/>
        </w:rPr>
      </w:pPr>
    </w:p>
    <w:p>
      <w:pPr>
        <w:spacing w:before="1"/>
        <w:ind w:left="313" w:right="0" w:firstLine="0"/>
        <w:jc w:val="left"/>
        <w:rPr>
          <w:sz w:val="20"/>
        </w:rPr>
      </w:pPr>
      <w:r>
        <w:rPr>
          <w:b/>
          <w:sz w:val="20"/>
        </w:rPr>
        <w:t>Vermeulen, P (2016)</w:t>
      </w:r>
      <w:r>
        <w:rPr>
          <w:sz w:val="20"/>
        </w:rPr>
        <w:t>, ‘Estimating the top tail of the wealth distribution’, </w:t>
      </w:r>
      <w:r>
        <w:rPr>
          <w:i/>
          <w:sz w:val="20"/>
        </w:rPr>
        <w:t>ECB Working Paper</w:t>
      </w:r>
      <w:r>
        <w:rPr>
          <w:sz w:val="20"/>
        </w:rPr>
        <w:t>, No. 1907.</w:t>
      </w:r>
    </w:p>
    <w:p>
      <w:pPr>
        <w:spacing w:after="0"/>
        <w:jc w:val="left"/>
        <w:rPr>
          <w:sz w:val="20"/>
        </w:rPr>
        <w:sectPr>
          <w:pgSz w:w="11910" w:h="16840"/>
          <w:pgMar w:header="0" w:footer="1334" w:top="1340" w:bottom="1520" w:left="820" w:right="960"/>
        </w:sectPr>
      </w:pPr>
    </w:p>
    <w:p>
      <w:pPr>
        <w:spacing w:line="276" w:lineRule="auto" w:before="103"/>
        <w:ind w:left="313" w:right="0" w:firstLine="0"/>
        <w:jc w:val="left"/>
        <w:rPr>
          <w:sz w:val="20"/>
        </w:rPr>
      </w:pPr>
      <w:r>
        <w:rPr>
          <w:b/>
          <w:sz w:val="20"/>
        </w:rPr>
        <w:t>Winkelmann, L and Winkelmann, R (1998)</w:t>
      </w:r>
      <w:r>
        <w:rPr>
          <w:sz w:val="20"/>
        </w:rPr>
        <w:t>, ‘Why Are the Unemployed So Unhappy? Evidence from Panel Data’, </w:t>
      </w:r>
      <w:r>
        <w:rPr>
          <w:i/>
          <w:sz w:val="20"/>
        </w:rPr>
        <w:t>Economica</w:t>
      </w:r>
      <w:r>
        <w:rPr>
          <w:sz w:val="20"/>
        </w:rPr>
        <w:t>, Vol. 65, No. 257, pp. 1-15.</w:t>
      </w:r>
    </w:p>
    <w:p>
      <w:pPr>
        <w:pStyle w:val="BodyText"/>
        <w:spacing w:before="1"/>
        <w:rPr>
          <w:sz w:val="23"/>
        </w:rPr>
      </w:pPr>
    </w:p>
    <w:p>
      <w:pPr>
        <w:spacing w:line="276" w:lineRule="auto" w:before="0"/>
        <w:ind w:left="313" w:right="682" w:firstLine="0"/>
        <w:jc w:val="left"/>
        <w:rPr>
          <w:sz w:val="20"/>
        </w:rPr>
      </w:pPr>
      <w:r>
        <w:rPr>
          <w:b/>
          <w:sz w:val="20"/>
        </w:rPr>
        <w:t>World Bank Group (2016)</w:t>
      </w:r>
      <w:r>
        <w:rPr>
          <w:sz w:val="20"/>
        </w:rPr>
        <w:t>, ‘Development Goals in an Era of Demographic Change’, </w:t>
      </w:r>
      <w:r>
        <w:rPr>
          <w:i/>
          <w:sz w:val="20"/>
        </w:rPr>
        <w:t>Global Monitoring </w:t>
      </w:r>
      <w:r>
        <w:rPr>
          <w:i/>
          <w:sz w:val="20"/>
        </w:rPr>
        <w:t>Report</w:t>
      </w:r>
      <w:r>
        <w:rPr>
          <w:sz w:val="20"/>
        </w:rPr>
        <w:t>, 2015/2016.</w:t>
      </w:r>
    </w:p>
    <w:p>
      <w:pPr>
        <w:spacing w:after="0" w:line="276" w:lineRule="auto"/>
        <w:jc w:val="left"/>
        <w:rPr>
          <w:sz w:val="20"/>
        </w:rPr>
        <w:sectPr>
          <w:pgSz w:w="11910" w:h="16840"/>
          <w:pgMar w:header="0" w:footer="1334" w:top="1580" w:bottom="1520" w:left="820" w:right="960"/>
        </w:sectPr>
      </w:pPr>
    </w:p>
    <w:p>
      <w:pPr>
        <w:pStyle w:val="Heading1"/>
      </w:pPr>
      <w:r>
        <w:rPr/>
        <w:t>Annex</w:t>
      </w:r>
    </w:p>
    <w:p>
      <w:pPr>
        <w:pStyle w:val="BodyText"/>
        <w:spacing w:before="10"/>
        <w:rPr>
          <w:b/>
          <w:sz w:val="17"/>
        </w:rPr>
      </w:pPr>
    </w:p>
    <w:p>
      <w:pPr>
        <w:spacing w:after="0"/>
        <w:rPr>
          <w:sz w:val="17"/>
        </w:rPr>
        <w:sectPr>
          <w:pgSz w:w="11910" w:h="16840"/>
          <w:pgMar w:header="0" w:footer="1334" w:top="1340" w:bottom="1520" w:left="820" w:right="960"/>
        </w:sectPr>
      </w:pPr>
    </w:p>
    <w:p>
      <w:pPr>
        <w:spacing w:line="278" w:lineRule="auto" w:before="92"/>
        <w:ind w:left="313" w:right="0" w:firstLine="0"/>
        <w:jc w:val="left"/>
        <w:rPr>
          <w:b/>
          <w:sz w:val="20"/>
        </w:rPr>
      </w:pPr>
      <w:r>
        <w:rPr>
          <w:b/>
          <w:sz w:val="20"/>
        </w:rPr>
        <w:t>Chart 1: Google searches for “QE” and “Inequality”</w:t>
      </w:r>
    </w:p>
    <w:p>
      <w:pPr>
        <w:spacing w:before="92"/>
        <w:ind w:left="313" w:right="0" w:firstLine="0"/>
        <w:jc w:val="left"/>
        <w:rPr>
          <w:b/>
          <w:sz w:val="20"/>
        </w:rPr>
      </w:pPr>
      <w:r>
        <w:rPr/>
        <w:br w:type="column"/>
      </w:r>
      <w:r>
        <w:rPr>
          <w:b/>
          <w:sz w:val="20"/>
        </w:rPr>
        <w:t>Chart 2: 2007 distribution of income</w:t>
      </w:r>
    </w:p>
    <w:p>
      <w:pPr>
        <w:spacing w:after="0"/>
        <w:jc w:val="left"/>
        <w:rPr>
          <w:sz w:val="20"/>
        </w:rPr>
        <w:sectPr>
          <w:type w:val="continuous"/>
          <w:pgSz w:w="11910" w:h="16840"/>
          <w:pgMar w:top="1180" w:bottom="1520" w:left="820" w:right="960"/>
          <w:cols w:num="2" w:equalWidth="0">
            <w:col w:w="4104" w:space="870"/>
            <w:col w:w="5156"/>
          </w:cols>
        </w:sectPr>
      </w:pPr>
    </w:p>
    <w:p>
      <w:pPr>
        <w:pStyle w:val="BodyText"/>
        <w:spacing w:before="8"/>
        <w:rPr>
          <w:b/>
          <w:sz w:val="15"/>
        </w:rPr>
      </w:pPr>
    </w:p>
    <w:p>
      <w:pPr>
        <w:spacing w:before="0"/>
        <w:ind w:left="2310" w:right="0" w:firstLine="0"/>
        <w:jc w:val="left"/>
        <w:rPr>
          <w:sz w:val="16"/>
        </w:rPr>
      </w:pPr>
      <w:r>
        <w:rPr>
          <w:sz w:val="16"/>
        </w:rPr>
        <w:t>Index, peak search rate = 100</w:t>
      </w:r>
    </w:p>
    <w:p>
      <w:pPr>
        <w:pStyle w:val="BodyText"/>
        <w:ind w:left="588"/>
      </w:pPr>
      <w:r>
        <w:rPr/>
        <w:pict>
          <v:group style="width:202.95pt;height:136.7pt;mso-position-horizontal-relative:char;mso-position-vertical-relative:line" coordorigin="0,0" coordsize="4059,2734">
            <v:line style="position:absolute" from="4010,2686" to="4010,7" stroked="true" strokeweight=".72pt" strokecolor="#858585">
              <v:stroke dashstyle="solid"/>
            </v:line>
            <v:line style="position:absolute" from="4010,2686" to="4058,2686" stroked="true" strokeweight=".72pt" strokecolor="#858585">
              <v:stroke dashstyle="solid"/>
            </v:line>
            <v:line style="position:absolute" from="4010,2239" to="4058,2239" stroked="true" strokeweight=".72pt" strokecolor="#858585">
              <v:stroke dashstyle="solid"/>
            </v:line>
            <v:line style="position:absolute" from="4010,1793" to="4058,1793" stroked="true" strokeweight=".72pt" strokecolor="#858585">
              <v:stroke dashstyle="solid"/>
            </v:line>
            <v:line style="position:absolute" from="4010,1346" to="4058,1346" stroked="true" strokeweight=".72pt" strokecolor="#858585">
              <v:stroke dashstyle="solid"/>
            </v:line>
            <v:line style="position:absolute" from="4010,900" to="4058,900" stroked="true" strokeweight=".72pt" strokecolor="#858585">
              <v:stroke dashstyle="solid"/>
            </v:line>
            <v:line style="position:absolute" from="4010,454" to="4058,454" stroked="true" strokeweight=".72pt" strokecolor="#858585">
              <v:stroke dashstyle="solid"/>
            </v:line>
            <v:line style="position:absolute" from="4010,7" to="4058,7" stroked="true" strokeweight=".72pt" strokecolor="#858585">
              <v:stroke dashstyle="solid"/>
            </v:line>
            <v:line style="position:absolute" from="7,2686" to="4010,2686" stroked="true" strokeweight=".72pt" strokecolor="#858585">
              <v:stroke dashstyle="solid"/>
            </v:line>
            <v:line style="position:absolute" from="7,2686" to="7,2734" stroked="true" strokeweight=".72pt" strokecolor="#858585">
              <v:stroke dashstyle="solid"/>
            </v:line>
            <v:line style="position:absolute" from="288,2686" to="288,2734" stroked="true" strokeweight=".72pt" strokecolor="#858585">
              <v:stroke dashstyle="solid"/>
            </v:line>
            <v:line style="position:absolute" from="569,2686" to="569,2734" stroked="true" strokeweight=".72pt" strokecolor="#858585">
              <v:stroke dashstyle="solid"/>
            </v:line>
            <v:line style="position:absolute" from="850,2686" to="850,2734" stroked="true" strokeweight=".72pt" strokecolor="#858585">
              <v:stroke dashstyle="solid"/>
            </v:line>
            <v:line style="position:absolute" from="1133,2686" to="1133,2734" stroked="true" strokeweight=".72pt" strokecolor="#858585">
              <v:stroke dashstyle="solid"/>
            </v:line>
            <v:line style="position:absolute" from="1414,2686" to="1414,2734" stroked="true" strokeweight=".72pt" strokecolor="#858585">
              <v:stroke dashstyle="solid"/>
            </v:line>
            <v:line style="position:absolute" from="1694,2686" to="1694,2734" stroked="true" strokeweight=".72pt" strokecolor="#858585">
              <v:stroke dashstyle="solid"/>
            </v:line>
            <v:line style="position:absolute" from="1975,2686" to="1975,2734" stroked="true" strokeweight=".72pt" strokecolor="#858585">
              <v:stroke dashstyle="solid"/>
            </v:line>
            <v:line style="position:absolute" from="2256,2686" to="2256,2734" stroked="true" strokeweight=".72pt" strokecolor="#858585">
              <v:stroke dashstyle="solid"/>
            </v:line>
            <v:line style="position:absolute" from="2537,2686" to="2537,2734" stroked="true" strokeweight=".72pt" strokecolor="#858585">
              <v:stroke dashstyle="solid"/>
            </v:line>
            <v:line style="position:absolute" from="2818,2686" to="2818,2734" stroked="true" strokeweight=".72pt" strokecolor="#858585">
              <v:stroke dashstyle="solid"/>
            </v:line>
            <v:line style="position:absolute" from="3098,2686" to="3098,2734" stroked="true" strokeweight=".72pt" strokecolor="#858585">
              <v:stroke dashstyle="solid"/>
            </v:line>
            <v:line style="position:absolute" from="3379,2686" to="3379,2734" stroked="true" strokeweight=".72pt" strokecolor="#858585">
              <v:stroke dashstyle="solid"/>
            </v:line>
            <v:line style="position:absolute" from="3660,2686" to="3660,2734" stroked="true" strokeweight=".72pt" strokecolor="#858585">
              <v:stroke dashstyle="solid"/>
            </v:line>
            <v:line style="position:absolute" from="3941,2686" to="3941,2734" stroked="true" strokeweight=".72pt" strokecolor="#858585">
              <v:stroke dashstyle="solid"/>
            </v:line>
            <v:shape style="position:absolute;left:19;top:453;width:3980;height:2009" coordorigin="19,454" coordsize="3980,2009" path="m19,2395l43,2374,67,2441,91,2306,113,2374,137,2306,161,2462,185,2374,206,2350,230,2350,254,2395,278,2395,300,2417,324,2328,348,2328,372,2306,394,2261,418,2306,442,2395,466,2306,487,2261,511,2328,535,2261,559,2350,581,2374,605,2282,629,2218,653,2261,674,2239,698,2239,722,2306,746,2282,768,2218,792,2239,816,2194,840,2306,862,2261,886,2194,910,2126,934,2172,955,2126,979,2083,1003,2126,1027,2038,1049,1927,1073,1994,1097,2016,1121,2083,1142,2083,1166,1970,1190,1860,1214,1771,1236,1814,1260,1860,1284,1903,1308,1637,1330,1591,1354,1613,1378,1658,1402,1793,1423,1726,1447,1548,1471,1457,1495,1502,1517,1481,1541,1457,1565,1502,1589,1279,1610,1234,1634,1258,1658,1301,1682,1524,1704,1457,1728,1234,1752,1123,1776,1102,1798,1056,1822,1078,1846,1190,1870,967,1891,854,1915,833,1939,698,1963,1078,1985,922,2009,766,2033,631,2057,720,2078,610,2102,698,2126,787,2150,454,2172,497,2196,588,2220,631,2244,989,2266,766,2290,655,2314,631,2338,854,2359,766,2383,922,2407,1056,2431,811,2453,655,2477,811,2501,943,2525,1102,2546,1056,2570,967,2594,967,2618,922,2642,833,2664,900,2688,1056,2712,900,2736,943,2758,943,2782,1010,2806,1145,2830,1145,2851,1078,2875,1010,2899,943,2923,833,2945,967,2969,1078,2993,1010,3017,943,3038,900,3062,943,3086,1190,3110,787,3132,967,3156,854,3180,967,3204,922,3226,1056,3250,1190,3274,1102,3298,1010,3319,1056,3343,1102,3367,1325,3391,1190,3413,1123,3437,1102,3461,1010,3485,1034,3506,1145,3530,1301,3554,1279,3578,1190,3600,1234,3624,1301,3648,1481,3672,1457,3694,1390,3718,1346,3742,1368,3766,1325,3787,1435,3811,1570,3835,1502,3859,1481,3881,1414,3905,1457,3929,1613,3953,1570,3974,1524,3998,1502e" filled="false" stroked="true" strokeweight="1.44pt" strokecolor="#001f5f">
              <v:path arrowok="t"/>
              <v:stroke dashstyle="solid"/>
            </v:shape>
            <v:shape style="position:absolute;left:19;top:453;width:3980;height:1630" coordorigin="19,454" coordsize="3980,1630" path="m19,1435l43,1145,67,900,91,922,113,1166,137,1613,161,1747,185,1704,206,1279,230,943,254,833,278,1190,300,1613,324,1145,348,1279,372,1010,394,1258,418,1613,442,1860,466,1793,487,1325,511,1234,535,1212,559,1457,581,1637,605,1457,629,1258,653,1368,674,1368,698,1814,722,2016,746,1994,768,1637,792,1390,816,1435,840,1637,862,1704,886,1591,910,1548,934,1481,955,1658,979,1903,1003,2038,1027,1949,1049,1637,1073,1457,1097,1481,1121,1658,1142,1793,1166,1637,1190,1637,1214,1457,1236,1704,1260,1949,1284,2083,1308,2038,1330,1658,1354,1502,1378,1502,1402,1747,1423,1814,1447,1548,1471,1502,1495,1591,1517,1704,1541,1994,1565,2083,1589,2059,1610,1637,1634,1457,1658,1390,1682,1726,1704,1814,1728,1591,1752,1524,1776,1502,1798,1658,1822,1949,1846,2083,1870,1970,1891,1570,1915,1414,1939,1457,1963,1704,1985,1747,2009,1570,2033,1481,2057,1570,2078,1637,2102,1903,2126,2059,2150,1903,2172,1502,2196,1234,2220,1212,2244,1570,2266,1591,2290,1390,2314,1481,2338,1390,2359,1548,2383,1836,2407,1970,2431,1836,2453,1325,2477,1123,2501,1212,2525,1570,2546,1570,2570,1346,2594,1212,2618,1301,2642,1481,2664,1814,2688,1927,2712,1793,2736,943,2758,720,2782,943,2806,1234,2830,1078,2851,833,2875,922,2899,967,2923,1102,2945,1548,2969,1771,2993,1613,3017,878,3038,610,3062,811,3086,1166,3110,1102,3132,878,3156,833,3180,854,3204,1078,3226,1502,3250,1793,3274,1524,3298,744,3319,588,3343,677,3367,1056,3391,943,3413,521,3437,631,3461,631,3485,900,3506,1481,3530,1726,3554,1481,3578,631,3600,475,3624,454,3648,1010,3672,833,3694,588,3718,564,3742,744,3766,922,3787,1570,3811,1793,3835,1502,3859,698,3881,497,3905,521,3929,967,3953,943,3974,677,3998,655e" filled="false" stroked="true" strokeweight="1.44pt" strokecolor="#ff0000">
              <v:path arrowok="t"/>
              <v:stroke dashstyle="solid"/>
            </v:shape>
          </v:group>
        </w:pict>
      </w:r>
      <w:r>
        <w:rPr/>
      </w:r>
    </w:p>
    <w:p>
      <w:pPr>
        <w:tabs>
          <w:tab w:pos="993" w:val="left" w:leader="none"/>
          <w:tab w:pos="1555" w:val="left" w:leader="none"/>
          <w:tab w:pos="2117" w:val="left" w:leader="none"/>
          <w:tab w:pos="2679" w:val="left" w:leader="none"/>
          <w:tab w:pos="3241" w:val="left" w:leader="none"/>
          <w:tab w:pos="3803" w:val="left" w:leader="none"/>
          <w:tab w:pos="4364" w:val="left" w:leader="none"/>
        </w:tabs>
        <w:spacing w:before="28"/>
        <w:ind w:left="432" w:right="0" w:firstLine="0"/>
        <w:jc w:val="left"/>
        <w:rPr>
          <w:sz w:val="16"/>
        </w:rPr>
      </w:pPr>
      <w:r>
        <w:rPr>
          <w:sz w:val="16"/>
        </w:rPr>
        <w:t>2004</w:t>
        <w:tab/>
        <w:t>2006</w:t>
        <w:tab/>
        <w:t>2008</w:t>
        <w:tab/>
        <w:t>2010</w:t>
        <w:tab/>
        <w:t>2012</w:t>
        <w:tab/>
        <w:t>2014</w:t>
        <w:tab/>
        <w:t>2016</w:t>
        <w:tab/>
      </w:r>
      <w:r>
        <w:rPr>
          <w:spacing w:val="-6"/>
          <w:sz w:val="16"/>
        </w:rPr>
        <w:t>2018</w:t>
      </w:r>
    </w:p>
    <w:p>
      <w:pPr>
        <w:tabs>
          <w:tab w:pos="3013" w:val="left" w:leader="none"/>
        </w:tabs>
        <w:spacing w:before="77"/>
        <w:ind w:left="2177" w:right="0" w:firstLine="0"/>
        <w:jc w:val="left"/>
        <w:rPr>
          <w:sz w:val="16"/>
        </w:rPr>
      </w:pPr>
      <w:r>
        <w:rPr/>
        <w:pict>
          <v:line style="position:absolute;mso-position-horizontal-relative:page;mso-position-vertical-relative:paragraph;z-index:251679744" from="128.520004pt,8.833894pt" to="147.720004pt,8.833894pt" stroked="true" strokeweight="1.44pt" strokecolor="#001f5f">
            <v:stroke dashstyle="solid"/>
            <w10:wrap type="none"/>
          </v:line>
        </w:pict>
      </w:r>
      <w:r>
        <w:rPr/>
        <w:pict>
          <v:line style="position:absolute;mso-position-horizontal-relative:page;mso-position-vertical-relative:paragraph;z-index:-255075328" from="170.399994pt,8.833894pt" to="189.599994pt,8.833894pt" stroked="true" strokeweight="1.44pt" strokecolor="#ff0000">
            <v:stroke dashstyle="solid"/>
            <w10:wrap type="none"/>
          </v:line>
        </w:pict>
      </w:r>
      <w:r>
        <w:rPr>
          <w:sz w:val="16"/>
        </w:rPr>
        <w:t>QE</w:t>
        <w:tab/>
        <w:t>Inequality</w:t>
      </w:r>
    </w:p>
    <w:p>
      <w:pPr>
        <w:pStyle w:val="BodyText"/>
        <w:spacing w:before="7"/>
        <w:rPr>
          <w:sz w:val="24"/>
        </w:rPr>
      </w:pPr>
      <w:r>
        <w:rPr/>
        <w:br w:type="column"/>
      </w:r>
      <w:r>
        <w:rPr>
          <w:sz w:val="24"/>
        </w:rPr>
      </w:r>
    </w:p>
    <w:p>
      <w:pPr>
        <w:spacing w:before="0"/>
        <w:ind w:left="-21" w:right="0" w:firstLine="0"/>
        <w:jc w:val="left"/>
        <w:rPr>
          <w:sz w:val="16"/>
        </w:rPr>
      </w:pPr>
      <w:r>
        <w:rPr>
          <w:spacing w:val="-1"/>
          <w:sz w:val="16"/>
        </w:rPr>
        <w:t>120</w:t>
      </w:r>
    </w:p>
    <w:p>
      <w:pPr>
        <w:pStyle w:val="BodyText"/>
        <w:spacing w:before="9"/>
        <w:rPr>
          <w:sz w:val="22"/>
        </w:rPr>
      </w:pPr>
    </w:p>
    <w:p>
      <w:pPr>
        <w:spacing w:before="0"/>
        <w:ind w:left="-21" w:right="0" w:firstLine="0"/>
        <w:jc w:val="left"/>
        <w:rPr>
          <w:sz w:val="16"/>
        </w:rPr>
      </w:pPr>
      <w:r>
        <w:rPr>
          <w:spacing w:val="-1"/>
          <w:sz w:val="16"/>
        </w:rPr>
        <w:t>100</w:t>
      </w:r>
    </w:p>
    <w:p>
      <w:pPr>
        <w:pStyle w:val="BodyText"/>
        <w:spacing w:before="10"/>
        <w:rPr>
          <w:sz w:val="22"/>
        </w:rPr>
      </w:pPr>
    </w:p>
    <w:p>
      <w:pPr>
        <w:spacing w:before="0"/>
        <w:ind w:left="-21" w:right="0" w:firstLine="0"/>
        <w:jc w:val="left"/>
        <w:rPr>
          <w:sz w:val="16"/>
        </w:rPr>
      </w:pPr>
      <w:r>
        <w:rPr>
          <w:sz w:val="16"/>
        </w:rPr>
        <w:t>80</w:t>
      </w:r>
    </w:p>
    <w:p>
      <w:pPr>
        <w:pStyle w:val="BodyText"/>
        <w:spacing w:before="10"/>
        <w:rPr>
          <w:sz w:val="22"/>
        </w:rPr>
      </w:pPr>
    </w:p>
    <w:p>
      <w:pPr>
        <w:spacing w:before="0"/>
        <w:ind w:left="-21" w:right="0" w:firstLine="0"/>
        <w:jc w:val="left"/>
        <w:rPr>
          <w:sz w:val="16"/>
        </w:rPr>
      </w:pPr>
      <w:r>
        <w:rPr>
          <w:sz w:val="16"/>
        </w:rPr>
        <w:t>60</w:t>
      </w:r>
    </w:p>
    <w:p>
      <w:pPr>
        <w:pStyle w:val="BodyText"/>
        <w:spacing w:before="9"/>
        <w:rPr>
          <w:sz w:val="22"/>
        </w:rPr>
      </w:pPr>
    </w:p>
    <w:p>
      <w:pPr>
        <w:spacing w:before="0"/>
        <w:ind w:left="-21" w:right="0" w:firstLine="0"/>
        <w:jc w:val="left"/>
        <w:rPr>
          <w:sz w:val="16"/>
        </w:rPr>
      </w:pPr>
      <w:r>
        <w:rPr>
          <w:sz w:val="16"/>
        </w:rPr>
        <w:t>40</w:t>
      </w:r>
    </w:p>
    <w:p>
      <w:pPr>
        <w:pStyle w:val="BodyText"/>
        <w:spacing w:before="10"/>
        <w:rPr>
          <w:sz w:val="22"/>
        </w:rPr>
      </w:pPr>
    </w:p>
    <w:p>
      <w:pPr>
        <w:spacing w:before="0"/>
        <w:ind w:left="-21" w:right="0" w:firstLine="0"/>
        <w:jc w:val="left"/>
        <w:rPr>
          <w:sz w:val="16"/>
        </w:rPr>
      </w:pPr>
      <w:r>
        <w:rPr>
          <w:sz w:val="16"/>
        </w:rPr>
        <w:t>20</w:t>
      </w:r>
    </w:p>
    <w:p>
      <w:pPr>
        <w:pStyle w:val="BodyText"/>
        <w:spacing w:before="9"/>
        <w:rPr>
          <w:sz w:val="22"/>
        </w:rPr>
      </w:pPr>
    </w:p>
    <w:p>
      <w:pPr>
        <w:spacing w:before="0"/>
        <w:ind w:left="-21" w:right="0" w:firstLine="0"/>
        <w:jc w:val="left"/>
        <w:rPr>
          <w:sz w:val="16"/>
        </w:rPr>
      </w:pPr>
      <w:r>
        <w:rPr>
          <w:w w:val="100"/>
          <w:sz w:val="16"/>
        </w:rPr>
        <w:t>0</w:t>
      </w:r>
    </w:p>
    <w:p>
      <w:pPr>
        <w:spacing w:before="73"/>
        <w:ind w:left="1756" w:right="0" w:firstLine="0"/>
        <w:jc w:val="left"/>
        <w:rPr>
          <w:sz w:val="16"/>
        </w:rPr>
      </w:pPr>
      <w:r>
        <w:rPr/>
        <w:br w:type="column"/>
      </w:r>
      <w:r>
        <w:rPr>
          <w:sz w:val="16"/>
        </w:rPr>
        <w:t>Average income per household</w:t>
      </w:r>
      <w:r>
        <w:rPr>
          <w:spacing w:val="-14"/>
          <w:sz w:val="16"/>
        </w:rPr>
        <w:t> </w:t>
      </w:r>
      <w:r>
        <w:rPr>
          <w:sz w:val="16"/>
        </w:rPr>
        <w:t>(£)</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4"/>
        <w:rPr>
          <w:sz w:val="17"/>
        </w:rPr>
      </w:pPr>
    </w:p>
    <w:p>
      <w:pPr>
        <w:tabs>
          <w:tab w:pos="832" w:val="left" w:leader="none"/>
          <w:tab w:pos="1232" w:val="left" w:leader="none"/>
          <w:tab w:pos="1632" w:val="left" w:leader="none"/>
          <w:tab w:pos="2032" w:val="left" w:leader="none"/>
          <w:tab w:pos="2432" w:val="left" w:leader="none"/>
          <w:tab w:pos="2832" w:val="left" w:leader="none"/>
          <w:tab w:pos="3232" w:val="left" w:leader="none"/>
          <w:tab w:pos="3631" w:val="left" w:leader="none"/>
          <w:tab w:pos="3987" w:val="left" w:leader="none"/>
        </w:tabs>
        <w:spacing w:before="0"/>
        <w:ind w:left="432" w:right="0" w:firstLine="0"/>
        <w:jc w:val="left"/>
        <w:rPr>
          <w:sz w:val="16"/>
        </w:rPr>
      </w:pPr>
      <w:r>
        <w:rPr/>
        <w:pict>
          <v:group style="position:absolute;margin-left:308.640015pt;margin-top:-149.596069pt;width:200.2pt;height:145.2pt;mso-position-horizontal-relative:page;mso-position-vertical-relative:paragraph;z-index:251682816" coordorigin="6173,-2992" coordsize="4004,2904">
            <v:shape style="position:absolute;left:6273;top:-2644;width:3800;height:2554" coordorigin="6274,-2644" coordsize="3800,2554" path="m6473,-311l6274,-311,6274,-90,6473,-90,6473,-311m6874,-470l6674,-470,6674,-90,6874,-90,6874,-470m7274,-573l7073,-573,7073,-90,7274,-90,7274,-573m7673,-686l7474,-686,7474,-90,7673,-90,7673,-686m8074,-813l7874,-813,7874,-90,8074,-90,8074,-813m8474,-964l8273,-964,8273,-90,8474,-90,8474,-964m8873,-1139l8674,-1139,8674,-90,8873,-90,8873,-1139m9274,-1365l9074,-1365,9074,-90,9274,-90,9274,-1365m9672,-1706l9473,-1706,9473,-90,9672,-90,9672,-1706m10073,-2644l9874,-2644,9874,-90,10073,-90,10073,-2644e" filled="true" fillcolor="#4f81bc" stroked="false">
              <v:path arrowok="t"/>
              <v:fill type="solid"/>
            </v:shape>
            <v:shape style="position:absolute;left:6175;top:-2990;width:3999;height:2900" coordorigin="6175,-2990" coordsize="3999,2900" path="m10174,-90l10174,-2990m10126,-90l10174,-90m10126,-453l10174,-453m10126,-815l10174,-815m10126,-1178l10174,-1178m10126,-1540l10174,-1540m10126,-1902l10174,-1902m10126,-2265l10174,-2265m10126,-2627l10174,-2627m10126,-2990l10174,-2990m6175,-90l10174,-90m6175,-138l6175,-90m6574,-138l6574,-90m6974,-138l6974,-90m7373,-138l7373,-90m7774,-138l7774,-90m8174,-138l8174,-90m8573,-138l8573,-90m8974,-138l8974,-90m9372,-138l9372,-90m9773,-138l9773,-90m10174,-138l10174,-90e" filled="false" stroked="true" strokeweight=".24pt" strokecolor="#000000">
              <v:path arrowok="t"/>
              <v:stroke dashstyle="solid"/>
            </v:shape>
            <v:rect style="position:absolute;left:7051;top:-2512;width:82;height:82" filled="true" fillcolor="#4f81bc" stroked="false">
              <v:fill type="solid"/>
            </v:rect>
            <v:shape style="position:absolute;left:7166;top:-2568;width:376;height:180" type="#_x0000_t202" filled="false" stroked="false">
              <v:textbox inset="0,0,0,0">
                <w:txbxContent>
                  <w:p>
                    <w:pPr>
                      <w:spacing w:line="179" w:lineRule="exact" w:before="0"/>
                      <w:ind w:left="0" w:right="0" w:firstLine="0"/>
                      <w:jc w:val="left"/>
                      <w:rPr>
                        <w:sz w:val="16"/>
                      </w:rPr>
                    </w:pPr>
                    <w:r>
                      <w:rPr>
                        <w:sz w:val="16"/>
                      </w:rPr>
                      <w:t>2007</w:t>
                    </w:r>
                  </w:p>
                </w:txbxContent>
              </v:textbox>
              <w10:wrap type="none"/>
            </v:shape>
            <w10:wrap type="none"/>
          </v:group>
        </w:pict>
      </w:r>
      <w:r>
        <w:rPr>
          <w:sz w:val="16"/>
        </w:rPr>
        <w:t>1</w:t>
        <w:tab/>
        <w:t>2</w:t>
        <w:tab/>
        <w:t>3</w:t>
        <w:tab/>
        <w:t>4</w:t>
        <w:tab/>
        <w:t>5</w:t>
        <w:tab/>
        <w:t>6</w:t>
        <w:tab/>
        <w:t>7</w:t>
        <w:tab/>
        <w:t>8</w:t>
        <w:tab/>
        <w:t>9</w:t>
        <w:tab/>
        <w:t>10</w:t>
      </w:r>
    </w:p>
    <w:p>
      <w:pPr>
        <w:spacing w:before="23"/>
        <w:ind w:left="2122" w:right="0" w:firstLine="0"/>
        <w:jc w:val="left"/>
        <w:rPr>
          <w:sz w:val="16"/>
        </w:rPr>
      </w:pPr>
      <w:r>
        <w:rPr>
          <w:sz w:val="16"/>
        </w:rPr>
        <w:t>Income decile</w:t>
      </w:r>
    </w:p>
    <w:p>
      <w:pPr>
        <w:pStyle w:val="BodyText"/>
        <w:rPr>
          <w:sz w:val="23"/>
        </w:rPr>
      </w:pPr>
      <w:r>
        <w:rPr/>
        <w:br w:type="column"/>
      </w:r>
      <w:r>
        <w:rPr>
          <w:sz w:val="23"/>
        </w:rPr>
      </w:r>
    </w:p>
    <w:p>
      <w:pPr>
        <w:spacing w:before="0"/>
        <w:ind w:left="165" w:right="0" w:firstLine="0"/>
        <w:jc w:val="left"/>
        <w:rPr>
          <w:sz w:val="16"/>
        </w:rPr>
      </w:pPr>
      <w:r>
        <w:rPr>
          <w:sz w:val="16"/>
        </w:rPr>
        <w:t>80000</w:t>
      </w:r>
    </w:p>
    <w:p>
      <w:pPr>
        <w:pStyle w:val="BodyText"/>
        <w:spacing w:before="6"/>
        <w:rPr>
          <w:sz w:val="15"/>
        </w:rPr>
      </w:pPr>
    </w:p>
    <w:p>
      <w:pPr>
        <w:spacing w:before="0"/>
        <w:ind w:left="165" w:right="0" w:firstLine="0"/>
        <w:jc w:val="left"/>
        <w:rPr>
          <w:sz w:val="16"/>
        </w:rPr>
      </w:pPr>
      <w:r>
        <w:rPr>
          <w:sz w:val="16"/>
        </w:rPr>
        <w:t>70000</w:t>
      </w:r>
    </w:p>
    <w:p>
      <w:pPr>
        <w:pStyle w:val="BodyText"/>
        <w:spacing w:before="6"/>
        <w:rPr>
          <w:sz w:val="15"/>
        </w:rPr>
      </w:pPr>
    </w:p>
    <w:p>
      <w:pPr>
        <w:spacing w:before="0"/>
        <w:ind w:left="165" w:right="0" w:firstLine="0"/>
        <w:jc w:val="left"/>
        <w:rPr>
          <w:sz w:val="16"/>
        </w:rPr>
      </w:pPr>
      <w:r>
        <w:rPr>
          <w:sz w:val="16"/>
        </w:rPr>
        <w:t>60000</w:t>
      </w:r>
    </w:p>
    <w:p>
      <w:pPr>
        <w:pStyle w:val="BodyText"/>
        <w:spacing w:before="6"/>
        <w:rPr>
          <w:sz w:val="15"/>
        </w:rPr>
      </w:pPr>
    </w:p>
    <w:p>
      <w:pPr>
        <w:spacing w:before="0"/>
        <w:ind w:left="165" w:right="0" w:firstLine="0"/>
        <w:jc w:val="left"/>
        <w:rPr>
          <w:sz w:val="16"/>
        </w:rPr>
      </w:pPr>
      <w:r>
        <w:rPr>
          <w:sz w:val="16"/>
        </w:rPr>
        <w:t>50000</w:t>
      </w:r>
    </w:p>
    <w:p>
      <w:pPr>
        <w:pStyle w:val="BodyText"/>
        <w:spacing w:before="5"/>
        <w:rPr>
          <w:sz w:val="15"/>
        </w:rPr>
      </w:pPr>
    </w:p>
    <w:p>
      <w:pPr>
        <w:spacing w:before="1"/>
        <w:ind w:left="165" w:right="0" w:firstLine="0"/>
        <w:jc w:val="left"/>
        <w:rPr>
          <w:sz w:val="16"/>
        </w:rPr>
      </w:pPr>
      <w:r>
        <w:rPr>
          <w:sz w:val="16"/>
        </w:rPr>
        <w:t>40000</w:t>
      </w:r>
    </w:p>
    <w:p>
      <w:pPr>
        <w:pStyle w:val="BodyText"/>
        <w:spacing w:before="5"/>
        <w:rPr>
          <w:sz w:val="15"/>
        </w:rPr>
      </w:pPr>
    </w:p>
    <w:p>
      <w:pPr>
        <w:spacing w:before="1"/>
        <w:ind w:left="165" w:right="0" w:firstLine="0"/>
        <w:jc w:val="left"/>
        <w:rPr>
          <w:sz w:val="16"/>
        </w:rPr>
      </w:pPr>
      <w:r>
        <w:rPr>
          <w:sz w:val="16"/>
        </w:rPr>
        <w:t>30000</w:t>
      </w:r>
    </w:p>
    <w:p>
      <w:pPr>
        <w:pStyle w:val="BodyText"/>
        <w:spacing w:before="5"/>
        <w:rPr>
          <w:sz w:val="15"/>
        </w:rPr>
      </w:pPr>
    </w:p>
    <w:p>
      <w:pPr>
        <w:spacing w:before="1"/>
        <w:ind w:left="165" w:right="0" w:firstLine="0"/>
        <w:jc w:val="left"/>
        <w:rPr>
          <w:sz w:val="16"/>
        </w:rPr>
      </w:pPr>
      <w:r>
        <w:rPr>
          <w:sz w:val="16"/>
        </w:rPr>
        <w:t>20000</w:t>
      </w:r>
    </w:p>
    <w:p>
      <w:pPr>
        <w:pStyle w:val="BodyText"/>
        <w:spacing w:before="5"/>
        <w:rPr>
          <w:sz w:val="15"/>
        </w:rPr>
      </w:pPr>
    </w:p>
    <w:p>
      <w:pPr>
        <w:spacing w:before="0"/>
        <w:ind w:left="165" w:right="0" w:firstLine="0"/>
        <w:jc w:val="left"/>
        <w:rPr>
          <w:sz w:val="16"/>
        </w:rPr>
      </w:pPr>
      <w:r>
        <w:rPr>
          <w:sz w:val="16"/>
        </w:rPr>
        <w:t>10000</w:t>
      </w:r>
    </w:p>
    <w:p>
      <w:pPr>
        <w:pStyle w:val="BodyText"/>
        <w:spacing w:before="6"/>
        <w:rPr>
          <w:sz w:val="15"/>
        </w:rPr>
      </w:pPr>
    </w:p>
    <w:p>
      <w:pPr>
        <w:spacing w:before="0"/>
        <w:ind w:left="165" w:right="0" w:firstLine="0"/>
        <w:jc w:val="left"/>
        <w:rPr>
          <w:sz w:val="16"/>
        </w:rPr>
      </w:pPr>
      <w:r>
        <w:rPr>
          <w:w w:val="100"/>
          <w:sz w:val="16"/>
        </w:rPr>
        <w:t>0</w:t>
      </w:r>
    </w:p>
    <w:p>
      <w:pPr>
        <w:spacing w:after="0"/>
        <w:jc w:val="left"/>
        <w:rPr>
          <w:sz w:val="16"/>
        </w:rPr>
        <w:sectPr>
          <w:type w:val="continuous"/>
          <w:pgSz w:w="11910" w:h="16840"/>
          <w:pgMar w:top="1180" w:bottom="1520" w:left="820" w:right="960"/>
          <w:cols w:num="4" w:equalWidth="0">
            <w:col w:w="4721" w:space="40"/>
            <w:col w:w="246" w:space="72"/>
            <w:col w:w="4209" w:space="39"/>
            <w:col w:w="803"/>
          </w:cols>
        </w:sectPr>
      </w:pPr>
    </w:p>
    <w:p>
      <w:pPr>
        <w:tabs>
          <w:tab w:pos="5286" w:val="left" w:leader="none"/>
        </w:tabs>
        <w:spacing w:before="39"/>
        <w:ind w:left="313" w:right="0" w:firstLine="0"/>
        <w:jc w:val="left"/>
        <w:rPr>
          <w:sz w:val="16"/>
        </w:rPr>
      </w:pPr>
      <w:r>
        <w:rPr>
          <w:sz w:val="16"/>
        </w:rPr>
        <w:t>Sources:  Google Trends and</w:t>
      </w:r>
      <w:r>
        <w:rPr>
          <w:spacing w:val="-10"/>
          <w:sz w:val="16"/>
        </w:rPr>
        <w:t> </w:t>
      </w:r>
      <w:r>
        <w:rPr>
          <w:sz w:val="16"/>
        </w:rPr>
        <w:t>Bank</w:t>
      </w:r>
      <w:r>
        <w:rPr>
          <w:spacing w:val="-3"/>
          <w:sz w:val="16"/>
        </w:rPr>
        <w:t> </w:t>
      </w:r>
      <w:r>
        <w:rPr>
          <w:sz w:val="16"/>
        </w:rPr>
        <w:t>calculations</w:t>
        <w:tab/>
        <w:t>Sources: ONS and Bank</w:t>
      </w:r>
      <w:r>
        <w:rPr>
          <w:spacing w:val="-4"/>
          <w:sz w:val="16"/>
        </w:rPr>
        <w:t> </w:t>
      </w:r>
      <w:r>
        <w:rPr>
          <w:sz w:val="16"/>
        </w:rPr>
        <w:t>calculations</w:t>
      </w: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3"/>
        <w:rPr>
          <w:sz w:val="22"/>
        </w:rPr>
      </w:pPr>
    </w:p>
    <w:p>
      <w:pPr>
        <w:pStyle w:val="Heading1"/>
        <w:tabs>
          <w:tab w:pos="5286" w:val="left" w:leader="none"/>
        </w:tabs>
        <w:spacing w:before="0"/>
      </w:pPr>
      <w:r>
        <w:rPr/>
        <w:t>Chart 3:  2006-08 distribution of</w:t>
      </w:r>
      <w:r>
        <w:rPr>
          <w:spacing w:val="-5"/>
        </w:rPr>
        <w:t> </w:t>
      </w:r>
      <w:r>
        <w:rPr/>
        <w:t>net</w:t>
      </w:r>
      <w:r>
        <w:rPr>
          <w:spacing w:val="-2"/>
        </w:rPr>
        <w:t> </w:t>
      </w:r>
      <w:r>
        <w:rPr/>
        <w:t>wealth</w:t>
        <w:tab/>
        <w:t>Chart 4: 2012-14 distribution of net wealth</w:t>
      </w:r>
      <w:r>
        <w:rPr>
          <w:spacing w:val="-3"/>
        </w:rPr>
        <w:t> </w:t>
      </w:r>
      <w:r>
        <w:rPr/>
        <w:t>by</w:t>
      </w:r>
    </w:p>
    <w:p>
      <w:pPr>
        <w:spacing w:before="34"/>
        <w:ind w:left="790" w:right="0" w:firstLine="0"/>
        <w:jc w:val="center"/>
        <w:rPr>
          <w:b/>
          <w:sz w:val="20"/>
        </w:rPr>
      </w:pPr>
      <w:r>
        <w:rPr>
          <w:b/>
          <w:sz w:val="20"/>
        </w:rPr>
        <w:t>age</w:t>
      </w:r>
    </w:p>
    <w:p>
      <w:pPr>
        <w:spacing w:after="0"/>
        <w:jc w:val="center"/>
        <w:rPr>
          <w:sz w:val="20"/>
        </w:rPr>
        <w:sectPr>
          <w:type w:val="continuous"/>
          <w:pgSz w:w="11910" w:h="16840"/>
          <w:pgMar w:top="1180" w:bottom="1520" w:left="820" w:right="960"/>
        </w:sectPr>
      </w:pPr>
    </w:p>
    <w:p>
      <w:pPr>
        <w:spacing w:before="110"/>
        <w:ind w:left="1637" w:right="0" w:firstLine="0"/>
        <w:jc w:val="left"/>
        <w:rPr>
          <w:sz w:val="16"/>
        </w:rPr>
      </w:pPr>
      <w:r>
        <w:rPr>
          <w:sz w:val="16"/>
        </w:rPr>
        <w:t>Average net wealth per household (£)</w:t>
      </w:r>
    </w:p>
    <w:p>
      <w:pPr>
        <w:pStyle w:val="BodyText"/>
        <w:spacing w:before="9" w:after="1"/>
        <w:rPr>
          <w:sz w:val="13"/>
        </w:rPr>
      </w:pPr>
    </w:p>
    <w:p>
      <w:pPr>
        <w:pStyle w:val="BodyText"/>
        <w:ind w:left="458" w:right="-58"/>
      </w:pPr>
      <w:r>
        <w:rPr/>
        <w:pict>
          <v:group style="width:192.4pt;height:167.3pt;mso-position-horizontal-relative:char;mso-position-vertical-relative:line" coordorigin="0,0" coordsize="3848,3346">
            <v:line style="position:absolute" from="98,3338" to="290,3338" stroked="true" strokeweight=".72pt" strokecolor="#4f81bc">
              <v:stroke dashstyle="solid"/>
            </v:line>
            <v:line style="position:absolute" from="482,3320" to="674,3320" stroked="true" strokeweight="1.08pt" strokecolor="#4f81bc">
              <v:stroke dashstyle="solid"/>
            </v:line>
            <v:line style="position:absolute" from="866,3292" to="1058,3292" stroked="true" strokeweight="3.96pt" strokecolor="#4f81bc">
              <v:stroke dashstyle="solid"/>
            </v:line>
            <v:rect style="position:absolute;left:1250;top:3144;width:195;height:188" filled="true" fillcolor="#4f81bc" stroked="false">
              <v:fill type="solid"/>
            </v:rect>
            <v:rect style="position:absolute;left:1636;top:3019;width:192;height:312" filled="true" fillcolor="#4f81bc" stroked="false">
              <v:fill type="solid"/>
            </v:rect>
            <v:rect style="position:absolute;left:2020;top:2882;width:192;height:449" filled="true" fillcolor="#4f81bc" stroked="false">
              <v:fill type="solid"/>
            </v:rect>
            <v:rect style="position:absolute;left:2404;top:2716;width:192;height:615" filled="true" fillcolor="#4f81bc" stroked="false">
              <v:fill type="solid"/>
            </v:rect>
            <v:rect style="position:absolute;left:2788;top:2484;width:192;height:848" filled="true" fillcolor="#4f81bc" stroked="false">
              <v:fill type="solid"/>
            </v:rect>
            <v:rect style="position:absolute;left:3172;top:2076;width:192;height:1256" filled="true" fillcolor="#4f81bc" stroked="false">
              <v:fill type="solid"/>
            </v:rect>
            <v:rect style="position:absolute;left:3556;top:297;width:192;height:3034" filled="true" fillcolor="#4f81bc" stroked="false">
              <v:fill type="solid"/>
            </v:rect>
            <v:line style="position:absolute" from="3845,3331" to="3845,2" stroked="true" strokeweight=".24pt" strokecolor="#000000">
              <v:stroke dashstyle="solid"/>
            </v:line>
            <v:line style="position:absolute" from="3797,3331" to="3845,3331" stroked="true" strokeweight=".24pt" strokecolor="#000000">
              <v:stroke dashstyle="solid"/>
            </v:line>
            <v:line style="position:absolute" from="3797,2916" to="3845,2916" stroked="true" strokeweight=".24pt" strokecolor="#000000">
              <v:stroke dashstyle="solid"/>
            </v:line>
            <v:line style="position:absolute" from="3797,2498" to="3845,2498" stroked="true" strokeweight=".24pt" strokecolor="#000000">
              <v:stroke dashstyle="solid"/>
            </v:line>
            <v:line style="position:absolute" from="3797,2083" to="3845,2083" stroked="true" strokeweight=".24pt" strokecolor="#000000">
              <v:stroke dashstyle="solid"/>
            </v:line>
            <v:line style="position:absolute" from="3797,1668" to="3845,1668" stroked="true" strokeweight=".24pt" strokecolor="#000000">
              <v:stroke dashstyle="solid"/>
            </v:line>
            <v:line style="position:absolute" from="3797,1250" to="3845,1250" stroked="true" strokeweight=".24pt" strokecolor="#000000">
              <v:stroke dashstyle="solid"/>
            </v:line>
            <v:line style="position:absolute" from="3797,835" to="3845,835" stroked="true" strokeweight=".24pt" strokecolor="#000000">
              <v:stroke dashstyle="solid"/>
            </v:line>
            <v:line style="position:absolute" from="3797,418" to="3845,418" stroked="true" strokeweight=".24pt" strokecolor="#000000">
              <v:stroke dashstyle="solid"/>
            </v:line>
            <v:line style="position:absolute" from="3797,2" to="3845,2" stroked="true" strokeweight=".24pt" strokecolor="#000000">
              <v:stroke dashstyle="solid"/>
            </v:line>
            <v:line style="position:absolute" from="2,3331" to="3845,3331" stroked="true" strokeweight=".24pt" strokecolor="#000000">
              <v:stroke dashstyle="solid"/>
            </v:line>
            <v:line style="position:absolute" from="2,3283" to="2,3331" stroked="true" strokeweight=".24pt" strokecolor="#000000">
              <v:stroke dashstyle="solid"/>
            </v:line>
            <v:line style="position:absolute" from="386,3283" to="386,3331" stroked="true" strokeweight=".24pt" strokecolor="#000000">
              <v:stroke dashstyle="solid"/>
            </v:line>
            <v:line style="position:absolute" from="770,3283" to="770,3331" stroked="true" strokeweight=".24pt" strokecolor="#000000">
              <v:stroke dashstyle="solid"/>
            </v:line>
            <v:line style="position:absolute" from="1154,3283" to="1154,3331" stroked="true" strokeweight=".24pt" strokecolor="#000000">
              <v:stroke dashstyle="solid"/>
            </v:line>
            <v:line style="position:absolute" from="1541,3283" to="1541,3331" stroked="true" strokeweight=".24pt" strokecolor="#000000">
              <v:stroke dashstyle="solid"/>
            </v:line>
            <v:line style="position:absolute" from="1925,3283" to="1925,3331" stroked="true" strokeweight=".24pt" strokecolor="#000000">
              <v:stroke dashstyle="solid"/>
            </v:line>
            <v:line style="position:absolute" from="2309,3283" to="2309,3331" stroked="true" strokeweight=".24pt" strokecolor="#000000">
              <v:stroke dashstyle="solid"/>
            </v:line>
            <v:line style="position:absolute" from="2693,3283" to="2693,3331" stroked="true" strokeweight=".24pt" strokecolor="#000000">
              <v:stroke dashstyle="solid"/>
            </v:line>
            <v:line style="position:absolute" from="3077,3283" to="3077,3331" stroked="true" strokeweight=".24pt" strokecolor="#000000">
              <v:stroke dashstyle="solid"/>
            </v:line>
            <v:line style="position:absolute" from="3461,3283" to="3461,3331" stroked="true" strokeweight=".24pt" strokecolor="#000000">
              <v:stroke dashstyle="solid"/>
            </v:line>
            <v:line style="position:absolute" from="3845,3283" to="3845,3331" stroked="true" strokeweight=".24pt" strokecolor="#000000">
              <v:stroke dashstyle="solid"/>
            </v:line>
            <v:rect style="position:absolute;left:708;top:556;width:82;height:80" filled="true" fillcolor="#4f81bc" stroked="false">
              <v:fill type="solid"/>
            </v:rect>
            <v:shape style="position:absolute;left:823;top:502;width:609;height:180" type="#_x0000_t202" filled="false" stroked="false">
              <v:textbox inset="0,0,0,0">
                <w:txbxContent>
                  <w:p>
                    <w:pPr>
                      <w:spacing w:line="179" w:lineRule="exact" w:before="0"/>
                      <w:ind w:left="0" w:right="0" w:firstLine="0"/>
                      <w:jc w:val="left"/>
                      <w:rPr>
                        <w:sz w:val="16"/>
                      </w:rPr>
                    </w:pPr>
                    <w:r>
                      <w:rPr>
                        <w:sz w:val="16"/>
                      </w:rPr>
                      <w:t>2006-08</w:t>
                    </w:r>
                  </w:p>
                </w:txbxContent>
              </v:textbox>
              <w10:wrap type="none"/>
            </v:shape>
          </v:group>
        </w:pict>
      </w:r>
      <w:r>
        <w:rPr/>
      </w:r>
    </w:p>
    <w:p>
      <w:pPr>
        <w:tabs>
          <w:tab w:pos="995" w:val="left" w:leader="none"/>
          <w:tab w:pos="1379" w:val="left" w:leader="none"/>
          <w:tab w:pos="1763" w:val="left" w:leader="none"/>
          <w:tab w:pos="2148" w:val="left" w:leader="none"/>
          <w:tab w:pos="2532" w:val="left" w:leader="none"/>
          <w:tab w:pos="2916" w:val="left" w:leader="none"/>
          <w:tab w:pos="3301" w:val="left" w:leader="none"/>
          <w:tab w:pos="3685" w:val="left" w:leader="none"/>
          <w:tab w:pos="4025" w:val="left" w:leader="none"/>
        </w:tabs>
        <w:spacing w:before="48"/>
        <w:ind w:left="611" w:right="0" w:firstLine="0"/>
        <w:jc w:val="left"/>
        <w:rPr>
          <w:sz w:val="16"/>
        </w:rPr>
      </w:pPr>
      <w:r>
        <w:rPr>
          <w:sz w:val="16"/>
        </w:rPr>
        <w:t>1</w:t>
        <w:tab/>
        <w:t>2</w:t>
        <w:tab/>
        <w:t>3</w:t>
        <w:tab/>
        <w:t>4</w:t>
        <w:tab/>
        <w:t>5</w:t>
        <w:tab/>
        <w:t>6</w:t>
        <w:tab/>
        <w:t>7</w:t>
        <w:tab/>
        <w:t>8</w:t>
        <w:tab/>
        <w:t>9</w:t>
        <w:tab/>
        <w:t>10</w:t>
      </w:r>
    </w:p>
    <w:p>
      <w:pPr>
        <w:spacing w:before="58"/>
        <w:ind w:left="1881" w:right="0" w:firstLine="0"/>
        <w:jc w:val="left"/>
        <w:rPr>
          <w:sz w:val="16"/>
        </w:rPr>
      </w:pPr>
      <w:r>
        <w:rPr>
          <w:sz w:val="16"/>
        </w:rPr>
        <w:t>Net wealth decile</w:t>
      </w:r>
    </w:p>
    <w:p>
      <w:pPr>
        <w:pStyle w:val="BodyText"/>
        <w:rPr>
          <w:sz w:val="18"/>
        </w:rPr>
      </w:pPr>
      <w:r>
        <w:rPr/>
        <w:br w:type="column"/>
      </w:r>
      <w:r>
        <w:rPr>
          <w:sz w:val="18"/>
        </w:rPr>
      </w:r>
    </w:p>
    <w:p>
      <w:pPr>
        <w:spacing w:before="149"/>
        <w:ind w:left="98" w:right="0" w:firstLine="0"/>
        <w:jc w:val="left"/>
        <w:rPr>
          <w:sz w:val="16"/>
        </w:rPr>
      </w:pPr>
      <w:r>
        <w:rPr>
          <w:spacing w:val="-1"/>
          <w:sz w:val="16"/>
        </w:rPr>
        <w:t>1600000</w:t>
      </w:r>
    </w:p>
    <w:p>
      <w:pPr>
        <w:pStyle w:val="BodyText"/>
        <w:spacing w:before="2"/>
      </w:pPr>
    </w:p>
    <w:p>
      <w:pPr>
        <w:spacing w:before="1"/>
        <w:ind w:left="98" w:right="0" w:firstLine="0"/>
        <w:jc w:val="left"/>
        <w:rPr>
          <w:sz w:val="16"/>
        </w:rPr>
      </w:pPr>
      <w:r>
        <w:rPr>
          <w:spacing w:val="-1"/>
          <w:sz w:val="16"/>
        </w:rPr>
        <w:t>1400000</w:t>
      </w:r>
    </w:p>
    <w:p>
      <w:pPr>
        <w:pStyle w:val="BodyText"/>
        <w:spacing w:before="2"/>
      </w:pPr>
    </w:p>
    <w:p>
      <w:pPr>
        <w:spacing w:before="0"/>
        <w:ind w:left="98" w:right="0" w:firstLine="0"/>
        <w:jc w:val="left"/>
        <w:rPr>
          <w:sz w:val="16"/>
        </w:rPr>
      </w:pPr>
      <w:r>
        <w:rPr>
          <w:spacing w:val="-1"/>
          <w:sz w:val="16"/>
        </w:rPr>
        <w:t>1200000</w:t>
      </w:r>
    </w:p>
    <w:p>
      <w:pPr>
        <w:pStyle w:val="BodyText"/>
        <w:spacing w:before="2"/>
      </w:pPr>
    </w:p>
    <w:p>
      <w:pPr>
        <w:spacing w:before="0"/>
        <w:ind w:left="98" w:right="0" w:firstLine="0"/>
        <w:jc w:val="left"/>
        <w:rPr>
          <w:sz w:val="16"/>
        </w:rPr>
      </w:pPr>
      <w:r>
        <w:rPr>
          <w:spacing w:val="-1"/>
          <w:sz w:val="16"/>
        </w:rPr>
        <w:t>1000000</w:t>
      </w:r>
    </w:p>
    <w:p>
      <w:pPr>
        <w:pStyle w:val="BodyText"/>
        <w:spacing w:before="3"/>
      </w:pPr>
    </w:p>
    <w:p>
      <w:pPr>
        <w:spacing w:before="0"/>
        <w:ind w:left="98" w:right="0" w:firstLine="0"/>
        <w:jc w:val="left"/>
        <w:rPr>
          <w:sz w:val="16"/>
        </w:rPr>
      </w:pPr>
      <w:r>
        <w:rPr>
          <w:sz w:val="16"/>
        </w:rPr>
        <w:t>800000</w:t>
      </w:r>
    </w:p>
    <w:p>
      <w:pPr>
        <w:pStyle w:val="BodyText"/>
        <w:spacing w:before="2"/>
      </w:pPr>
    </w:p>
    <w:p>
      <w:pPr>
        <w:spacing w:before="0"/>
        <w:ind w:left="98" w:right="0" w:firstLine="0"/>
        <w:jc w:val="left"/>
        <w:rPr>
          <w:sz w:val="16"/>
        </w:rPr>
      </w:pPr>
      <w:r>
        <w:rPr>
          <w:sz w:val="16"/>
        </w:rPr>
        <w:t>600000</w:t>
      </w:r>
    </w:p>
    <w:p>
      <w:pPr>
        <w:pStyle w:val="BodyText"/>
        <w:spacing w:before="2"/>
      </w:pPr>
    </w:p>
    <w:p>
      <w:pPr>
        <w:spacing w:before="1"/>
        <w:ind w:left="98" w:right="0" w:firstLine="0"/>
        <w:jc w:val="left"/>
        <w:rPr>
          <w:sz w:val="16"/>
        </w:rPr>
      </w:pPr>
      <w:r>
        <w:rPr>
          <w:sz w:val="16"/>
        </w:rPr>
        <w:t>400000</w:t>
      </w:r>
    </w:p>
    <w:p>
      <w:pPr>
        <w:pStyle w:val="BodyText"/>
        <w:spacing w:before="2"/>
      </w:pPr>
    </w:p>
    <w:p>
      <w:pPr>
        <w:spacing w:before="0"/>
        <w:ind w:left="98" w:right="0" w:firstLine="0"/>
        <w:jc w:val="left"/>
        <w:rPr>
          <w:sz w:val="16"/>
        </w:rPr>
      </w:pPr>
      <w:r>
        <w:rPr>
          <w:sz w:val="16"/>
        </w:rPr>
        <w:t>200000</w:t>
      </w:r>
    </w:p>
    <w:p>
      <w:pPr>
        <w:pStyle w:val="BodyText"/>
        <w:spacing w:before="2"/>
      </w:pPr>
    </w:p>
    <w:p>
      <w:pPr>
        <w:spacing w:before="0"/>
        <w:ind w:left="98" w:right="0" w:firstLine="0"/>
        <w:jc w:val="left"/>
        <w:rPr>
          <w:sz w:val="16"/>
        </w:rPr>
      </w:pPr>
      <w:r>
        <w:rPr>
          <w:w w:val="100"/>
          <w:sz w:val="16"/>
        </w:rPr>
        <w:t>0</w:t>
      </w:r>
    </w:p>
    <w:p>
      <w:pPr>
        <w:spacing w:before="110"/>
        <w:ind w:left="826" w:right="0" w:firstLine="0"/>
        <w:jc w:val="center"/>
        <w:rPr>
          <w:sz w:val="16"/>
        </w:rPr>
      </w:pPr>
      <w:r>
        <w:rPr/>
        <w:br w:type="column"/>
      </w:r>
      <w:r>
        <w:rPr>
          <w:sz w:val="16"/>
        </w:rPr>
        <w:t>Average net wealth per household (£, thousands)</w:t>
      </w:r>
    </w:p>
    <w:p>
      <w:pPr>
        <w:pStyle w:val="BodyText"/>
        <w:spacing w:before="6"/>
        <w:rPr>
          <w:sz w:val="16"/>
        </w:rPr>
      </w:pPr>
    </w:p>
    <w:p>
      <w:pPr>
        <w:pStyle w:val="BodyText"/>
        <w:ind w:left="306" w:right="-72"/>
      </w:pPr>
      <w:r>
        <w:rPr/>
        <w:pict>
          <v:group style="width:201.5pt;height:163.9pt;mso-position-horizontal-relative:char;mso-position-vertical-relative:line" coordorigin="0,0" coordsize="4030,3278">
            <v:rect style="position:absolute;left:86;top:2650;width:166;height:34" filled="true" fillcolor="#c5d9f0" stroked="false">
              <v:fill type="solid"/>
            </v:rect>
            <v:rect style="position:absolute;left:86;top:2463;width:166;height:188" filled="true" fillcolor="#c0504d" stroked="false">
              <v:fill type="solid"/>
            </v:rect>
            <v:rect style="position:absolute;left:86;top:2684;width:166;height:123" filled="true" fillcolor="#4f81bc" stroked="false">
              <v:fill type="solid"/>
            </v:rect>
            <v:rect style="position:absolute;left:86;top:2427;width:166;height:36" filled="true" fillcolor="#88a44e" stroked="false">
              <v:fill type="solid"/>
            </v:rect>
            <v:rect style="position:absolute;left:86;top:2353;width:166;height:75" filled="true" fillcolor="#70578f" stroked="false">
              <v:fill type="solid"/>
            </v:rect>
            <v:rect style="position:absolute;left:86;top:2806;width:166;height:24" filled="true" fillcolor="#db843c" stroked="false">
              <v:fill type="solid"/>
            </v:rect>
            <v:rect style="position:absolute;left:420;top:2609;width:168;height:75" filled="true" fillcolor="#c5d9f0" stroked="false">
              <v:fill type="solid"/>
            </v:rect>
            <v:rect style="position:absolute;left:420;top:2242;width:168;height:368" filled="true" fillcolor="#c0504d" stroked="false">
              <v:fill type="solid"/>
            </v:rect>
            <v:rect style="position:absolute;left:420;top:2684;width:168;height:233" filled="true" fillcolor="#4f81bc" stroked="false">
              <v:fill type="solid"/>
            </v:rect>
            <v:rect style="position:absolute;left:420;top:2144;width:168;height:99" filled="true" fillcolor="#88a44e" stroked="false">
              <v:fill type="solid"/>
            </v:rect>
            <v:rect style="position:absolute;left:420;top:2050;width:168;height:94" filled="true" fillcolor="#70578f" stroked="false">
              <v:fill type="solid"/>
            </v:rect>
            <v:rect style="position:absolute;left:420;top:2917;width:168;height:20" filled="true" fillcolor="#db843c" stroked="false">
              <v:fill type="solid"/>
            </v:rect>
            <v:rect style="position:absolute;left:756;top:2605;width:168;height:80" filled="true" fillcolor="#c5d9f0" stroked="false">
              <v:fill type="solid"/>
            </v:rect>
            <v:rect style="position:absolute;left:756;top:2069;width:168;height:536" filled="true" fillcolor="#c0504d" stroked="false">
              <v:fill type="solid"/>
            </v:rect>
            <v:rect style="position:absolute;left:756;top:2684;width:168;height:245" filled="true" fillcolor="#4f81bc" stroked="false">
              <v:fill type="solid"/>
            </v:rect>
            <v:rect style="position:absolute;left:756;top:1882;width:168;height:188" filled="true" fillcolor="#88a44e" stroked="false">
              <v:fill type="solid"/>
            </v:rect>
            <v:rect style="position:absolute;left:756;top:1767;width:168;height:116" filled="true" fillcolor="#70578f" stroked="false">
              <v:fill type="solid"/>
            </v:rect>
            <v:line style="position:absolute" from="756,2936" to="924,2936" stroked="true" strokeweight=".72pt" strokecolor="#db843c">
              <v:stroke dashstyle="solid"/>
            </v:line>
            <v:rect style="position:absolute;left:1092;top:2588;width:168;height:96" filled="true" fillcolor="#c5d9f0" stroked="false">
              <v:fill type="solid"/>
            </v:rect>
            <v:rect style="position:absolute;left:1092;top:2060;width:168;height:528" filled="true" fillcolor="#c0504d" stroked="false">
              <v:fill type="solid"/>
            </v:rect>
            <v:rect style="position:absolute;left:1092;top:2684;width:168;height:216" filled="true" fillcolor="#4f81bc" stroked="false">
              <v:fill type="solid"/>
            </v:rect>
            <v:rect style="position:absolute;left:1092;top:1779;width:168;height:281" filled="true" fillcolor="#88a44e" stroked="false">
              <v:fill type="solid"/>
            </v:rect>
            <v:rect style="position:absolute;left:1092;top:1649;width:168;height:130" filled="true" fillcolor="#70578f" stroked="false">
              <v:fill type="solid"/>
            </v:rect>
            <v:line style="position:absolute" from="1092,2908" to="1260,2908" stroked="true" strokeweight=".72pt" strokecolor="#db843c">
              <v:stroke dashstyle="solid"/>
            </v:line>
            <v:rect style="position:absolute;left:1428;top:2571;width:168;height:113" filled="true" fillcolor="#c5d9f0" stroked="false">
              <v:fill type="solid"/>
            </v:rect>
            <v:rect style="position:absolute;left:1428;top:1964;width:168;height:608" filled="true" fillcolor="#c0504d" stroked="false">
              <v:fill type="solid"/>
            </v:rect>
            <v:rect style="position:absolute;left:1428;top:2684;width:168;height:190" filled="true" fillcolor="#4f81bc" stroked="false">
              <v:fill type="solid"/>
            </v:rect>
            <v:rect style="position:absolute;left:1428;top:1450;width:168;height:514" filled="true" fillcolor="#88a44e" stroked="false">
              <v:fill type="solid"/>
            </v:rect>
            <v:rect style="position:absolute;left:1428;top:1304;width:168;height:147" filled="true" fillcolor="#70578f" stroked="false">
              <v:fill type="solid"/>
            </v:rect>
            <v:line style="position:absolute" from="1428,2882" to="1596,2882" stroked="true" strokeweight=".84pt" strokecolor="#db843c">
              <v:stroke dashstyle="solid"/>
            </v:line>
            <v:rect style="position:absolute;left:1764;top:2427;width:166;height:257" filled="true" fillcolor="#c5d9f0" stroked="false">
              <v:fill type="solid"/>
            </v:rect>
            <v:rect style="position:absolute;left:1764;top:1738;width:166;height:689" filled="true" fillcolor="#c0504d" stroked="false">
              <v:fill type="solid"/>
            </v:rect>
            <v:rect style="position:absolute;left:1764;top:2684;width:166;height:154" filled="true" fillcolor="#4f81bc" stroked="false">
              <v:fill type="solid"/>
            </v:rect>
            <v:rect style="position:absolute;left:1764;top:973;width:166;height:766" filled="true" fillcolor="#88a44e" stroked="false">
              <v:fill type="solid"/>
            </v:rect>
            <v:rect style="position:absolute;left:1764;top:814;width:166;height:159" filled="true" fillcolor="#70578f" stroked="false">
              <v:fill type="solid"/>
            </v:rect>
            <v:line style="position:absolute" from="1764,2846" to="1930,2846" stroked="true" strokeweight=".84pt" strokecolor="#db843c">
              <v:stroke dashstyle="solid"/>
            </v:line>
            <v:rect style="position:absolute;left:2097;top:2446;width:168;height:238" filled="true" fillcolor="#c5d9f0" stroked="false">
              <v:fill type="solid"/>
            </v:rect>
            <v:rect style="position:absolute;left:2097;top:1726;width:168;height:720" filled="true" fillcolor="#c0504d" stroked="false">
              <v:fill type="solid"/>
            </v:rect>
            <v:rect style="position:absolute;left:2097;top:2684;width:168;height:101" filled="true" fillcolor="#4f81bc" stroked="false">
              <v:fill type="solid"/>
            </v:rect>
            <v:rect style="position:absolute;left:2097;top:711;width:168;height:1016" filled="true" fillcolor="#88a44e" stroked="false">
              <v:fill type="solid"/>
            </v:rect>
            <v:rect style="position:absolute;left:2097;top:555;width:168;height:156" filled="true" fillcolor="#70578f" stroked="false">
              <v:fill type="solid"/>
            </v:rect>
            <v:line style="position:absolute" from="2098,2792" to="2266,2792" stroked="true" strokeweight=".72pt" strokecolor="#db843c">
              <v:stroke dashstyle="solid"/>
            </v:line>
            <v:rect style="position:absolute;left:2433;top:2384;width:168;height:300" filled="true" fillcolor="#c5d9f0" stroked="false">
              <v:fill type="solid"/>
            </v:rect>
            <v:rect style="position:absolute;left:2433;top:1637;width:168;height:747" filled="true" fillcolor="#c0504d" stroked="false">
              <v:fill type="solid"/>
            </v:rect>
            <v:rect style="position:absolute;left:2433;top:2684;width:168;height:58" filled="true" fillcolor="#4f81bc" stroked="false">
              <v:fill type="solid"/>
            </v:rect>
            <v:rect style="position:absolute;left:2433;top:579;width:168;height:1059" filled="true" fillcolor="#88a44e" stroked="false">
              <v:fill type="solid"/>
            </v:rect>
            <v:rect style="position:absolute;left:2433;top:418;width:168;height:161" filled="true" fillcolor="#70578f" stroked="false">
              <v:fill type="solid"/>
            </v:rect>
            <v:line style="position:absolute" from="2434,2746" to="2602,2746" stroked="true" strokeweight=".36pt" strokecolor="#db843c">
              <v:stroke dashstyle="solid"/>
            </v:line>
            <v:rect style="position:absolute;left:2769;top:2345;width:168;height:339" filled="true" fillcolor="#c5d9f0" stroked="false">
              <v:fill type="solid"/>
            </v:rect>
            <v:rect style="position:absolute;left:2769;top:1601;width:168;height:744" filled="true" fillcolor="#c0504d" stroked="false">
              <v:fill type="solid"/>
            </v:rect>
            <v:rect style="position:absolute;left:2769;top:2684;width:168;height:36" filled="true" fillcolor="#4f81bc" stroked="false">
              <v:fill type="solid"/>
            </v:rect>
            <v:rect style="position:absolute;left:2769;top:692;width:168;height:910" filled="true" fillcolor="#88a44e" stroked="false">
              <v:fill type="solid"/>
            </v:rect>
            <v:rect style="position:absolute;left:2769;top:533;width:168;height:159" filled="true" fillcolor="#70578f" stroked="false">
              <v:fill type="solid"/>
            </v:rect>
            <v:line style="position:absolute" from="2770,2723" to="2938,2723" stroked="true" strokeweight=".24pt" strokecolor="#db843c">
              <v:stroke dashstyle="solid"/>
            </v:line>
            <v:rect style="position:absolute;left:3105;top:2297;width:168;height:387" filled="true" fillcolor="#c5d9f0" stroked="false">
              <v:fill type="solid"/>
            </v:rect>
            <v:rect style="position:absolute;left:3105;top:1640;width:168;height:658" filled="true" fillcolor="#c0504d" stroked="false">
              <v:fill type="solid"/>
            </v:rect>
            <v:line style="position:absolute" from="3106,2693" to="3274,2693" stroked="true" strokeweight=".84pt" strokecolor="#4f81bc">
              <v:stroke dashstyle="solid"/>
            </v:line>
            <v:rect style="position:absolute;left:3105;top:1011;width:168;height:629" filled="true" fillcolor="#88a44e" stroked="false">
              <v:fill type="solid"/>
            </v:rect>
            <v:rect style="position:absolute;left:3105;top:862;width:168;height:149" filled="true" fillcolor="#70578f" stroked="false">
              <v:fill type="solid"/>
            </v:rect>
            <v:line style="position:absolute" from="3106,2702" to="3274,2702" stroked="true" strokeweight=".12pt" strokecolor="#db843c">
              <v:stroke dashstyle="solid"/>
            </v:line>
            <v:rect style="position:absolute;left:3439;top:2465;width:168;height:219" filled="true" fillcolor="#c5d9f0" stroked="false">
              <v:fill type="solid"/>
            </v:rect>
            <v:rect style="position:absolute;left:3439;top:1865;width:168;height:600" filled="true" fillcolor="#c0504d" stroked="false">
              <v:fill type="solid"/>
            </v:rect>
            <v:line style="position:absolute" from="3439,2688" to="3607,2688" stroked="true" strokeweight=".36pt" strokecolor="#4f81bc">
              <v:stroke dashstyle="solid"/>
            </v:line>
            <v:rect style="position:absolute;left:3439;top:1467;width:168;height:399" filled="true" fillcolor="#88a44e" stroked="false">
              <v:fill type="solid"/>
            </v:rect>
            <v:rect style="position:absolute;left:3439;top:1330;width:168;height:137" filled="true" fillcolor="#70578f" stroked="false">
              <v:fill type="solid"/>
            </v:rect>
            <v:line style="position:absolute" from="3439,2693" to="3607,2693" stroked="true" strokeweight=".12pt" strokecolor="#db843c">
              <v:stroke dashstyle="solid"/>
            </v:line>
            <v:rect style="position:absolute;left:3775;top:2497;width:168;height:188" filled="true" fillcolor="#c5d9f0" stroked="false">
              <v:fill type="solid"/>
            </v:rect>
            <v:rect style="position:absolute;left:3775;top:1990;width:168;height:507" filled="true" fillcolor="#c0504d" stroked="false">
              <v:fill type="solid"/>
            </v:rect>
            <v:line style="position:absolute" from="3775,2687" to="3943,2687" stroked="true" strokeweight=".24pt" strokecolor="#4f81bc">
              <v:stroke dashstyle="solid"/>
            </v:line>
            <v:rect style="position:absolute;left:3775;top:1777;width:168;height:214" filled="true" fillcolor="#88a44e" stroked="false">
              <v:fill type="solid"/>
            </v:rect>
            <v:rect style="position:absolute;left:3775;top:1664;width:168;height:113" filled="true" fillcolor="#70578f" stroked="false">
              <v:fill type="solid"/>
            </v:rect>
            <v:line style="position:absolute" from="3775,2690" to="3943,2690" stroked="true" strokeweight=".12pt" strokecolor="#db843c">
              <v:stroke dashstyle="solid"/>
            </v:line>
            <v:line style="position:absolute" from="4027,3275" to="4027,20" stroked="true" strokeweight=".24pt" strokecolor="#000000">
              <v:stroke dashstyle="solid"/>
            </v:line>
            <v:line style="position:absolute" from="3979,3275" to="4027,3275" stroked="true" strokeweight=".24pt" strokecolor="#000000">
              <v:stroke dashstyle="solid"/>
            </v:line>
            <v:line style="position:absolute" from="3979,2980" to="4027,2980" stroked="true" strokeweight=".24pt" strokecolor="#000000">
              <v:stroke dashstyle="solid"/>
            </v:line>
            <v:line style="position:absolute" from="3979,2684" to="4027,2684" stroked="true" strokeweight=".24pt" strokecolor="#000000">
              <v:stroke dashstyle="solid"/>
            </v:line>
            <v:line style="position:absolute" from="3979,2387" to="4027,2387" stroked="true" strokeweight=".24pt" strokecolor="#000000">
              <v:stroke dashstyle="solid"/>
            </v:line>
            <v:line style="position:absolute" from="3979,2092" to="4027,2092" stroked="true" strokeweight=".24pt" strokecolor="#000000">
              <v:stroke dashstyle="solid"/>
            </v:line>
            <v:line style="position:absolute" from="3979,1796" to="4027,1796" stroked="true" strokeweight=".24pt" strokecolor="#000000">
              <v:stroke dashstyle="solid"/>
            </v:line>
            <v:line style="position:absolute" from="3979,1499" to="4027,1499" stroked="true" strokeweight=".24pt" strokecolor="#000000">
              <v:stroke dashstyle="solid"/>
            </v:line>
            <v:line style="position:absolute" from="3979,1204" to="4027,1204" stroked="true" strokeweight=".24pt" strokecolor="#000000">
              <v:stroke dashstyle="solid"/>
            </v:line>
            <v:line style="position:absolute" from="3979,908" to="4027,908" stroked="true" strokeweight=".24pt" strokecolor="#000000">
              <v:stroke dashstyle="solid"/>
            </v:line>
            <v:line style="position:absolute" from="3979,611" to="4027,611" stroked="true" strokeweight=".24pt" strokecolor="#000000">
              <v:stroke dashstyle="solid"/>
            </v:line>
            <v:line style="position:absolute" from="3979,316" to="4027,316" stroked="true" strokeweight=".24pt" strokecolor="#000000">
              <v:stroke dashstyle="solid"/>
            </v:line>
            <v:line style="position:absolute" from="3979,20" to="4027,20" stroked="true" strokeweight=".24pt" strokecolor="#000000">
              <v:stroke dashstyle="solid"/>
            </v:line>
            <v:line style="position:absolute" from="2,2684" to="4027,2684" stroked="true" strokeweight=".24pt" strokecolor="#000000">
              <v:stroke dashstyle="solid"/>
            </v:line>
            <v:line style="position:absolute" from="2,2636" to="2,2684" stroked="true" strokeweight=".24pt" strokecolor="#000000">
              <v:stroke dashstyle="solid"/>
            </v:line>
            <v:line style="position:absolute" from="336,2636" to="336,2684" stroked="true" strokeweight=".24pt" strokecolor="#000000">
              <v:stroke dashstyle="solid"/>
            </v:line>
            <v:line style="position:absolute" from="672,2636" to="672,2684" stroked="true" strokeweight=".24pt" strokecolor="#000000">
              <v:stroke dashstyle="solid"/>
            </v:line>
            <v:line style="position:absolute" from="1008,2636" to="1008,2684" stroked="true" strokeweight=".24pt" strokecolor="#000000">
              <v:stroke dashstyle="solid"/>
            </v:line>
            <v:line style="position:absolute" from="1344,2636" to="1344,2684" stroked="true" strokeweight=".24pt" strokecolor="#000000">
              <v:stroke dashstyle="solid"/>
            </v:line>
            <v:line style="position:absolute" from="1680,2636" to="1680,2684" stroked="true" strokeweight=".24pt" strokecolor="#000000">
              <v:stroke dashstyle="solid"/>
            </v:line>
            <v:line style="position:absolute" from="2014,2636" to="2014,2684" stroked="true" strokeweight=".24pt" strokecolor="#000000">
              <v:stroke dashstyle="solid"/>
            </v:line>
            <v:line style="position:absolute" from="2350,2636" to="2350,2684" stroked="true" strokeweight=".24pt" strokecolor="#000000">
              <v:stroke dashstyle="solid"/>
            </v:line>
            <v:line style="position:absolute" from="2686,2636" to="2686,2684" stroked="true" strokeweight=".24pt" strokecolor="#000000">
              <v:stroke dashstyle="solid"/>
            </v:line>
            <v:line style="position:absolute" from="3022,2636" to="3022,2684" stroked="true" strokeweight=".24pt" strokecolor="#000000">
              <v:stroke dashstyle="solid"/>
            </v:line>
            <v:line style="position:absolute" from="3355,2636" to="3355,2684" stroked="true" strokeweight=".24pt" strokecolor="#000000">
              <v:stroke dashstyle="solid"/>
            </v:line>
            <v:line style="position:absolute" from="3691,2636" to="3691,2684" stroked="true" strokeweight=".24pt" strokecolor="#000000">
              <v:stroke dashstyle="solid"/>
            </v:line>
            <v:line style="position:absolute" from="4027,2636" to="4027,2684" stroked="true" strokeweight=".24pt" strokecolor="#000000">
              <v:stroke dashstyle="solid"/>
            </v:line>
            <v:shape style="position:absolute;left:78;top:2409;width:180;height:180" coordorigin="78,2410" coordsize="180,180" path="m168,2410l78,2500,168,2590,258,2500,168,2410xe" filled="true" fillcolor="#000000" stroked="false">
              <v:path arrowok="t"/>
              <v:fill type="solid"/>
            </v:shape>
            <v:shape style="position:absolute;left:414;top:2212;width:180;height:180" coordorigin="414,2213" coordsize="180,180" path="m504,2213l414,2303,504,2393,594,2303,504,2213xe" filled="true" fillcolor="#000000" stroked="false">
              <v:path arrowok="t"/>
              <v:fill type="solid"/>
            </v:shape>
            <v:shape style="position:absolute;left:750;top:1936;width:180;height:180" coordorigin="750,1937" coordsize="180,180" path="m840,1937l750,2027,840,2117,930,2027,840,1937xe" filled="true" fillcolor="#000000" stroked="false">
              <v:path arrowok="t"/>
              <v:fill type="solid"/>
            </v:shape>
            <v:shape style="position:absolute;left:1084;top:1790;width:180;height:180" coordorigin="1084,1790" coordsize="180,180" path="m1174,1790l1084,1880,1174,1970,1264,1880,1174,1790xe" filled="true" fillcolor="#000000" stroked="false">
              <v:path arrowok="t"/>
              <v:fill type="solid"/>
            </v:shape>
            <v:shape style="position:absolute;left:1420;top:1420;width:180;height:180" coordorigin="1420,1421" coordsize="180,180" path="m1510,1421l1420,1511,1510,1601,1600,1511,1510,1421xe" filled="true" fillcolor="#000000" stroked="false">
              <v:path arrowok="t"/>
              <v:fill type="solid"/>
            </v:shape>
            <v:shape style="position:absolute;left:1756;top:895;width:180;height:180" coordorigin="1756,895" coordsize="180,180" path="m1846,895l1756,985,1846,1075,1936,985,1846,895xe" filled="true" fillcolor="#000000" stroked="false">
              <v:path arrowok="t"/>
              <v:fill type="solid"/>
            </v:shape>
            <v:shape style="position:absolute;left:2092;top:578;width:180;height:180" coordorigin="2092,578" coordsize="180,180" path="m2182,578l2092,668,2182,758,2272,668,2182,578xe" filled="true" fillcolor="#000000" stroked="false">
              <v:path arrowok="t"/>
              <v:fill type="solid"/>
            </v:shape>
            <v:shape style="position:absolute;left:2428;top:391;width:180;height:180" coordorigin="2428,391" coordsize="180,180" path="m2518,391l2428,481,2518,571,2608,481,2518,391xe" filled="true" fillcolor="#000000" stroked="false">
              <v:path arrowok="t"/>
              <v:fill type="solid"/>
            </v:shape>
            <v:shape style="position:absolute;left:2761;top:482;width:180;height:180" coordorigin="2762,482" coordsize="180,180" path="m2852,482l2762,572,2852,662,2942,572,2852,482xe" filled="true" fillcolor="#000000" stroked="false">
              <v:path arrowok="t"/>
              <v:fill type="solid"/>
            </v:shape>
            <v:shape style="position:absolute;left:3097;top:791;width:180;height:180" coordorigin="3098,792" coordsize="180,180" path="m3188,792l3098,882,3188,972,3278,882,3188,792xe" filled="true" fillcolor="#000000" stroked="false">
              <v:path arrowok="t"/>
              <v:fill type="solid"/>
            </v:shape>
            <v:shape style="position:absolute;left:3433;top:1250;width:180;height:180" coordorigin="3434,1250" coordsize="180,180" path="m3524,1250l3434,1340,3524,1430,3614,1340,3524,1250xe" filled="true" fillcolor="#000000" stroked="false">
              <v:path arrowok="t"/>
              <v:fill type="solid"/>
            </v:shape>
            <v:shape style="position:absolute;left:3769;top:1579;width:180;height:180" coordorigin="3770,1579" coordsize="180,180" path="m3860,1579l3770,1669,3860,1759,3950,1669,3860,1579xe" filled="true" fillcolor="#000000" stroked="false">
              <v:path arrowok="t"/>
              <v:fill type="solid"/>
            </v:shape>
            <v:rect style="position:absolute;left:151;top:53;width:82;height:82" filled="true" fillcolor="#c5d9f0" stroked="false">
              <v:fill type="solid"/>
            </v:rect>
            <v:rect style="position:absolute;left:151;top:253;width:82;height:80" filled="true" fillcolor="#c0504d" stroked="false">
              <v:fill type="solid"/>
            </v:rect>
            <v:rect style="position:absolute;left:151;top:449;width:82;height:80" filled="true" fillcolor="#4f81bc" stroked="false">
              <v:fill type="solid"/>
            </v:rect>
            <v:rect style="position:absolute;left:151;top:646;width:82;height:82" filled="true" fillcolor="#88a44e" stroked="false">
              <v:fill type="solid"/>
            </v:rect>
            <v:rect style="position:absolute;left:151;top:845;width:82;height:80" filled="true" fillcolor="#70578f" stroked="false">
              <v:fill type="solid"/>
            </v:rect>
            <v:rect style="position:absolute;left:151;top:1042;width:82;height:82" filled="true" fillcolor="#db843c" stroked="false">
              <v:fill type="solid"/>
            </v:rect>
            <v:shape style="position:absolute;left:152;top:1241;width:80;height:80" coordorigin="152,1241" coordsize="80,80" path="m192,1241l152,1281,192,1321,232,1281,192,1241xe" filled="true" fillcolor="#000000" stroked="false">
              <v:path arrowok="t"/>
              <v:fill type="solid"/>
            </v:shape>
            <v:shape style="position:absolute;left:0;top:0;width:4030;height:3278" type="#_x0000_t202" filled="false" stroked="false">
              <v:textbox inset="0,0,0,0">
                <w:txbxContent>
                  <w:p>
                    <w:pPr>
                      <w:spacing w:line="256" w:lineRule="auto" w:before="0"/>
                      <w:ind w:left="266" w:right="2178" w:firstLine="0"/>
                      <w:jc w:val="left"/>
                      <w:rPr>
                        <w:sz w:val="16"/>
                      </w:rPr>
                    </w:pPr>
                    <w:r>
                      <w:rPr>
                        <w:sz w:val="16"/>
                      </w:rPr>
                      <w:t>Gross financial wealth Gross property wealth Mortgage debt Pension wealth Physical wealth Unsecured debt</w:t>
                    </w:r>
                  </w:p>
                  <w:p>
                    <w:pPr>
                      <w:spacing w:before="1"/>
                      <w:ind w:left="266" w:right="0" w:firstLine="0"/>
                      <w:jc w:val="left"/>
                      <w:rPr>
                        <w:sz w:val="16"/>
                      </w:rPr>
                    </w:pPr>
                    <w:r>
                      <w:rPr>
                        <w:sz w:val="16"/>
                      </w:rPr>
                      <w:t>Total</w:t>
                    </w:r>
                  </w:p>
                </w:txbxContent>
              </v:textbox>
              <w10:wrap type="none"/>
            </v:shape>
          </v:group>
        </w:pict>
      </w:r>
      <w:r>
        <w:rPr/>
      </w:r>
    </w:p>
    <w:p>
      <w:pPr>
        <w:tabs>
          <w:tab w:pos="944" w:val="left" w:leader="none"/>
          <w:tab w:pos="1615" w:val="left" w:leader="none"/>
          <w:tab w:pos="2286" w:val="left" w:leader="none"/>
          <w:tab w:pos="2957" w:val="left" w:leader="none"/>
          <w:tab w:pos="3628" w:val="left" w:leader="none"/>
        </w:tabs>
        <w:spacing w:before="65"/>
        <w:ind w:left="273" w:right="0" w:firstLine="0"/>
        <w:jc w:val="left"/>
        <w:rPr>
          <w:sz w:val="16"/>
        </w:rPr>
      </w:pPr>
      <w:r>
        <w:rPr>
          <w:sz w:val="16"/>
        </w:rPr>
        <w:t>25-29</w:t>
        <w:tab/>
        <w:t>35-39</w:t>
        <w:tab/>
        <w:t>45-49</w:t>
        <w:tab/>
        <w:t>55-59</w:t>
        <w:tab/>
        <w:t>65-69</w:t>
        <w:tab/>
        <w:t>75-79</w:t>
      </w:r>
    </w:p>
    <w:p>
      <w:pPr>
        <w:spacing w:before="16"/>
        <w:ind w:left="845" w:right="0" w:firstLine="0"/>
        <w:jc w:val="center"/>
        <w:rPr>
          <w:sz w:val="16"/>
        </w:rPr>
      </w:pPr>
      <w:r>
        <w:rPr>
          <w:sz w:val="16"/>
        </w:rPr>
        <w:t>Head of household age</w:t>
      </w:r>
    </w:p>
    <w:p>
      <w:pPr>
        <w:pStyle w:val="BodyText"/>
        <w:rPr>
          <w:sz w:val="18"/>
        </w:rPr>
      </w:pPr>
      <w:r>
        <w:rPr/>
        <w:br w:type="column"/>
      </w:r>
      <w:r>
        <w:rPr>
          <w:sz w:val="18"/>
        </w:rPr>
      </w:r>
    </w:p>
    <w:p>
      <w:pPr>
        <w:pStyle w:val="BodyText"/>
        <w:spacing w:before="2"/>
        <w:rPr>
          <w:sz w:val="17"/>
        </w:rPr>
      </w:pPr>
    </w:p>
    <w:p>
      <w:pPr>
        <w:spacing w:before="0"/>
        <w:ind w:left="111" w:right="0" w:firstLine="0"/>
        <w:jc w:val="left"/>
        <w:rPr>
          <w:sz w:val="16"/>
        </w:rPr>
      </w:pPr>
      <w:r>
        <w:rPr>
          <w:sz w:val="16"/>
        </w:rPr>
        <w:t>900</w:t>
      </w:r>
    </w:p>
    <w:p>
      <w:pPr>
        <w:spacing w:before="112"/>
        <w:ind w:left="111" w:right="0" w:firstLine="0"/>
        <w:jc w:val="left"/>
        <w:rPr>
          <w:sz w:val="16"/>
        </w:rPr>
      </w:pPr>
      <w:r>
        <w:rPr>
          <w:sz w:val="16"/>
        </w:rPr>
        <w:t>800</w:t>
      </w:r>
    </w:p>
    <w:p>
      <w:pPr>
        <w:spacing w:before="112"/>
        <w:ind w:left="111" w:right="0" w:firstLine="0"/>
        <w:jc w:val="left"/>
        <w:rPr>
          <w:sz w:val="16"/>
        </w:rPr>
      </w:pPr>
      <w:r>
        <w:rPr>
          <w:sz w:val="16"/>
        </w:rPr>
        <w:t>700</w:t>
      </w:r>
    </w:p>
    <w:p>
      <w:pPr>
        <w:spacing w:before="112"/>
        <w:ind w:left="111" w:right="0" w:firstLine="0"/>
        <w:jc w:val="left"/>
        <w:rPr>
          <w:sz w:val="16"/>
        </w:rPr>
      </w:pPr>
      <w:r>
        <w:rPr>
          <w:sz w:val="16"/>
        </w:rPr>
        <w:t>600</w:t>
      </w:r>
    </w:p>
    <w:p>
      <w:pPr>
        <w:spacing w:before="112"/>
        <w:ind w:left="111" w:right="0" w:firstLine="0"/>
        <w:jc w:val="left"/>
        <w:rPr>
          <w:sz w:val="16"/>
        </w:rPr>
      </w:pPr>
      <w:r>
        <w:rPr>
          <w:sz w:val="16"/>
        </w:rPr>
        <w:t>500</w:t>
      </w:r>
    </w:p>
    <w:p>
      <w:pPr>
        <w:spacing w:before="112"/>
        <w:ind w:left="111" w:right="0" w:firstLine="0"/>
        <w:jc w:val="left"/>
        <w:rPr>
          <w:sz w:val="16"/>
        </w:rPr>
      </w:pPr>
      <w:r>
        <w:rPr>
          <w:sz w:val="16"/>
        </w:rPr>
        <w:t>400</w:t>
      </w:r>
    </w:p>
    <w:p>
      <w:pPr>
        <w:spacing w:before="112"/>
        <w:ind w:left="111" w:right="0" w:firstLine="0"/>
        <w:jc w:val="left"/>
        <w:rPr>
          <w:sz w:val="16"/>
        </w:rPr>
      </w:pPr>
      <w:r>
        <w:rPr>
          <w:sz w:val="16"/>
        </w:rPr>
        <w:t>300</w:t>
      </w:r>
    </w:p>
    <w:p>
      <w:pPr>
        <w:spacing w:before="113"/>
        <w:ind w:left="111" w:right="0" w:firstLine="0"/>
        <w:jc w:val="left"/>
        <w:rPr>
          <w:sz w:val="16"/>
        </w:rPr>
      </w:pPr>
      <w:r>
        <w:rPr>
          <w:sz w:val="16"/>
        </w:rPr>
        <w:t>200</w:t>
      </w:r>
    </w:p>
    <w:p>
      <w:pPr>
        <w:spacing w:before="111"/>
        <w:ind w:left="111" w:right="0" w:firstLine="0"/>
        <w:jc w:val="left"/>
        <w:rPr>
          <w:sz w:val="16"/>
        </w:rPr>
      </w:pPr>
      <w:r>
        <w:rPr>
          <w:sz w:val="16"/>
        </w:rPr>
        <w:t>100</w:t>
      </w:r>
    </w:p>
    <w:p>
      <w:pPr>
        <w:spacing w:before="112"/>
        <w:ind w:left="111" w:right="0" w:firstLine="0"/>
        <w:jc w:val="left"/>
        <w:rPr>
          <w:sz w:val="16"/>
        </w:rPr>
      </w:pPr>
      <w:r>
        <w:rPr>
          <w:w w:val="100"/>
          <w:sz w:val="16"/>
        </w:rPr>
        <w:t>0</w:t>
      </w:r>
    </w:p>
    <w:p>
      <w:pPr>
        <w:spacing w:before="113"/>
        <w:ind w:left="111" w:right="0" w:firstLine="0"/>
        <w:jc w:val="left"/>
        <w:rPr>
          <w:sz w:val="16"/>
        </w:rPr>
      </w:pPr>
      <w:r>
        <w:rPr>
          <w:sz w:val="16"/>
        </w:rPr>
        <w:t>-100</w:t>
      </w:r>
    </w:p>
    <w:p>
      <w:pPr>
        <w:spacing w:before="112"/>
        <w:ind w:left="111" w:right="0" w:firstLine="0"/>
        <w:jc w:val="left"/>
        <w:rPr>
          <w:sz w:val="16"/>
        </w:rPr>
      </w:pPr>
      <w:r>
        <w:rPr>
          <w:sz w:val="16"/>
        </w:rPr>
        <w:t>-200</w:t>
      </w:r>
    </w:p>
    <w:p>
      <w:pPr>
        <w:spacing w:after="0"/>
        <w:jc w:val="left"/>
        <w:rPr>
          <w:sz w:val="16"/>
        </w:rPr>
        <w:sectPr>
          <w:type w:val="continuous"/>
          <w:pgSz w:w="11910" w:h="16840"/>
          <w:pgMar w:top="1180" w:bottom="1520" w:left="820" w:right="960"/>
          <w:cols w:num="4" w:equalWidth="0">
            <w:col w:w="4306" w:space="40"/>
            <w:col w:w="724" w:space="39"/>
            <w:col w:w="4324" w:space="39"/>
            <w:col w:w="658"/>
          </w:cols>
        </w:sectPr>
      </w:pPr>
    </w:p>
    <w:p>
      <w:pPr>
        <w:tabs>
          <w:tab w:pos="5286" w:val="left" w:leader="none"/>
        </w:tabs>
        <w:spacing w:before="87"/>
        <w:ind w:left="313" w:right="0" w:firstLine="0"/>
        <w:jc w:val="left"/>
        <w:rPr>
          <w:sz w:val="16"/>
        </w:rPr>
      </w:pPr>
      <w:r>
        <w:rPr>
          <w:sz w:val="16"/>
        </w:rPr>
        <w:t>Sources:  ONS and</w:t>
      </w:r>
      <w:r>
        <w:rPr>
          <w:spacing w:val="-10"/>
          <w:sz w:val="16"/>
        </w:rPr>
        <w:t> </w:t>
      </w:r>
      <w:r>
        <w:rPr>
          <w:sz w:val="16"/>
        </w:rPr>
        <w:t>Bank</w:t>
      </w:r>
      <w:r>
        <w:rPr>
          <w:spacing w:val="-3"/>
          <w:sz w:val="16"/>
        </w:rPr>
        <w:t> </w:t>
      </w:r>
      <w:r>
        <w:rPr>
          <w:sz w:val="16"/>
        </w:rPr>
        <w:t>calculations</w:t>
        <w:tab/>
        <w:t>Sources: ONS and Bank</w:t>
      </w:r>
      <w:r>
        <w:rPr>
          <w:spacing w:val="-4"/>
          <w:sz w:val="16"/>
        </w:rPr>
        <w:t> </w:t>
      </w:r>
      <w:r>
        <w:rPr>
          <w:sz w:val="16"/>
        </w:rPr>
        <w:t>calculations</w:t>
      </w:r>
    </w:p>
    <w:p>
      <w:pPr>
        <w:spacing w:after="0"/>
        <w:jc w:val="left"/>
        <w:rPr>
          <w:sz w:val="16"/>
        </w:rPr>
        <w:sectPr>
          <w:type w:val="continuous"/>
          <w:pgSz w:w="11910" w:h="16840"/>
          <w:pgMar w:top="1180" w:bottom="1520" w:left="820" w:right="960"/>
        </w:sectPr>
      </w:pPr>
    </w:p>
    <w:p>
      <w:pPr>
        <w:pStyle w:val="Heading1"/>
        <w:tabs>
          <w:tab w:pos="4851" w:val="left" w:leader="none"/>
        </w:tabs>
        <w:ind w:left="10"/>
        <w:jc w:val="center"/>
      </w:pPr>
      <w:r>
        <w:rPr/>
        <w:t>Chart 5:  2007 and 2013 distributions</w:t>
      </w:r>
      <w:r>
        <w:rPr>
          <w:spacing w:val="-10"/>
        </w:rPr>
        <w:t> </w:t>
      </w:r>
      <w:r>
        <w:rPr/>
        <w:t>of</w:t>
      </w:r>
      <w:r>
        <w:rPr>
          <w:spacing w:val="-2"/>
        </w:rPr>
        <w:t> </w:t>
      </w:r>
      <w:r>
        <w:rPr/>
        <w:t>income</w:t>
        <w:tab/>
        <w:t>Chart 6: 2006-08 and 2012-14 distributions of</w:t>
      </w:r>
      <w:r>
        <w:rPr>
          <w:spacing w:val="-6"/>
        </w:rPr>
        <w:t> </w:t>
      </w:r>
      <w:r>
        <w:rPr/>
        <w:t>net</w:t>
      </w:r>
    </w:p>
    <w:p>
      <w:pPr>
        <w:spacing w:before="34"/>
        <w:ind w:left="806" w:right="0" w:firstLine="0"/>
        <w:jc w:val="center"/>
        <w:rPr>
          <w:b/>
          <w:sz w:val="20"/>
        </w:rPr>
      </w:pPr>
      <w:r>
        <w:rPr>
          <w:b/>
          <w:sz w:val="20"/>
        </w:rPr>
        <w:t>wealth</w:t>
      </w:r>
    </w:p>
    <w:p>
      <w:pPr>
        <w:spacing w:after="0"/>
        <w:jc w:val="center"/>
        <w:rPr>
          <w:sz w:val="20"/>
        </w:rPr>
        <w:sectPr>
          <w:pgSz w:w="11910" w:h="16840"/>
          <w:pgMar w:header="0" w:footer="1334" w:top="1340" w:bottom="1520" w:left="820" w:right="960"/>
        </w:sectPr>
      </w:pPr>
    </w:p>
    <w:p>
      <w:pPr>
        <w:spacing w:before="111"/>
        <w:ind w:left="900" w:right="0" w:firstLine="0"/>
        <w:jc w:val="center"/>
        <w:rPr>
          <w:sz w:val="16"/>
        </w:rPr>
      </w:pPr>
      <w:r>
        <w:rPr/>
        <w:pict>
          <v:group style="position:absolute;margin-left:60pt;margin-top:21.383884pt;width:200.2pt;height:156.4pt;mso-position-horizontal-relative:page;mso-position-vertical-relative:paragraph;z-index:251684864" coordorigin="1200,428" coordsize="4004,3128">
            <v:shape style="position:absolute;left:1202;top:430;width:3999;height:3123" coordorigin="1202,430" coordsize="3999,3123" path="m5201,3552l5201,430m5153,3552l5201,3552m5153,3204l5201,3204m5153,2859l5201,2859m5153,2511l5201,2511m5153,2165l5201,2165m5153,1817l5201,1817m5153,1469l5201,1469m5153,1124l5201,1124m5153,776l5201,776m5153,430l5201,430m1202,3552l5201,3552m1202,3504l1202,3552m1601,3504l1601,3552m2002,3504l2002,3552m2400,3504l2400,3552m2801,3504l2801,3552m3202,3504l3202,3552m3600,3504l3600,3552m4001,3504l4001,3552m4399,3504l4399,3552m4800,3504l4800,3552m5201,3504l5201,3552e" filled="false" stroked="true" strokeweight=".24pt" strokecolor="#000000">
              <v:path arrowok="t"/>
              <v:stroke dashstyle="solid"/>
            </v:shape>
            <v:shape style="position:absolute;left:1401;top:734;width:3598;height:2576" coordorigin="1402,735" coordsize="3598,2576" path="m1402,3310l1800,3135,2201,3022,2602,2895,3000,2753,3401,2588,3802,2396,4200,2146,4601,1769,4999,735e" filled="false" stroked="true" strokeweight="2.16pt" strokecolor="#497dba">
              <v:path arrowok="t"/>
              <v:stroke dashstyle="solid"/>
            </v:shape>
            <v:shape style="position:absolute;left:1401;top:850;width:3598;height:2444" coordorigin="1402,850" coordsize="3598,2444" path="m1402,3293l1800,3111,2201,2988,2602,2866,3000,2732,3401,2573,3802,2384,4200,2144,4601,1784,4999,850e" filled="false" stroked="true" strokeweight="2.16pt" strokecolor="#bd4a47">
              <v:path arrowok="t"/>
              <v:stroke dashstyle="solid"/>
            </v:shape>
            <v:line style="position:absolute" from="1589,641" to="1973,641" stroked="true" strokeweight="2.16pt" strokecolor="#497dba">
              <v:stroke dashstyle="solid"/>
            </v:line>
            <v:line style="position:absolute" from="1589,934" to="1973,934" stroked="true" strokeweight="2.16pt" strokecolor="#bd4a47">
              <v:stroke dashstyle="solid"/>
            </v:line>
            <v:shape style="position:absolute;left:2014;top:546;width:376;height:474" type="#_x0000_t202" filled="false" stroked="false">
              <v:textbox inset="0,0,0,0">
                <w:txbxContent>
                  <w:p>
                    <w:pPr>
                      <w:spacing w:line="179" w:lineRule="exact" w:before="0"/>
                      <w:ind w:left="0" w:right="0" w:firstLine="0"/>
                      <w:jc w:val="left"/>
                      <w:rPr>
                        <w:sz w:val="16"/>
                      </w:rPr>
                    </w:pPr>
                    <w:r>
                      <w:rPr>
                        <w:sz w:val="16"/>
                      </w:rPr>
                      <w:t>2007</w:t>
                    </w:r>
                  </w:p>
                  <w:p>
                    <w:pPr>
                      <w:spacing w:before="110"/>
                      <w:ind w:left="0" w:right="0" w:firstLine="0"/>
                      <w:jc w:val="left"/>
                      <w:rPr>
                        <w:sz w:val="16"/>
                      </w:rPr>
                    </w:pPr>
                    <w:r>
                      <w:rPr>
                        <w:sz w:val="16"/>
                      </w:rPr>
                      <w:t>2013</w:t>
                    </w:r>
                  </w:p>
                </w:txbxContent>
              </v:textbox>
              <w10:wrap type="none"/>
            </v:shape>
            <w10:wrap type="none"/>
          </v:group>
        </w:pict>
      </w:r>
      <w:r>
        <w:rPr>
          <w:sz w:val="16"/>
        </w:rPr>
        <w:t>Average income per household (£, 2013</w:t>
      </w:r>
      <w:r>
        <w:rPr>
          <w:spacing w:val="-14"/>
          <w:sz w:val="16"/>
        </w:rPr>
        <w:t> </w:t>
      </w:r>
      <w:r>
        <w:rPr>
          <w:sz w:val="16"/>
        </w:rPr>
        <w:t>prices)</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2"/>
        <w:rPr>
          <w:sz w:val="21"/>
        </w:rPr>
      </w:pPr>
    </w:p>
    <w:p>
      <w:pPr>
        <w:tabs>
          <w:tab w:pos="938" w:val="left" w:leader="none"/>
          <w:tab w:pos="1337" w:val="left" w:leader="none"/>
          <w:tab w:pos="1737" w:val="left" w:leader="none"/>
          <w:tab w:pos="2138" w:val="left" w:leader="none"/>
          <w:tab w:pos="2537" w:val="left" w:leader="none"/>
          <w:tab w:pos="2937" w:val="left" w:leader="none"/>
          <w:tab w:pos="3338" w:val="left" w:leader="none"/>
          <w:tab w:pos="3737" w:val="left" w:leader="none"/>
          <w:tab w:pos="4093" w:val="left" w:leader="none"/>
        </w:tabs>
        <w:spacing w:before="0"/>
        <w:ind w:left="538" w:right="0" w:firstLine="0"/>
        <w:jc w:val="left"/>
        <w:rPr>
          <w:sz w:val="16"/>
        </w:rPr>
      </w:pPr>
      <w:r>
        <w:rPr>
          <w:sz w:val="16"/>
        </w:rPr>
        <w:t>1</w:t>
        <w:tab/>
        <w:t>2</w:t>
        <w:tab/>
        <w:t>3</w:t>
        <w:tab/>
        <w:t>4</w:t>
        <w:tab/>
        <w:t>5</w:t>
        <w:tab/>
        <w:t>6</w:t>
        <w:tab/>
        <w:t>7</w:t>
        <w:tab/>
        <w:t>8</w:t>
        <w:tab/>
        <w:t>9</w:t>
        <w:tab/>
      </w:r>
      <w:r>
        <w:rPr>
          <w:spacing w:val="-10"/>
          <w:sz w:val="16"/>
        </w:rPr>
        <w:t>10</w:t>
      </w:r>
    </w:p>
    <w:p>
      <w:pPr>
        <w:spacing w:before="42"/>
        <w:ind w:left="821" w:right="0" w:firstLine="0"/>
        <w:jc w:val="center"/>
        <w:rPr>
          <w:sz w:val="16"/>
        </w:rPr>
      </w:pPr>
      <w:r>
        <w:rPr>
          <w:sz w:val="16"/>
        </w:rPr>
        <w:t>Income decile</w:t>
      </w:r>
    </w:p>
    <w:p>
      <w:pPr>
        <w:pStyle w:val="BodyText"/>
        <w:rPr>
          <w:sz w:val="18"/>
        </w:rPr>
      </w:pPr>
      <w:r>
        <w:rPr/>
        <w:br w:type="column"/>
      </w:r>
      <w:r>
        <w:rPr>
          <w:sz w:val="18"/>
        </w:rPr>
      </w:r>
    </w:p>
    <w:p>
      <w:pPr>
        <w:spacing w:before="124"/>
        <w:ind w:left="206" w:right="0" w:firstLine="0"/>
        <w:jc w:val="left"/>
        <w:rPr>
          <w:sz w:val="16"/>
        </w:rPr>
      </w:pPr>
      <w:r>
        <w:rPr>
          <w:spacing w:val="-1"/>
          <w:sz w:val="16"/>
        </w:rPr>
        <w:t>90000</w:t>
      </w:r>
    </w:p>
    <w:p>
      <w:pPr>
        <w:pStyle w:val="BodyText"/>
        <w:spacing w:before="2"/>
        <w:rPr>
          <w:sz w:val="14"/>
        </w:rPr>
      </w:pPr>
    </w:p>
    <w:p>
      <w:pPr>
        <w:spacing w:before="0"/>
        <w:ind w:left="206" w:right="0" w:firstLine="0"/>
        <w:jc w:val="left"/>
        <w:rPr>
          <w:sz w:val="16"/>
        </w:rPr>
      </w:pPr>
      <w:r>
        <w:rPr>
          <w:spacing w:val="-1"/>
          <w:sz w:val="16"/>
        </w:rPr>
        <w:t>80000</w:t>
      </w:r>
    </w:p>
    <w:p>
      <w:pPr>
        <w:pStyle w:val="BodyText"/>
        <w:spacing w:before="1"/>
        <w:rPr>
          <w:sz w:val="14"/>
        </w:rPr>
      </w:pPr>
    </w:p>
    <w:p>
      <w:pPr>
        <w:spacing w:before="0"/>
        <w:ind w:left="206" w:right="0" w:firstLine="0"/>
        <w:jc w:val="left"/>
        <w:rPr>
          <w:sz w:val="16"/>
        </w:rPr>
      </w:pPr>
      <w:r>
        <w:rPr>
          <w:spacing w:val="-1"/>
          <w:sz w:val="16"/>
        </w:rPr>
        <w:t>70000</w:t>
      </w:r>
    </w:p>
    <w:p>
      <w:pPr>
        <w:pStyle w:val="BodyText"/>
        <w:spacing w:before="2"/>
        <w:rPr>
          <w:sz w:val="14"/>
        </w:rPr>
      </w:pPr>
    </w:p>
    <w:p>
      <w:pPr>
        <w:spacing w:before="1"/>
        <w:ind w:left="206" w:right="0" w:firstLine="0"/>
        <w:jc w:val="left"/>
        <w:rPr>
          <w:sz w:val="16"/>
        </w:rPr>
      </w:pPr>
      <w:r>
        <w:rPr>
          <w:spacing w:val="-1"/>
          <w:sz w:val="16"/>
        </w:rPr>
        <w:t>60000</w:t>
      </w:r>
    </w:p>
    <w:p>
      <w:pPr>
        <w:pStyle w:val="BodyText"/>
        <w:spacing w:before="1"/>
        <w:rPr>
          <w:sz w:val="14"/>
        </w:rPr>
      </w:pPr>
    </w:p>
    <w:p>
      <w:pPr>
        <w:spacing w:before="1"/>
        <w:ind w:left="206" w:right="0" w:firstLine="0"/>
        <w:jc w:val="left"/>
        <w:rPr>
          <w:sz w:val="16"/>
        </w:rPr>
      </w:pPr>
      <w:r>
        <w:rPr>
          <w:spacing w:val="-1"/>
          <w:sz w:val="16"/>
        </w:rPr>
        <w:t>50000</w:t>
      </w:r>
    </w:p>
    <w:p>
      <w:pPr>
        <w:pStyle w:val="BodyText"/>
        <w:spacing w:before="1"/>
        <w:rPr>
          <w:sz w:val="14"/>
        </w:rPr>
      </w:pPr>
    </w:p>
    <w:p>
      <w:pPr>
        <w:spacing w:before="1"/>
        <w:ind w:left="206" w:right="0" w:firstLine="0"/>
        <w:jc w:val="left"/>
        <w:rPr>
          <w:sz w:val="16"/>
        </w:rPr>
      </w:pPr>
      <w:r>
        <w:rPr>
          <w:spacing w:val="-1"/>
          <w:sz w:val="16"/>
        </w:rPr>
        <w:t>40000</w:t>
      </w:r>
    </w:p>
    <w:p>
      <w:pPr>
        <w:pStyle w:val="BodyText"/>
        <w:spacing w:before="1"/>
        <w:rPr>
          <w:sz w:val="14"/>
        </w:rPr>
      </w:pPr>
    </w:p>
    <w:p>
      <w:pPr>
        <w:spacing w:before="1"/>
        <w:ind w:left="206" w:right="0" w:firstLine="0"/>
        <w:jc w:val="left"/>
        <w:rPr>
          <w:sz w:val="16"/>
        </w:rPr>
      </w:pPr>
      <w:r>
        <w:rPr>
          <w:spacing w:val="-1"/>
          <w:sz w:val="16"/>
        </w:rPr>
        <w:t>30000</w:t>
      </w:r>
    </w:p>
    <w:p>
      <w:pPr>
        <w:pStyle w:val="BodyText"/>
        <w:spacing w:before="1"/>
        <w:rPr>
          <w:sz w:val="14"/>
        </w:rPr>
      </w:pPr>
    </w:p>
    <w:p>
      <w:pPr>
        <w:spacing w:before="1"/>
        <w:ind w:left="206" w:right="0" w:firstLine="0"/>
        <w:jc w:val="left"/>
        <w:rPr>
          <w:sz w:val="16"/>
        </w:rPr>
      </w:pPr>
      <w:r>
        <w:rPr>
          <w:spacing w:val="-1"/>
          <w:sz w:val="16"/>
        </w:rPr>
        <w:t>20000</w:t>
      </w:r>
    </w:p>
    <w:p>
      <w:pPr>
        <w:pStyle w:val="BodyText"/>
        <w:spacing w:before="1"/>
        <w:rPr>
          <w:sz w:val="14"/>
        </w:rPr>
      </w:pPr>
    </w:p>
    <w:p>
      <w:pPr>
        <w:spacing w:before="0"/>
        <w:ind w:left="206" w:right="0" w:firstLine="0"/>
        <w:jc w:val="left"/>
        <w:rPr>
          <w:sz w:val="16"/>
        </w:rPr>
      </w:pPr>
      <w:r>
        <w:rPr>
          <w:spacing w:val="-1"/>
          <w:sz w:val="16"/>
        </w:rPr>
        <w:t>10000</w:t>
      </w:r>
    </w:p>
    <w:p>
      <w:pPr>
        <w:pStyle w:val="BodyText"/>
        <w:spacing w:before="2"/>
        <w:rPr>
          <w:sz w:val="14"/>
        </w:rPr>
      </w:pPr>
    </w:p>
    <w:p>
      <w:pPr>
        <w:spacing w:before="0"/>
        <w:ind w:left="206" w:right="0" w:firstLine="0"/>
        <w:jc w:val="left"/>
        <w:rPr>
          <w:sz w:val="16"/>
        </w:rPr>
      </w:pPr>
      <w:r>
        <w:rPr>
          <w:w w:val="100"/>
          <w:sz w:val="16"/>
        </w:rPr>
        <w:t>0</w:t>
      </w:r>
    </w:p>
    <w:p>
      <w:pPr>
        <w:spacing w:before="111"/>
        <w:ind w:left="562" w:right="0" w:firstLine="0"/>
        <w:jc w:val="center"/>
        <w:rPr>
          <w:sz w:val="16"/>
        </w:rPr>
      </w:pPr>
      <w:r>
        <w:rPr/>
        <w:br w:type="column"/>
      </w:r>
      <w:r>
        <w:rPr>
          <w:sz w:val="16"/>
        </w:rPr>
        <w:t>Average net wealth per household (£, 2013</w:t>
      </w:r>
      <w:r>
        <w:rPr>
          <w:spacing w:val="-16"/>
          <w:sz w:val="16"/>
        </w:rPr>
        <w:t> </w:t>
      </w:r>
      <w:r>
        <w:rPr>
          <w:sz w:val="16"/>
        </w:rPr>
        <w:t>prices)</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2"/>
        <w:rPr>
          <w:sz w:val="21"/>
        </w:rPr>
      </w:pPr>
    </w:p>
    <w:p>
      <w:pPr>
        <w:tabs>
          <w:tab w:pos="902" w:val="left" w:leader="none"/>
          <w:tab w:pos="1287" w:val="left" w:leader="none"/>
          <w:tab w:pos="1672" w:val="left" w:leader="none"/>
          <w:tab w:pos="2057" w:val="left" w:leader="none"/>
          <w:tab w:pos="2442" w:val="left" w:leader="none"/>
          <w:tab w:pos="2827" w:val="left" w:leader="none"/>
          <w:tab w:pos="3211" w:val="left" w:leader="none"/>
          <w:tab w:pos="3596" w:val="left" w:leader="none"/>
          <w:tab w:pos="3936" w:val="left" w:leader="none"/>
        </w:tabs>
        <w:spacing w:before="0"/>
        <w:ind w:left="517" w:right="0" w:firstLine="0"/>
        <w:jc w:val="center"/>
        <w:rPr>
          <w:sz w:val="16"/>
        </w:rPr>
      </w:pPr>
      <w:r>
        <w:rPr/>
        <w:pict>
          <v:group style="position:absolute;margin-left:310.440002pt;margin-top:-160.806076pt;width:192.6pt;height:156.4pt;mso-position-horizontal-relative:page;mso-position-vertical-relative:paragraph;z-index:251686912" coordorigin="6209,-3216" coordsize="3852,3128">
            <v:shape style="position:absolute;left:6211;top:-3214;width:3848;height:3123" coordorigin="6211,-3214" coordsize="3848,3123" path="m10058,-91l10058,-3214m10010,-91l10058,-91m10010,-612l10058,-612m10010,-1133l10058,-1133m10010,-1654l10058,-1654m10010,-2175l10058,-2175m10010,-2693l10058,-2693m10010,-3214l10058,-3214m6211,-612l10058,-612m6211,-660l6211,-612m6595,-660l6595,-612m6979,-660l6979,-612m7366,-660l7366,-612m7750,-660l7750,-612m8134,-660l8134,-612m8520,-660l8520,-612m8904,-660l8904,-612m9288,-660l9288,-612m9674,-660l9674,-612m10058,-660l10058,-612e" filled="false" stroked="true" strokeweight=".24pt" strokecolor="#000000">
              <v:path arrowok="t"/>
              <v:stroke dashstyle="solid"/>
            </v:shape>
            <v:shape style="position:absolute;left:6403;top:-2360;width:3464;height:1755" coordorigin="6403,-2359" coordsize="3464,1755" path="m6403,-605l6787,-624,7171,-658,7558,-720,7942,-792,8326,-871,8712,-967,9096,-1102,9480,-1337,9866,-2359e" filled="false" stroked="true" strokeweight="2.16pt" strokecolor="#497dba">
              <v:path arrowok="t"/>
              <v:stroke dashstyle="solid"/>
            </v:shape>
            <v:shape style="position:absolute;left:6403;top:-2641;width:3464;height:2026" coordorigin="6403,-2640" coordsize="3464,2026" path="m6403,-615l6787,-634,7171,-670,7558,-732,7942,-804,8326,-893,8712,-1011,9096,-1179,9480,-1469,9866,-2640e" filled="false" stroked="true" strokeweight="2.16pt" strokecolor="#bd4a47">
              <v:path arrowok="t"/>
              <v:stroke dashstyle="solid"/>
            </v:shape>
            <v:line style="position:absolute" from="6396,-2998" to="6780,-2998" stroked="true" strokeweight="2.16pt" strokecolor="#497dba">
              <v:stroke dashstyle="solid"/>
            </v:line>
            <v:line style="position:absolute" from="6396,-2695" to="6780,-2695" stroked="true" strokeweight="2.16pt" strokecolor="#bd4a47">
              <v:stroke dashstyle="solid"/>
            </v:line>
            <v:shape style="position:absolute;left:6821;top:-3092;width:609;height:484" type="#_x0000_t202" filled="false" stroked="false">
              <v:textbox inset="0,0,0,0">
                <w:txbxContent>
                  <w:p>
                    <w:pPr>
                      <w:spacing w:line="179" w:lineRule="exact" w:before="0"/>
                      <w:ind w:left="0" w:right="0" w:firstLine="0"/>
                      <w:jc w:val="left"/>
                      <w:rPr>
                        <w:sz w:val="16"/>
                      </w:rPr>
                    </w:pPr>
                    <w:r>
                      <w:rPr>
                        <w:sz w:val="16"/>
                      </w:rPr>
                      <w:t>2006-08</w:t>
                    </w:r>
                  </w:p>
                  <w:p>
                    <w:pPr>
                      <w:spacing w:before="119"/>
                      <w:ind w:left="0" w:right="0" w:firstLine="0"/>
                      <w:jc w:val="left"/>
                      <w:rPr>
                        <w:sz w:val="16"/>
                      </w:rPr>
                    </w:pPr>
                    <w:r>
                      <w:rPr>
                        <w:sz w:val="16"/>
                      </w:rPr>
                      <w:t>2012-14</w:t>
                    </w:r>
                  </w:p>
                </w:txbxContent>
              </v:textbox>
              <w10:wrap type="none"/>
            </v:shape>
            <w10:wrap type="none"/>
          </v:group>
        </w:pict>
      </w:r>
      <w:r>
        <w:rPr>
          <w:sz w:val="16"/>
        </w:rPr>
        <w:t>1</w:t>
        <w:tab/>
        <w:t>2</w:t>
        <w:tab/>
        <w:t>3</w:t>
        <w:tab/>
        <w:t>4</w:t>
        <w:tab/>
        <w:t>5</w:t>
        <w:tab/>
        <w:t>6</w:t>
        <w:tab/>
        <w:t>7</w:t>
        <w:tab/>
        <w:t>8</w:t>
        <w:tab/>
        <w:t>9</w:t>
        <w:tab/>
        <w:t>10</w:t>
      </w:r>
    </w:p>
    <w:p>
      <w:pPr>
        <w:spacing w:before="42"/>
        <w:ind w:left="625" w:right="0" w:firstLine="0"/>
        <w:jc w:val="center"/>
        <w:rPr>
          <w:sz w:val="16"/>
        </w:rPr>
      </w:pPr>
      <w:r>
        <w:rPr>
          <w:sz w:val="16"/>
        </w:rPr>
        <w:t>Net wealth decile</w:t>
      </w:r>
    </w:p>
    <w:p>
      <w:pPr>
        <w:pStyle w:val="BodyText"/>
        <w:rPr>
          <w:sz w:val="18"/>
        </w:rPr>
      </w:pPr>
      <w:r>
        <w:rPr/>
        <w:br w:type="column"/>
      </w:r>
      <w:r>
        <w:rPr>
          <w:sz w:val="18"/>
        </w:rPr>
      </w:r>
    </w:p>
    <w:p>
      <w:pPr>
        <w:spacing w:before="124"/>
        <w:ind w:left="184" w:right="0" w:firstLine="0"/>
        <w:jc w:val="left"/>
        <w:rPr>
          <w:sz w:val="16"/>
        </w:rPr>
      </w:pPr>
      <w:r>
        <w:rPr>
          <w:sz w:val="16"/>
        </w:rPr>
        <w:t>2500000</w:t>
      </w:r>
    </w:p>
    <w:p>
      <w:pPr>
        <w:pStyle w:val="BodyText"/>
        <w:rPr>
          <w:sz w:val="18"/>
        </w:rPr>
      </w:pPr>
    </w:p>
    <w:p>
      <w:pPr>
        <w:spacing w:before="129"/>
        <w:ind w:left="184" w:right="0" w:firstLine="0"/>
        <w:jc w:val="left"/>
        <w:rPr>
          <w:sz w:val="16"/>
        </w:rPr>
      </w:pPr>
      <w:r>
        <w:rPr>
          <w:sz w:val="16"/>
        </w:rPr>
        <w:t>2000000</w:t>
      </w:r>
    </w:p>
    <w:p>
      <w:pPr>
        <w:pStyle w:val="BodyText"/>
        <w:rPr>
          <w:sz w:val="18"/>
        </w:rPr>
      </w:pPr>
    </w:p>
    <w:p>
      <w:pPr>
        <w:spacing w:before="130"/>
        <w:ind w:left="184" w:right="0" w:firstLine="0"/>
        <w:jc w:val="left"/>
        <w:rPr>
          <w:sz w:val="16"/>
        </w:rPr>
      </w:pPr>
      <w:r>
        <w:rPr>
          <w:sz w:val="16"/>
        </w:rPr>
        <w:t>1500000</w:t>
      </w:r>
    </w:p>
    <w:p>
      <w:pPr>
        <w:pStyle w:val="BodyText"/>
        <w:rPr>
          <w:sz w:val="18"/>
        </w:rPr>
      </w:pPr>
    </w:p>
    <w:p>
      <w:pPr>
        <w:spacing w:before="129"/>
        <w:ind w:left="184" w:right="0" w:firstLine="0"/>
        <w:jc w:val="left"/>
        <w:rPr>
          <w:sz w:val="16"/>
        </w:rPr>
      </w:pPr>
      <w:r>
        <w:rPr>
          <w:sz w:val="16"/>
        </w:rPr>
        <w:t>1000000</w:t>
      </w:r>
    </w:p>
    <w:p>
      <w:pPr>
        <w:pStyle w:val="BodyText"/>
        <w:rPr>
          <w:sz w:val="18"/>
        </w:rPr>
      </w:pPr>
    </w:p>
    <w:p>
      <w:pPr>
        <w:spacing w:before="130"/>
        <w:ind w:left="184" w:right="0" w:firstLine="0"/>
        <w:jc w:val="left"/>
        <w:rPr>
          <w:sz w:val="16"/>
        </w:rPr>
      </w:pPr>
      <w:r>
        <w:rPr>
          <w:sz w:val="16"/>
        </w:rPr>
        <w:t>500000</w:t>
      </w:r>
    </w:p>
    <w:p>
      <w:pPr>
        <w:pStyle w:val="BodyText"/>
        <w:rPr>
          <w:sz w:val="18"/>
        </w:rPr>
      </w:pPr>
    </w:p>
    <w:p>
      <w:pPr>
        <w:spacing w:before="129"/>
        <w:ind w:left="184" w:right="0" w:firstLine="0"/>
        <w:jc w:val="left"/>
        <w:rPr>
          <w:sz w:val="16"/>
        </w:rPr>
      </w:pPr>
      <w:r>
        <w:rPr>
          <w:w w:val="100"/>
          <w:sz w:val="16"/>
        </w:rPr>
        <w:t>0</w:t>
      </w:r>
    </w:p>
    <w:p>
      <w:pPr>
        <w:pStyle w:val="BodyText"/>
        <w:rPr>
          <w:sz w:val="18"/>
        </w:rPr>
      </w:pPr>
    </w:p>
    <w:p>
      <w:pPr>
        <w:spacing w:before="129"/>
        <w:ind w:left="184" w:right="0" w:firstLine="0"/>
        <w:jc w:val="left"/>
        <w:rPr>
          <w:sz w:val="16"/>
        </w:rPr>
      </w:pPr>
      <w:r>
        <w:rPr>
          <w:sz w:val="16"/>
        </w:rPr>
        <w:t>-500000</w:t>
      </w:r>
    </w:p>
    <w:p>
      <w:pPr>
        <w:spacing w:after="0"/>
        <w:jc w:val="left"/>
        <w:rPr>
          <w:sz w:val="16"/>
        </w:rPr>
        <w:sectPr>
          <w:type w:val="continuous"/>
          <w:pgSz w:w="11910" w:h="16840"/>
          <w:pgMar w:top="1180" w:bottom="1520" w:left="820" w:right="960"/>
          <w:cols w:num="4" w:equalWidth="0">
            <w:col w:w="4274" w:space="40"/>
            <w:col w:w="651" w:space="39"/>
            <w:col w:w="4149" w:space="40"/>
            <w:col w:w="937"/>
          </w:cols>
        </w:sectPr>
      </w:pPr>
    </w:p>
    <w:p>
      <w:pPr>
        <w:tabs>
          <w:tab w:pos="5154" w:val="left" w:leader="none"/>
        </w:tabs>
        <w:spacing w:before="68"/>
        <w:ind w:left="313" w:right="0" w:firstLine="0"/>
        <w:jc w:val="left"/>
        <w:rPr>
          <w:sz w:val="16"/>
        </w:rPr>
      </w:pPr>
      <w:r>
        <w:rPr>
          <w:sz w:val="16"/>
        </w:rPr>
        <w:t>Sources:  ONS and</w:t>
      </w:r>
      <w:r>
        <w:rPr>
          <w:spacing w:val="-10"/>
          <w:sz w:val="16"/>
        </w:rPr>
        <w:t> </w:t>
      </w:r>
      <w:r>
        <w:rPr>
          <w:sz w:val="16"/>
        </w:rPr>
        <w:t>Bank</w:t>
      </w:r>
      <w:r>
        <w:rPr>
          <w:spacing w:val="-3"/>
          <w:sz w:val="16"/>
        </w:rPr>
        <w:t> </w:t>
      </w:r>
      <w:r>
        <w:rPr>
          <w:sz w:val="16"/>
        </w:rPr>
        <w:t>calculations</w:t>
        <w:tab/>
        <w:t>Sources: ONS and Bank</w:t>
      </w:r>
      <w:r>
        <w:rPr>
          <w:spacing w:val="-4"/>
          <w:sz w:val="16"/>
        </w:rPr>
        <w:t> </w:t>
      </w:r>
      <w:r>
        <w:rPr>
          <w:sz w:val="16"/>
        </w:rPr>
        <w:t>calculations</w:t>
      </w:r>
    </w:p>
    <w:p>
      <w:pPr>
        <w:pStyle w:val="BodyText"/>
      </w:pPr>
    </w:p>
    <w:p>
      <w:pPr>
        <w:pStyle w:val="BodyText"/>
      </w:pPr>
    </w:p>
    <w:p>
      <w:pPr>
        <w:pStyle w:val="BodyText"/>
      </w:pPr>
    </w:p>
    <w:p>
      <w:pPr>
        <w:pStyle w:val="BodyText"/>
        <w:spacing w:before="2"/>
        <w:rPr>
          <w:sz w:val="26"/>
        </w:rPr>
      </w:pPr>
    </w:p>
    <w:p>
      <w:pPr>
        <w:spacing w:after="0"/>
        <w:rPr>
          <w:sz w:val="26"/>
        </w:rPr>
        <w:sectPr>
          <w:type w:val="continuous"/>
          <w:pgSz w:w="11910" w:h="16840"/>
          <w:pgMar w:top="1180" w:bottom="1520" w:left="820" w:right="960"/>
        </w:sectPr>
      </w:pPr>
    </w:p>
    <w:p>
      <w:pPr>
        <w:pStyle w:val="Heading1"/>
        <w:spacing w:line="276" w:lineRule="auto" w:before="93"/>
      </w:pPr>
      <w:r>
        <w:rPr/>
        <w:t>Chart 7: Impact of tighter monetary policy on GDP (counterfactual)</w:t>
      </w:r>
    </w:p>
    <w:p>
      <w:pPr>
        <w:spacing w:before="76"/>
        <w:ind w:left="0" w:right="185" w:firstLine="0"/>
        <w:jc w:val="right"/>
        <w:rPr>
          <w:sz w:val="16"/>
        </w:rPr>
      </w:pPr>
      <w:r>
        <w:rPr>
          <w:sz w:val="16"/>
        </w:rPr>
        <w:t>Index, 2007 = 100</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spacing w:before="9"/>
        <w:rPr>
          <w:sz w:val="14"/>
        </w:rPr>
      </w:pPr>
    </w:p>
    <w:p>
      <w:pPr>
        <w:spacing w:before="0"/>
        <w:ind w:left="-40" w:right="0" w:firstLine="0"/>
        <w:jc w:val="left"/>
        <w:rPr>
          <w:sz w:val="16"/>
        </w:rPr>
      </w:pPr>
      <w:r>
        <w:rPr>
          <w:spacing w:val="-1"/>
          <w:sz w:val="16"/>
        </w:rPr>
        <w:t>110</w:t>
      </w:r>
    </w:p>
    <w:p>
      <w:pPr>
        <w:pStyle w:val="BodyText"/>
        <w:rPr>
          <w:sz w:val="18"/>
        </w:rPr>
      </w:pPr>
    </w:p>
    <w:p>
      <w:pPr>
        <w:spacing w:before="105"/>
        <w:ind w:left="-40" w:right="0" w:firstLine="0"/>
        <w:jc w:val="left"/>
        <w:rPr>
          <w:sz w:val="16"/>
        </w:rPr>
      </w:pPr>
      <w:r>
        <w:rPr>
          <w:spacing w:val="-1"/>
          <w:sz w:val="16"/>
        </w:rPr>
        <w:t>105</w:t>
      </w:r>
    </w:p>
    <w:p>
      <w:pPr>
        <w:pStyle w:val="BodyText"/>
        <w:rPr>
          <w:sz w:val="18"/>
        </w:rPr>
      </w:pPr>
    </w:p>
    <w:p>
      <w:pPr>
        <w:spacing w:before="105"/>
        <w:ind w:left="-40" w:right="0" w:firstLine="0"/>
        <w:jc w:val="left"/>
        <w:rPr>
          <w:sz w:val="16"/>
        </w:rPr>
      </w:pPr>
      <w:r>
        <w:rPr>
          <w:spacing w:val="-1"/>
          <w:sz w:val="16"/>
        </w:rPr>
        <w:t>100</w:t>
      </w:r>
    </w:p>
    <w:p>
      <w:pPr>
        <w:pStyle w:val="BodyText"/>
        <w:rPr>
          <w:sz w:val="18"/>
        </w:rPr>
      </w:pPr>
    </w:p>
    <w:p>
      <w:pPr>
        <w:spacing w:before="104"/>
        <w:ind w:left="-40" w:right="0" w:firstLine="0"/>
        <w:jc w:val="left"/>
        <w:rPr>
          <w:sz w:val="16"/>
        </w:rPr>
      </w:pPr>
      <w:r>
        <w:rPr>
          <w:sz w:val="16"/>
        </w:rPr>
        <w:t>95</w:t>
      </w:r>
    </w:p>
    <w:p>
      <w:pPr>
        <w:pStyle w:val="Heading1"/>
        <w:spacing w:line="276" w:lineRule="auto" w:before="93"/>
        <w:ind w:left="219"/>
      </w:pPr>
      <w:r>
        <w:rPr>
          <w:b w:val="0"/>
        </w:rPr>
        <w:br w:type="column"/>
      </w:r>
      <w:r>
        <w:rPr/>
        <w:t>Chart 8: Impact of tighter monetary policy on unemployment (counterfactual)</w:t>
      </w:r>
    </w:p>
    <w:p>
      <w:pPr>
        <w:spacing w:before="74"/>
        <w:ind w:left="3504" w:right="0" w:firstLine="0"/>
        <w:jc w:val="left"/>
        <w:rPr>
          <w:sz w:val="17"/>
        </w:rPr>
      </w:pPr>
      <w:r>
        <w:rPr>
          <w:sz w:val="17"/>
        </w:rPr>
        <w:t>Per cent</w:t>
      </w:r>
    </w:p>
    <w:p>
      <w:pPr>
        <w:spacing w:before="18"/>
        <w:ind w:left="4443" w:right="0" w:firstLine="0"/>
        <w:jc w:val="left"/>
        <w:rPr>
          <w:sz w:val="16"/>
        </w:rPr>
      </w:pPr>
      <w:r>
        <w:rPr/>
        <w:pict>
          <v:group style="position:absolute;margin-left:312.720001pt;margin-top:5.565506pt;width:190.95pt;height:143.85pt;mso-position-horizontal-relative:page;mso-position-vertical-relative:paragraph;z-index:251691008" coordorigin="6254,111" coordsize="3819,2877">
            <v:shape style="position:absolute;left:6304;top:117;width:3754;height:2868" coordorigin="6305,118" coordsize="3754,2868" path="m10058,2986l10058,118m10010,2986l10058,2986m10010,2578l10058,2578m10010,2167l10058,2167m10010,1757l10058,1757m10010,1346l10058,1346m10010,938l10058,938m10010,528l10058,528m10010,118l10058,118m6305,2986l10058,2986m6305,2938l6305,2986m7164,2938l7164,2986m8021,2938l8021,2986m8880,2938l8880,2986m9737,2938l9737,2986e" filled="false" stroked="true" strokeweight=".24pt" strokecolor="#000000">
              <v:path arrowok="t"/>
              <v:stroke dashstyle="solid"/>
            </v:shape>
            <v:shape style="position:absolute;left:6304;top:504;width:3754;height:1428" coordorigin="6305,504" coordsize="3754,1428" path="m6305,1913l6413,1865,6521,1862,6626,1860,6734,1858,6842,1891,6948,1901,7056,1932,7164,1910,7272,1853,7378,1740,7486,1541,7594,1214,7699,938,7807,828,7915,766,8021,658,8129,653,8237,650,8342,617,8450,626,8558,590,8664,518,8772,504,8880,521,8988,535,9094,542,9202,528,9310,514,9415,533,9523,571,9631,660,9737,773,9845,890,9953,977,10058,1049e" filled="false" stroked="true" strokeweight="1.44pt" strokecolor="#a21a7d">
              <v:path arrowok="t"/>
              <v:stroke dashstyle="solid"/>
            </v:shape>
            <v:shape style="position:absolute;left:6304;top:1269;width:3754;height:660" coordorigin="6305,1270" coordsize="3754,660" path="m6305,1913l6413,1865,6521,1862,6626,1860,6734,1858,6842,1889,6948,1898,7056,1930,7164,1925,7272,1891,7378,1786,7486,1685,7594,1538,7699,1394,7807,1378,7915,1394,8021,1346,8129,1378,8237,1397,8342,1375,8450,1392,8558,1361,8664,1277,8772,1270,8880,1306,8988,1344,9094,1375,9202,1385,9310,1378,9415,1399,9523,1426,9631,1505,9737,1601,9845,1699,9953,1764,10058,1817e" filled="false" stroked="true" strokeweight="1.44pt" strokecolor="#165687">
              <v:path arrowok="t"/>
              <v:stroke dashstyle="solid"/>
            </v:shape>
            <v:line style="position:absolute" from="6254,607" to="6638,607" stroked="true" strokeweight="1.44pt" strokecolor="#165687">
              <v:stroke dashstyle="solid"/>
            </v:line>
            <v:shape style="position:absolute;left:6254;top:111;width:3819;height:2877" type="#_x0000_t202" filled="false" stroked="false">
              <v:textbox inset="0,0,0,0">
                <w:txbxContent>
                  <w:p>
                    <w:pPr>
                      <w:tabs>
                        <w:tab w:pos="423" w:val="left" w:leader="none"/>
                      </w:tabs>
                      <w:spacing w:line="460" w:lineRule="auto" w:before="42"/>
                      <w:ind w:left="426" w:right="1024" w:hanging="427"/>
                      <w:jc w:val="left"/>
                      <w:rPr>
                        <w:sz w:val="16"/>
                      </w:rPr>
                    </w:pPr>
                    <w:r>
                      <w:rPr>
                        <w:w w:val="100"/>
                        <w:position w:val="5"/>
                        <w:sz w:val="16"/>
                        <w:u w:val="thick" w:color="A21A7D"/>
                      </w:rPr>
                      <w:t> </w:t>
                    </w:r>
                    <w:r>
                      <w:rPr>
                        <w:position w:val="5"/>
                        <w:sz w:val="16"/>
                        <w:u w:val="thick" w:color="A21A7D"/>
                      </w:rPr>
                      <w:tab/>
                    </w:r>
                    <w:r>
                      <w:rPr>
                        <w:sz w:val="16"/>
                      </w:rPr>
                      <w:t>Scenario without policy loosening Data</w:t>
                    </w:r>
                  </w:p>
                </w:txbxContent>
              </v:textbox>
              <w10:wrap type="none"/>
            </v:shape>
            <w10:wrap type="none"/>
          </v:group>
        </w:pict>
      </w:r>
      <w:r>
        <w:rPr>
          <w:sz w:val="16"/>
        </w:rPr>
        <w:t>14</w:t>
      </w:r>
    </w:p>
    <w:p>
      <w:pPr>
        <w:pStyle w:val="BodyText"/>
        <w:spacing w:before="7"/>
        <w:rPr>
          <w:sz w:val="19"/>
        </w:rPr>
      </w:pPr>
    </w:p>
    <w:p>
      <w:pPr>
        <w:spacing w:before="0"/>
        <w:ind w:left="4443" w:right="0" w:firstLine="0"/>
        <w:jc w:val="left"/>
        <w:rPr>
          <w:sz w:val="16"/>
        </w:rPr>
      </w:pPr>
      <w:r>
        <w:rPr>
          <w:sz w:val="16"/>
        </w:rPr>
        <w:t>12</w:t>
      </w:r>
    </w:p>
    <w:p>
      <w:pPr>
        <w:pStyle w:val="BodyText"/>
        <w:spacing w:before="8"/>
        <w:rPr>
          <w:sz w:val="19"/>
        </w:rPr>
      </w:pPr>
    </w:p>
    <w:p>
      <w:pPr>
        <w:spacing w:before="0"/>
        <w:ind w:left="4443" w:right="0" w:firstLine="0"/>
        <w:jc w:val="left"/>
        <w:rPr>
          <w:sz w:val="16"/>
        </w:rPr>
      </w:pPr>
      <w:r>
        <w:rPr>
          <w:sz w:val="16"/>
        </w:rPr>
        <w:t>10</w:t>
      </w:r>
    </w:p>
    <w:p>
      <w:pPr>
        <w:pStyle w:val="BodyText"/>
        <w:spacing w:before="7"/>
        <w:rPr>
          <w:sz w:val="19"/>
        </w:rPr>
      </w:pPr>
    </w:p>
    <w:p>
      <w:pPr>
        <w:spacing w:before="0"/>
        <w:ind w:left="4443" w:right="0" w:firstLine="0"/>
        <w:jc w:val="left"/>
        <w:rPr>
          <w:sz w:val="16"/>
        </w:rPr>
      </w:pPr>
      <w:r>
        <w:rPr>
          <w:w w:val="100"/>
          <w:sz w:val="16"/>
        </w:rPr>
        <w:t>8</w:t>
      </w:r>
    </w:p>
    <w:p>
      <w:pPr>
        <w:pStyle w:val="BodyText"/>
        <w:spacing w:before="7"/>
        <w:rPr>
          <w:sz w:val="19"/>
        </w:rPr>
      </w:pPr>
    </w:p>
    <w:p>
      <w:pPr>
        <w:spacing w:before="0"/>
        <w:ind w:left="4443" w:right="0" w:firstLine="0"/>
        <w:jc w:val="left"/>
        <w:rPr>
          <w:sz w:val="16"/>
        </w:rPr>
      </w:pPr>
      <w:r>
        <w:rPr>
          <w:w w:val="100"/>
          <w:sz w:val="16"/>
        </w:rPr>
        <w:t>6</w:t>
      </w:r>
    </w:p>
    <w:p>
      <w:pPr>
        <w:spacing w:after="0"/>
        <w:jc w:val="left"/>
        <w:rPr>
          <w:sz w:val="16"/>
        </w:rPr>
        <w:sectPr>
          <w:type w:val="continuous"/>
          <w:pgSz w:w="11910" w:h="16840"/>
          <w:pgMar w:top="1180" w:bottom="1520" w:left="820" w:right="960"/>
          <w:cols w:num="3" w:equalWidth="0">
            <w:col w:w="4629" w:space="40"/>
            <w:col w:w="227" w:space="39"/>
            <w:col w:w="5195"/>
          </w:cols>
        </w:sectPr>
      </w:pPr>
    </w:p>
    <w:p>
      <w:pPr>
        <w:pStyle w:val="BodyText"/>
        <w:spacing w:before="4"/>
        <w:rPr>
          <w:sz w:val="11"/>
        </w:rPr>
      </w:pPr>
    </w:p>
    <w:p>
      <w:pPr>
        <w:spacing w:after="0"/>
        <w:rPr>
          <w:sz w:val="11"/>
        </w:rPr>
        <w:sectPr>
          <w:type w:val="continuous"/>
          <w:pgSz w:w="11910" w:h="16840"/>
          <w:pgMar w:top="1180" w:bottom="1520" w:left="820" w:right="960"/>
        </w:sectPr>
      </w:pPr>
    </w:p>
    <w:p>
      <w:pPr>
        <w:spacing w:before="117"/>
        <w:ind w:left="4629" w:right="0" w:firstLine="0"/>
        <w:jc w:val="left"/>
        <w:rPr>
          <w:sz w:val="16"/>
        </w:rPr>
      </w:pPr>
      <w:r>
        <w:rPr/>
        <w:pict>
          <v:group style="position:absolute;margin-left:70.800003pt;margin-top:-88.386108pt;width:195.4pt;height:148.950pt;mso-position-horizontal-relative:page;mso-position-vertical-relative:paragraph;z-index:251688960" coordorigin="1416,-1768" coordsize="3908,2979">
            <v:shape style="position:absolute;left:1430;top:-1766;width:3879;height:2974" coordorigin="1430,-1765" coordsize="3879,2974" path="m5309,1208l5309,-1765m5261,1208l5309,1208m5261,711l5309,711m5261,217l5309,217m5261,-280l5309,-280m5261,-774l5309,-774m5261,-1269l5309,-1269m5261,-1765l5309,-1765m1430,1208l5309,1208m1430,1160l1430,1208m2316,1160l2316,1208m3204,1160l3204,1208m4090,1160l4090,1208m4975,1160l4975,1208e" filled="false" stroked="true" strokeweight=".24pt" strokecolor="#000000">
              <v:path arrowok="t"/>
              <v:stroke dashstyle="solid"/>
            </v:shape>
            <v:shape style="position:absolute;left:1430;top:-887;width:3879;height:1162" coordorigin="1430,-887" coordsize="3879,1162" path="m1430,-496l1541,-517,1654,-532,1764,-565,1874,-664,1985,-736,2095,-810,2206,-887,2316,-880,2429,-786,2539,-606,2650,-285,2760,47,2870,186,2981,253,3094,275,3204,270,3314,207,3425,171,3535,167,3646,119,3758,109,3869,66,3979,47,4090,20,4200,44,4310,-40,4423,-4,4534,-54,4644,-105,4754,-181,4865,-239,4975,-340,5088,-445,5198,-549,5309,-642e" filled="false" stroked="true" strokeweight="1.44pt" strokecolor="#a21a7d">
              <v:path arrowok="t"/>
              <v:stroke dashstyle="solid"/>
            </v:shape>
            <v:shape style="position:absolute;left:1430;top:-1375;width:3879;height:1107" coordorigin="1430,-1374" coordsize="3879,1107" path="m1430,-496l1541,-517,1654,-532,1764,-565,1874,-664,1985,-736,2095,-810,2206,-887,2316,-901,2429,-834,2539,-666,2650,-445,2760,-289,2870,-268,2981,-275,3094,-313,3204,-364,3314,-460,3425,-515,3535,-525,3646,-580,3758,-587,3869,-628,3979,-652,4090,-695,4200,-688,4310,-798,4423,-777,4534,-839,4644,-889,4754,-966,4865,-1017,4975,-1108,5088,-1204,5198,-1293,5309,-1374e" filled="false" stroked="true" strokeweight="1.44pt" strokecolor="#165687">
              <v:path arrowok="t"/>
              <v:stroke dashstyle="solid"/>
            </v:shape>
            <v:line style="position:absolute" from="1651,-1612" to="2035,-1612" stroked="true" strokeweight="1.44pt" strokecolor="#a21a7d">
              <v:stroke dashstyle="solid"/>
            </v:line>
            <v:line style="position:absolute" from="1651,-1273" to="2035,-1273" stroked="true" strokeweight="1.44pt" strokecolor="#165687">
              <v:stroke dashstyle="solid"/>
            </v:line>
            <v:shape style="position:absolute;left:1416;top:-1768;width:3908;height:2979" type="#_x0000_t202" filled="false" stroked="false">
              <v:textbox inset="0,0,0,0">
                <w:txbxContent>
                  <w:p>
                    <w:pPr>
                      <w:spacing w:line="439" w:lineRule="auto" w:before="56"/>
                      <w:ind w:left="662" w:right="860" w:firstLine="0"/>
                      <w:jc w:val="left"/>
                      <w:rPr>
                        <w:sz w:val="16"/>
                      </w:rPr>
                    </w:pPr>
                    <w:r>
                      <w:rPr>
                        <w:sz w:val="16"/>
                      </w:rPr>
                      <w:t>Scenario without policy loosening Data</w:t>
                    </w:r>
                  </w:p>
                </w:txbxContent>
              </v:textbox>
              <w10:wrap type="none"/>
            </v:shape>
            <w10:wrap type="none"/>
          </v:group>
        </w:pict>
      </w:r>
      <w:r>
        <w:rPr>
          <w:spacing w:val="-1"/>
          <w:sz w:val="16"/>
        </w:rPr>
        <w:t>90</w:t>
      </w:r>
    </w:p>
    <w:p>
      <w:pPr>
        <w:pStyle w:val="BodyText"/>
        <w:rPr>
          <w:sz w:val="18"/>
        </w:rPr>
      </w:pPr>
    </w:p>
    <w:p>
      <w:pPr>
        <w:spacing w:before="105"/>
        <w:ind w:left="4629" w:right="0" w:firstLine="0"/>
        <w:jc w:val="left"/>
        <w:rPr>
          <w:sz w:val="16"/>
        </w:rPr>
      </w:pPr>
      <w:r>
        <w:rPr>
          <w:spacing w:val="-1"/>
          <w:sz w:val="16"/>
        </w:rPr>
        <w:t>85</w:t>
      </w:r>
    </w:p>
    <w:p>
      <w:pPr>
        <w:pStyle w:val="BodyText"/>
        <w:rPr>
          <w:sz w:val="18"/>
        </w:rPr>
      </w:pPr>
    </w:p>
    <w:p>
      <w:pPr>
        <w:spacing w:before="104"/>
        <w:ind w:left="4629" w:right="0" w:firstLine="0"/>
        <w:jc w:val="left"/>
        <w:rPr>
          <w:sz w:val="16"/>
        </w:rPr>
      </w:pPr>
      <w:r>
        <w:rPr>
          <w:spacing w:val="-1"/>
          <w:sz w:val="16"/>
        </w:rPr>
        <w:t>80</w:t>
      </w:r>
    </w:p>
    <w:p>
      <w:pPr>
        <w:tabs>
          <w:tab w:pos="1320" w:val="left" w:leader="none"/>
          <w:tab w:pos="2207" w:val="left" w:leader="none"/>
          <w:tab w:pos="3093" w:val="left" w:leader="none"/>
          <w:tab w:pos="3980" w:val="left" w:leader="none"/>
        </w:tabs>
        <w:spacing w:before="7"/>
        <w:ind w:left="434" w:right="0" w:firstLine="0"/>
        <w:jc w:val="left"/>
        <w:rPr>
          <w:sz w:val="16"/>
        </w:rPr>
      </w:pPr>
      <w:r>
        <w:rPr>
          <w:sz w:val="16"/>
        </w:rPr>
        <w:t>2006</w:t>
        <w:tab/>
        <w:t>2008</w:t>
        <w:tab/>
        <w:t>2010</w:t>
        <w:tab/>
        <w:t>2012</w:t>
        <w:tab/>
        <w:t>2014</w:t>
      </w:r>
    </w:p>
    <w:p>
      <w:pPr>
        <w:spacing w:before="96"/>
        <w:ind w:left="4504" w:right="0" w:firstLine="0"/>
        <w:jc w:val="left"/>
        <w:rPr>
          <w:sz w:val="16"/>
        </w:rPr>
      </w:pPr>
      <w:r>
        <w:rPr/>
        <w:br w:type="column"/>
      </w:r>
      <w:r>
        <w:rPr>
          <w:sz w:val="16"/>
        </w:rPr>
        <w:t>4</w:t>
      </w:r>
    </w:p>
    <w:p>
      <w:pPr>
        <w:pStyle w:val="BodyText"/>
        <w:spacing w:before="7"/>
        <w:rPr>
          <w:sz w:val="19"/>
        </w:rPr>
      </w:pPr>
    </w:p>
    <w:p>
      <w:pPr>
        <w:spacing w:before="0"/>
        <w:ind w:left="4504" w:right="0" w:firstLine="0"/>
        <w:jc w:val="left"/>
        <w:rPr>
          <w:sz w:val="16"/>
        </w:rPr>
      </w:pPr>
      <w:r>
        <w:rPr>
          <w:w w:val="100"/>
          <w:sz w:val="16"/>
        </w:rPr>
        <w:t>2</w:t>
      </w:r>
    </w:p>
    <w:p>
      <w:pPr>
        <w:pStyle w:val="BodyText"/>
        <w:spacing w:before="7"/>
        <w:rPr>
          <w:sz w:val="19"/>
        </w:rPr>
      </w:pPr>
    </w:p>
    <w:p>
      <w:pPr>
        <w:spacing w:before="1"/>
        <w:ind w:left="4504" w:right="0" w:firstLine="0"/>
        <w:jc w:val="left"/>
        <w:rPr>
          <w:sz w:val="16"/>
        </w:rPr>
      </w:pPr>
      <w:r>
        <w:rPr>
          <w:w w:val="100"/>
          <w:sz w:val="16"/>
        </w:rPr>
        <w:t>0</w:t>
      </w:r>
    </w:p>
    <w:p>
      <w:pPr>
        <w:tabs>
          <w:tab w:pos="1292" w:val="left" w:leader="none"/>
          <w:tab w:pos="2150" w:val="left" w:leader="none"/>
          <w:tab w:pos="3008" w:val="left" w:leader="none"/>
          <w:tab w:pos="3867" w:val="left" w:leader="none"/>
        </w:tabs>
        <w:spacing w:before="7"/>
        <w:ind w:left="434" w:right="0" w:firstLine="0"/>
        <w:jc w:val="left"/>
        <w:rPr>
          <w:sz w:val="16"/>
        </w:rPr>
      </w:pPr>
      <w:r>
        <w:rPr>
          <w:sz w:val="16"/>
        </w:rPr>
        <w:t>2006</w:t>
        <w:tab/>
        <w:t>2008</w:t>
        <w:tab/>
        <w:t>2010</w:t>
        <w:tab/>
        <w:t>2012</w:t>
        <w:tab/>
        <w:t>2014</w:t>
      </w:r>
    </w:p>
    <w:p>
      <w:pPr>
        <w:spacing w:after="0"/>
        <w:jc w:val="left"/>
        <w:rPr>
          <w:sz w:val="16"/>
        </w:rPr>
        <w:sectPr>
          <w:type w:val="continuous"/>
          <w:pgSz w:w="11910" w:h="16840"/>
          <w:pgMar w:top="1180" w:bottom="1520" w:left="820" w:right="960"/>
          <w:cols w:num="2" w:equalWidth="0">
            <w:col w:w="4807" w:space="67"/>
            <w:col w:w="5256"/>
          </w:cols>
        </w:sectPr>
      </w:pPr>
    </w:p>
    <w:p>
      <w:pPr>
        <w:pStyle w:val="BodyText"/>
        <w:spacing w:before="2"/>
        <w:rPr>
          <w:sz w:val="10"/>
        </w:rPr>
      </w:pPr>
    </w:p>
    <w:p>
      <w:pPr>
        <w:tabs>
          <w:tab w:pos="5154" w:val="left" w:leader="none"/>
        </w:tabs>
        <w:spacing w:before="96"/>
        <w:ind w:left="313" w:right="0" w:firstLine="0"/>
        <w:jc w:val="left"/>
        <w:rPr>
          <w:sz w:val="16"/>
        </w:rPr>
      </w:pPr>
      <w:r>
        <w:rPr>
          <w:sz w:val="16"/>
        </w:rPr>
        <w:t>Sources:  ONS and</w:t>
      </w:r>
      <w:r>
        <w:rPr>
          <w:spacing w:val="-10"/>
          <w:sz w:val="16"/>
        </w:rPr>
        <w:t> </w:t>
      </w:r>
      <w:r>
        <w:rPr>
          <w:sz w:val="16"/>
        </w:rPr>
        <w:t>Bank</w:t>
      </w:r>
      <w:r>
        <w:rPr>
          <w:spacing w:val="-3"/>
          <w:sz w:val="16"/>
        </w:rPr>
        <w:t> </w:t>
      </w:r>
      <w:r>
        <w:rPr>
          <w:sz w:val="16"/>
        </w:rPr>
        <w:t>calculations</w:t>
        <w:tab/>
        <w:t>Sources: ONS and Bank</w:t>
      </w:r>
      <w:r>
        <w:rPr>
          <w:spacing w:val="-4"/>
          <w:sz w:val="16"/>
        </w:rPr>
        <w:t> </w:t>
      </w:r>
      <w:r>
        <w:rPr>
          <w:sz w:val="16"/>
        </w:rPr>
        <w:t>calculations</w:t>
      </w:r>
    </w:p>
    <w:p>
      <w:pPr>
        <w:spacing w:after="0"/>
        <w:jc w:val="left"/>
        <w:rPr>
          <w:sz w:val="16"/>
        </w:rPr>
        <w:sectPr>
          <w:type w:val="continuous"/>
          <w:pgSz w:w="11910" w:h="16840"/>
          <w:pgMar w:top="1180" w:bottom="1520" w:left="820" w:right="960"/>
        </w:sectPr>
      </w:pPr>
    </w:p>
    <w:p>
      <w:pPr>
        <w:pStyle w:val="Heading1"/>
        <w:spacing w:line="276" w:lineRule="auto"/>
      </w:pPr>
      <w:r>
        <w:rPr/>
        <w:t>Chart 9: Impact of tighter monetary policy on annual CPI inflation (counterfactual)</w:t>
      </w:r>
    </w:p>
    <w:p>
      <w:pPr>
        <w:spacing w:line="183" w:lineRule="exact" w:before="76"/>
        <w:ind w:left="3910" w:right="0" w:firstLine="0"/>
        <w:jc w:val="left"/>
        <w:rPr>
          <w:sz w:val="16"/>
        </w:rPr>
      </w:pPr>
      <w:r>
        <w:rPr>
          <w:sz w:val="16"/>
        </w:rPr>
        <w:t>Per cent</w:t>
      </w:r>
    </w:p>
    <w:p>
      <w:pPr>
        <w:spacing w:line="195" w:lineRule="exact" w:before="0"/>
        <w:ind w:left="4779" w:right="0" w:firstLine="0"/>
        <w:jc w:val="left"/>
        <w:rPr>
          <w:sz w:val="17"/>
        </w:rPr>
      </w:pPr>
      <w:r>
        <w:rPr/>
        <w:pict>
          <v:group style="position:absolute;margin-left:72.360001pt;margin-top:4.998794pt;width:200.9pt;height:149.9pt;mso-position-horizontal-relative:page;mso-position-vertical-relative:paragraph;z-index:251693056" coordorigin="1447,100" coordsize="4018,2998">
            <v:shape style="position:absolute;left:1461;top:102;width:3989;height:2993" coordorigin="1462,102" coordsize="3989,2993" path="m5450,3095l5450,102m5400,3095l5450,3095m5400,2498l5450,2498m5400,1900l5450,1900m5400,1300l5450,1300m5400,702l5450,702m5400,102l5450,102m1462,1900l5450,1900m1462,1847l1462,1900m2374,1847l2374,1900m3286,1847l3286,1900m4198,1847l4198,1900m5110,1847l5110,1900e" filled="false" stroked="true" strokeweight=".24pt" strokecolor="#000000">
              <v:path arrowok="t"/>
              <v:stroke dashstyle="solid"/>
            </v:shape>
            <v:shape style="position:absolute;left:1461;top:507;width:3989;height:2304" coordorigin="1462,508" coordsize="3989,2304" path="m1462,1322l1577,1223,1690,1175,1805,1091,1918,1043,2033,1132,2146,1362,2261,1271,2374,1192,2489,909,2602,508,2714,846,2830,1216,2942,1641,3058,1998,3170,1991,3286,1782,3398,1835,3514,2030,3626,2010,3742,1840,3854,1794,3970,1713,4082,1739,4198,2082,4310,2308,4426,2430,4538,2385,4654,2375,4766,2418,4882,2414,4994,2579,5110,2668,5222,2649,5338,2697,5450,2812e" filled="false" stroked="true" strokeweight="1.44pt" strokecolor="#a21a7d">
              <v:path arrowok="t"/>
              <v:stroke dashstyle="solid"/>
            </v:shape>
            <v:shape style="position:absolute;left:1461;top:467;width:3989;height:1152" coordorigin="1462,467" coordsize="3989,1152" path="m1462,1322l1577,1223,1690,1175,1805,1091,1918,1043,2033,1132,2146,1362,2261,1274,2374,1187,2489,887,2602,467,2714,746,2830,1000,2942,1274,3058,1454,3170,1269,3286,918,3398,866,3514,976,3626,890,3742,666,3854,590,3970,491,4082,508,4198,854,4310,1074,4426,1178,4538,1101,4654,1067,4766,1098,4882,1089,4994,1269,5110,1379,5222,1384,5338,1463,5450,1619e" filled="false" stroked="true" strokeweight="1.44pt" strokecolor="#165687">
              <v:path arrowok="t"/>
              <v:stroke dashstyle="solid"/>
            </v:shape>
            <v:line style="position:absolute" from="1630,237" to="2014,237" stroked="true" strokeweight="1.44pt" strokecolor="#a21a7d">
              <v:stroke dashstyle="solid"/>
            </v:line>
            <v:line style="position:absolute" from="1630,489" to="2014,489" stroked="true" strokeweight="1.44pt" strokecolor="#165687">
              <v:stroke dashstyle="solid"/>
            </v:line>
            <v:shape style="position:absolute;left:1447;top:99;width:4018;height:2998" type="#_x0000_t202" filled="false" stroked="false">
              <v:textbox inset="0,0,0,0">
                <w:txbxContent>
                  <w:p>
                    <w:pPr>
                      <w:spacing w:line="326" w:lineRule="auto" w:before="39"/>
                      <w:ind w:left="608" w:right="1024" w:firstLine="0"/>
                      <w:jc w:val="left"/>
                      <w:rPr>
                        <w:sz w:val="16"/>
                      </w:rPr>
                    </w:pPr>
                    <w:r>
                      <w:rPr>
                        <w:sz w:val="16"/>
                      </w:rPr>
                      <w:t>Scenario without policy loosening Data</w:t>
                    </w:r>
                  </w:p>
                </w:txbxContent>
              </v:textbox>
              <w10:wrap type="none"/>
            </v:shape>
            <w10:wrap type="none"/>
          </v:group>
        </w:pict>
      </w:r>
      <w:r>
        <w:rPr>
          <w:w w:val="100"/>
          <w:sz w:val="17"/>
        </w:rPr>
        <w:t>6</w:t>
      </w:r>
    </w:p>
    <w:p>
      <w:pPr>
        <w:pStyle w:val="BodyText"/>
        <w:rPr>
          <w:sz w:val="18"/>
        </w:rPr>
      </w:pPr>
    </w:p>
    <w:p>
      <w:pPr>
        <w:pStyle w:val="BodyText"/>
        <w:rPr>
          <w:sz w:val="17"/>
        </w:rPr>
      </w:pPr>
    </w:p>
    <w:p>
      <w:pPr>
        <w:spacing w:before="1"/>
        <w:ind w:left="4779" w:right="0" w:firstLine="0"/>
        <w:jc w:val="left"/>
        <w:rPr>
          <w:sz w:val="17"/>
        </w:rPr>
      </w:pPr>
      <w:r>
        <w:rPr>
          <w:w w:val="100"/>
          <w:sz w:val="17"/>
        </w:rPr>
        <w:t>4</w:t>
      </w:r>
    </w:p>
    <w:p>
      <w:pPr>
        <w:pStyle w:val="BodyText"/>
        <w:rPr>
          <w:sz w:val="18"/>
        </w:rPr>
      </w:pPr>
    </w:p>
    <w:p>
      <w:pPr>
        <w:pStyle w:val="BodyText"/>
        <w:rPr>
          <w:sz w:val="17"/>
        </w:rPr>
      </w:pPr>
    </w:p>
    <w:p>
      <w:pPr>
        <w:spacing w:before="0"/>
        <w:ind w:left="4779" w:right="0" w:firstLine="0"/>
        <w:jc w:val="left"/>
        <w:rPr>
          <w:sz w:val="17"/>
        </w:rPr>
      </w:pPr>
      <w:r>
        <w:rPr>
          <w:w w:val="100"/>
          <w:sz w:val="17"/>
        </w:rPr>
        <w:t>2</w:t>
      </w:r>
    </w:p>
    <w:p>
      <w:pPr>
        <w:pStyle w:val="BodyText"/>
        <w:rPr>
          <w:sz w:val="18"/>
        </w:rPr>
      </w:pPr>
    </w:p>
    <w:p>
      <w:pPr>
        <w:pStyle w:val="BodyText"/>
        <w:rPr>
          <w:sz w:val="17"/>
        </w:rPr>
      </w:pPr>
    </w:p>
    <w:p>
      <w:pPr>
        <w:spacing w:before="1"/>
        <w:ind w:left="4779" w:right="0" w:firstLine="0"/>
        <w:jc w:val="left"/>
        <w:rPr>
          <w:sz w:val="17"/>
        </w:rPr>
      </w:pPr>
      <w:r>
        <w:rPr>
          <w:w w:val="100"/>
          <w:sz w:val="17"/>
        </w:rPr>
        <w:t>0</w:t>
      </w:r>
    </w:p>
    <w:p>
      <w:pPr>
        <w:pStyle w:val="BodyText"/>
        <w:rPr>
          <w:sz w:val="18"/>
        </w:rPr>
      </w:pPr>
    </w:p>
    <w:p>
      <w:pPr>
        <w:pStyle w:val="BodyText"/>
        <w:rPr>
          <w:sz w:val="17"/>
        </w:rPr>
      </w:pPr>
    </w:p>
    <w:p>
      <w:pPr>
        <w:spacing w:before="0"/>
        <w:ind w:left="4779" w:right="0" w:firstLine="0"/>
        <w:jc w:val="left"/>
        <w:rPr>
          <w:sz w:val="17"/>
        </w:rPr>
      </w:pPr>
      <w:r>
        <w:rPr>
          <w:sz w:val="17"/>
        </w:rPr>
        <w:t>-2</w:t>
      </w:r>
    </w:p>
    <w:p>
      <w:pPr>
        <w:pStyle w:val="BodyText"/>
        <w:rPr>
          <w:sz w:val="18"/>
        </w:rPr>
      </w:pPr>
    </w:p>
    <w:p>
      <w:pPr>
        <w:pStyle w:val="BodyText"/>
        <w:spacing w:before="1"/>
        <w:rPr>
          <w:sz w:val="17"/>
        </w:rPr>
      </w:pPr>
    </w:p>
    <w:p>
      <w:pPr>
        <w:spacing w:before="0"/>
        <w:ind w:left="4779" w:right="0" w:firstLine="0"/>
        <w:jc w:val="left"/>
        <w:rPr>
          <w:sz w:val="17"/>
        </w:rPr>
      </w:pPr>
      <w:r>
        <w:rPr>
          <w:sz w:val="17"/>
        </w:rPr>
        <w:t>-4</w:t>
      </w:r>
    </w:p>
    <w:p>
      <w:pPr>
        <w:tabs>
          <w:tab w:pos="1366" w:val="left" w:leader="none"/>
          <w:tab w:pos="2278" w:val="left" w:leader="none"/>
          <w:tab w:pos="3190" w:val="left" w:leader="none"/>
          <w:tab w:pos="4102" w:val="left" w:leader="none"/>
        </w:tabs>
        <w:spacing w:before="7"/>
        <w:ind w:left="454" w:right="0" w:firstLine="0"/>
        <w:jc w:val="left"/>
        <w:rPr>
          <w:sz w:val="17"/>
        </w:rPr>
      </w:pPr>
      <w:r>
        <w:rPr>
          <w:sz w:val="17"/>
        </w:rPr>
        <w:t>2006</w:t>
        <w:tab/>
        <w:t>2008</w:t>
        <w:tab/>
        <w:t>2010</w:t>
        <w:tab/>
        <w:t>2012</w:t>
        <w:tab/>
        <w:t>2014</w:t>
      </w:r>
    </w:p>
    <w:p>
      <w:pPr>
        <w:pStyle w:val="Heading1"/>
        <w:spacing w:line="276" w:lineRule="auto"/>
        <w:ind w:left="256"/>
      </w:pPr>
      <w:r>
        <w:rPr>
          <w:b w:val="0"/>
        </w:rPr>
        <w:br w:type="column"/>
      </w:r>
      <w:r>
        <w:rPr/>
        <w:t>Chart 10: Impact of monetary policy on income, across the income distribution (£)</w:t>
      </w:r>
    </w:p>
    <w:p>
      <w:pPr>
        <w:spacing w:before="168"/>
        <w:ind w:left="1596" w:right="0" w:firstLine="0"/>
        <w:jc w:val="left"/>
        <w:rPr>
          <w:sz w:val="16"/>
        </w:rPr>
      </w:pPr>
      <w:r>
        <w:rPr>
          <w:sz w:val="16"/>
        </w:rPr>
        <w:t>Impact as of 2012-14 (£, 2013 prices)</w:t>
      </w:r>
    </w:p>
    <w:p>
      <w:pPr>
        <w:spacing w:before="84"/>
        <w:ind w:left="4414" w:right="0" w:firstLine="0"/>
        <w:jc w:val="left"/>
        <w:rPr>
          <w:sz w:val="17"/>
        </w:rPr>
      </w:pPr>
      <w:r>
        <w:rPr/>
        <w:pict>
          <v:group style="position:absolute;margin-left:312.959991pt;margin-top:9.342898pt;width:190.1pt;height:151.450pt;mso-position-horizontal-relative:page;mso-position-vertical-relative:paragraph;z-index:251696128" coordorigin="6259,187" coordsize="3802,3029">
            <v:rect style="position:absolute;left:6348;top:2471;width:173;height:60" filled="true" fillcolor="#c0504d" stroked="false">
              <v:fill type="solid"/>
            </v:rect>
            <v:rect style="position:absolute;left:6348;top:2531;width:173;height:80" filled="true" fillcolor="#e6b8b8" stroked="false">
              <v:fill type="solid"/>
            </v:rect>
            <v:rect style="position:absolute;left:6693;top:2426;width:173;height:106" filled="true" fillcolor="#c0504d" stroked="false">
              <v:fill type="solid"/>
            </v:rect>
            <v:rect style="position:absolute;left:6693;top:2531;width:173;height:58" filled="true" fillcolor="#e6b8b8" stroked="false">
              <v:fill type="solid"/>
            </v:rect>
            <v:rect style="position:absolute;left:7039;top:2318;width:173;height:214" filled="true" fillcolor="#c0504d" stroked="false">
              <v:fill type="solid"/>
            </v:rect>
            <v:rect style="position:absolute;left:7039;top:2531;width:173;height:22" filled="true" fillcolor="#e6b8b8" stroked="false">
              <v:fill type="solid"/>
            </v:rect>
            <v:rect style="position:absolute;left:7382;top:2241;width:173;height:291" filled="true" fillcolor="#c0504d" stroked="false">
              <v:fill type="solid"/>
            </v:rect>
            <v:rect style="position:absolute;left:7382;top:2531;width:173;height:32" filled="true" fillcolor="#e6b8b8" stroked="false">
              <v:fill type="solid"/>
            </v:rect>
            <v:rect style="position:absolute;left:7728;top:2116;width:173;height:416" filled="true" fillcolor="#c0504d" stroked="false">
              <v:fill type="solid"/>
            </v:rect>
            <v:line style="position:absolute" from="7728,2110" to="7901,2110" stroked="true" strokeweight=".6pt" strokecolor="#e6b8b8">
              <v:stroke dashstyle="solid"/>
            </v:line>
            <v:rect style="position:absolute;left:8073;top:1955;width:173;height:576" filled="true" fillcolor="#c0504d" stroked="false">
              <v:fill type="solid"/>
            </v:rect>
            <v:rect style="position:absolute;left:8073;top:1857;width:173;height:99" filled="true" fillcolor="#e6b8b8" stroked="false">
              <v:fill type="solid"/>
            </v:rect>
            <v:rect style="position:absolute;left:8419;top:1773;width:173;height:759" filled="true" fillcolor="#c0504d" stroked="false">
              <v:fill type="solid"/>
            </v:rect>
            <v:rect style="position:absolute;left:8419;top:1547;width:173;height:226" filled="true" fillcolor="#e6b8b8" stroked="false">
              <v:fill type="solid"/>
            </v:rect>
            <v:rect style="position:absolute;left:8764;top:1667;width:173;height:864" filled="true" fillcolor="#c0504d" stroked="false">
              <v:fill type="solid"/>
            </v:rect>
            <v:rect style="position:absolute;left:8764;top:1408;width:173;height:260" filled="true" fillcolor="#e6b8b8" stroked="false">
              <v:fill type="solid"/>
            </v:rect>
            <v:rect style="position:absolute;left:9110;top:1516;width:173;height:1016" filled="true" fillcolor="#c0504d" stroked="false">
              <v:fill type="solid"/>
            </v:rect>
            <v:rect style="position:absolute;left:9110;top:1166;width:173;height:351" filled="true" fillcolor="#e6b8b8" stroked="false">
              <v:fill type="solid"/>
            </v:rect>
            <v:rect style="position:absolute;left:9456;top:1115;width:173;height:1416" filled="true" fillcolor="#c0504d" stroked="false">
              <v:fill type="solid"/>
            </v:rect>
            <v:rect style="position:absolute;left:9456;top:628;width:173;height:488" filled="true" fillcolor="#e6b8b8" stroked="false">
              <v:fill type="solid"/>
            </v:rect>
            <v:rect style="position:absolute;left:9801;top:1960;width:171;height:572" filled="true" fillcolor="#c0504d" stroked="false">
              <v:fill type="solid"/>
            </v:rect>
            <v:rect style="position:absolute;left:9801;top:1838;width:171;height:123" filled="true" fillcolor="#e6b8b8" stroked="false">
              <v:fill type="solid"/>
            </v:rect>
            <v:shape style="position:absolute;left:6261;top:189;width:3797;height:2732" coordorigin="6262,189" coordsize="3797,2732" path="m10058,2920l10058,189m10008,2920l10058,2920m10008,2532l10058,2532m10008,2140l10058,2140m10008,1749l10058,1749m10008,1360l10058,1360m10008,969l10058,969m10008,578l10058,578m10008,189l10058,189m6262,2532l10058,2532m6262,2479l6262,2532m6607,2479l6607,2532m6953,2479l6953,2532m7296,2479l7296,2532m7642,2479l7642,2532m7987,2479l7987,2532m8333,2479l8333,2532m8678,2479l8678,2532m9024,2479l9024,2532m9370,2479l9370,2532m9715,2479l9715,2532m10058,2479l10058,2532e" filled="false" stroked="true" strokeweight=".24pt" strokecolor="#000000">
              <v:path arrowok="t"/>
              <v:stroke dashstyle="solid"/>
            </v:shape>
            <v:shape style="position:absolute;left:6361;top:557;width:3593;height:2064" coordorigin="6361,557" coordsize="3593,2064" path="m6500,2552l6431,2482,6361,2552,6431,2621,6500,2552m6846,2485l6777,2415,6707,2485,6777,2554,6846,2485m7191,2341l7122,2271,7052,2341,7122,2410,7191,2341m7537,2271l7468,2201,7398,2271,7468,2340,7537,2271m7883,2105l7813,2035,7743,2105,7813,2175,7883,2105m8228,1856l8159,1786,8089,1856,8159,1925,8228,1856m8574,1546l8505,1476,8435,1546,8505,1615,8574,1546m8917,1409l8848,1339,8778,1409,8848,1479,8917,1409m9263,1165l9193,1095,9123,1165,9193,1234,9263,1165m9608,627l9539,557,9469,627,9539,696,9608,627m9954,1837l9885,1767,9815,1837,9885,1906,9954,1837e" filled="true" fillcolor="#000000" stroked="false">
              <v:path arrowok="t"/>
              <v:fill type="solid"/>
            </v:shape>
            <v:rect style="position:absolute;left:6372;top:580;width:80;height:82" filled="true" fillcolor="#e6b8b8" stroked="false">
              <v:fill type="solid"/>
            </v:rect>
            <v:rect style="position:absolute;left:6372;top:851;width:80;height:82" filled="true" fillcolor="#c0504d" stroked="false">
              <v:fill type="solid"/>
            </v:rect>
            <v:shape style="position:absolute;left:6372;top:1123;width:80;height:80" coordorigin="6372,1123" coordsize="80,80" path="m6412,1123l6372,1163,6412,1203,6452,1163,6412,1123xe" filled="true" fillcolor="#000000" stroked="false">
              <v:path arrowok="t"/>
              <v:fill type="solid"/>
            </v:shape>
            <v:line style="position:absolute" from="9706,206" to="9706,3159" stroked="true" strokeweight=".75pt" strokecolor="#000000">
              <v:stroke dashstyle="shortdash"/>
            </v:line>
            <v:shape style="position:absolute;left:6485;top:527;width:2332;height:723" type="#_x0000_t202" filled="false" stroked="false">
              <v:textbox inset="0,0,0,0">
                <w:txbxContent>
                  <w:p>
                    <w:pPr>
                      <w:spacing w:line="352" w:lineRule="auto" w:before="0"/>
                      <w:ind w:left="0" w:right="11" w:firstLine="0"/>
                      <w:jc w:val="left"/>
                      <w:rPr>
                        <w:sz w:val="16"/>
                      </w:rPr>
                    </w:pPr>
                    <w:r>
                      <w:rPr>
                        <w:sz w:val="16"/>
                      </w:rPr>
                      <w:t>Interest receipts/payments Macro effects on labour incomes</w:t>
                    </w:r>
                  </w:p>
                  <w:p>
                    <w:pPr>
                      <w:spacing w:before="0"/>
                      <w:ind w:left="0" w:right="0" w:firstLine="0"/>
                      <w:jc w:val="left"/>
                      <w:rPr>
                        <w:sz w:val="16"/>
                      </w:rPr>
                    </w:pPr>
                    <w:r>
                      <w:rPr>
                        <w:sz w:val="16"/>
                      </w:rPr>
                      <w:t>Total</w:t>
                    </w:r>
                  </w:p>
                </w:txbxContent>
              </v:textbox>
              <w10:wrap type="none"/>
            </v:shape>
            <v:shape style="position:absolute;left:6386;top:3025;width:3616;height:191" type="#_x0000_t202" filled="false" stroked="false">
              <v:textbox inset="0,0,0,0">
                <w:txbxContent>
                  <w:p>
                    <w:pPr>
                      <w:tabs>
                        <w:tab w:pos="345" w:val="left" w:leader="none"/>
                        <w:tab w:pos="690" w:val="left" w:leader="none"/>
                        <w:tab w:pos="1036" w:val="left" w:leader="none"/>
                        <w:tab w:pos="1381" w:val="left" w:leader="none"/>
                        <w:tab w:pos="1727" w:val="left" w:leader="none"/>
                        <w:tab w:pos="2072" w:val="left" w:leader="none"/>
                        <w:tab w:pos="2417" w:val="left" w:leader="none"/>
                        <w:tab w:pos="2762" w:val="left" w:leader="none"/>
                        <w:tab w:pos="3060" w:val="left" w:leader="none"/>
                      </w:tabs>
                      <w:spacing w:line="190" w:lineRule="exact" w:before="0"/>
                      <w:ind w:left="0" w:right="0" w:firstLine="0"/>
                      <w:jc w:val="left"/>
                      <w:rPr>
                        <w:sz w:val="17"/>
                      </w:rPr>
                    </w:pPr>
                    <w:r>
                      <w:rPr>
                        <w:sz w:val="17"/>
                      </w:rPr>
                      <w:t>1</w:t>
                      <w:tab/>
                      <w:t>2</w:t>
                      <w:tab/>
                      <w:t>3</w:t>
                      <w:tab/>
                      <w:t>4</w:t>
                      <w:tab/>
                      <w:t>5</w:t>
                      <w:tab/>
                      <w:t>6</w:t>
                      <w:tab/>
                      <w:t>7</w:t>
                      <w:tab/>
                      <w:t>8</w:t>
                      <w:tab/>
                      <w:t>9</w:t>
                      <w:tab/>
                      <w:t>10</w:t>
                    </w:r>
                    <w:r>
                      <w:rPr>
                        <w:spacing w:val="13"/>
                        <w:sz w:val="17"/>
                      </w:rPr>
                      <w:t> </w:t>
                    </w:r>
                    <w:r>
                      <w:rPr>
                        <w:sz w:val="17"/>
                      </w:rPr>
                      <w:t>All</w:t>
                    </w:r>
                  </w:p>
                </w:txbxContent>
              </v:textbox>
              <w10:wrap type="none"/>
            </v:shape>
            <w10:wrap type="none"/>
          </v:group>
        </w:pict>
      </w:r>
      <w:r>
        <w:rPr>
          <w:sz w:val="17"/>
        </w:rPr>
        <w:t>30000</w:t>
      </w:r>
    </w:p>
    <w:p>
      <w:pPr>
        <w:pStyle w:val="BodyText"/>
        <w:spacing w:before="11"/>
        <w:rPr>
          <w:sz w:val="16"/>
        </w:rPr>
      </w:pPr>
    </w:p>
    <w:p>
      <w:pPr>
        <w:spacing w:before="0"/>
        <w:ind w:left="4414" w:right="0" w:firstLine="0"/>
        <w:jc w:val="left"/>
        <w:rPr>
          <w:sz w:val="17"/>
        </w:rPr>
      </w:pPr>
      <w:r>
        <w:rPr>
          <w:sz w:val="17"/>
        </w:rPr>
        <w:t>25000</w:t>
      </w:r>
    </w:p>
    <w:p>
      <w:pPr>
        <w:pStyle w:val="BodyText"/>
        <w:spacing w:before="11"/>
        <w:rPr>
          <w:sz w:val="16"/>
        </w:rPr>
      </w:pPr>
    </w:p>
    <w:p>
      <w:pPr>
        <w:spacing w:before="0"/>
        <w:ind w:left="4414" w:right="0" w:firstLine="0"/>
        <w:jc w:val="left"/>
        <w:rPr>
          <w:sz w:val="17"/>
        </w:rPr>
      </w:pPr>
      <w:r>
        <w:rPr>
          <w:sz w:val="17"/>
        </w:rPr>
        <w:t>20000</w:t>
      </w:r>
    </w:p>
    <w:p>
      <w:pPr>
        <w:pStyle w:val="BodyText"/>
        <w:spacing w:before="11"/>
        <w:rPr>
          <w:sz w:val="16"/>
        </w:rPr>
      </w:pPr>
    </w:p>
    <w:p>
      <w:pPr>
        <w:spacing w:before="0"/>
        <w:ind w:left="4414" w:right="0" w:firstLine="0"/>
        <w:jc w:val="left"/>
        <w:rPr>
          <w:sz w:val="17"/>
        </w:rPr>
      </w:pPr>
      <w:r>
        <w:rPr>
          <w:sz w:val="17"/>
        </w:rPr>
        <w:t>15000</w:t>
      </w:r>
    </w:p>
    <w:p>
      <w:pPr>
        <w:pStyle w:val="BodyText"/>
        <w:rPr>
          <w:sz w:val="17"/>
        </w:rPr>
      </w:pPr>
    </w:p>
    <w:p>
      <w:pPr>
        <w:spacing w:before="0"/>
        <w:ind w:left="4414" w:right="0" w:firstLine="0"/>
        <w:jc w:val="left"/>
        <w:rPr>
          <w:sz w:val="17"/>
        </w:rPr>
      </w:pPr>
      <w:r>
        <w:rPr>
          <w:sz w:val="17"/>
        </w:rPr>
        <w:t>10000</w:t>
      </w:r>
    </w:p>
    <w:p>
      <w:pPr>
        <w:pStyle w:val="BodyText"/>
        <w:spacing w:before="10"/>
        <w:rPr>
          <w:sz w:val="16"/>
        </w:rPr>
      </w:pPr>
    </w:p>
    <w:p>
      <w:pPr>
        <w:spacing w:before="0"/>
        <w:ind w:left="4414" w:right="0" w:firstLine="0"/>
        <w:jc w:val="left"/>
        <w:rPr>
          <w:sz w:val="17"/>
        </w:rPr>
      </w:pPr>
      <w:r>
        <w:rPr>
          <w:sz w:val="17"/>
        </w:rPr>
        <w:t>5000</w:t>
      </w:r>
    </w:p>
    <w:p>
      <w:pPr>
        <w:pStyle w:val="BodyText"/>
        <w:rPr>
          <w:sz w:val="17"/>
        </w:rPr>
      </w:pPr>
    </w:p>
    <w:p>
      <w:pPr>
        <w:spacing w:before="0"/>
        <w:ind w:left="4414" w:right="0" w:firstLine="0"/>
        <w:jc w:val="left"/>
        <w:rPr>
          <w:sz w:val="17"/>
        </w:rPr>
      </w:pPr>
      <w:r>
        <w:rPr>
          <w:w w:val="100"/>
          <w:sz w:val="17"/>
        </w:rPr>
        <w:t>0</w:t>
      </w:r>
    </w:p>
    <w:p>
      <w:pPr>
        <w:pStyle w:val="BodyText"/>
        <w:rPr>
          <w:sz w:val="17"/>
        </w:rPr>
      </w:pPr>
    </w:p>
    <w:p>
      <w:pPr>
        <w:spacing w:before="0"/>
        <w:ind w:left="4414" w:right="0" w:firstLine="0"/>
        <w:jc w:val="left"/>
        <w:rPr>
          <w:sz w:val="17"/>
        </w:rPr>
      </w:pPr>
      <w:r>
        <w:rPr>
          <w:sz w:val="17"/>
        </w:rPr>
        <w:t>-5000</w:t>
      </w:r>
    </w:p>
    <w:p>
      <w:pPr>
        <w:pStyle w:val="BodyText"/>
        <w:spacing w:before="5"/>
        <w:rPr>
          <w:sz w:val="26"/>
        </w:rPr>
      </w:pPr>
    </w:p>
    <w:p>
      <w:pPr>
        <w:spacing w:before="0"/>
        <w:ind w:left="1477" w:right="0" w:firstLine="0"/>
        <w:jc w:val="left"/>
        <w:rPr>
          <w:sz w:val="16"/>
        </w:rPr>
      </w:pPr>
      <w:r>
        <w:rPr>
          <w:sz w:val="16"/>
        </w:rPr>
        <w:t>Income decile in 2012-14</w:t>
      </w:r>
    </w:p>
    <w:p>
      <w:pPr>
        <w:spacing w:after="0"/>
        <w:jc w:val="left"/>
        <w:rPr>
          <w:sz w:val="16"/>
        </w:rPr>
        <w:sectPr>
          <w:pgSz w:w="11910" w:h="16840"/>
          <w:pgMar w:header="0" w:footer="1334" w:top="1340" w:bottom="1520" w:left="820" w:right="960"/>
          <w:cols w:num="2" w:equalWidth="0">
            <w:col w:w="4933" w:space="40"/>
            <w:col w:w="5157"/>
          </w:cols>
        </w:sectPr>
      </w:pPr>
    </w:p>
    <w:p>
      <w:pPr>
        <w:tabs>
          <w:tab w:pos="5229" w:val="left" w:leader="none"/>
        </w:tabs>
        <w:spacing w:before="144"/>
        <w:ind w:left="313" w:right="0" w:firstLine="0"/>
        <w:jc w:val="left"/>
        <w:rPr>
          <w:sz w:val="16"/>
        </w:rPr>
      </w:pPr>
      <w:r>
        <w:rPr>
          <w:sz w:val="16"/>
        </w:rPr>
        <w:t>Sources:  ONS and</w:t>
      </w:r>
      <w:r>
        <w:rPr>
          <w:spacing w:val="-10"/>
          <w:sz w:val="16"/>
        </w:rPr>
        <w:t> </w:t>
      </w:r>
      <w:r>
        <w:rPr>
          <w:sz w:val="16"/>
        </w:rPr>
        <w:t>Bank</w:t>
      </w:r>
      <w:r>
        <w:rPr>
          <w:spacing w:val="-3"/>
          <w:sz w:val="16"/>
        </w:rPr>
        <w:t> </w:t>
      </w:r>
      <w:r>
        <w:rPr>
          <w:sz w:val="16"/>
        </w:rPr>
        <w:t>calculations</w:t>
        <w:tab/>
        <w:t>Sources: ONS and Bank</w:t>
      </w:r>
      <w:r>
        <w:rPr>
          <w:spacing w:val="-4"/>
          <w:sz w:val="16"/>
        </w:rPr>
        <w:t> </w:t>
      </w:r>
      <w:r>
        <w:rPr>
          <w:sz w:val="16"/>
        </w:rPr>
        <w:t>calculations</w:t>
      </w:r>
    </w:p>
    <w:p>
      <w:pPr>
        <w:spacing w:line="276" w:lineRule="auto" w:before="27"/>
        <w:ind w:left="5229" w:right="308" w:firstLine="0"/>
        <w:jc w:val="left"/>
        <w:rPr>
          <w:sz w:val="16"/>
        </w:rPr>
      </w:pPr>
      <w:r>
        <w:rPr>
          <w:sz w:val="16"/>
        </w:rPr>
        <w:t>Note: Chart shows average cumulative real impact of policy changes since 2007 as of 2012-14 in pounds, using 2013 prices.</w:t>
      </w:r>
    </w:p>
    <w:p>
      <w:pPr>
        <w:pStyle w:val="BodyText"/>
      </w:pPr>
    </w:p>
    <w:p>
      <w:pPr>
        <w:pStyle w:val="BodyText"/>
      </w:pPr>
    </w:p>
    <w:p>
      <w:pPr>
        <w:pStyle w:val="BodyText"/>
      </w:pPr>
    </w:p>
    <w:p>
      <w:pPr>
        <w:pStyle w:val="BodyText"/>
        <w:spacing w:before="9"/>
        <w:rPr>
          <w:sz w:val="23"/>
        </w:rPr>
      </w:pPr>
    </w:p>
    <w:p>
      <w:pPr>
        <w:spacing w:after="0"/>
        <w:rPr>
          <w:sz w:val="23"/>
        </w:rPr>
        <w:sectPr>
          <w:type w:val="continuous"/>
          <w:pgSz w:w="11910" w:h="16840"/>
          <w:pgMar w:top="1180" w:bottom="1520" w:left="820" w:right="960"/>
        </w:sectPr>
      </w:pPr>
    </w:p>
    <w:p>
      <w:pPr>
        <w:pStyle w:val="Heading1"/>
        <w:spacing w:line="276" w:lineRule="auto" w:before="93"/>
      </w:pPr>
      <w:r>
        <w:rPr/>
        <w:t>Chart 11: Impact of monetary policy on income, across the income distribution (%)</w:t>
      </w:r>
    </w:p>
    <w:p>
      <w:pPr>
        <w:spacing w:line="276" w:lineRule="auto" w:before="93"/>
        <w:ind w:left="313" w:right="308" w:firstLine="0"/>
        <w:jc w:val="left"/>
        <w:rPr>
          <w:b/>
          <w:sz w:val="20"/>
        </w:rPr>
      </w:pPr>
      <w:r>
        <w:rPr/>
        <w:br w:type="column"/>
      </w:r>
      <w:r>
        <w:rPr>
          <w:b/>
          <w:sz w:val="20"/>
        </w:rPr>
        <w:t>Chart 12: Impact of monetary policy on wealth, across the wealth distribution (£)</w:t>
      </w:r>
    </w:p>
    <w:p>
      <w:pPr>
        <w:spacing w:after="0" w:line="276" w:lineRule="auto"/>
        <w:jc w:val="left"/>
        <w:rPr>
          <w:sz w:val="20"/>
        </w:rPr>
        <w:sectPr>
          <w:type w:val="continuous"/>
          <w:pgSz w:w="11910" w:h="16840"/>
          <w:pgMar w:top="1180" w:bottom="1520" w:left="820" w:right="960"/>
          <w:cols w:num="2" w:equalWidth="0">
            <w:col w:w="4875" w:space="41"/>
            <w:col w:w="5214"/>
          </w:cols>
        </w:sectPr>
      </w:pPr>
    </w:p>
    <w:p>
      <w:pPr>
        <w:pStyle w:val="BodyText"/>
        <w:spacing w:before="7"/>
        <w:rPr>
          <w:b/>
          <w:sz w:val="12"/>
        </w:rPr>
      </w:pPr>
    </w:p>
    <w:p>
      <w:pPr>
        <w:spacing w:after="0"/>
        <w:rPr>
          <w:sz w:val="12"/>
        </w:rPr>
        <w:sectPr>
          <w:type w:val="continuous"/>
          <w:pgSz w:w="11910" w:h="16840"/>
          <w:pgMar w:top="1180" w:bottom="1520" w:left="820" w:right="960"/>
        </w:sectPr>
      </w:pPr>
    </w:p>
    <w:p>
      <w:pPr>
        <w:spacing w:before="95"/>
        <w:ind w:left="1609" w:right="0" w:firstLine="0"/>
        <w:jc w:val="left"/>
        <w:rPr>
          <w:sz w:val="16"/>
        </w:rPr>
      </w:pPr>
      <w:r>
        <w:rPr>
          <w:sz w:val="16"/>
        </w:rPr>
        <w:t>Impact as of 2012-14 (% of annual income)</w:t>
      </w:r>
    </w:p>
    <w:p>
      <w:pPr>
        <w:spacing w:before="120"/>
        <w:ind w:left="0" w:right="38" w:firstLine="0"/>
        <w:jc w:val="right"/>
        <w:rPr>
          <w:sz w:val="16"/>
        </w:rPr>
      </w:pPr>
      <w:r>
        <w:rPr/>
        <w:pict>
          <v:group style="position:absolute;margin-left:70.320pt;margin-top:5.443904pt;width:202pt;height:167.95pt;mso-position-horizontal-relative:page;mso-position-vertical-relative:paragraph;z-index:251698176" coordorigin="1406,109" coordsize="4040,3359">
            <v:rect style="position:absolute;left:1502;top:1638;width:183;height:480" filled="true" fillcolor="#c0504d" stroked="false">
              <v:fill type="solid"/>
            </v:rect>
            <v:rect style="position:absolute;left:1502;top:2118;width:183;height:644" filled="true" fillcolor="#e6b8b8" stroked="false">
              <v:fill type="solid"/>
            </v:rect>
            <v:rect style="position:absolute;left:1867;top:1616;width:185;height:502" filled="true" fillcolor="#c0504d" stroked="false">
              <v:fill type="solid"/>
            </v:rect>
            <v:rect style="position:absolute;left:1867;top:2118;width:185;height:279" filled="true" fillcolor="#e6b8b8" stroked="false">
              <v:fill type="solid"/>
            </v:rect>
            <v:rect style="position:absolute;left:2234;top:1333;width:185;height:785" filled="true" fillcolor="#c0504d" stroked="false">
              <v:fill type="solid"/>
            </v:rect>
            <v:rect style="position:absolute;left:2234;top:2118;width:185;height:84" filled="true" fillcolor="#e6b8b8" stroked="false">
              <v:fill type="solid"/>
            </v:rect>
            <v:rect style="position:absolute;left:2601;top:1252;width:183;height:867" filled="true" fillcolor="#c0504d" stroked="false">
              <v:fill type="solid"/>
            </v:rect>
            <v:rect style="position:absolute;left:2601;top:2118;width:183;height:92" filled="true" fillcolor="#e6b8b8" stroked="false">
              <v:fill type="solid"/>
            </v:rect>
            <v:rect style="position:absolute;left:2968;top:1088;width:183;height:1030" filled="true" fillcolor="#c0504d" stroked="false">
              <v:fill type="solid"/>
            </v:rect>
            <v:rect style="position:absolute;left:2968;top:1062;width:183;height:27" filled="true" fillcolor="#e6b8b8" stroked="false">
              <v:fill type="solid"/>
            </v:rect>
            <v:rect style="position:absolute;left:3336;top:928;width:183;height:1191" filled="true" fillcolor="#c0504d" stroked="false">
              <v:fill type="solid"/>
            </v:rect>
            <v:rect style="position:absolute;left:3336;top:721;width:183;height:207" filled="true" fillcolor="#e6b8b8" stroked="false">
              <v:fill type="solid"/>
            </v:rect>
            <v:rect style="position:absolute;left:3700;top:788;width:185;height:1330" filled="true" fillcolor="#c0504d" stroked="false">
              <v:fill type="solid"/>
            </v:rect>
            <v:rect style="position:absolute;left:3700;top:395;width:185;height:394" filled="true" fillcolor="#e6b8b8" stroked="false">
              <v:fill type="solid"/>
            </v:rect>
            <v:rect style="position:absolute;left:4068;top:841;width:185;height:1277" filled="true" fillcolor="#c0504d" stroked="false">
              <v:fill type="solid"/>
            </v:rect>
            <v:rect style="position:absolute;left:4068;top:460;width:185;height:382" filled="true" fillcolor="#e6b8b8" stroked="false">
              <v:fill type="solid"/>
            </v:rect>
            <v:rect style="position:absolute;left:4435;top:923;width:183;height:1196" filled="true" fillcolor="#c0504d" stroked="false">
              <v:fill type="solid"/>
            </v:rect>
            <v:rect style="position:absolute;left:4435;top:510;width:183;height:413" filled="true" fillcolor="#e6b8b8" stroked="false">
              <v:fill type="solid"/>
            </v:rect>
            <v:rect style="position:absolute;left:4802;top:1100;width:183;height:1018" filled="true" fillcolor="#c0504d" stroked="false">
              <v:fill type="solid"/>
            </v:rect>
            <v:rect style="position:absolute;left:4802;top:750;width:183;height:351" filled="true" fillcolor="#e6b8b8" stroked="false">
              <v:fill type="solid"/>
            </v:rect>
            <v:rect style="position:absolute;left:5169;top:1043;width:183;height:1076" filled="true" fillcolor="#c0504d" stroked="false">
              <v:fill type="solid"/>
            </v:rect>
            <v:rect style="position:absolute;left:5169;top:810;width:183;height:233" filled="true" fillcolor="#e6b8b8" stroked="false">
              <v:fill type="solid"/>
            </v:rect>
            <v:shape style="position:absolute;left:1408;top:217;width:4035;height:2852" coordorigin="1409,218" coordsize="4035,2852" path="m5443,3069l5443,218m5395,3069l5443,3069m5395,2594l5443,2594m5395,2118l5443,2118m5395,1643l5443,1643m5395,1168l5443,1168m5395,693l5443,693m5395,218l5443,218m1409,2118l5443,2118m1409,2070l1409,2118m1776,2070l1776,2118m2143,2070l2143,2118m2510,2070l2510,2118m2878,2070l2878,2118m3242,2070l3242,2118m3610,2070l3610,2118m3977,2070l3977,2118m4344,2070l4344,2118m4711,2070l4711,2118m5076,2070l5076,2118m5443,2070l5443,2118e" filled="false" stroked="true" strokeweight=".24pt" strokecolor="#000000">
              <v:path arrowok="t"/>
              <v:stroke dashstyle="solid"/>
            </v:shape>
            <v:shape style="position:absolute;left:1522;top:326;width:3807;height:2024" coordorigin="1522,326" coordsize="3807,2024" path="m1662,2280l1592,2210,1522,2280,1592,2349,1662,2280m2029,1894l1960,1824,1890,1894,1960,1963,2029,1894m2396,1416l2327,1346,2257,1416,2327,1485,2396,1416m2763,1344l2694,1274,2624,1344,2694,1413,2763,1344m3128,1063l3059,993,2989,1063,3059,1133,3128,1063m3495,723l3426,653,3356,723,3426,792,3495,723m3862,396l3793,326,3723,396,3793,465,3862,396m4230,461l4160,391,4090,461,4160,530,4230,461m4597,509l4528,439,4458,509,4528,578,4597,509m4962,749l4892,679,4822,749,4892,818,4962,749m5329,809l5260,739,5190,809,5260,878,5329,809e" filled="true" fillcolor="#000000" stroked="false">
              <v:path arrowok="t"/>
              <v:fill type="solid"/>
            </v:shape>
            <v:rect style="position:absolute;left:2032;top:2512;width:80;height:82" filled="true" fillcolor="#e6b8b8" stroked="false">
              <v:fill type="solid"/>
            </v:rect>
            <v:rect style="position:absolute;left:2032;top:2692;width:80;height:80" filled="true" fillcolor="#c0504d" stroked="false">
              <v:fill type="solid"/>
            </v:rect>
            <v:shape style="position:absolute;left:2032;top:2871;width:80;height:80" coordorigin="2033,2871" coordsize="80,80" path="m2073,2871l2033,2911,2073,2951,2113,2911,2073,2871xe" filled="true" fillcolor="#000000" stroked="false">
              <v:path arrowok="t"/>
              <v:fill type="solid"/>
            </v:shape>
            <v:line style="position:absolute" from="5067,109" to="5067,3467" stroked="true" strokeweight=".75pt" strokecolor="#000000">
              <v:stroke dashstyle="shortdash"/>
            </v:line>
            <v:shape style="position:absolute;left:1406;top:108;width:4040;height:3359" type="#_x0000_t202" filled="false" stroked="false">
              <v:textbox inset="0,0,0,0">
                <w:txbxContent>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5"/>
                      <w:rPr>
                        <w:sz w:val="24"/>
                      </w:rPr>
                    </w:pPr>
                  </w:p>
                  <w:p>
                    <w:pPr>
                      <w:spacing w:line="232" w:lineRule="auto" w:before="0"/>
                      <w:ind w:left="741" w:right="978" w:firstLine="0"/>
                      <w:jc w:val="left"/>
                      <w:rPr>
                        <w:sz w:val="16"/>
                      </w:rPr>
                    </w:pPr>
                    <w:r>
                      <w:rPr>
                        <w:sz w:val="16"/>
                      </w:rPr>
                      <w:t>Interest receipts/payments Macro effects on labour incomes Total</w:t>
                    </w:r>
                  </w:p>
                  <w:p>
                    <w:pPr>
                      <w:spacing w:line="240" w:lineRule="auto" w:before="5"/>
                      <w:rPr>
                        <w:sz w:val="14"/>
                      </w:rPr>
                    </w:pPr>
                  </w:p>
                  <w:p>
                    <w:pPr>
                      <w:tabs>
                        <w:tab w:pos="510" w:val="left" w:leader="none"/>
                        <w:tab w:pos="877" w:val="left" w:leader="none"/>
                        <w:tab w:pos="1244" w:val="left" w:leader="none"/>
                        <w:tab w:pos="1610" w:val="left" w:leader="none"/>
                        <w:tab w:pos="1977" w:val="left" w:leader="none"/>
                        <w:tab w:pos="2344" w:val="left" w:leader="none"/>
                        <w:tab w:pos="2711" w:val="left" w:leader="none"/>
                        <w:tab w:pos="3078" w:val="left" w:leader="none"/>
                        <w:tab w:pos="3400" w:val="left" w:leader="none"/>
                      </w:tabs>
                      <w:spacing w:before="0"/>
                      <w:ind w:left="143" w:right="0" w:firstLine="0"/>
                      <w:jc w:val="left"/>
                      <w:rPr>
                        <w:sz w:val="16"/>
                      </w:rPr>
                    </w:pPr>
                    <w:r>
                      <w:rPr>
                        <w:sz w:val="16"/>
                      </w:rPr>
                      <w:t>1</w:t>
                      <w:tab/>
                      <w:t>2</w:t>
                      <w:tab/>
                      <w:t>3</w:t>
                      <w:tab/>
                      <w:t>4</w:t>
                      <w:tab/>
                      <w:t>5</w:t>
                      <w:tab/>
                      <w:t>6</w:t>
                      <w:tab/>
                      <w:t>7</w:t>
                      <w:tab/>
                      <w:t>8</w:t>
                      <w:tab/>
                      <w:t>9</w:t>
                      <w:tab/>
                      <w:t>10</w:t>
                    </w:r>
                    <w:r>
                      <w:rPr>
                        <w:spacing w:val="10"/>
                        <w:sz w:val="16"/>
                      </w:rPr>
                      <w:t> </w:t>
                    </w:r>
                    <w:r>
                      <w:rPr>
                        <w:sz w:val="16"/>
                      </w:rPr>
                      <w:t>All</w:t>
                    </w:r>
                  </w:p>
                </w:txbxContent>
              </v:textbox>
              <w10:wrap type="none"/>
            </v:shape>
            <w10:wrap type="none"/>
          </v:group>
        </w:pict>
      </w:r>
      <w:r>
        <w:rPr>
          <w:sz w:val="16"/>
        </w:rPr>
        <w:t>40</w:t>
      </w:r>
    </w:p>
    <w:p>
      <w:pPr>
        <w:spacing w:before="100"/>
        <w:ind w:left="1609" w:right="0" w:firstLine="0"/>
        <w:jc w:val="left"/>
        <w:rPr>
          <w:sz w:val="16"/>
        </w:rPr>
      </w:pPr>
      <w:r>
        <w:rPr/>
        <w:br w:type="column"/>
      </w:r>
      <w:r>
        <w:rPr>
          <w:sz w:val="16"/>
        </w:rPr>
        <w:t>Impact as of 2012-14 (£, 2013 prices)</w:t>
      </w:r>
    </w:p>
    <w:p>
      <w:pPr>
        <w:spacing w:before="124"/>
        <w:ind w:left="0" w:right="213" w:firstLine="0"/>
        <w:jc w:val="right"/>
        <w:rPr>
          <w:sz w:val="16"/>
        </w:rPr>
      </w:pPr>
      <w:r>
        <w:rPr/>
        <w:pict>
          <v:group style="position:absolute;margin-left:312.959991pt;margin-top:10.163892pt;width:190.1pt;height:163.75pt;mso-position-horizontal-relative:page;mso-position-vertical-relative:paragraph;z-index:-255056896" coordorigin="6259,203" coordsize="3802,3275">
            <v:line style="position:absolute" from="6348,2854" to="6521,2854" stroked="true" strokeweight=".12pt" strokecolor="#4f81bc">
              <v:stroke dashstyle="solid"/>
            </v:line>
            <v:line style="position:absolute" from="6348,2851" to="6521,2851" stroked="true" strokeweight=".36pt" strokecolor="#b8cde4">
              <v:stroke dashstyle="solid"/>
            </v:line>
            <v:line style="position:absolute" from="6348,2843" to="6521,2843" stroked="true" strokeweight=".48pt" strokecolor="#1f487c">
              <v:stroke dashstyle="solid"/>
            </v:line>
            <v:line style="position:absolute" from="6348,2856" to="6521,2856" stroked="true" strokeweight=".12pt" strokecolor="#4aacc5">
              <v:stroke dashstyle="solid"/>
            </v:line>
            <v:line style="position:absolute" from="6694,2854" to="6866,2854" stroked="true" strokeweight=".12pt" strokecolor="#4f81bc">
              <v:stroke dashstyle="solid"/>
            </v:line>
            <v:line style="position:absolute" from="6694,2849" to="6866,2849" stroked="true" strokeweight=".36pt" strokecolor="#b8cde4">
              <v:stroke dashstyle="solid"/>
            </v:line>
            <v:line style="position:absolute" from="6694,2838" to="6866,2838" stroked="true" strokeweight=".72pt" strokecolor="#1f487c">
              <v:stroke dashstyle="solid"/>
            </v:line>
            <v:line style="position:absolute" from="6694,2829" to="6866,2829" stroked="true" strokeweight=".24pt" strokecolor="#4aacc5">
              <v:stroke dashstyle="solid"/>
            </v:line>
            <v:line style="position:absolute" from="7039,2854" to="7212,2854" stroked="true" strokeweight=".12pt" strokecolor="#4f81bc">
              <v:stroke dashstyle="solid"/>
            </v:line>
            <v:rect style="position:absolute;left:7039;top:2821;width:173;height:32" filled="true" fillcolor="#b8cde4" stroked="false">
              <v:fill type="solid"/>
            </v:rect>
            <v:rect style="position:absolute;left:7039;top:2759;width:173;height:63" filled="true" fillcolor="#1f487c" stroked="false">
              <v:fill type="solid"/>
            </v:rect>
            <v:rect style="position:absolute;left:7039;top:2737;width:173;height:22" filled="true" fillcolor="#4aacc5" stroked="false">
              <v:fill type="solid"/>
            </v:rect>
            <v:line style="position:absolute" from="7382,2851" to="7555,2851" stroked="true" strokeweight=".36pt" strokecolor="#4f81bc">
              <v:stroke dashstyle="solid"/>
            </v:line>
            <v:rect style="position:absolute;left:7382;top:2807;width:173;height:41" filled="true" fillcolor="#b8cde4" stroked="false">
              <v:fill type="solid"/>
            </v:rect>
            <v:rect style="position:absolute;left:7382;top:2679;width:173;height:128" filled="true" fillcolor="#1f487c" stroked="false">
              <v:fill type="solid"/>
            </v:rect>
            <v:rect style="position:absolute;left:7382;top:2634;width:173;height:46" filled="true" fillcolor="#4aacc5" stroked="false">
              <v:fill type="solid"/>
            </v:rect>
            <v:line style="position:absolute" from="7728,2849" to="7901,2849" stroked="true" strokeweight=".6pt" strokecolor="#4f81bc">
              <v:stroke dashstyle="solid"/>
            </v:line>
            <v:rect style="position:absolute;left:7728;top:2802;width:173;height:41" filled="true" fillcolor="#b8cde4" stroked="false">
              <v:fill type="solid"/>
            </v:rect>
            <v:rect style="position:absolute;left:7728;top:2617;width:173;height:185" filled="true" fillcolor="#1f487c" stroked="false">
              <v:fill type="solid"/>
            </v:rect>
            <v:rect style="position:absolute;left:7728;top:2545;width:173;height:72" filled="true" fillcolor="#4aacc5" stroked="false">
              <v:fill type="solid"/>
            </v:rect>
            <v:line style="position:absolute" from="8074,2847" to="8246,2847" stroked="true" strokeweight=".84pt" strokecolor="#4f81bc">
              <v:stroke dashstyle="solid"/>
            </v:line>
            <v:rect style="position:absolute;left:8073;top:2799;width:173;height:39" filled="true" fillcolor="#b8cde4" stroked="false">
              <v:fill type="solid"/>
            </v:rect>
            <v:rect style="position:absolute;left:8073;top:2550;width:173;height:250" filled="true" fillcolor="#1f487c" stroked="false">
              <v:fill type="solid"/>
            </v:rect>
            <v:rect style="position:absolute;left:8073;top:2447;width:173;height:104" filled="true" fillcolor="#4aacc5" stroked="false">
              <v:fill type="solid"/>
            </v:rect>
            <v:rect style="position:absolute;left:8419;top:2826;width:173;height:29" filled="true" fillcolor="#4f81bc" stroked="false">
              <v:fill type="solid"/>
            </v:rect>
            <v:rect style="position:absolute;left:8419;top:2804;width:173;height:22" filled="true" fillcolor="#b8cde4" stroked="false">
              <v:fill type="solid"/>
            </v:rect>
            <v:rect style="position:absolute;left:8419;top:2499;width:173;height:305" filled="true" fillcolor="#1f487c" stroked="false">
              <v:fill type="solid"/>
            </v:rect>
            <v:rect style="position:absolute;left:8419;top:2346;width:173;height:154" filled="true" fillcolor="#4aacc5" stroked="false">
              <v:fill type="solid"/>
            </v:rect>
            <v:line style="position:absolute" from="8765,2833" to="8938,2833" stroked="true" strokeweight="2.16pt" strokecolor="#4f81bc">
              <v:stroke dashstyle="solid"/>
            </v:line>
            <v:line style="position:absolute" from="8765,2805" to="8938,2805" stroked="true" strokeweight=".72pt" strokecolor="#b8cde4">
              <v:stroke dashstyle="solid"/>
            </v:line>
            <v:rect style="position:absolute;left:8764;top:2435;width:173;height:363" filled="true" fillcolor="#1f487c" stroked="false">
              <v:fill type="solid"/>
            </v:rect>
            <v:rect style="position:absolute;left:8764;top:2139;width:173;height:296" filled="true" fillcolor="#4aacc5" stroked="false">
              <v:fill type="solid"/>
            </v:rect>
            <v:rect style="position:absolute;left:9110;top:2785;width:173;height:70" filled="true" fillcolor="#4f81bc" stroked="false">
              <v:fill type="solid"/>
            </v:rect>
            <v:line style="position:absolute" from="9110,2857" to="9283,2857" stroked="true" strokeweight=".24pt" strokecolor="#b8cde4">
              <v:stroke dashstyle="solid"/>
            </v:line>
            <v:rect style="position:absolute;left:9110;top:2322;width:173;height:464" filled="true" fillcolor="#1f487c" stroked="false">
              <v:fill type="solid"/>
            </v:rect>
            <v:rect style="position:absolute;left:9110;top:1789;width:173;height:533" filled="true" fillcolor="#4aacc5" stroked="false">
              <v:fill type="solid"/>
            </v:rect>
            <v:rect style="position:absolute;left:9456;top:2622;width:173;height:233" filled="true" fillcolor="#4f81bc" stroked="false">
              <v:fill type="solid"/>
            </v:rect>
            <v:rect style="position:absolute;left:9456;top:2855;width:173;height:60" filled="true" fillcolor="#b8cde4" stroked="false">
              <v:fill type="solid"/>
            </v:rect>
            <v:rect style="position:absolute;left:9456;top:1767;width:173;height:855" filled="true" fillcolor="#1f487c" stroked="false">
              <v:fill type="solid"/>
            </v:rect>
            <v:rect style="position:absolute;left:9456;top:431;width:173;height:1337" filled="true" fillcolor="#4aacc5" stroked="false">
              <v:fill type="solid"/>
            </v:rect>
            <v:line style="position:absolute" from="9802,2835" to="9972,2835" stroked="true" strokeweight="2.04pt" strokecolor="#4f81bc">
              <v:stroke dashstyle="solid"/>
            </v:line>
            <v:line style="position:absolute" from="9802,2807" to="9972,2807" stroked="true" strokeweight=".72pt" strokecolor="#b8cde4">
              <v:stroke dashstyle="solid"/>
            </v:line>
            <v:rect style="position:absolute;left:9801;top:2535;width:171;height:264" filled="true" fillcolor="#1f487c" stroked="false">
              <v:fill type="solid"/>
            </v:rect>
            <v:rect style="position:absolute;left:9801;top:2279;width:171;height:257" filled="true" fillcolor="#4aacc5" stroked="false">
              <v:fill type="solid"/>
            </v:rect>
            <v:shape style="position:absolute;left:6261;top:222;width:3797;height:2962" coordorigin="6262,222" coordsize="3797,2962" path="m10058,3184l10058,222m10010,3184l10058,3184m10010,2855l10058,2855m10010,2526l10058,2526m10010,2197l10058,2197m10010,1869l10058,1869m10010,1540l10058,1540m10010,1209l10058,1209m10010,880l10058,880m10010,551l10058,551m10010,222l10058,222m6262,2855l10058,2855m6262,2807l6262,2855m6607,2807l6607,2855m6953,2807l6953,2855m7296,2807l7296,2855m7642,2807l7642,2855m7987,2807l7987,2855m8333,2807l8333,2855m8678,2807l8678,2855m9024,2807l9024,2855m9370,2807l9370,2855m9715,2807l9715,2855m10058,2807l10058,2855e" filled="false" stroked="true" strokeweight=".24pt" strokecolor="#000000">
              <v:path arrowok="t"/>
              <v:stroke dashstyle="solid"/>
            </v:shape>
            <v:shape style="position:absolute;left:6361;top:419;width:3593;height:2489" coordorigin="6361,420" coordsize="3593,2489" path="m6500,2839l6431,2769,6361,2839,6431,2908,6500,2839m6846,2825l6777,2755,6707,2825,6777,2894,6846,2825m7191,2738l7122,2668,7052,2738,7122,2808,7191,2738m7537,2635l7468,2565,7398,2635,7468,2704,7537,2635m7883,2544l7813,2474,7743,2544,7813,2613,7883,2544m8228,2446l8159,2376,8089,2446,8159,2515,8228,2446m8574,2345l8505,2275,8435,2345,8505,2414,8574,2345m8917,2138l8848,2068,8778,2138,8848,2208,8917,2138m9263,1793l9193,1723,9123,1793,9193,1862,9263,1793m9608,490l9539,420,9469,490,9539,559,9608,490m9954,2280l9885,2210,9815,2280,9885,2349,9954,2280e" filled="true" fillcolor="#000000" stroked="false">
              <v:path arrowok="t"/>
              <v:fill type="solid"/>
            </v:shape>
            <v:rect style="position:absolute;left:6775;top:500;width:82;height:82" filled="true" fillcolor="#4f81bc" stroked="false">
              <v:fill type="solid"/>
            </v:rect>
            <v:rect style="position:absolute;left:6775;top:728;width:82;height:80" filled="true" fillcolor="#b8cde4" stroked="false">
              <v:fill type="solid"/>
            </v:rect>
            <v:rect style="position:absolute;left:6775;top:954;width:82;height:82" filled="true" fillcolor="#1f487c" stroked="false">
              <v:fill type="solid"/>
            </v:rect>
            <v:rect style="position:absolute;left:6775;top:1182;width:82;height:80" filled="true" fillcolor="#4aacc5" stroked="false">
              <v:fill type="solid"/>
            </v:rect>
            <v:shape style="position:absolute;left:6775;top:1408;width:80;height:80" coordorigin="6776,1408" coordsize="80,80" path="m6816,1408l6776,1448,6816,1488,6856,1448,6816,1408xe" filled="true" fillcolor="#000000" stroked="false">
              <v:path arrowok="t"/>
              <v:fill type="solid"/>
            </v:shape>
            <v:line style="position:absolute" from="9700,203" to="9700,3478" stroked="true" strokeweight=".75pt" strokecolor="#000000">
              <v:stroke dashstyle="shortdash"/>
            </v:line>
            <w10:wrap type="none"/>
          </v:group>
        </w:pict>
      </w:r>
      <w:r>
        <w:rPr>
          <w:sz w:val="16"/>
        </w:rPr>
        <w:t>400000</w:t>
      </w:r>
    </w:p>
    <w:p>
      <w:pPr>
        <w:spacing w:after="0"/>
        <w:jc w:val="right"/>
        <w:rPr>
          <w:sz w:val="16"/>
        </w:rPr>
        <w:sectPr>
          <w:type w:val="continuous"/>
          <w:pgSz w:w="11910" w:h="16840"/>
          <w:pgMar w:top="1180" w:bottom="1520" w:left="820" w:right="960"/>
          <w:cols w:num="2" w:equalWidth="0">
            <w:col w:w="4982" w:space="192"/>
            <w:col w:w="4956"/>
          </w:cols>
        </w:sect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2"/>
        <w:rPr>
          <w:sz w:val="14"/>
        </w:rPr>
      </w:pPr>
    </w:p>
    <w:p>
      <w:pPr>
        <w:spacing w:before="0"/>
        <w:ind w:left="1659" w:right="0" w:firstLine="0"/>
        <w:jc w:val="left"/>
        <w:rPr>
          <w:sz w:val="17"/>
        </w:rPr>
      </w:pPr>
      <w:r>
        <w:rPr>
          <w:sz w:val="17"/>
        </w:rPr>
        <w:t>Income decile in 2012-14</w:t>
      </w:r>
    </w:p>
    <w:p>
      <w:pPr>
        <w:spacing w:before="157"/>
        <w:ind w:left="313" w:right="0" w:firstLine="0"/>
        <w:jc w:val="left"/>
        <w:rPr>
          <w:sz w:val="16"/>
        </w:rPr>
      </w:pPr>
      <w:r>
        <w:rPr>
          <w:sz w:val="16"/>
        </w:rPr>
        <w:t>Sources: ONS and Bank calculations</w:t>
      </w:r>
    </w:p>
    <w:p>
      <w:pPr>
        <w:pStyle w:val="BodyText"/>
        <w:spacing w:before="6"/>
        <w:rPr>
          <w:sz w:val="24"/>
        </w:rPr>
      </w:pPr>
      <w:r>
        <w:rPr/>
        <w:br w:type="column"/>
      </w:r>
      <w:r>
        <w:rPr>
          <w:sz w:val="24"/>
        </w:rPr>
      </w:r>
    </w:p>
    <w:p>
      <w:pPr>
        <w:spacing w:before="0"/>
        <w:ind w:left="313" w:right="0" w:firstLine="0"/>
        <w:jc w:val="left"/>
        <w:rPr>
          <w:sz w:val="16"/>
        </w:rPr>
      </w:pPr>
      <w:r>
        <w:rPr>
          <w:sz w:val="16"/>
        </w:rPr>
        <w:t>30</w:t>
      </w:r>
    </w:p>
    <w:p>
      <w:pPr>
        <w:pStyle w:val="BodyText"/>
        <w:spacing w:before="4"/>
        <w:rPr>
          <w:sz w:val="25"/>
        </w:rPr>
      </w:pPr>
    </w:p>
    <w:p>
      <w:pPr>
        <w:spacing w:before="0"/>
        <w:ind w:left="313" w:right="0" w:firstLine="0"/>
        <w:jc w:val="left"/>
        <w:rPr>
          <w:sz w:val="16"/>
        </w:rPr>
      </w:pPr>
      <w:r>
        <w:rPr>
          <w:sz w:val="16"/>
        </w:rPr>
        <w:t>20</w:t>
      </w:r>
    </w:p>
    <w:p>
      <w:pPr>
        <w:pStyle w:val="BodyText"/>
        <w:spacing w:before="3"/>
        <w:rPr>
          <w:sz w:val="25"/>
        </w:rPr>
      </w:pPr>
    </w:p>
    <w:p>
      <w:pPr>
        <w:spacing w:before="0"/>
        <w:ind w:left="313" w:right="0" w:firstLine="0"/>
        <w:jc w:val="left"/>
        <w:rPr>
          <w:sz w:val="16"/>
        </w:rPr>
      </w:pPr>
      <w:r>
        <w:rPr>
          <w:sz w:val="16"/>
        </w:rPr>
        <w:t>10</w:t>
      </w:r>
    </w:p>
    <w:p>
      <w:pPr>
        <w:pStyle w:val="BodyText"/>
        <w:spacing w:before="3"/>
        <w:rPr>
          <w:sz w:val="25"/>
        </w:rPr>
      </w:pPr>
    </w:p>
    <w:p>
      <w:pPr>
        <w:spacing w:before="1"/>
        <w:ind w:left="313" w:right="0" w:firstLine="0"/>
        <w:jc w:val="left"/>
        <w:rPr>
          <w:sz w:val="16"/>
        </w:rPr>
      </w:pPr>
      <w:r>
        <w:rPr>
          <w:w w:val="100"/>
          <w:sz w:val="16"/>
        </w:rPr>
        <w:t>0</w:t>
      </w:r>
    </w:p>
    <w:p>
      <w:pPr>
        <w:pStyle w:val="BodyText"/>
        <w:spacing w:before="3"/>
        <w:rPr>
          <w:sz w:val="25"/>
        </w:rPr>
      </w:pPr>
    </w:p>
    <w:p>
      <w:pPr>
        <w:spacing w:before="0"/>
        <w:ind w:left="313" w:right="0" w:firstLine="0"/>
        <w:jc w:val="left"/>
        <w:rPr>
          <w:sz w:val="16"/>
        </w:rPr>
      </w:pPr>
      <w:r>
        <w:rPr>
          <w:spacing w:val="-1"/>
          <w:sz w:val="16"/>
        </w:rPr>
        <w:t>-10</w:t>
      </w:r>
    </w:p>
    <w:p>
      <w:pPr>
        <w:pStyle w:val="BodyText"/>
        <w:spacing w:before="4"/>
        <w:rPr>
          <w:sz w:val="25"/>
        </w:rPr>
      </w:pPr>
    </w:p>
    <w:p>
      <w:pPr>
        <w:spacing w:before="0"/>
        <w:ind w:left="313" w:right="0" w:firstLine="0"/>
        <w:jc w:val="left"/>
        <w:rPr>
          <w:sz w:val="16"/>
        </w:rPr>
      </w:pPr>
      <w:r>
        <w:rPr>
          <w:spacing w:val="-1"/>
          <w:sz w:val="16"/>
        </w:rPr>
        <w:t>-20</w:t>
      </w:r>
    </w:p>
    <w:p>
      <w:pPr>
        <w:spacing w:line="295" w:lineRule="auto" w:before="136"/>
        <w:ind w:left="1035" w:right="1201" w:firstLine="0"/>
        <w:jc w:val="left"/>
        <w:rPr>
          <w:sz w:val="16"/>
        </w:rPr>
      </w:pPr>
      <w:r>
        <w:rPr/>
        <w:br w:type="column"/>
      </w:r>
      <w:r>
        <w:rPr>
          <w:sz w:val="16"/>
        </w:rPr>
        <w:t>Financial asset prices Inflation effects House prices Pensions</w:t>
      </w:r>
    </w:p>
    <w:p>
      <w:pPr>
        <w:spacing w:before="1"/>
        <w:ind w:left="1035" w:right="0" w:firstLine="0"/>
        <w:jc w:val="left"/>
        <w:rPr>
          <w:sz w:val="16"/>
        </w:rPr>
      </w:pPr>
      <w:r>
        <w:rPr>
          <w:sz w:val="16"/>
        </w:rPr>
        <w:t>Total</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7"/>
        <w:rPr>
          <w:sz w:val="25"/>
        </w:rPr>
      </w:pPr>
    </w:p>
    <w:p>
      <w:pPr>
        <w:tabs>
          <w:tab w:pos="881" w:val="left" w:leader="none"/>
          <w:tab w:pos="1226" w:val="left" w:leader="none"/>
          <w:tab w:pos="1571" w:val="left" w:leader="none"/>
          <w:tab w:pos="1917" w:val="left" w:leader="none"/>
          <w:tab w:pos="2262" w:val="left" w:leader="none"/>
          <w:tab w:pos="2607" w:val="left" w:leader="none"/>
          <w:tab w:pos="2953" w:val="left" w:leader="none"/>
          <w:tab w:pos="3298" w:val="left" w:leader="none"/>
          <w:tab w:pos="3599" w:val="left" w:leader="none"/>
        </w:tabs>
        <w:spacing w:before="0"/>
        <w:ind w:left="535" w:right="0" w:firstLine="0"/>
        <w:jc w:val="left"/>
        <w:rPr>
          <w:sz w:val="16"/>
        </w:rPr>
      </w:pPr>
      <w:r>
        <w:rPr>
          <w:sz w:val="16"/>
        </w:rPr>
        <w:t>1</w:t>
        <w:tab/>
        <w:t>2</w:t>
        <w:tab/>
        <w:t>3</w:t>
        <w:tab/>
        <w:t>4</w:t>
        <w:tab/>
        <w:t>5</w:t>
        <w:tab/>
        <w:t>6</w:t>
        <w:tab/>
        <w:t>7</w:t>
        <w:tab/>
        <w:t>8</w:t>
        <w:tab/>
        <w:t>9</w:t>
        <w:tab/>
      </w:r>
      <w:r>
        <w:rPr>
          <w:spacing w:val="-11"/>
          <w:sz w:val="16"/>
        </w:rPr>
        <w:t>10</w:t>
      </w:r>
    </w:p>
    <w:p>
      <w:pPr>
        <w:spacing w:before="90"/>
        <w:ind w:left="1519" w:right="0" w:firstLine="0"/>
        <w:jc w:val="left"/>
        <w:rPr>
          <w:sz w:val="16"/>
        </w:rPr>
      </w:pPr>
      <w:r>
        <w:rPr>
          <w:sz w:val="16"/>
        </w:rPr>
        <w:t>Net wealth decile in 2012-14</w:t>
      </w:r>
    </w:p>
    <w:p>
      <w:pPr>
        <w:pStyle w:val="BodyText"/>
        <w:spacing w:before="8"/>
        <w:rPr>
          <w:sz w:val="16"/>
        </w:rPr>
      </w:pPr>
    </w:p>
    <w:p>
      <w:pPr>
        <w:spacing w:before="0"/>
        <w:ind w:left="195" w:right="0" w:firstLine="0"/>
        <w:jc w:val="left"/>
        <w:rPr>
          <w:sz w:val="16"/>
        </w:rPr>
      </w:pPr>
      <w:r>
        <w:rPr>
          <w:sz w:val="16"/>
        </w:rPr>
        <w:t>Sources: ONS and Bank calculations</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3"/>
        <w:rPr>
          <w:sz w:val="24"/>
        </w:rPr>
      </w:pPr>
    </w:p>
    <w:p>
      <w:pPr>
        <w:spacing w:before="0"/>
        <w:ind w:left="127" w:right="0" w:firstLine="0"/>
        <w:jc w:val="left"/>
        <w:rPr>
          <w:sz w:val="16"/>
        </w:rPr>
      </w:pPr>
      <w:r>
        <w:rPr>
          <w:sz w:val="16"/>
        </w:rPr>
        <w:t>All</w:t>
      </w:r>
    </w:p>
    <w:p>
      <w:pPr>
        <w:spacing w:before="145"/>
        <w:ind w:left="181" w:right="0" w:firstLine="0"/>
        <w:jc w:val="left"/>
        <w:rPr>
          <w:sz w:val="16"/>
        </w:rPr>
      </w:pPr>
      <w:r>
        <w:rPr/>
        <w:br w:type="column"/>
      </w:r>
      <w:r>
        <w:rPr>
          <w:sz w:val="16"/>
        </w:rPr>
        <w:t>350000</w:t>
      </w:r>
    </w:p>
    <w:p>
      <w:pPr>
        <w:spacing w:before="145"/>
        <w:ind w:left="181" w:right="0" w:firstLine="0"/>
        <w:jc w:val="left"/>
        <w:rPr>
          <w:sz w:val="16"/>
        </w:rPr>
      </w:pPr>
      <w:r>
        <w:rPr>
          <w:sz w:val="16"/>
        </w:rPr>
        <w:t>300000</w:t>
      </w:r>
    </w:p>
    <w:p>
      <w:pPr>
        <w:spacing w:before="146"/>
        <w:ind w:left="181" w:right="0" w:firstLine="0"/>
        <w:jc w:val="left"/>
        <w:rPr>
          <w:sz w:val="16"/>
        </w:rPr>
      </w:pPr>
      <w:r>
        <w:rPr>
          <w:sz w:val="16"/>
        </w:rPr>
        <w:t>250000</w:t>
      </w:r>
    </w:p>
    <w:p>
      <w:pPr>
        <w:spacing w:before="145"/>
        <w:ind w:left="181" w:right="0" w:firstLine="0"/>
        <w:jc w:val="left"/>
        <w:rPr>
          <w:sz w:val="16"/>
        </w:rPr>
      </w:pPr>
      <w:r>
        <w:rPr>
          <w:sz w:val="16"/>
        </w:rPr>
        <w:t>200000</w:t>
      </w:r>
    </w:p>
    <w:p>
      <w:pPr>
        <w:spacing w:before="145"/>
        <w:ind w:left="181" w:right="0" w:firstLine="0"/>
        <w:jc w:val="left"/>
        <w:rPr>
          <w:sz w:val="16"/>
        </w:rPr>
      </w:pPr>
      <w:r>
        <w:rPr>
          <w:sz w:val="16"/>
        </w:rPr>
        <w:t>150000</w:t>
      </w:r>
    </w:p>
    <w:p>
      <w:pPr>
        <w:spacing w:before="146"/>
        <w:ind w:left="181" w:right="0" w:firstLine="0"/>
        <w:jc w:val="left"/>
        <w:rPr>
          <w:sz w:val="16"/>
        </w:rPr>
      </w:pPr>
      <w:r>
        <w:rPr>
          <w:sz w:val="16"/>
        </w:rPr>
        <w:t>100000</w:t>
      </w:r>
    </w:p>
    <w:p>
      <w:pPr>
        <w:spacing w:before="145"/>
        <w:ind w:left="181" w:right="0" w:firstLine="0"/>
        <w:jc w:val="left"/>
        <w:rPr>
          <w:sz w:val="16"/>
        </w:rPr>
      </w:pPr>
      <w:r>
        <w:rPr>
          <w:sz w:val="16"/>
        </w:rPr>
        <w:t>50000</w:t>
      </w:r>
    </w:p>
    <w:p>
      <w:pPr>
        <w:spacing w:before="145"/>
        <w:ind w:left="181" w:right="0" w:firstLine="0"/>
        <w:jc w:val="left"/>
        <w:rPr>
          <w:sz w:val="16"/>
        </w:rPr>
      </w:pPr>
      <w:r>
        <w:rPr>
          <w:w w:val="100"/>
          <w:sz w:val="16"/>
        </w:rPr>
        <w:t>0</w:t>
      </w:r>
    </w:p>
    <w:p>
      <w:pPr>
        <w:spacing w:before="146"/>
        <w:ind w:left="181" w:right="0" w:firstLine="0"/>
        <w:jc w:val="left"/>
        <w:rPr>
          <w:sz w:val="16"/>
        </w:rPr>
      </w:pPr>
      <w:r>
        <w:rPr>
          <w:sz w:val="16"/>
        </w:rPr>
        <w:t>-50000</w:t>
      </w:r>
    </w:p>
    <w:p>
      <w:pPr>
        <w:spacing w:after="0"/>
        <w:jc w:val="left"/>
        <w:rPr>
          <w:sz w:val="16"/>
        </w:rPr>
        <w:sectPr>
          <w:type w:val="continuous"/>
          <w:pgSz w:w="11910" w:h="16840"/>
          <w:pgMar w:top="1180" w:bottom="1520" w:left="820" w:right="960"/>
          <w:cols w:num="5" w:equalWidth="0">
            <w:col w:w="3594" w:space="856"/>
            <w:col w:w="544" w:space="40"/>
            <w:col w:w="3778" w:space="39"/>
            <w:col w:w="306" w:space="40"/>
            <w:col w:w="933"/>
          </w:cols>
        </w:sectPr>
      </w:pPr>
    </w:p>
    <w:p>
      <w:pPr>
        <w:spacing w:line="276" w:lineRule="auto" w:before="27"/>
        <w:ind w:left="313" w:right="19" w:firstLine="0"/>
        <w:jc w:val="left"/>
        <w:rPr>
          <w:sz w:val="16"/>
        </w:rPr>
      </w:pPr>
      <w:r>
        <w:rPr>
          <w:sz w:val="16"/>
        </w:rPr>
        <w:t>Note: Chart shows average cumulative real impact of policy changes since 2007 as of 2012-14 as a percentage of annual income.</w:t>
      </w:r>
    </w:p>
    <w:p>
      <w:pPr>
        <w:spacing w:line="276" w:lineRule="auto" w:before="27"/>
        <w:ind w:left="313" w:right="308" w:firstLine="0"/>
        <w:jc w:val="left"/>
        <w:rPr>
          <w:sz w:val="16"/>
        </w:rPr>
      </w:pPr>
      <w:r>
        <w:rPr/>
        <w:br w:type="column"/>
      </w:r>
      <w:r>
        <w:rPr>
          <w:sz w:val="16"/>
        </w:rPr>
        <w:t>Note: Chart shows average cumulative real impact of policy changes since 2007 as of 2012-14 in pounds, using 2013 prices.</w:t>
      </w:r>
    </w:p>
    <w:p>
      <w:pPr>
        <w:spacing w:after="0" w:line="276" w:lineRule="auto"/>
        <w:jc w:val="left"/>
        <w:rPr>
          <w:sz w:val="16"/>
        </w:rPr>
        <w:sectPr>
          <w:type w:val="continuous"/>
          <w:pgSz w:w="11910" w:h="16840"/>
          <w:pgMar w:top="1180" w:bottom="1520" w:left="820" w:right="960"/>
          <w:cols w:num="2" w:equalWidth="0">
            <w:col w:w="4694" w:space="222"/>
            <w:col w:w="5214"/>
          </w:cols>
        </w:sectPr>
      </w:pPr>
    </w:p>
    <w:p>
      <w:pPr>
        <w:pStyle w:val="Heading1"/>
        <w:spacing w:line="276" w:lineRule="auto"/>
      </w:pPr>
      <w:r>
        <w:rPr/>
        <w:t>Chart 13: Impact of monetary policy on wealth, across the wealth distribution (%)</w:t>
      </w:r>
    </w:p>
    <w:p>
      <w:pPr>
        <w:spacing w:before="76"/>
        <w:ind w:left="1991" w:right="0" w:firstLine="0"/>
        <w:jc w:val="left"/>
        <w:rPr>
          <w:sz w:val="16"/>
        </w:rPr>
      </w:pPr>
      <w:r>
        <w:rPr>
          <w:sz w:val="16"/>
        </w:rPr>
        <w:t>Impact as of 2012-14 (% of net wealth)</w:t>
      </w:r>
    </w:p>
    <w:p>
      <w:pPr>
        <w:pStyle w:val="BodyText"/>
        <w:spacing w:before="2"/>
      </w:pPr>
    </w:p>
    <w:p>
      <w:pPr>
        <w:spacing w:before="0"/>
        <w:ind w:left="0" w:right="0" w:firstLine="0"/>
        <w:jc w:val="right"/>
        <w:rPr>
          <w:sz w:val="17"/>
        </w:rPr>
      </w:pPr>
      <w:r>
        <w:rPr/>
        <w:pict>
          <v:group style="position:absolute;margin-left:64.199997pt;margin-top:5.11292pt;width:211.7pt;height:152.35pt;mso-position-horizontal-relative:page;mso-position-vertical-relative:paragraph;z-index:-255054848" coordorigin="1284,102" coordsize="4234,3047">
            <v:rect style="position:absolute;left:1382;top:2545;width:192;height:41" filled="true" fillcolor="#4f81bc" stroked="false">
              <v:fill type="solid"/>
            </v:rect>
            <v:rect style="position:absolute;left:1382;top:1616;width:192;height:929" filled="true" fillcolor="#b8cde4" stroked="false">
              <v:fill type="solid"/>
            </v:rect>
            <v:rect style="position:absolute;left:1382;top:471;width:192;height:1145" filled="true" fillcolor="#1f487c" stroked="false">
              <v:fill type="solid"/>
            </v:rect>
            <v:line style="position:absolute" from="1382,2590" to="1574,2590" stroked="true" strokeweight=".36pt" strokecolor="#4aacc5">
              <v:stroke dashstyle="solid"/>
            </v:line>
            <v:rect style="position:absolute;left:1766;top:2533;width:192;height:53" filled="true" fillcolor="#4f81bc" stroked="false">
              <v:fill type="solid"/>
            </v:rect>
            <v:rect style="position:absolute;left:1766;top:2312;width:192;height:221" filled="true" fillcolor="#b8cde4" stroked="false">
              <v:fill type="solid"/>
            </v:rect>
            <v:rect style="position:absolute;left:1766;top:1911;width:192;height:401" filled="true" fillcolor="#1f487c" stroked="false">
              <v:fill type="solid"/>
            </v:rect>
            <v:rect style="position:absolute;left:1766;top:1796;width:192;height:116" filled="true" fillcolor="#4aacc5" stroked="false">
              <v:fill type="solid"/>
            </v:rect>
            <v:rect style="position:absolute;left:2150;top:2547;width:192;height:39" filled="true" fillcolor="#4f81bc" stroked="false">
              <v:fill type="solid"/>
            </v:rect>
            <v:rect style="position:absolute;left:2150;top:2233;width:192;height:315" filled="true" fillcolor="#b8cde4" stroked="false">
              <v:fill type="solid"/>
            </v:rect>
            <v:rect style="position:absolute;left:2150;top:1575;width:192;height:658" filled="true" fillcolor="#1f487c" stroked="false">
              <v:fill type="solid"/>
            </v:rect>
            <v:rect style="position:absolute;left:2150;top:1364;width:192;height:212" filled="true" fillcolor="#4aacc5" stroked="false">
              <v:fill type="solid"/>
            </v:rect>
            <v:rect style="position:absolute;left:2534;top:2547;width:192;height:39" filled="true" fillcolor="#4f81bc" stroked="false">
              <v:fill type="solid"/>
            </v:rect>
            <v:rect style="position:absolute;left:2534;top:2331;width:192;height:216" filled="true" fillcolor="#b8cde4" stroked="false">
              <v:fill type="solid"/>
            </v:rect>
            <v:rect style="position:absolute;left:2534;top:1676;width:192;height:656" filled="true" fillcolor="#1f487c" stroked="false">
              <v:fill type="solid"/>
            </v:rect>
            <v:rect style="position:absolute;left:2534;top:1439;width:192;height:238" filled="true" fillcolor="#4aacc5" stroked="false">
              <v:fill type="solid"/>
            </v:rect>
            <v:rect style="position:absolute;left:2918;top:2547;width:195;height:39" filled="true" fillcolor="#4f81bc" stroked="false">
              <v:fill type="solid"/>
            </v:rect>
            <v:rect style="position:absolute;left:2918;top:2413;width:195;height:135" filled="true" fillcolor="#b8cde4" stroked="false">
              <v:fill type="solid"/>
            </v:rect>
            <v:rect style="position:absolute;left:2918;top:1806;width:195;height:608" filled="true" fillcolor="#1f487c" stroked="false">
              <v:fill type="solid"/>
            </v:rect>
            <v:rect style="position:absolute;left:2918;top:1568;width:195;height:238" filled="true" fillcolor="#4aacc5" stroked="false">
              <v:fill type="solid"/>
            </v:rect>
            <v:rect style="position:absolute;left:3304;top:2545;width:192;height:41" filled="true" fillcolor="#4f81bc" stroked="false">
              <v:fill type="solid"/>
            </v:rect>
            <v:rect style="position:absolute;left:3304;top:2456;width:192;height:89" filled="true" fillcolor="#b8cde4" stroked="false">
              <v:fill type="solid"/>
            </v:rect>
            <v:rect style="position:absolute;left:3304;top:1892;width:192;height:564" filled="true" fillcolor="#1f487c" stroked="false">
              <v:fill type="solid"/>
            </v:rect>
            <v:rect style="position:absolute;left:3304;top:1655;width:192;height:238" filled="true" fillcolor="#4aacc5" stroked="false">
              <v:fill type="solid"/>
            </v:rect>
            <v:rect style="position:absolute;left:3688;top:2540;width:192;height:46" filled="true" fillcolor="#4f81bc" stroked="false">
              <v:fill type="solid"/>
            </v:rect>
            <v:rect style="position:absolute;left:3688;top:2502;width:192;height:39" filled="true" fillcolor="#b8cde4" stroked="false">
              <v:fill type="solid"/>
            </v:rect>
            <v:rect style="position:absolute;left:3688;top:2012;width:192;height:490" filled="true" fillcolor="#1f487c" stroked="false">
              <v:fill type="solid"/>
            </v:rect>
            <v:rect style="position:absolute;left:3688;top:1763;width:192;height:250" filled="true" fillcolor="#4aacc5" stroked="false">
              <v:fill type="solid"/>
            </v:rect>
            <v:line style="position:absolute" from="4073,2561" to="4265,2561" stroked="true" strokeweight="2.52pt" strokecolor="#4f81bc">
              <v:stroke dashstyle="solid"/>
            </v:line>
            <v:line style="position:absolute" from="4073,2527" to="4265,2527" stroked="true" strokeweight=".84pt" strokecolor="#b8cde4">
              <v:stroke dashstyle="solid"/>
            </v:line>
            <v:rect style="position:absolute;left:4072;top:2108;width:192;height:411" filled="true" fillcolor="#1f487c" stroked="false">
              <v:fill type="solid"/>
            </v:rect>
            <v:rect style="position:absolute;left:4072;top:1770;width:192;height:339" filled="true" fillcolor="#4aacc5" stroked="false">
              <v:fill type="solid"/>
            </v:rect>
            <v:rect style="position:absolute;left:4456;top:2533;width:192;height:53" filled="true" fillcolor="#4f81bc" stroked="false">
              <v:fill type="solid"/>
            </v:rect>
            <v:line style="position:absolute" from="4457,2587" to="4649,2587" stroked="true" strokeweight=".12pt" strokecolor="#b8cde4">
              <v:stroke dashstyle="solid"/>
            </v:line>
            <v:rect style="position:absolute;left:4456;top:2185;width:192;height:348" filled="true" fillcolor="#1f487c" stroked="false">
              <v:fill type="solid"/>
            </v:rect>
            <v:rect style="position:absolute;left:4456;top:1784;width:192;height:401" filled="true" fillcolor="#4aacc5" stroked="false">
              <v:fill type="solid"/>
            </v:rect>
            <v:rect style="position:absolute;left:4840;top:2507;width:195;height:80" filled="true" fillcolor="#4f81bc" stroked="false">
              <v:fill type="solid"/>
            </v:rect>
            <v:rect style="position:absolute;left:4840;top:2586;width:195;height:20" filled="true" fillcolor="#b8cde4" stroked="false">
              <v:fill type="solid"/>
            </v:rect>
            <v:rect style="position:absolute;left:4840;top:2221;width:195;height:286" filled="true" fillcolor="#1f487c" stroked="false">
              <v:fill type="solid"/>
            </v:rect>
            <v:rect style="position:absolute;left:4840;top:1772;width:195;height:449" filled="true" fillcolor="#4aacc5" stroked="false">
              <v:fill type="solid"/>
            </v:rect>
            <v:rect style="position:absolute;left:5227;top:2526;width:192;height:60" filled="true" fillcolor="#4f81bc" stroked="false">
              <v:fill type="solid"/>
            </v:rect>
            <v:rect style="position:absolute;left:5227;top:2504;width:192;height:22" filled="true" fillcolor="#b8cde4" stroked="false">
              <v:fill type="solid"/>
            </v:rect>
            <v:rect style="position:absolute;left:5227;top:2123;width:192;height:382" filled="true" fillcolor="#1f487c" stroked="false">
              <v:fill type="solid"/>
            </v:rect>
            <v:rect style="position:absolute;left:5227;top:1751;width:192;height:372" filled="true" fillcolor="#4aacc5" stroked="false">
              <v:fill type="solid"/>
            </v:rect>
            <v:shape style="position:absolute;left:1286;top:104;width:4229;height:2895" coordorigin="1286,105" coordsize="4229,2895" path="m5515,2999l5515,105m5462,2999l5515,2999m5462,2586l5515,2586m5462,2173l5515,2173m5462,1758l5515,1758m5462,1345l5515,1345m5462,933l5515,933m5462,517l5515,517m5462,105l5515,105m1286,2586l5515,2586m1286,2533l1286,2586m1670,2533l1670,2586m2054,2533l2054,2586m2438,2533l2438,2586m2822,2533l2822,2586m3209,2533l3209,2586m3593,2533l3593,2586m3977,2533l3977,2586m4361,2533l4361,2586m4745,2533l4745,2586m5131,2533l5131,2586m5515,2533l5515,2586e" filled="false" stroked="true" strokeweight=".24pt" strokecolor="#000000">
              <v:path arrowok="t"/>
              <v:stroke dashstyle="solid"/>
            </v:shape>
            <v:shape style="position:absolute;left:1407;top:410;width:3984;height:1457" coordorigin="1407,410" coordsize="3984,1457" path="m1546,480l1477,410,1407,480,1477,549,1546,480m1930,1798l1861,1728,1791,1798,1861,1867,1930,1798m2317,1366l2248,1296,2178,1366,2248,1435,2317,1366m2701,1440l2632,1370,2562,1440,2632,1509,2701,1440m3085,1570l3016,1500,2946,1570,3016,1639,3085,1570m3469,1656l3400,1586,3330,1656,3400,1725,3469,1656m3853,1764l3784,1694,3714,1764,3784,1833,3853,1764m4239,1771l4170,1701,4100,1771,4170,1840,4239,1771m4623,1786l4554,1716,4484,1786,4554,1855,4623,1786m5007,1793l4938,1723,4868,1793,4938,1862,5007,1793m5391,1750l5322,1680,5252,1750,5322,1819,5391,1750e" filled="true" fillcolor="#000000" stroked="false">
              <v:path arrowok="t"/>
              <v:fill type="solid"/>
            </v:shape>
            <v:rect style="position:absolute;left:2356;top:179;width:84;height:87" filled="true" fillcolor="#4f81bc" stroked="false">
              <v:fill type="solid"/>
            </v:rect>
            <v:rect style="position:absolute;left:2356;top:368;width:84;height:87" filled="true" fillcolor="#b8cde4" stroked="false">
              <v:fill type="solid"/>
            </v:rect>
            <v:rect style="position:absolute;left:2356;top:558;width:84;height:87" filled="true" fillcolor="#1f487c" stroked="false">
              <v:fill type="solid"/>
            </v:rect>
            <v:rect style="position:absolute;left:2356;top:747;width:84;height:87" filled="true" fillcolor="#4aacc5" stroked="false">
              <v:fill type="solid"/>
            </v:rect>
            <v:shape style="position:absolute;left:2359;top:939;width:80;height:80" coordorigin="2359,940" coordsize="80,80" path="m2399,940l2359,980,2399,1020,2439,980,2399,940xe" filled="true" fillcolor="#000000" stroked="false">
              <v:path arrowok="t"/>
              <v:fill type="solid"/>
            </v:shape>
            <v:line style="position:absolute" from="5126,110" to="5126,3149" stroked="true" strokeweight=".75pt" strokecolor="#000000">
              <v:stroke dashstyle="shortdash"/>
            </v:line>
            <v:shape style="position:absolute;left:1284;top:102;width:4234;height:3047" type="#_x0000_t202" filled="false" stroked="false">
              <v:textbox inset="0,0,0,0">
                <w:txbxContent>
                  <w:p>
                    <w:pPr>
                      <w:spacing w:line="232" w:lineRule="auto" w:before="21"/>
                      <w:ind w:left="1194" w:right="1403" w:firstLine="0"/>
                      <w:jc w:val="left"/>
                      <w:rPr>
                        <w:sz w:val="17"/>
                      </w:rPr>
                    </w:pPr>
                    <w:r>
                      <w:rPr>
                        <w:sz w:val="17"/>
                      </w:rPr>
                      <w:t>Financial asset prices Inflation effects House prices Pensions</w:t>
                    </w:r>
                  </w:p>
                  <w:p>
                    <w:pPr>
                      <w:spacing w:line="189" w:lineRule="exact" w:before="0"/>
                      <w:ind w:left="1194" w:right="0" w:firstLine="0"/>
                      <w:jc w:val="left"/>
                      <w:rPr>
                        <w:sz w:val="17"/>
                      </w:rPr>
                    </w:pPr>
                    <w:r>
                      <w:rPr>
                        <w:sz w:val="17"/>
                      </w:rPr>
                      <w:t>Total</w:t>
                    </w:r>
                  </w:p>
                </w:txbxContent>
              </v:textbox>
              <w10:wrap type="none"/>
            </v:shape>
            <w10:wrap type="none"/>
          </v:group>
        </w:pict>
      </w:r>
      <w:r>
        <w:rPr>
          <w:spacing w:val="-2"/>
          <w:sz w:val="17"/>
        </w:rPr>
        <w:t>60</w:t>
      </w:r>
    </w:p>
    <w:p>
      <w:pPr>
        <w:pStyle w:val="BodyText"/>
        <w:spacing w:before="11"/>
        <w:rPr>
          <w:sz w:val="18"/>
        </w:rPr>
      </w:pPr>
    </w:p>
    <w:p>
      <w:pPr>
        <w:spacing w:before="0"/>
        <w:ind w:left="0" w:right="0" w:firstLine="0"/>
        <w:jc w:val="right"/>
        <w:rPr>
          <w:sz w:val="17"/>
        </w:rPr>
      </w:pPr>
      <w:r>
        <w:rPr>
          <w:spacing w:val="-2"/>
          <w:sz w:val="17"/>
        </w:rPr>
        <w:t>50</w:t>
      </w:r>
    </w:p>
    <w:p>
      <w:pPr>
        <w:pStyle w:val="BodyText"/>
        <w:spacing w:before="11"/>
        <w:rPr>
          <w:sz w:val="18"/>
        </w:rPr>
      </w:pPr>
    </w:p>
    <w:p>
      <w:pPr>
        <w:spacing w:before="0"/>
        <w:ind w:left="0" w:right="0" w:firstLine="0"/>
        <w:jc w:val="right"/>
        <w:rPr>
          <w:sz w:val="17"/>
        </w:rPr>
      </w:pPr>
      <w:r>
        <w:rPr>
          <w:spacing w:val="-2"/>
          <w:sz w:val="17"/>
        </w:rPr>
        <w:t>40</w:t>
      </w:r>
    </w:p>
    <w:p>
      <w:pPr>
        <w:pStyle w:val="Heading1"/>
        <w:spacing w:line="276" w:lineRule="auto"/>
        <w:ind w:right="-16"/>
      </w:pPr>
      <w:r>
        <w:rPr>
          <w:b w:val="0"/>
        </w:rPr>
        <w:br w:type="column"/>
      </w:r>
      <w:r>
        <w:rPr/>
        <w:t>Chart 14: Impact of monetary policy on income, across the age distribution (£)</w:t>
      </w:r>
    </w:p>
    <w:p>
      <w:pPr>
        <w:spacing w:line="400" w:lineRule="auto" w:before="168"/>
        <w:ind w:left="2010" w:right="-16" w:hanging="462"/>
        <w:jc w:val="left"/>
        <w:rPr>
          <w:sz w:val="16"/>
        </w:rPr>
      </w:pPr>
      <w:r>
        <w:rPr/>
        <w:pict>
          <v:group style="position:absolute;margin-left:317.640015pt;margin-top:25.153898pt;width:192.6pt;height:165.3pt;mso-position-horizontal-relative:page;mso-position-vertical-relative:paragraph;z-index:-255053824" coordorigin="6353,503" coordsize="3852,3306">
            <v:rect style="position:absolute;left:6427;top:1760;width:149;height:939" filled="true" fillcolor="#c0504d" stroked="false">
              <v:fill type="solid"/>
            </v:rect>
            <v:rect style="position:absolute;left:6427;top:1359;width:149;height:401" filled="true" fillcolor="#e6b8b8" stroked="false">
              <v:fill type="solid"/>
            </v:rect>
            <v:rect style="position:absolute;left:6724;top:1534;width:147;height:1164" filled="true" fillcolor="#c0504d" stroked="false">
              <v:fill type="solid"/>
            </v:rect>
            <v:rect style="position:absolute;left:6724;top:747;width:147;height:788" filled="true" fillcolor="#e6b8b8" stroked="false">
              <v:fill type="solid"/>
            </v:rect>
            <v:rect style="position:absolute;left:7020;top:1606;width:149;height:1092" filled="true" fillcolor="#c0504d" stroked="false">
              <v:fill type="solid"/>
            </v:rect>
            <v:rect style="position:absolute;left:7020;top:826;width:149;height:780" filled="true" fillcolor="#e6b8b8" stroked="false">
              <v:fill type="solid"/>
            </v:rect>
            <v:rect style="position:absolute;left:7315;top:1786;width:149;height:912" filled="true" fillcolor="#c0504d" stroked="false">
              <v:fill type="solid"/>
            </v:rect>
            <v:rect style="position:absolute;left:7315;top:1050;width:149;height:737" filled="true" fillcolor="#e6b8b8" stroked="false">
              <v:fill type="solid"/>
            </v:rect>
            <v:rect style="position:absolute;left:7612;top:1815;width:147;height:884" filled="true" fillcolor="#c0504d" stroked="false">
              <v:fill type="solid"/>
            </v:rect>
            <v:rect style="position:absolute;left:7612;top:1318;width:147;height:497" filled="true" fillcolor="#e6b8b8" stroked="false">
              <v:fill type="solid"/>
            </v:rect>
            <v:rect style="position:absolute;left:7908;top:1899;width:149;height:800" filled="true" fillcolor="#c0504d" stroked="false">
              <v:fill type="solid"/>
            </v:rect>
            <v:rect style="position:absolute;left:7908;top:1659;width:149;height:240" filled="true" fillcolor="#e6b8b8" stroked="false">
              <v:fill type="solid"/>
            </v:rect>
            <v:rect style="position:absolute;left:8203;top:1966;width:149;height:732" filled="true" fillcolor="#c0504d" stroked="false">
              <v:fill type="solid"/>
            </v:rect>
            <v:line style="position:absolute" from="8203,2702" to="8352,2702" stroked="true" strokeweight=".36pt" strokecolor="#e6b8b8">
              <v:stroke dashstyle="solid"/>
            </v:line>
            <v:rect style="position:absolute;left:8500;top:2192;width:147;height:507" filled="true" fillcolor="#c0504d" stroked="false">
              <v:fill type="solid"/>
            </v:rect>
            <v:rect style="position:absolute;left:8500;top:2698;width:147;height:351" filled="true" fillcolor="#e6b8b8" stroked="false">
              <v:fill type="solid"/>
            </v:rect>
            <v:rect style="position:absolute;left:8796;top:2490;width:149;height:209" filled="true" fillcolor="#c0504d" stroked="false">
              <v:fill type="solid"/>
            </v:rect>
            <v:rect style="position:absolute;left:8796;top:2698;width:149;height:552" filled="true" fillcolor="#e6b8b8" stroked="false">
              <v:fill type="solid"/>
            </v:rect>
            <v:rect style="position:absolute;left:9091;top:2634;width:149;height:65" filled="true" fillcolor="#c0504d" stroked="false">
              <v:fill type="solid"/>
            </v:rect>
            <v:rect style="position:absolute;left:9091;top:2698;width:149;height:454" filled="true" fillcolor="#e6b8b8" stroked="false">
              <v:fill type="solid"/>
            </v:rect>
            <v:rect style="position:absolute;left:9388;top:2670;width:147;height:29" filled="true" fillcolor="#c0504d" stroked="false">
              <v:fill type="solid"/>
            </v:rect>
            <v:rect style="position:absolute;left:9388;top:2698;width:147;height:423" filled="true" fillcolor="#e6b8b8" stroked="false">
              <v:fill type="solid"/>
            </v:rect>
            <v:line style="position:absolute" from="9684,2690" to="9833,2690" stroked="true" strokeweight=".84pt" strokecolor="#c0504d">
              <v:stroke dashstyle="solid"/>
            </v:line>
            <v:rect style="position:absolute;left:9684;top:2698;width:149;height:408" filled="true" fillcolor="#e6b8b8" stroked="false">
              <v:fill type="solid"/>
            </v:rect>
            <v:rect style="position:absolute;left:9979;top:2062;width:149;height:636" filled="true" fillcolor="#c0504d" stroked="false">
              <v:fill type="solid"/>
            </v:rect>
            <v:rect style="position:absolute;left:9979;top:1923;width:149;height:140" filled="true" fillcolor="#e6b8b8" stroked="false">
              <v:fill type="solid"/>
            </v:rect>
            <v:shape style="position:absolute;left:6355;top:514;width:3848;height:3060" coordorigin="6355,515" coordsize="3848,3060" path="m10202,3575l10202,515m10154,3575l10202,3575m10154,3138l10202,3138m10154,2699l10202,2699m10154,2262l10202,2262m10154,1825l10202,1825m10154,1388l10202,1388m10154,952l10202,952m10154,515l10202,515m6355,2699l10202,2699m6355,2651l6355,2699m6650,2651l6650,2699m6946,2651l6946,2699m7243,2651l7243,2699m7538,2651l7538,2699m7834,2651l7834,2699m8131,2651l8131,2699m8426,2651l8426,2699m8722,2651l8722,2699m9017,2651l9017,2699m9314,2651l9314,2699m9610,2651l9610,2699m9905,2651l9905,2699m10202,2651l10202,2699e" filled="false" stroked="true" strokeweight=".24pt" strokecolor="#000000">
              <v:path arrowok="t"/>
              <v:stroke dashstyle="solid"/>
            </v:shape>
            <v:shape style="position:absolute;left:6430;top:676;width:3692;height:2484" coordorigin="6431,676" coordsize="3692,2484" path="m6570,1361l6501,1291,6431,1361,6501,1430,6570,1361m6865,746l6796,676,6726,746,6796,815,6865,746m7160,825l7091,755,7021,825,7091,895,7160,825m7458,1049l7389,979,7319,1049,7389,1118,7458,1049m7753,1320l7684,1250,7614,1320,7684,1389,7753,1320m8048,1658l7979,1588,7909,1658,7979,1727,8048,1658m8346,1973l8277,1903,8207,1973,8277,2042,8346,1973m8641,2544l8572,2474,8502,2544,8572,2613,8641,2544m8936,3038l8867,2968,8797,3038,8867,3107,8936,3038m9234,3086l9165,3016,9095,3086,9165,3155,9234,3086m9529,3091l9460,3021,9390,3091,9460,3160,9529,3091m9824,3089l9755,3019,9685,3089,9755,3158,9824,3089m10122,1922l10053,1852,9983,1922,10053,1991,10122,1922e" filled="true" fillcolor="#000000" stroked="false">
              <v:path arrowok="t"/>
              <v:fill type="solid"/>
            </v:shape>
            <v:rect style="position:absolute;left:7792;top:534;width:82;height:80" filled="true" fillcolor="#e6b8b8" stroked="false">
              <v:fill type="solid"/>
            </v:rect>
            <v:rect style="position:absolute;left:7792;top:882;width:82;height:82" filled="true" fillcolor="#c0504d" stroked="false">
              <v:fill type="solid"/>
            </v:rect>
            <v:shape style="position:absolute;left:7793;top:1232;width:80;height:80" coordorigin="7794,1233" coordsize="80,80" path="m7834,1233l7794,1273,7834,1313,7874,1273,7834,1233xe" filled="true" fillcolor="#000000" stroked="false">
              <v:path arrowok="t"/>
              <v:fill type="solid"/>
            </v:shape>
            <v:line style="position:absolute" from="9911,503" to="9911,3808" stroked="true" strokeweight=".75pt" strokecolor="#000000">
              <v:stroke dashstyle="shortdash"/>
            </v:line>
            <w10:wrap type="none"/>
          </v:group>
        </w:pict>
      </w:r>
      <w:r>
        <w:rPr>
          <w:sz w:val="16"/>
        </w:rPr>
        <w:t>Impact as of 2012-14 (£, 2013 prices) Interest receipts/payments</w:t>
      </w:r>
    </w:p>
    <w:p>
      <w:pPr>
        <w:spacing w:before="42"/>
        <w:ind w:left="2010" w:right="510" w:firstLine="0"/>
        <w:jc w:val="left"/>
        <w:rPr>
          <w:sz w:val="16"/>
        </w:rPr>
      </w:pPr>
      <w:r>
        <w:rPr>
          <w:sz w:val="16"/>
        </w:rPr>
        <w:t>Macro effects on labour income</w:t>
      </w:r>
    </w:p>
    <w:p>
      <w:pPr>
        <w:spacing w:line="165" w:lineRule="exact" w:before="0"/>
        <w:ind w:left="2010" w:right="0" w:firstLine="0"/>
        <w:jc w:val="left"/>
        <w:rPr>
          <w:sz w:val="16"/>
        </w:rPr>
      </w:pPr>
      <w:r>
        <w:rPr>
          <w:sz w:val="16"/>
        </w:rPr>
        <w:t>Total</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7"/>
        </w:rPr>
      </w:pPr>
    </w:p>
    <w:p>
      <w:pPr>
        <w:spacing w:before="0"/>
        <w:ind w:left="193" w:right="0" w:firstLine="0"/>
        <w:jc w:val="left"/>
        <w:rPr>
          <w:sz w:val="16"/>
        </w:rPr>
      </w:pPr>
      <w:r>
        <w:rPr>
          <w:sz w:val="16"/>
        </w:rPr>
        <w:t>25000</w:t>
      </w:r>
    </w:p>
    <w:p>
      <w:pPr>
        <w:pStyle w:val="BodyText"/>
        <w:rPr>
          <w:sz w:val="22"/>
        </w:rPr>
      </w:pPr>
    </w:p>
    <w:p>
      <w:pPr>
        <w:spacing w:before="1"/>
        <w:ind w:left="193" w:right="0" w:firstLine="0"/>
        <w:jc w:val="left"/>
        <w:rPr>
          <w:sz w:val="16"/>
        </w:rPr>
      </w:pPr>
      <w:r>
        <w:rPr>
          <w:sz w:val="16"/>
        </w:rPr>
        <w:t>20000</w:t>
      </w:r>
    </w:p>
    <w:p>
      <w:pPr>
        <w:pStyle w:val="BodyText"/>
        <w:rPr>
          <w:sz w:val="22"/>
        </w:rPr>
      </w:pPr>
    </w:p>
    <w:p>
      <w:pPr>
        <w:spacing w:before="0"/>
        <w:ind w:left="193" w:right="0" w:firstLine="0"/>
        <w:jc w:val="left"/>
        <w:rPr>
          <w:sz w:val="16"/>
        </w:rPr>
      </w:pPr>
      <w:r>
        <w:rPr>
          <w:sz w:val="16"/>
        </w:rPr>
        <w:t>15000</w:t>
      </w:r>
    </w:p>
    <w:p>
      <w:pPr>
        <w:spacing w:after="0"/>
        <w:jc w:val="left"/>
        <w:rPr>
          <w:sz w:val="16"/>
        </w:rPr>
        <w:sectPr>
          <w:pgSz w:w="11910" w:h="16840"/>
          <w:pgMar w:header="0" w:footer="1334" w:top="1340" w:bottom="1520" w:left="820" w:right="960"/>
          <w:cols w:num="3" w:equalWidth="0">
            <w:col w:w="5031" w:space="46"/>
            <w:col w:w="4212" w:space="39"/>
            <w:col w:w="802"/>
          </w:cols>
        </w:sectPr>
      </w:pPr>
    </w:p>
    <w:p>
      <w:pPr>
        <w:pStyle w:val="BodyText"/>
        <w:spacing w:before="2"/>
        <w:rPr>
          <w:sz w:val="10"/>
        </w:rPr>
      </w:pPr>
    </w:p>
    <w:p>
      <w:pPr>
        <w:tabs>
          <w:tab w:pos="9521" w:val="left" w:leader="none"/>
        </w:tabs>
        <w:spacing w:before="101"/>
        <w:ind w:left="4843" w:right="0" w:firstLine="0"/>
        <w:jc w:val="left"/>
        <w:rPr>
          <w:sz w:val="16"/>
        </w:rPr>
      </w:pPr>
      <w:r>
        <w:rPr>
          <w:sz w:val="17"/>
        </w:rPr>
        <w:t>30</w:t>
        <w:tab/>
      </w:r>
      <w:r>
        <w:rPr>
          <w:position w:val="1"/>
          <w:sz w:val="16"/>
        </w:rPr>
        <w:t>10000</w:t>
      </w:r>
    </w:p>
    <w:p>
      <w:pPr>
        <w:pStyle w:val="BodyText"/>
        <w:spacing w:before="8"/>
        <w:rPr>
          <w:sz w:val="10"/>
        </w:rPr>
      </w:pPr>
    </w:p>
    <w:p>
      <w:pPr>
        <w:spacing w:after="0"/>
        <w:rPr>
          <w:sz w:val="10"/>
        </w:rPr>
        <w:sectPr>
          <w:type w:val="continuous"/>
          <w:pgSz w:w="11910" w:h="16840"/>
          <w:pgMar w:top="1180" w:bottom="1520" w:left="820" w:right="960"/>
        </w:sect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9"/>
        <w:rPr>
          <w:sz w:val="25"/>
        </w:rPr>
      </w:pPr>
    </w:p>
    <w:p>
      <w:pPr>
        <w:tabs>
          <w:tab w:pos="996" w:val="left" w:leader="none"/>
          <w:tab w:pos="1380" w:val="left" w:leader="none"/>
        </w:tabs>
        <w:spacing w:before="0"/>
        <w:ind w:left="611" w:right="0" w:firstLine="0"/>
        <w:jc w:val="left"/>
        <w:rPr>
          <w:sz w:val="17"/>
        </w:rPr>
      </w:pPr>
      <w:r>
        <w:rPr>
          <w:sz w:val="17"/>
        </w:rPr>
        <w:t>1</w:t>
        <w:tab/>
        <w:t>2</w:t>
        <w:tab/>
      </w:r>
      <w:r>
        <w:rPr>
          <w:spacing w:val="-20"/>
          <w:sz w:val="17"/>
        </w:rPr>
        <w:t>3</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9"/>
        <w:rPr>
          <w:sz w:val="25"/>
        </w:rPr>
      </w:pPr>
    </w:p>
    <w:p>
      <w:pPr>
        <w:tabs>
          <w:tab w:pos="634" w:val="left" w:leader="none"/>
          <w:tab w:pos="1019" w:val="left" w:leader="none"/>
        </w:tabs>
        <w:spacing w:before="0"/>
        <w:ind w:left="250" w:right="0" w:firstLine="0"/>
        <w:jc w:val="left"/>
        <w:rPr>
          <w:sz w:val="17"/>
        </w:rPr>
      </w:pPr>
      <w:r>
        <w:rPr>
          <w:sz w:val="17"/>
        </w:rPr>
        <w:t>4</w:t>
        <w:tab/>
        <w:t>5</w:t>
        <w:tab/>
      </w:r>
      <w:r>
        <w:rPr>
          <w:spacing w:val="-20"/>
          <w:sz w:val="17"/>
        </w:rPr>
        <w:t>6</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9"/>
        <w:rPr>
          <w:sz w:val="25"/>
        </w:rPr>
      </w:pPr>
    </w:p>
    <w:p>
      <w:pPr>
        <w:tabs>
          <w:tab w:pos="633" w:val="left" w:leader="none"/>
          <w:tab w:pos="1018" w:val="left" w:leader="none"/>
          <w:tab w:pos="1355" w:val="left" w:leader="none"/>
        </w:tabs>
        <w:spacing w:before="0"/>
        <w:ind w:left="249" w:right="0" w:firstLine="0"/>
        <w:jc w:val="left"/>
        <w:rPr>
          <w:sz w:val="17"/>
        </w:rPr>
      </w:pPr>
      <w:r>
        <w:rPr>
          <w:sz w:val="17"/>
        </w:rPr>
        <w:t>7</w:t>
        <w:tab/>
        <w:t>8</w:t>
        <w:tab/>
        <w:t>9</w:t>
        <w:tab/>
      </w:r>
      <w:r>
        <w:rPr>
          <w:spacing w:val="-11"/>
          <w:sz w:val="17"/>
        </w:rPr>
        <w:t>10</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9"/>
        <w:rPr>
          <w:sz w:val="25"/>
        </w:rPr>
      </w:pPr>
    </w:p>
    <w:p>
      <w:pPr>
        <w:spacing w:before="0"/>
        <w:ind w:left="157" w:right="0" w:firstLine="0"/>
        <w:jc w:val="left"/>
        <w:rPr>
          <w:sz w:val="17"/>
        </w:rPr>
      </w:pPr>
      <w:r>
        <w:rPr>
          <w:sz w:val="17"/>
        </w:rPr>
        <w:t>All</w:t>
      </w:r>
    </w:p>
    <w:p>
      <w:pPr>
        <w:spacing w:before="95"/>
        <w:ind w:left="145" w:right="0" w:firstLine="0"/>
        <w:jc w:val="center"/>
        <w:rPr>
          <w:sz w:val="17"/>
        </w:rPr>
      </w:pPr>
      <w:r>
        <w:rPr/>
        <w:br w:type="column"/>
      </w:r>
      <w:r>
        <w:rPr>
          <w:sz w:val="17"/>
        </w:rPr>
        <w:t>20</w:t>
      </w:r>
    </w:p>
    <w:p>
      <w:pPr>
        <w:pStyle w:val="BodyText"/>
        <w:spacing w:before="11"/>
        <w:rPr>
          <w:sz w:val="18"/>
        </w:rPr>
      </w:pPr>
    </w:p>
    <w:p>
      <w:pPr>
        <w:spacing w:before="0"/>
        <w:ind w:left="145" w:right="0" w:firstLine="0"/>
        <w:jc w:val="center"/>
        <w:rPr>
          <w:sz w:val="17"/>
        </w:rPr>
      </w:pPr>
      <w:r>
        <w:rPr>
          <w:sz w:val="17"/>
        </w:rPr>
        <w:t>10</w:t>
      </w:r>
    </w:p>
    <w:p>
      <w:pPr>
        <w:pStyle w:val="BodyText"/>
        <w:spacing w:before="11"/>
        <w:rPr>
          <w:sz w:val="18"/>
        </w:rPr>
      </w:pPr>
    </w:p>
    <w:p>
      <w:pPr>
        <w:spacing w:before="0"/>
        <w:ind w:left="53" w:right="0" w:firstLine="0"/>
        <w:jc w:val="center"/>
        <w:rPr>
          <w:sz w:val="17"/>
        </w:rPr>
      </w:pPr>
      <w:r>
        <w:rPr>
          <w:w w:val="100"/>
          <w:sz w:val="17"/>
        </w:rPr>
        <w:t>0</w:t>
      </w:r>
    </w:p>
    <w:p>
      <w:pPr>
        <w:pStyle w:val="BodyText"/>
        <w:rPr>
          <w:sz w:val="19"/>
        </w:rPr>
      </w:pPr>
    </w:p>
    <w:p>
      <w:pPr>
        <w:spacing w:before="0"/>
        <w:ind w:left="204" w:right="0" w:firstLine="0"/>
        <w:jc w:val="center"/>
        <w:rPr>
          <w:sz w:val="17"/>
        </w:rPr>
      </w:pPr>
      <w:r>
        <w:rPr>
          <w:spacing w:val="-1"/>
          <w:sz w:val="17"/>
        </w:rPr>
        <w:t>-10</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5"/>
        <w:rPr>
          <w:sz w:val="14"/>
        </w:rPr>
      </w:pPr>
    </w:p>
    <w:p>
      <w:pPr>
        <w:spacing w:line="180" w:lineRule="exact" w:before="0"/>
        <w:ind w:left="348" w:right="0" w:firstLine="0"/>
        <w:jc w:val="left"/>
        <w:rPr>
          <w:sz w:val="16"/>
        </w:rPr>
      </w:pPr>
      <w:r>
        <w:rPr>
          <w:spacing w:val="-1"/>
          <w:sz w:val="16"/>
        </w:rPr>
        <w:t>25-29</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5"/>
        <w:rPr>
          <w:sz w:val="14"/>
        </w:rPr>
      </w:pPr>
    </w:p>
    <w:p>
      <w:pPr>
        <w:spacing w:line="180" w:lineRule="exact" w:before="0"/>
        <w:ind w:left="144" w:right="0" w:firstLine="0"/>
        <w:jc w:val="left"/>
        <w:rPr>
          <w:sz w:val="16"/>
        </w:rPr>
      </w:pPr>
      <w:r>
        <w:rPr>
          <w:spacing w:val="-1"/>
          <w:sz w:val="16"/>
        </w:rPr>
        <w:t>35-39</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5"/>
        <w:rPr>
          <w:sz w:val="14"/>
        </w:rPr>
      </w:pPr>
    </w:p>
    <w:p>
      <w:pPr>
        <w:spacing w:line="180" w:lineRule="exact" w:before="0"/>
        <w:ind w:left="143" w:right="0" w:firstLine="0"/>
        <w:jc w:val="left"/>
        <w:rPr>
          <w:sz w:val="16"/>
        </w:rPr>
      </w:pPr>
      <w:r>
        <w:rPr>
          <w:spacing w:val="-1"/>
          <w:sz w:val="16"/>
        </w:rPr>
        <w:t>45-49</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5"/>
        <w:rPr>
          <w:sz w:val="14"/>
        </w:rPr>
      </w:pPr>
    </w:p>
    <w:p>
      <w:pPr>
        <w:spacing w:line="180" w:lineRule="exact" w:before="0"/>
        <w:ind w:left="144" w:right="0" w:firstLine="0"/>
        <w:jc w:val="left"/>
        <w:rPr>
          <w:sz w:val="16"/>
        </w:rPr>
      </w:pPr>
      <w:r>
        <w:rPr>
          <w:sz w:val="16"/>
        </w:rPr>
        <w:t>55-59 65-69 75-79</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5"/>
        <w:rPr>
          <w:sz w:val="14"/>
        </w:rPr>
      </w:pPr>
    </w:p>
    <w:p>
      <w:pPr>
        <w:spacing w:line="180" w:lineRule="exact" w:before="0"/>
        <w:ind w:left="259" w:right="0" w:firstLine="0"/>
        <w:jc w:val="left"/>
        <w:rPr>
          <w:sz w:val="16"/>
        </w:rPr>
      </w:pPr>
      <w:r>
        <w:rPr>
          <w:sz w:val="16"/>
        </w:rPr>
        <w:t>All</w:t>
      </w:r>
    </w:p>
    <w:p>
      <w:pPr>
        <w:spacing w:before="113"/>
        <w:ind w:left="157" w:right="0" w:firstLine="0"/>
        <w:jc w:val="left"/>
        <w:rPr>
          <w:sz w:val="16"/>
        </w:rPr>
      </w:pPr>
      <w:r>
        <w:rPr/>
        <w:br w:type="column"/>
      </w:r>
      <w:r>
        <w:rPr>
          <w:sz w:val="16"/>
        </w:rPr>
        <w:t>5000</w:t>
      </w:r>
    </w:p>
    <w:p>
      <w:pPr>
        <w:pStyle w:val="BodyText"/>
        <w:rPr>
          <w:sz w:val="22"/>
        </w:rPr>
      </w:pPr>
    </w:p>
    <w:p>
      <w:pPr>
        <w:spacing w:before="0"/>
        <w:ind w:left="157" w:right="0" w:firstLine="0"/>
        <w:jc w:val="left"/>
        <w:rPr>
          <w:sz w:val="16"/>
        </w:rPr>
      </w:pPr>
      <w:r>
        <w:rPr>
          <w:w w:val="100"/>
          <w:sz w:val="16"/>
        </w:rPr>
        <w:t>0</w:t>
      </w:r>
    </w:p>
    <w:p>
      <w:pPr>
        <w:pStyle w:val="BodyText"/>
        <w:rPr>
          <w:sz w:val="22"/>
        </w:rPr>
      </w:pPr>
    </w:p>
    <w:p>
      <w:pPr>
        <w:spacing w:before="0"/>
        <w:ind w:left="157" w:right="0" w:firstLine="0"/>
        <w:jc w:val="left"/>
        <w:rPr>
          <w:sz w:val="16"/>
        </w:rPr>
      </w:pPr>
      <w:r>
        <w:rPr>
          <w:sz w:val="16"/>
        </w:rPr>
        <w:t>-5000</w:t>
      </w:r>
    </w:p>
    <w:p>
      <w:pPr>
        <w:pStyle w:val="BodyText"/>
        <w:rPr>
          <w:sz w:val="22"/>
        </w:rPr>
      </w:pPr>
    </w:p>
    <w:p>
      <w:pPr>
        <w:spacing w:before="0"/>
        <w:ind w:left="157" w:right="0" w:firstLine="0"/>
        <w:jc w:val="left"/>
        <w:rPr>
          <w:sz w:val="16"/>
        </w:rPr>
      </w:pPr>
      <w:r>
        <w:rPr>
          <w:sz w:val="16"/>
        </w:rPr>
        <w:t>-10000</w:t>
      </w:r>
    </w:p>
    <w:p>
      <w:pPr>
        <w:spacing w:after="0"/>
        <w:jc w:val="left"/>
        <w:rPr>
          <w:sz w:val="16"/>
        </w:rPr>
        <w:sectPr>
          <w:type w:val="continuous"/>
          <w:pgSz w:w="11910" w:h="16840"/>
          <w:pgMar w:top="1180" w:bottom="1520" w:left="820" w:right="960"/>
          <w:cols w:num="11" w:equalWidth="0">
            <w:col w:w="1476" w:space="40"/>
            <w:col w:w="1114" w:space="39"/>
            <w:col w:w="1544" w:space="40"/>
            <w:col w:w="347" w:space="39"/>
            <w:col w:w="450" w:space="40"/>
            <w:col w:w="757" w:space="40"/>
            <w:col w:w="553" w:space="40"/>
            <w:col w:w="552" w:space="39"/>
            <w:col w:w="1737" w:space="40"/>
            <w:col w:w="437" w:space="39"/>
            <w:col w:w="767"/>
          </w:cols>
        </w:sectPr>
      </w:pPr>
    </w:p>
    <w:p>
      <w:pPr>
        <w:spacing w:line="191" w:lineRule="exact" w:before="0"/>
        <w:ind w:left="1463" w:right="0" w:firstLine="0"/>
        <w:jc w:val="left"/>
        <w:rPr>
          <w:sz w:val="17"/>
        </w:rPr>
      </w:pPr>
      <w:r>
        <w:rPr>
          <w:sz w:val="17"/>
        </w:rPr>
        <w:t>Net wealth decile in 2012-14</w:t>
      </w:r>
    </w:p>
    <w:p>
      <w:pPr>
        <w:spacing w:before="45"/>
        <w:ind w:left="1463" w:right="0" w:firstLine="0"/>
        <w:jc w:val="left"/>
        <w:rPr>
          <w:sz w:val="16"/>
        </w:rPr>
      </w:pPr>
      <w:r>
        <w:rPr/>
        <w:br w:type="column"/>
      </w:r>
      <w:r>
        <w:rPr>
          <w:sz w:val="16"/>
        </w:rPr>
        <w:t>Head of household age in 2012-14</w:t>
      </w:r>
    </w:p>
    <w:p>
      <w:pPr>
        <w:spacing w:after="0"/>
        <w:jc w:val="left"/>
        <w:rPr>
          <w:sz w:val="16"/>
        </w:rPr>
        <w:sectPr>
          <w:type w:val="continuous"/>
          <w:pgSz w:w="11910" w:h="16840"/>
          <w:pgMar w:top="1180" w:bottom="1520" w:left="820" w:right="960"/>
          <w:cols w:num="2" w:equalWidth="0">
            <w:col w:w="3646" w:space="1435"/>
            <w:col w:w="5049"/>
          </w:cols>
        </w:sectPr>
      </w:pPr>
    </w:p>
    <w:p>
      <w:pPr>
        <w:pStyle w:val="BodyText"/>
        <w:spacing w:before="5"/>
        <w:rPr>
          <w:sz w:val="23"/>
        </w:rPr>
      </w:pPr>
    </w:p>
    <w:p>
      <w:pPr>
        <w:spacing w:after="0"/>
        <w:rPr>
          <w:sz w:val="23"/>
        </w:rPr>
        <w:sectPr>
          <w:type w:val="continuous"/>
          <w:pgSz w:w="11910" w:h="16840"/>
          <w:pgMar w:top="1180" w:bottom="1520" w:left="820" w:right="960"/>
        </w:sectPr>
      </w:pPr>
    </w:p>
    <w:p>
      <w:pPr>
        <w:spacing w:before="96"/>
        <w:ind w:left="313" w:right="0" w:firstLine="0"/>
        <w:jc w:val="left"/>
        <w:rPr>
          <w:sz w:val="16"/>
        </w:rPr>
      </w:pPr>
      <w:r>
        <w:rPr>
          <w:sz w:val="16"/>
        </w:rPr>
        <w:t>Sources: ONS and Bank calculations</w:t>
      </w:r>
    </w:p>
    <w:p>
      <w:pPr>
        <w:spacing w:line="276" w:lineRule="auto" w:before="27"/>
        <w:ind w:left="313" w:right="23" w:firstLine="0"/>
        <w:jc w:val="left"/>
        <w:rPr>
          <w:sz w:val="16"/>
        </w:rPr>
      </w:pPr>
      <w:r>
        <w:rPr>
          <w:sz w:val="16"/>
        </w:rPr>
        <w:t>Note: Chart shows average cumulative real impact of policy changes since 2007 as of 2012-14 as a percentage of net wealth.</w:t>
      </w:r>
    </w:p>
    <w:p>
      <w:pPr>
        <w:spacing w:before="96"/>
        <w:ind w:left="313" w:right="0" w:firstLine="0"/>
        <w:jc w:val="left"/>
        <w:rPr>
          <w:sz w:val="16"/>
        </w:rPr>
      </w:pPr>
      <w:r>
        <w:rPr/>
        <w:br w:type="column"/>
      </w:r>
      <w:r>
        <w:rPr>
          <w:sz w:val="16"/>
        </w:rPr>
        <w:t>Sources: ONS and Bank calculations</w:t>
      </w:r>
    </w:p>
    <w:p>
      <w:pPr>
        <w:spacing w:line="276" w:lineRule="auto" w:before="27"/>
        <w:ind w:left="313" w:right="232" w:firstLine="0"/>
        <w:jc w:val="left"/>
        <w:rPr>
          <w:sz w:val="16"/>
        </w:rPr>
      </w:pPr>
      <w:r>
        <w:rPr>
          <w:sz w:val="16"/>
        </w:rPr>
        <w:t>Note: Chart shows average cumulative real impact of policy changes since 2007 as of 2012-14 in pounds, using 2013 prices.</w:t>
      </w:r>
    </w:p>
    <w:p>
      <w:pPr>
        <w:spacing w:after="0" w:line="276" w:lineRule="auto"/>
        <w:jc w:val="left"/>
        <w:rPr>
          <w:sz w:val="16"/>
        </w:rPr>
        <w:sectPr>
          <w:type w:val="continuous"/>
          <w:pgSz w:w="11910" w:h="16840"/>
          <w:pgMar w:top="1180" w:bottom="1520" w:left="820" w:right="960"/>
          <w:cols w:num="2" w:equalWidth="0">
            <w:col w:w="4991" w:space="86"/>
            <w:col w:w="5053"/>
          </w:cols>
        </w:sectPr>
      </w:pPr>
    </w:p>
    <w:p>
      <w:pPr>
        <w:pStyle w:val="BodyText"/>
      </w:pPr>
    </w:p>
    <w:p>
      <w:pPr>
        <w:pStyle w:val="BodyText"/>
      </w:pPr>
    </w:p>
    <w:p>
      <w:pPr>
        <w:pStyle w:val="BodyText"/>
      </w:pPr>
    </w:p>
    <w:p>
      <w:pPr>
        <w:pStyle w:val="BodyText"/>
        <w:spacing w:before="9"/>
        <w:rPr>
          <w:sz w:val="23"/>
        </w:rPr>
      </w:pPr>
    </w:p>
    <w:p>
      <w:pPr>
        <w:spacing w:after="0"/>
        <w:rPr>
          <w:sz w:val="23"/>
        </w:rPr>
        <w:sectPr>
          <w:type w:val="continuous"/>
          <w:pgSz w:w="11910" w:h="16840"/>
          <w:pgMar w:top="1180" w:bottom="1520" w:left="820" w:right="960"/>
        </w:sectPr>
      </w:pPr>
    </w:p>
    <w:p>
      <w:pPr>
        <w:pStyle w:val="Heading1"/>
        <w:spacing w:line="278" w:lineRule="auto" w:before="93"/>
      </w:pPr>
      <w:r>
        <w:rPr/>
        <w:t>Chart 15: Impact of monetary policy on income, across the age distribution (%)</w:t>
      </w:r>
    </w:p>
    <w:p>
      <w:pPr>
        <w:spacing w:before="144"/>
        <w:ind w:left="1797" w:right="0" w:firstLine="0"/>
        <w:jc w:val="left"/>
        <w:rPr>
          <w:sz w:val="16"/>
        </w:rPr>
      </w:pPr>
      <w:r>
        <w:rPr>
          <w:sz w:val="16"/>
        </w:rPr>
        <w:t>Impact as of 2012-14 (% of annual income)</w:t>
      </w:r>
    </w:p>
    <w:p>
      <w:pPr>
        <w:pStyle w:val="BodyText"/>
        <w:spacing w:before="11"/>
        <w:rPr>
          <w:sz w:val="24"/>
        </w:rPr>
      </w:pPr>
    </w:p>
    <w:p>
      <w:pPr>
        <w:spacing w:line="259" w:lineRule="auto" w:before="0"/>
        <w:ind w:left="2194" w:right="428" w:firstLine="0"/>
        <w:jc w:val="left"/>
        <w:rPr>
          <w:sz w:val="16"/>
        </w:rPr>
      </w:pPr>
      <w:r>
        <w:rPr/>
        <w:pict>
          <v:group style="position:absolute;margin-left:63.240002pt;margin-top:-2.636104pt;width:220.95pt;height:157.050pt;mso-position-horizontal-relative:page;mso-position-vertical-relative:paragraph;z-index:-255052800" coordorigin="1265,-53" coordsize="4419,3141">
            <v:rect style="position:absolute;left:1351;top:731;width:171;height:1222" filled="true" fillcolor="#c0504d" stroked="false">
              <v:fill type="solid"/>
            </v:rect>
            <v:rect style="position:absolute;left:1351;top:208;width:171;height:524" filled="true" fillcolor="#e6b8b8" stroked="false">
              <v:fill type="solid"/>
            </v:rect>
            <v:rect style="position:absolute;left:1692;top:921;width:171;height:1032" filled="true" fillcolor="#c0504d" stroked="false">
              <v:fill type="solid"/>
            </v:rect>
            <v:rect style="position:absolute;left:1692;top:223;width:171;height:699" filled="true" fillcolor="#e6b8b8" stroked="false">
              <v:fill type="solid"/>
            </v:rect>
            <v:rect style="position:absolute;left:2030;top:986;width:171;height:968" filled="true" fillcolor="#c0504d" stroked="false">
              <v:fill type="solid"/>
            </v:rect>
            <v:rect style="position:absolute;left:2030;top:297;width:171;height:689" filled="true" fillcolor="#e6b8b8" stroked="false">
              <v:fill type="solid"/>
            </v:rect>
            <v:rect style="position:absolute;left:2371;top:1125;width:168;height:828" filled="true" fillcolor="#c0504d" stroked="false">
              <v:fill type="solid"/>
            </v:rect>
            <v:rect style="position:absolute;left:2371;top:458;width:168;height:668" filled="true" fillcolor="#e6b8b8" stroked="false">
              <v:fill type="solid"/>
            </v:rect>
            <v:rect style="position:absolute;left:2709;top:1185;width:171;height:768" filled="true" fillcolor="#c0504d" stroked="false">
              <v:fill type="solid"/>
            </v:rect>
            <v:rect style="position:absolute;left:2709;top:755;width:171;height:430" filled="true" fillcolor="#e6b8b8" stroked="false">
              <v:fill type="solid"/>
            </v:rect>
            <v:rect style="position:absolute;left:3050;top:1300;width:168;height:653" filled="true" fillcolor="#c0504d" stroked="false">
              <v:fill type="solid"/>
            </v:rect>
            <v:rect style="position:absolute;left:3050;top:1106;width:168;height:195" filled="true" fillcolor="#e6b8b8" stroked="false">
              <v:fill type="solid"/>
            </v:rect>
            <v:rect style="position:absolute;left:3388;top:1339;width:171;height:615" filled="true" fillcolor="#c0504d" stroked="false">
              <v:fill type="solid"/>
            </v:rect>
            <v:line style="position:absolute" from="3389,1956" to="3559,1956" stroked="true" strokeweight=".24pt" strokecolor="#e6b8b8">
              <v:stroke dashstyle="solid"/>
            </v:line>
            <v:rect style="position:absolute;left:3729;top:1418;width:168;height:536" filled="true" fillcolor="#c0504d" stroked="false">
              <v:fill type="solid"/>
            </v:rect>
            <v:rect style="position:absolute;left:3729;top:1953;width:168;height:370" filled="true" fillcolor="#e6b8b8" stroked="false">
              <v:fill type="solid"/>
            </v:rect>
            <v:rect style="position:absolute;left:4068;top:1727;width:171;height:226" filled="true" fillcolor="#c0504d" stroked="false">
              <v:fill type="solid"/>
            </v:rect>
            <v:rect style="position:absolute;left:4068;top:1953;width:171;height:588" filled="true" fillcolor="#e6b8b8" stroked="false">
              <v:fill type="solid"/>
            </v:rect>
            <v:rect style="position:absolute;left:4408;top:1871;width:168;height:82" filled="true" fillcolor="#c0504d" stroked="false">
              <v:fill type="solid"/>
            </v:rect>
            <v:rect style="position:absolute;left:4408;top:1953;width:168;height:574" filled="true" fillcolor="#e6b8b8" stroked="false">
              <v:fill type="solid"/>
            </v:rect>
            <v:rect style="position:absolute;left:4747;top:1907;width:171;height:46" filled="true" fillcolor="#c0504d" stroked="false">
              <v:fill type="solid"/>
            </v:rect>
            <v:rect style="position:absolute;left:4747;top:1953;width:171;height:634" filled="true" fillcolor="#e6b8b8" stroked="false">
              <v:fill type="solid"/>
            </v:rect>
            <v:rect style="position:absolute;left:5085;top:1922;width:171;height:32" filled="true" fillcolor="#c0504d" stroked="false">
              <v:fill type="solid"/>
            </v:rect>
            <v:rect style="position:absolute;left:5085;top:1953;width:171;height:706" filled="true" fillcolor="#e6b8b8" stroked="false">
              <v:fill type="solid"/>
            </v:rect>
            <v:rect style="position:absolute;left:5426;top:1310;width:171;height:644" filled="true" fillcolor="#c0504d" stroked="false">
              <v:fill type="solid"/>
            </v:rect>
            <v:rect style="position:absolute;left:5426;top:1171;width:171;height:140" filled="true" fillcolor="#e6b8b8" stroked="false">
              <v:fill type="solid"/>
            </v:rect>
            <v:shape style="position:absolute;left:1267;top:-37;width:4414;height:2844" coordorigin="1267,-36" coordsize="4414,2844" path="m5681,2808l5681,-36m5633,2808l5681,2808m5633,2522l5681,2522m5633,2239l5681,2239m5633,1953l5681,1953m5633,1670l5681,1670m5633,1385l5681,1385m5633,1101l5681,1101m5633,816l5681,816m5633,533l5681,533m5633,247l5681,247m5633,-36l5681,-36m1267,1953l5681,1953m1267,1905l1267,1953m1606,1905l1606,1953m1946,1905l1946,1953m2285,1905l2285,1953m2626,1905l2626,1953m2964,1905l2964,1953m3305,1905l3305,1953m3643,1905l3643,1953m3984,1905l3984,1953m4322,1905l4322,1953m4663,1905l4663,1953m5002,1905l5002,1953m5342,1905l5342,1953m5681,1905l5681,1953e" filled="false" stroked="true" strokeweight=".24pt" strokecolor="#000000">
              <v:path arrowok="t"/>
              <v:stroke dashstyle="solid"/>
            </v:shape>
            <v:shape style="position:absolute;left:1366;top:138;width:4215;height:2559" coordorigin="1366,138" coordsize="4215,2559" path="m1506,208l1436,138,1366,208,1436,277,1506,208m1846,223l1777,153,1707,223,1777,292,1846,223m2185,297l2116,227,2046,297,2116,366,2185,297m2526,455l2456,385,2386,455,2456,525,2526,455m2864,753l2795,683,2725,753,2795,822,2864,753m3205,1103l3136,1033,3066,1103,3136,1173,3205,1103m3543,1343l3474,1273,3404,1343,3474,1413,3543,1343m3882,1787l3812,1717,3742,1787,3812,1857,3882,1787m4222,2313l4153,2243,4083,2313,4153,2382,4222,2313m4561,2443l4492,2373,4422,2443,4492,2512,4561,2443m4902,2541l4832,2471,4762,2541,4832,2610,4902,2541m5240,2627l5171,2557,5101,2627,5171,2697,5240,2627m5581,1168l5512,1098,5442,1168,5512,1237,5581,1168e" filled="true" fillcolor="#000000" stroked="false">
              <v:path arrowok="t"/>
              <v:fill type="solid"/>
            </v:shape>
            <v:rect style="position:absolute;left:2899;top:59;width:82;height:80" filled="true" fillcolor="#e6b8b8" stroked="false">
              <v:fill type="solid"/>
            </v:rect>
            <v:rect style="position:absolute;left:2899;top:256;width:82;height:82" filled="true" fillcolor="#c0504d" stroked="false">
              <v:fill type="solid"/>
            </v:rect>
            <v:shape style="position:absolute;left:2900;top:455;width:80;height:80" coordorigin="2900,455" coordsize="80,80" path="m2940,455l2900,495,2940,535,2980,495,2940,455xe" filled="true" fillcolor="#000000" stroked="false">
              <v:path arrowok="t"/>
              <v:fill type="solid"/>
            </v:shape>
            <v:line style="position:absolute" from="5314,-53" to="5314,3088" stroked="true" strokeweight=".75pt" strokecolor="#000000">
              <v:stroke dashstyle="shortdash"/>
            </v:line>
            <w10:wrap type="none"/>
          </v:group>
        </w:pict>
      </w:r>
      <w:r>
        <w:rPr>
          <w:sz w:val="16"/>
        </w:rPr>
        <w:t>Interest receipts/payments Macro effects on labour income Total</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2"/>
      </w:pPr>
    </w:p>
    <w:p>
      <w:pPr>
        <w:tabs>
          <w:tab w:pos="1092" w:val="left" w:leader="none"/>
          <w:tab w:pos="1771" w:val="left" w:leader="none"/>
          <w:tab w:pos="2451" w:val="left" w:leader="none"/>
          <w:tab w:pos="3130" w:val="left" w:leader="none"/>
          <w:tab w:pos="3809" w:val="left" w:leader="none"/>
          <w:tab w:pos="4604" w:val="left" w:leader="none"/>
        </w:tabs>
        <w:spacing w:before="0"/>
        <w:ind w:left="413" w:right="0" w:firstLine="0"/>
        <w:jc w:val="left"/>
        <w:rPr>
          <w:sz w:val="16"/>
        </w:rPr>
      </w:pPr>
      <w:r>
        <w:rPr>
          <w:sz w:val="16"/>
        </w:rPr>
        <w:t>25-29</w:t>
        <w:tab/>
        <w:t>35-39</w:t>
        <w:tab/>
        <w:t>45-49</w:t>
        <w:tab/>
        <w:t>55-59</w:t>
        <w:tab/>
        <w:t>65-69</w:t>
        <w:tab/>
        <w:t>75-79</w:t>
        <w:tab/>
        <w:t>All</w:t>
      </w:r>
    </w:p>
    <w:p>
      <w:pPr>
        <w:spacing w:before="86"/>
        <w:ind w:left="1599" w:right="0" w:firstLine="0"/>
        <w:jc w:val="left"/>
        <w:rPr>
          <w:sz w:val="16"/>
        </w:rPr>
      </w:pPr>
      <w:r>
        <w:rPr>
          <w:sz w:val="16"/>
        </w:rPr>
        <w:t>Head of household age in 2012-14</w:t>
      </w:r>
    </w:p>
    <w:p>
      <w:pPr>
        <w:spacing w:before="116"/>
        <w:ind w:left="313" w:right="0" w:firstLine="0"/>
        <w:jc w:val="left"/>
        <w:rPr>
          <w:sz w:val="16"/>
        </w:rPr>
      </w:pPr>
      <w:r>
        <w:rPr>
          <w:sz w:val="16"/>
        </w:rPr>
        <w:t>Sources: ONS and Bank calculations</w:t>
      </w:r>
    </w:p>
    <w:p>
      <w:pPr>
        <w:spacing w:line="276" w:lineRule="auto" w:before="28"/>
        <w:ind w:left="313" w:right="200" w:firstLine="0"/>
        <w:jc w:val="left"/>
        <w:rPr>
          <w:sz w:val="16"/>
        </w:rPr>
      </w:pPr>
      <w:r>
        <w:rPr>
          <w:sz w:val="16"/>
        </w:rPr>
        <w:t>Note: Chart shows average cumulative real impact of policy changes since 2007 as of 2012-14 as a percentage of annual income.</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spacing w:before="1"/>
        <w:rPr>
          <w:sz w:val="24"/>
        </w:rPr>
      </w:pPr>
    </w:p>
    <w:p>
      <w:pPr>
        <w:spacing w:before="1"/>
        <w:ind w:left="86" w:right="0" w:firstLine="0"/>
        <w:jc w:val="left"/>
        <w:rPr>
          <w:sz w:val="16"/>
        </w:rPr>
      </w:pPr>
      <w:r>
        <w:rPr>
          <w:sz w:val="16"/>
        </w:rPr>
        <w:t>70</w:t>
      </w:r>
    </w:p>
    <w:p>
      <w:pPr>
        <w:spacing w:before="100"/>
        <w:ind w:left="86" w:right="0" w:firstLine="0"/>
        <w:jc w:val="left"/>
        <w:rPr>
          <w:sz w:val="16"/>
        </w:rPr>
      </w:pPr>
      <w:r>
        <w:rPr>
          <w:sz w:val="16"/>
        </w:rPr>
        <w:t>60</w:t>
      </w:r>
    </w:p>
    <w:p>
      <w:pPr>
        <w:spacing w:before="100"/>
        <w:ind w:left="86" w:right="0" w:firstLine="0"/>
        <w:jc w:val="left"/>
        <w:rPr>
          <w:sz w:val="16"/>
        </w:rPr>
      </w:pPr>
      <w:r>
        <w:rPr>
          <w:sz w:val="16"/>
        </w:rPr>
        <w:t>50</w:t>
      </w:r>
    </w:p>
    <w:p>
      <w:pPr>
        <w:spacing w:before="100"/>
        <w:ind w:left="86" w:right="0" w:firstLine="0"/>
        <w:jc w:val="left"/>
        <w:rPr>
          <w:sz w:val="16"/>
        </w:rPr>
      </w:pPr>
      <w:r>
        <w:rPr>
          <w:sz w:val="16"/>
        </w:rPr>
        <w:t>40</w:t>
      </w:r>
    </w:p>
    <w:p>
      <w:pPr>
        <w:spacing w:before="101"/>
        <w:ind w:left="86" w:right="0" w:firstLine="0"/>
        <w:jc w:val="left"/>
        <w:rPr>
          <w:sz w:val="16"/>
        </w:rPr>
      </w:pPr>
      <w:r>
        <w:rPr>
          <w:sz w:val="16"/>
        </w:rPr>
        <w:t>30</w:t>
      </w:r>
    </w:p>
    <w:p>
      <w:pPr>
        <w:spacing w:before="100"/>
        <w:ind w:left="86" w:right="0" w:firstLine="0"/>
        <w:jc w:val="left"/>
        <w:rPr>
          <w:sz w:val="16"/>
        </w:rPr>
      </w:pPr>
      <w:r>
        <w:rPr>
          <w:sz w:val="16"/>
        </w:rPr>
        <w:t>20</w:t>
      </w:r>
    </w:p>
    <w:p>
      <w:pPr>
        <w:spacing w:before="101"/>
        <w:ind w:left="86" w:right="0" w:firstLine="0"/>
        <w:jc w:val="left"/>
        <w:rPr>
          <w:sz w:val="16"/>
        </w:rPr>
      </w:pPr>
      <w:r>
        <w:rPr>
          <w:sz w:val="16"/>
        </w:rPr>
        <w:t>10</w:t>
      </w:r>
    </w:p>
    <w:p>
      <w:pPr>
        <w:spacing w:before="100"/>
        <w:ind w:left="86" w:right="0" w:firstLine="0"/>
        <w:jc w:val="left"/>
        <w:rPr>
          <w:sz w:val="16"/>
        </w:rPr>
      </w:pPr>
      <w:r>
        <w:rPr>
          <w:w w:val="100"/>
          <w:sz w:val="16"/>
        </w:rPr>
        <w:t>0</w:t>
      </w:r>
    </w:p>
    <w:p>
      <w:pPr>
        <w:spacing w:before="101"/>
        <w:ind w:left="86" w:right="0" w:firstLine="0"/>
        <w:jc w:val="left"/>
        <w:rPr>
          <w:sz w:val="16"/>
        </w:rPr>
      </w:pPr>
      <w:r>
        <w:rPr>
          <w:spacing w:val="-1"/>
          <w:sz w:val="16"/>
        </w:rPr>
        <w:t>-10</w:t>
      </w:r>
    </w:p>
    <w:p>
      <w:pPr>
        <w:spacing w:before="100"/>
        <w:ind w:left="86" w:right="0" w:firstLine="0"/>
        <w:jc w:val="left"/>
        <w:rPr>
          <w:sz w:val="16"/>
        </w:rPr>
      </w:pPr>
      <w:r>
        <w:rPr>
          <w:spacing w:val="-1"/>
          <w:sz w:val="16"/>
        </w:rPr>
        <w:t>-20</w:t>
      </w:r>
    </w:p>
    <w:p>
      <w:pPr>
        <w:spacing w:before="101"/>
        <w:ind w:left="86" w:right="0" w:firstLine="0"/>
        <w:jc w:val="left"/>
        <w:rPr>
          <w:sz w:val="16"/>
        </w:rPr>
      </w:pPr>
      <w:r>
        <w:rPr>
          <w:spacing w:val="-1"/>
          <w:sz w:val="16"/>
        </w:rPr>
        <w:t>-30</w:t>
      </w:r>
    </w:p>
    <w:p>
      <w:pPr>
        <w:pStyle w:val="Heading1"/>
        <w:spacing w:line="278" w:lineRule="auto" w:before="93"/>
        <w:ind w:left="119"/>
      </w:pPr>
      <w:r>
        <w:rPr>
          <w:b w:val="0"/>
        </w:rPr>
        <w:br w:type="column"/>
      </w:r>
      <w:r>
        <w:rPr/>
        <w:t>Chart 16: Impact of monetary policy on wealth, across the age distribution (£)</w:t>
      </w:r>
    </w:p>
    <w:p>
      <w:pPr>
        <w:spacing w:before="154"/>
        <w:ind w:left="1597" w:right="0" w:firstLine="0"/>
        <w:jc w:val="left"/>
        <w:rPr>
          <w:sz w:val="16"/>
        </w:rPr>
      </w:pPr>
      <w:r>
        <w:rPr>
          <w:sz w:val="16"/>
        </w:rPr>
        <w:t>Impact as of 2012-14 (£, 2013 prices)</w:t>
      </w:r>
    </w:p>
    <w:p>
      <w:pPr>
        <w:spacing w:before="103"/>
        <w:ind w:left="4214" w:right="0" w:firstLine="0"/>
        <w:jc w:val="left"/>
        <w:rPr>
          <w:sz w:val="16"/>
        </w:rPr>
      </w:pPr>
      <w:r>
        <w:rPr/>
        <w:pict>
          <v:group style="position:absolute;margin-left:314.829987pt;margin-top:8.515509pt;width:193.65pt;height:158.25pt;mso-position-horizontal-relative:page;mso-position-vertical-relative:paragraph;z-index:251706368" coordorigin="6297,170" coordsize="3873,3165">
            <v:line style="position:absolute" from="6427,2771" to="6574,2771" stroked="true" strokeweight=".24pt" strokecolor="#4f81bc">
              <v:stroke dashstyle="solid"/>
            </v:line>
            <v:rect style="position:absolute;left:6427;top:2689;width:147;height:80" filled="true" fillcolor="#b8cde4" stroked="false">
              <v:fill type="solid"/>
            </v:rect>
            <v:rect style="position:absolute;left:6427;top:2543;width:147;height:147" filled="true" fillcolor="#1f487c" stroked="false">
              <v:fill type="solid"/>
            </v:rect>
            <v:rect style="position:absolute;left:6427;top:2519;width:147;height:24" filled="true" fillcolor="#4aacc5" stroked="false">
              <v:fill type="solid"/>
            </v:rect>
            <v:rect style="position:absolute;left:6720;top:2744;width:147;height:29" filled="true" fillcolor="#4f81bc" stroked="false">
              <v:fill type="solid"/>
            </v:rect>
            <v:rect style="position:absolute;left:6720;top:2588;width:147;height:156" filled="true" fillcolor="#b8cde4" stroked="false">
              <v:fill type="solid"/>
            </v:rect>
            <v:rect style="position:absolute;left:6720;top:2233;width:147;height:356" filled="true" fillcolor="#1f487c" stroked="false">
              <v:fill type="solid"/>
            </v:rect>
            <v:rect style="position:absolute;left:6720;top:2127;width:147;height:106" filled="true" fillcolor="#4aacc5" stroked="false">
              <v:fill type="solid"/>
            </v:rect>
            <v:rect style="position:absolute;left:7015;top:2735;width:147;height:39" filled="true" fillcolor="#4f81bc" stroked="false">
              <v:fill type="solid"/>
            </v:rect>
            <v:rect style="position:absolute;left:7015;top:2581;width:147;height:154" filled="true" fillcolor="#b8cde4" stroked="false">
              <v:fill type="solid"/>
            </v:rect>
            <v:rect style="position:absolute;left:7015;top:2103;width:147;height:478" filled="true" fillcolor="#1f487c" stroked="false">
              <v:fill type="solid"/>
            </v:rect>
            <v:rect style="position:absolute;left:7015;top:1916;width:147;height:188" filled="true" fillcolor="#4aacc5" stroked="false">
              <v:fill type="solid"/>
            </v:rect>
            <v:rect style="position:absolute;left:7308;top:2691;width:147;height:82" filled="true" fillcolor="#4f81bc" stroked="false">
              <v:fill type="solid"/>
            </v:rect>
            <v:rect style="position:absolute;left:7308;top:2545;width:147;height:147" filled="true" fillcolor="#b8cde4" stroked="false">
              <v:fill type="solid"/>
            </v:rect>
            <v:rect style="position:absolute;left:7308;top:1974;width:147;height:572" filled="true" fillcolor="#1f487c" stroked="false">
              <v:fill type="solid"/>
            </v:rect>
            <v:rect style="position:absolute;left:7308;top:1693;width:147;height:281" filled="true" fillcolor="#4aacc5" stroked="false">
              <v:fill type="solid"/>
            </v:rect>
            <v:rect style="position:absolute;left:7600;top:2691;width:147;height:82" filled="true" fillcolor="#4f81bc" stroked="false">
              <v:fill type="solid"/>
            </v:rect>
            <v:rect style="position:absolute;left:7600;top:2593;width:147;height:99" filled="true" fillcolor="#b8cde4" stroked="false">
              <v:fill type="solid"/>
            </v:rect>
            <v:rect style="position:absolute;left:7600;top:2017;width:147;height:576" filled="true" fillcolor="#1f487c" stroked="false">
              <v:fill type="solid"/>
            </v:rect>
            <v:rect style="position:absolute;left:7600;top:1371;width:147;height:646" filled="true" fillcolor="#4aacc5" stroked="false">
              <v:fill type="solid"/>
            </v:rect>
            <v:rect style="position:absolute;left:7893;top:2651;width:147;height:123" filled="true" fillcolor="#4f81bc" stroked="false">
              <v:fill type="solid"/>
            </v:rect>
            <v:rect style="position:absolute;left:7893;top:2603;width:147;height:48" filled="true" fillcolor="#b8cde4" stroked="false">
              <v:fill type="solid"/>
            </v:rect>
            <v:rect style="position:absolute;left:7893;top:1969;width:147;height:634" filled="true" fillcolor="#1f487c" stroked="false">
              <v:fill type="solid"/>
            </v:rect>
            <v:rect style="position:absolute;left:7893;top:1177;width:147;height:792" filled="true" fillcolor="#4aacc5" stroked="false">
              <v:fill type="solid"/>
            </v:rect>
            <v:rect style="position:absolute;left:8186;top:2636;width:147;height:137" filled="true" fillcolor="#4f81bc" stroked="false">
              <v:fill type="solid"/>
            </v:rect>
            <v:line style="position:absolute" from="8186,2635" to="8333,2635" stroked="true" strokeweight=".12pt" strokecolor="#b8cde4">
              <v:stroke dashstyle="solid"/>
            </v:line>
            <v:rect style="position:absolute;left:8186;top:1899;width:147;height:735" filled="true" fillcolor="#1f487c" stroked="false">
              <v:fill type="solid"/>
            </v:rect>
            <v:rect style="position:absolute;left:8186;top:819;width:147;height:1080" filled="true" fillcolor="#4aacc5" stroked="false">
              <v:fill type="solid"/>
            </v:rect>
            <v:rect style="position:absolute;left:8479;top:2639;width:147;height:135" filled="true" fillcolor="#4f81bc" stroked="false">
              <v:fill type="solid"/>
            </v:rect>
            <v:rect style="position:absolute;left:8479;top:2773;width:147;height:63" filled="true" fillcolor="#b8cde4" stroked="false">
              <v:fill type="solid"/>
            </v:rect>
            <v:rect style="position:absolute;left:8479;top:1902;width:147;height:737" filled="true" fillcolor="#1f487c" stroked="false">
              <v:fill type="solid"/>
            </v:rect>
            <v:rect style="position:absolute;left:8479;top:851;width:147;height:1052" filled="true" fillcolor="#4aacc5" stroked="false">
              <v:fill type="solid"/>
            </v:rect>
            <v:rect style="position:absolute;left:8774;top:2631;width:147;height:142" filled="true" fillcolor="#4f81bc" stroked="false">
              <v:fill type="solid"/>
            </v:rect>
            <v:rect style="position:absolute;left:8774;top:2773;width:147;height:96" filled="true" fillcolor="#b8cde4" stroked="false">
              <v:fill type="solid"/>
            </v:rect>
            <v:rect style="position:absolute;left:8774;top:1868;width:147;height:764" filled="true" fillcolor="#1f487c" stroked="false">
              <v:fill type="solid"/>
            </v:rect>
            <v:rect style="position:absolute;left:8774;top:798;width:147;height:1071" filled="true" fillcolor="#4aacc5" stroked="false">
              <v:fill type="solid"/>
            </v:rect>
            <v:rect style="position:absolute;left:9067;top:2665;width:147;height:108" filled="true" fillcolor="#4f81bc" stroked="false">
              <v:fill type="solid"/>
            </v:rect>
            <v:rect style="position:absolute;left:9067;top:2773;width:147;height:80" filled="true" fillcolor="#b8cde4" stroked="false">
              <v:fill type="solid"/>
            </v:rect>
            <v:rect style="position:absolute;left:9067;top:2053;width:147;height:612" filled="true" fillcolor="#1f487c" stroked="false">
              <v:fill type="solid"/>
            </v:rect>
            <v:rect style="position:absolute;left:9067;top:1347;width:147;height:706" filled="true" fillcolor="#4aacc5" stroked="false">
              <v:fill type="solid"/>
            </v:rect>
            <v:rect style="position:absolute;left:9360;top:2651;width:147;height:123" filled="true" fillcolor="#4f81bc" stroked="false">
              <v:fill type="solid"/>
            </v:rect>
            <v:rect style="position:absolute;left:9360;top:2773;width:147;height:75" filled="true" fillcolor="#b8cde4" stroked="false">
              <v:fill type="solid"/>
            </v:rect>
            <v:rect style="position:absolute;left:9360;top:2046;width:147;height:605" filled="true" fillcolor="#1f487c" stroked="false">
              <v:fill type="solid"/>
            </v:rect>
            <v:rect style="position:absolute;left:9360;top:1652;width:147;height:394" filled="true" fillcolor="#4aacc5" stroked="false">
              <v:fill type="solid"/>
            </v:rect>
            <v:rect style="position:absolute;left:9652;top:2696;width:147;height:77" filled="true" fillcolor="#4f81bc" stroked="false">
              <v:fill type="solid"/>
            </v:rect>
            <v:rect style="position:absolute;left:9652;top:2773;width:147;height:72" filled="true" fillcolor="#b8cde4" stroked="false">
              <v:fill type="solid"/>
            </v:rect>
            <v:rect style="position:absolute;left:9652;top:2187;width:147;height:509" filled="true" fillcolor="#1f487c" stroked="false">
              <v:fill type="solid"/>
            </v:rect>
            <v:rect style="position:absolute;left:9652;top:1998;width:147;height:190" filled="true" fillcolor="#4aacc5" stroked="false">
              <v:fill type="solid"/>
            </v:rect>
            <v:rect style="position:absolute;left:9945;top:2682;width:147;height:92" filled="true" fillcolor="#4f81bc" stroked="false">
              <v:fill type="solid"/>
            </v:rect>
            <v:rect style="position:absolute;left:9945;top:2651;width:147;height:32" filled="true" fillcolor="#b8cde4" stroked="false">
              <v:fill type="solid"/>
            </v:rect>
            <v:rect style="position:absolute;left:9945;top:2082;width:147;height:569" filled="true" fillcolor="#1f487c" stroked="false">
              <v:fill type="solid"/>
            </v:rect>
            <v:rect style="position:absolute;left:9945;top:1525;width:147;height:557" filled="true" fillcolor="#4aacc5" stroked="false">
              <v:fill type="solid"/>
            </v:rect>
            <v:shape style="position:absolute;left:6355;top:203;width:3812;height:2856" coordorigin="6355,203" coordsize="3812,2856" path="m10166,3059l10166,203m10118,3059l10166,3059m10118,2773l10166,2773m10118,2488l10166,2488m10118,2202l10166,2202m10118,1917l10166,1917m10118,1631l10166,1631m10118,1345l10166,1345m10118,1060l10166,1060m10118,774l10166,774m10118,489l10166,489m10118,203l10166,203m6355,2773l10166,2773m6355,2725l6355,2773m6648,2725l6648,2773m6941,2725l6941,2773m7234,2725l7234,2773m7526,2725l7526,2773m7819,2725l7819,2773m8114,2725l8114,2773m8407,2725l8407,2773m8700,2725l8700,2773m8993,2725l8993,2773m9286,2725l9286,2773m9581,2725l9581,2773m9874,2725l9874,2773m10166,2725l10166,2773e" filled="false" stroked="true" strokeweight=".24pt" strokecolor="#000000">
              <v:path arrowok="t"/>
              <v:stroke dashstyle="solid"/>
            </v:shape>
            <v:shape style="position:absolute;left:6428;top:749;width:3658;height:1836" coordorigin="6428,749" coordsize="3658,1836" path="m6568,2516l6498,2446,6428,2516,6498,2585,6568,2516m6860,2127l6791,2057,6721,2127,6791,2197,6860,2127m7156,1916l7086,1846,7016,1916,7086,1985,7156,1916m7448,1693l7379,1623,7309,1693,7379,1762,7448,1693m7741,1369l7672,1299,7602,1369,7672,1438,7741,1369m8034,1175l7965,1105,7895,1175,7965,1244,8034,1175m8327,819l8258,749,8188,819,8258,889,8327,819m8620,911l8550,841,8480,911,8550,980,8620,911m8915,894l8846,824,8776,894,8846,963,8915,894m9208,1424l9138,1354,9068,1424,9138,1493,9208,1424m9500,1724l9431,1654,9361,1724,9431,1793,9500,1724m9793,2070l9724,2000,9654,2070,9724,2139,9793,2070m10086,1523l10017,1453,9947,1523,10017,1592,10086,1523e" filled="true" fillcolor="#000000" stroked="false">
              <v:path arrowok="t"/>
              <v:fill type="solid"/>
            </v:shape>
            <v:rect style="position:absolute;left:6628;top:224;width:80;height:82" filled="true" fillcolor="#4f81bc" stroked="false">
              <v:fill type="solid"/>
            </v:rect>
            <v:rect style="position:absolute;left:6628;top:431;width:80;height:82" filled="true" fillcolor="#b8cde4" stroked="false">
              <v:fill type="solid"/>
            </v:rect>
            <v:rect style="position:absolute;left:6628;top:639;width:80;height:80" filled="true" fillcolor="#1f487c" stroked="false">
              <v:fill type="solid"/>
            </v:rect>
            <v:rect style="position:absolute;left:6628;top:846;width:80;height:80" filled="true" fillcolor="#4aacc5" stroked="false">
              <v:fill type="solid"/>
            </v:rect>
            <v:shape style="position:absolute;left:6628;top:1053;width:80;height:80" coordorigin="6628,1053" coordsize="80,80" path="m6668,1053l6628,1093,6668,1133,6708,1093,6668,1053xe" filled="true" fillcolor="#000000" stroked="false">
              <v:path arrowok="t"/>
              <v:fill type="solid"/>
            </v:shape>
            <v:line style="position:absolute" from="9878,274" to="9878,3296" stroked="true" strokeweight=".75pt" strokecolor="#000000">
              <v:stroke dashstyle="shortdash"/>
            </v:line>
            <v:shape style="position:absolute;left:6742;top:170;width:1559;height:1008" type="#_x0000_t202" filled="false" stroked="false">
              <v:textbox inset="0,0,0,0">
                <w:txbxContent>
                  <w:p>
                    <w:pPr>
                      <w:spacing w:line="271" w:lineRule="auto" w:before="0"/>
                      <w:ind w:left="0" w:right="18" w:firstLine="0"/>
                      <w:jc w:val="left"/>
                      <w:rPr>
                        <w:sz w:val="16"/>
                      </w:rPr>
                    </w:pPr>
                    <w:r>
                      <w:rPr>
                        <w:sz w:val="16"/>
                      </w:rPr>
                      <w:t>Financial asset prices Inflation effects House prices Pensions</w:t>
                    </w:r>
                  </w:p>
                  <w:p>
                    <w:pPr>
                      <w:spacing w:line="180" w:lineRule="exact" w:before="0"/>
                      <w:ind w:left="0" w:right="0" w:firstLine="0"/>
                      <w:jc w:val="left"/>
                      <w:rPr>
                        <w:sz w:val="16"/>
                      </w:rPr>
                    </w:pPr>
                    <w:r>
                      <w:rPr>
                        <w:sz w:val="16"/>
                      </w:rPr>
                      <w:t>Total</w:t>
                    </w:r>
                  </w:p>
                </w:txbxContent>
              </v:textbox>
              <w10:wrap type="none"/>
            </v:shape>
            <v:shape style="position:absolute;left:6296;top:3154;width:3833;height:180" type="#_x0000_t202" filled="false" stroked="false">
              <v:textbox inset="0,0,0,0">
                <w:txbxContent>
                  <w:p>
                    <w:pPr>
                      <w:tabs>
                        <w:tab w:pos="3635" w:val="left" w:leader="none"/>
                      </w:tabs>
                      <w:spacing w:line="179" w:lineRule="exact" w:before="0"/>
                      <w:ind w:left="0" w:right="0" w:firstLine="0"/>
                      <w:jc w:val="left"/>
                      <w:rPr>
                        <w:sz w:val="16"/>
                      </w:rPr>
                    </w:pPr>
                    <w:r>
                      <w:rPr>
                        <w:sz w:val="16"/>
                      </w:rPr>
                      <w:t>25-29    35-39    45-49    55-59  </w:t>
                    </w:r>
                    <w:r>
                      <w:rPr>
                        <w:spacing w:val="34"/>
                        <w:sz w:val="16"/>
                      </w:rPr>
                      <w:t> </w:t>
                    </w:r>
                    <w:r>
                      <w:rPr>
                        <w:sz w:val="16"/>
                      </w:rPr>
                      <w:t>65-69  </w:t>
                    </w:r>
                    <w:r>
                      <w:rPr>
                        <w:spacing w:val="42"/>
                        <w:sz w:val="16"/>
                      </w:rPr>
                      <w:t> </w:t>
                    </w:r>
                    <w:r>
                      <w:rPr>
                        <w:sz w:val="16"/>
                      </w:rPr>
                      <w:t>75-79</w:t>
                      <w:tab/>
                      <w:t>All</w:t>
                    </w:r>
                  </w:p>
                </w:txbxContent>
              </v:textbox>
              <w10:wrap type="none"/>
            </v:shape>
            <w10:wrap type="none"/>
          </v:group>
        </w:pict>
      </w:r>
      <w:r>
        <w:rPr>
          <w:sz w:val="16"/>
        </w:rPr>
        <w:t>180000</w:t>
      </w:r>
    </w:p>
    <w:p>
      <w:pPr>
        <w:spacing w:before="102"/>
        <w:ind w:left="4214" w:right="0" w:firstLine="0"/>
        <w:jc w:val="left"/>
        <w:rPr>
          <w:sz w:val="16"/>
        </w:rPr>
      </w:pPr>
      <w:r>
        <w:rPr>
          <w:sz w:val="16"/>
        </w:rPr>
        <w:t>160000</w:t>
      </w:r>
    </w:p>
    <w:p>
      <w:pPr>
        <w:spacing w:before="101"/>
        <w:ind w:left="4214" w:right="0" w:firstLine="0"/>
        <w:jc w:val="left"/>
        <w:rPr>
          <w:sz w:val="16"/>
        </w:rPr>
      </w:pPr>
      <w:r>
        <w:rPr>
          <w:sz w:val="16"/>
        </w:rPr>
        <w:t>140000</w:t>
      </w:r>
    </w:p>
    <w:p>
      <w:pPr>
        <w:spacing w:before="102"/>
        <w:ind w:left="4214" w:right="0" w:firstLine="0"/>
        <w:jc w:val="left"/>
        <w:rPr>
          <w:sz w:val="16"/>
        </w:rPr>
      </w:pPr>
      <w:r>
        <w:rPr>
          <w:sz w:val="16"/>
        </w:rPr>
        <w:t>120000</w:t>
      </w:r>
    </w:p>
    <w:p>
      <w:pPr>
        <w:spacing w:before="101"/>
        <w:ind w:left="4214" w:right="0" w:firstLine="0"/>
        <w:jc w:val="left"/>
        <w:rPr>
          <w:sz w:val="16"/>
        </w:rPr>
      </w:pPr>
      <w:r>
        <w:rPr>
          <w:sz w:val="16"/>
        </w:rPr>
        <w:t>100000</w:t>
      </w:r>
    </w:p>
    <w:p>
      <w:pPr>
        <w:spacing w:before="102"/>
        <w:ind w:left="4214" w:right="0" w:firstLine="0"/>
        <w:jc w:val="left"/>
        <w:rPr>
          <w:sz w:val="16"/>
        </w:rPr>
      </w:pPr>
      <w:r>
        <w:rPr>
          <w:sz w:val="16"/>
        </w:rPr>
        <w:t>80000</w:t>
      </w:r>
    </w:p>
    <w:p>
      <w:pPr>
        <w:spacing w:before="102"/>
        <w:ind w:left="4214" w:right="0" w:firstLine="0"/>
        <w:jc w:val="left"/>
        <w:rPr>
          <w:sz w:val="16"/>
        </w:rPr>
      </w:pPr>
      <w:r>
        <w:rPr>
          <w:sz w:val="16"/>
        </w:rPr>
        <w:t>60000</w:t>
      </w:r>
    </w:p>
    <w:p>
      <w:pPr>
        <w:spacing w:before="102"/>
        <w:ind w:left="4214" w:right="0" w:firstLine="0"/>
        <w:jc w:val="left"/>
        <w:rPr>
          <w:sz w:val="16"/>
        </w:rPr>
      </w:pPr>
      <w:r>
        <w:rPr>
          <w:sz w:val="16"/>
        </w:rPr>
        <w:t>40000</w:t>
      </w:r>
    </w:p>
    <w:p>
      <w:pPr>
        <w:spacing w:before="101"/>
        <w:ind w:left="4214" w:right="0" w:firstLine="0"/>
        <w:jc w:val="left"/>
        <w:rPr>
          <w:sz w:val="16"/>
        </w:rPr>
      </w:pPr>
      <w:r>
        <w:rPr>
          <w:sz w:val="16"/>
        </w:rPr>
        <w:t>20000</w:t>
      </w:r>
    </w:p>
    <w:p>
      <w:pPr>
        <w:spacing w:before="102"/>
        <w:ind w:left="4214" w:right="0" w:firstLine="0"/>
        <w:jc w:val="left"/>
        <w:rPr>
          <w:sz w:val="16"/>
        </w:rPr>
      </w:pPr>
      <w:r>
        <w:rPr>
          <w:w w:val="100"/>
          <w:sz w:val="16"/>
        </w:rPr>
        <w:t>0</w:t>
      </w:r>
    </w:p>
    <w:p>
      <w:pPr>
        <w:spacing w:before="102"/>
        <w:ind w:left="4214" w:right="0" w:firstLine="0"/>
        <w:jc w:val="left"/>
        <w:rPr>
          <w:sz w:val="16"/>
        </w:rPr>
      </w:pPr>
      <w:r>
        <w:rPr>
          <w:sz w:val="16"/>
        </w:rPr>
        <w:t>-20000</w:t>
      </w:r>
    </w:p>
    <w:p>
      <w:pPr>
        <w:pStyle w:val="BodyText"/>
        <w:rPr>
          <w:sz w:val="18"/>
        </w:rPr>
      </w:pPr>
    </w:p>
    <w:p>
      <w:pPr>
        <w:spacing w:line="331" w:lineRule="auto" w:before="141"/>
        <w:ind w:left="119" w:right="1174" w:firstLine="1089"/>
        <w:jc w:val="left"/>
        <w:rPr>
          <w:sz w:val="16"/>
        </w:rPr>
      </w:pPr>
      <w:r>
        <w:rPr>
          <w:sz w:val="16"/>
        </w:rPr>
        <w:t>Head of household age in 2012-14 Sources: ONS and Bank calculations</w:t>
      </w:r>
    </w:p>
    <w:p>
      <w:pPr>
        <w:spacing w:line="141" w:lineRule="exact" w:before="0"/>
        <w:ind w:left="119" w:right="0" w:firstLine="0"/>
        <w:jc w:val="left"/>
        <w:rPr>
          <w:sz w:val="16"/>
        </w:rPr>
      </w:pPr>
      <w:r>
        <w:rPr>
          <w:sz w:val="16"/>
        </w:rPr>
        <w:t>Note: Chart shows average cumulative real impact of policy</w:t>
      </w:r>
    </w:p>
    <w:p>
      <w:pPr>
        <w:spacing w:line="276" w:lineRule="auto" w:before="28"/>
        <w:ind w:left="119" w:right="662" w:firstLine="0"/>
        <w:jc w:val="left"/>
        <w:rPr>
          <w:sz w:val="16"/>
        </w:rPr>
      </w:pPr>
      <w:r>
        <w:rPr>
          <w:sz w:val="16"/>
        </w:rPr>
        <w:t>changes since 2007 as of 2012-14 in pounds, using 2013 prices.</w:t>
      </w:r>
    </w:p>
    <w:p>
      <w:pPr>
        <w:spacing w:after="0" w:line="276" w:lineRule="auto"/>
        <w:jc w:val="left"/>
        <w:rPr>
          <w:sz w:val="16"/>
        </w:rPr>
        <w:sectPr>
          <w:type w:val="continuous"/>
          <w:pgSz w:w="11910" w:h="16840"/>
          <w:pgMar w:top="1180" w:bottom="1520" w:left="820" w:right="960"/>
          <w:cols w:num="3" w:equalWidth="0">
            <w:col w:w="4875" w:space="40"/>
            <w:col w:w="318" w:space="39"/>
            <w:col w:w="4858"/>
          </w:cols>
        </w:sectPr>
      </w:pPr>
    </w:p>
    <w:p>
      <w:pPr>
        <w:pStyle w:val="Heading1"/>
        <w:spacing w:line="276" w:lineRule="auto"/>
      </w:pPr>
      <w:r>
        <w:rPr/>
        <w:t>Chart 17: Impact of monetary policy on wealth, across the age distribution (%)</w:t>
      </w:r>
    </w:p>
    <w:p>
      <w:pPr>
        <w:spacing w:before="148"/>
        <w:ind w:left="1899" w:right="0" w:firstLine="0"/>
        <w:jc w:val="left"/>
        <w:rPr>
          <w:sz w:val="16"/>
        </w:rPr>
      </w:pPr>
      <w:r>
        <w:rPr>
          <w:sz w:val="16"/>
        </w:rPr>
        <w:t>Impact as of 2012-14 (% of net wealth)</w:t>
      </w:r>
    </w:p>
    <w:p>
      <w:pPr>
        <w:pStyle w:val="Heading1"/>
        <w:spacing w:line="276" w:lineRule="auto"/>
        <w:ind w:right="192"/>
      </w:pPr>
      <w:r>
        <w:rPr>
          <w:b w:val="0"/>
        </w:rPr>
        <w:br w:type="column"/>
      </w:r>
      <w:r>
        <w:rPr/>
        <w:t>Chart 18: Impact of monetary policy on income, across different UK regions (%)</w:t>
      </w:r>
    </w:p>
    <w:p>
      <w:pPr>
        <w:spacing w:before="76"/>
        <w:ind w:left="0" w:right="266" w:firstLine="0"/>
        <w:jc w:val="right"/>
        <w:rPr>
          <w:sz w:val="16"/>
        </w:rPr>
      </w:pPr>
      <w:r>
        <w:rPr/>
        <w:pict>
          <v:group style="position:absolute;margin-left:309.839996pt;margin-top:23.495485pt;width:210pt;height:158.550pt;mso-position-horizontal-relative:page;mso-position-vertical-relative:paragraph;z-index:-255037440" coordorigin="6197,470" coordsize="4200,3171">
            <v:rect style="position:absolute;left:6288;top:2917;width:173;height:329" filled="true" fillcolor="#e6b8b8" stroked="false">
              <v:fill type="solid"/>
            </v:rect>
            <v:rect style="position:absolute;left:6288;top:1436;width:173;height:1481" filled="true" fillcolor="#c0504d" stroked="false">
              <v:fill type="solid"/>
            </v:rect>
            <v:rect style="position:absolute;left:6636;top:2864;width:176;height:382" filled="true" fillcolor="#e6b8b8" stroked="false">
              <v:fill type="solid"/>
            </v:rect>
            <v:rect style="position:absolute;left:6636;top:1215;width:176;height:1649" filled="true" fillcolor="#c0504d" stroked="false">
              <v:fill type="solid"/>
            </v:rect>
            <v:rect style="position:absolute;left:6986;top:2953;width:176;height:293" filled="true" fillcolor="#e6b8b8" stroked="false">
              <v:fill type="solid"/>
            </v:rect>
            <v:rect style="position:absolute;left:6986;top:1122;width:176;height:1832" filled="true" fillcolor="#c0504d" stroked="false">
              <v:fill type="solid"/>
            </v:rect>
            <v:rect style="position:absolute;left:7336;top:2970;width:176;height:276" filled="true" fillcolor="#e6b8b8" stroked="false">
              <v:fill type="solid"/>
            </v:rect>
            <v:rect style="position:absolute;left:7336;top:983;width:176;height:1988" filled="true" fillcolor="#c0504d" stroked="false">
              <v:fill type="solid"/>
            </v:rect>
            <v:rect style="position:absolute;left:7684;top:3020;width:176;height:226" filled="true" fillcolor="#e6b8b8" stroked="false">
              <v:fill type="solid"/>
            </v:rect>
            <v:rect style="position:absolute;left:7684;top:1242;width:176;height:1779" filled="true" fillcolor="#c0504d" stroked="false">
              <v:fill type="solid"/>
            </v:rect>
            <v:rect style="position:absolute;left:8035;top:2927;width:176;height:320" filled="true" fillcolor="#e6b8b8" stroked="false">
              <v:fill type="solid"/>
            </v:rect>
            <v:rect style="position:absolute;left:8035;top:1151;width:176;height:1776" filled="true" fillcolor="#c0504d" stroked="false">
              <v:fill type="solid"/>
            </v:rect>
            <v:rect style="position:absolute;left:8385;top:2631;width:176;height:615" filled="true" fillcolor="#e6b8b8" stroked="false">
              <v:fill type="solid"/>
            </v:rect>
            <v:rect style="position:absolute;left:8385;top:1043;width:176;height:1589" filled="true" fillcolor="#c0504d" stroked="false">
              <v:fill type="solid"/>
            </v:rect>
            <v:rect style="position:absolute;left:8733;top:2799;width:176;height:447" filled="true" fillcolor="#e6b8b8" stroked="false">
              <v:fill type="solid"/>
            </v:rect>
            <v:rect style="position:absolute;left:8733;top:1127;width:176;height:1673" filled="true" fillcolor="#c0504d" stroked="false">
              <v:fill type="solid"/>
            </v:rect>
            <v:rect style="position:absolute;left:9084;top:2845;width:176;height:401" filled="true" fillcolor="#e6b8b8" stroked="false">
              <v:fill type="solid"/>
            </v:rect>
            <v:rect style="position:absolute;left:9084;top:1220;width:176;height:1625" filled="true" fillcolor="#c0504d" stroked="false">
              <v:fill type="solid"/>
            </v:rect>
            <v:line style="position:absolute" from="9434,3252" to="9610,3252" stroked="true" strokeweight=".6pt" strokecolor="#e6b8b8">
              <v:stroke dashstyle="solid"/>
            </v:line>
            <v:rect style="position:absolute;left:9434;top:1791;width:176;height:1455" filled="true" fillcolor="#c0504d" stroked="false">
              <v:fill type="solid"/>
            </v:rect>
            <v:rect style="position:absolute;left:9784;top:3006;width:173;height:240" filled="true" fillcolor="#e6b8b8" stroked="false">
              <v:fill type="solid"/>
            </v:rect>
            <v:rect style="position:absolute;left:9784;top:1388;width:173;height:1618" filled="true" fillcolor="#c0504d" stroked="false">
              <v:fill type="solid"/>
            </v:rect>
            <v:rect style="position:absolute;left:10132;top:2888;width:176;height:358" filled="true" fillcolor="#e6b8b8" stroked="false">
              <v:fill type="solid"/>
            </v:rect>
            <v:rect style="position:absolute;left:10132;top:1237;width:176;height:1652" filled="true" fillcolor="#c0504d" stroked="false">
              <v:fill type="solid"/>
            </v:rect>
            <v:shape style="position:absolute;left:6199;top:704;width:4196;height:2904" coordorigin="6199,705" coordsize="4196,2904" path="m10394,3609l10394,705m10346,3609l10394,3609m10346,3246l10394,3246m10346,2884l10394,2884m10346,2519l10394,2519m10346,2157l10394,2157m10346,1794l10394,1794m10346,1429l10394,1429m10346,1067l10394,1067m10346,705l10394,705m6199,3246l10394,3246m6199,3198l6199,3246m6550,3198l6550,3246m6900,3198l6900,3246m7248,3198l7248,3246m7598,3198l7598,3246m7949,3198l7949,3246m8297,3198l8297,3246m8647,3198l8647,3246m8998,3198l8998,3246m9346,3198l9346,3246m9696,3198l9696,3246m10046,3198l10046,3246m10394,3198l10394,3246e" filled="false" stroked="true" strokeweight=".24pt" strokecolor="#000000">
              <v:path arrowok="t"/>
              <v:stroke dashstyle="solid"/>
            </v:shape>
            <v:shape style="position:absolute;left:6304;top:911;width:3984;height:960" coordorigin="6304,912" coordsize="3984,960" path="m6444,1438l6374,1368,6304,1438,6374,1507,6444,1438m6792,1217l6722,1147,6652,1217,6722,1286,6792,1217m7142,1121l7073,1051,7003,1121,7073,1190,7142,1121m7492,982l7423,912,7353,982,7423,1051,7492,982m7840,1243l7771,1173,7701,1243,7771,1312,7840,1243m8191,1150l8122,1080,8052,1150,8122,1219,8191,1150m8541,1044l8472,974,8402,1044,8472,1113,8541,1044m8889,1126l8820,1056,8750,1126,8820,1195,8889,1126m9240,1222l9170,1152,9100,1222,9170,1291,9240,1222m9590,1802l9521,1732,9451,1802,9521,1872,9590,1802m9938,1390l9869,1320,9799,1390,9869,1459,9938,1390m10288,1238l10219,1168,10149,1238,10219,1308,10288,1238e" filled="true" fillcolor="#000000" stroked="false">
              <v:path arrowok="t"/>
              <v:fill type="solid"/>
            </v:shape>
            <v:rect style="position:absolute;left:6528;top:716;width:80;height:82" filled="true" fillcolor="#e6b8b8" stroked="false">
              <v:fill type="solid"/>
            </v:rect>
            <v:shape style="position:absolute;left:6527;top:911;width:80;height:80" coordorigin="6528,911" coordsize="80,80" path="m6568,911l6528,951,6568,991,6608,951,6568,911xe" filled="true" fillcolor="#000000" stroked="false">
              <v:path arrowok="t"/>
              <v:fill type="solid"/>
            </v:shape>
            <v:line style="position:absolute" from="10050,681" to="10049,3633" stroked="true" strokeweight=".75pt" strokecolor="#000000">
              <v:stroke dashstyle="shortdash"/>
            </v:line>
            <v:shape style="position:absolute;left:6196;top:469;width:4200;height:3171" type="#_x0000_t202" filled="false" stroked="false">
              <v:textbox inset="0,0,0,0">
                <w:txbxContent>
                  <w:p>
                    <w:pPr>
                      <w:spacing w:line="252" w:lineRule="auto" w:before="0"/>
                      <w:ind w:left="445" w:right="1502" w:firstLine="0"/>
                      <w:jc w:val="left"/>
                      <w:rPr>
                        <w:sz w:val="16"/>
                      </w:rPr>
                    </w:pPr>
                    <w:r>
                      <w:rPr>
                        <w:sz w:val="16"/>
                      </w:rPr>
                      <w:t>Macro effects on labour income Net interest reciepts/payments Total</w:t>
                    </w:r>
                  </w:p>
                </w:txbxContent>
              </v:textbox>
              <w10:wrap type="none"/>
            </v:shape>
            <w10:wrap type="none"/>
          </v:group>
        </w:pict>
      </w:r>
      <w:r>
        <w:rPr>
          <w:sz w:val="16"/>
        </w:rPr>
        <w:t>Impact as 2012-14 (% of annual</w:t>
      </w:r>
      <w:r>
        <w:rPr>
          <w:spacing w:val="-8"/>
          <w:sz w:val="16"/>
        </w:rPr>
        <w:t> </w:t>
      </w:r>
      <w:r>
        <w:rPr>
          <w:sz w:val="16"/>
        </w:rPr>
        <w:t>income)</w:t>
      </w:r>
    </w:p>
    <w:p>
      <w:pPr>
        <w:pStyle w:val="BodyText"/>
        <w:spacing w:before="7"/>
        <w:rPr>
          <w:sz w:val="19"/>
        </w:rPr>
      </w:pPr>
      <w:r>
        <w:rPr/>
        <w:pict>
          <v:rect style="position:absolute;margin-left:326.399994pt;margin-top:13.243028pt;width:3.96pt;height:3.96pt;mso-position-horizontal-relative:page;mso-position-vertical-relative:paragraph;z-index:-251609088;mso-wrap-distance-left:0;mso-wrap-distance-right:0" filled="true" fillcolor="#c0504d" stroked="false">
            <v:fill type="solid"/>
            <w10:wrap type="topAndBottom"/>
          </v:rect>
        </w:pict>
      </w:r>
    </w:p>
    <w:p>
      <w:pPr>
        <w:spacing w:before="0"/>
        <w:ind w:left="0" w:right="231" w:firstLine="0"/>
        <w:jc w:val="right"/>
        <w:rPr>
          <w:sz w:val="16"/>
        </w:rPr>
      </w:pPr>
      <w:r>
        <w:rPr>
          <w:spacing w:val="-1"/>
          <w:sz w:val="16"/>
        </w:rPr>
        <w:t>35</w:t>
      </w:r>
    </w:p>
    <w:p>
      <w:pPr>
        <w:pStyle w:val="BodyText"/>
        <w:spacing w:before="6"/>
        <w:rPr>
          <w:sz w:val="15"/>
        </w:rPr>
      </w:pPr>
    </w:p>
    <w:p>
      <w:pPr>
        <w:spacing w:before="1"/>
        <w:ind w:left="0" w:right="231" w:firstLine="0"/>
        <w:jc w:val="right"/>
        <w:rPr>
          <w:sz w:val="16"/>
        </w:rPr>
      </w:pPr>
      <w:r>
        <w:rPr>
          <w:spacing w:val="-1"/>
          <w:sz w:val="16"/>
        </w:rPr>
        <w:t>30</w:t>
      </w:r>
    </w:p>
    <w:p>
      <w:pPr>
        <w:pStyle w:val="BodyText"/>
        <w:spacing w:before="6"/>
        <w:rPr>
          <w:sz w:val="15"/>
        </w:rPr>
      </w:pPr>
    </w:p>
    <w:p>
      <w:pPr>
        <w:spacing w:before="0"/>
        <w:ind w:left="0" w:right="231" w:firstLine="0"/>
        <w:jc w:val="right"/>
        <w:rPr>
          <w:sz w:val="16"/>
        </w:rPr>
      </w:pPr>
      <w:r>
        <w:rPr>
          <w:spacing w:val="-1"/>
          <w:sz w:val="16"/>
        </w:rPr>
        <w:t>25</w:t>
      </w:r>
    </w:p>
    <w:p>
      <w:pPr>
        <w:spacing w:after="0"/>
        <w:jc w:val="right"/>
        <w:rPr>
          <w:sz w:val="16"/>
        </w:rPr>
        <w:sectPr>
          <w:pgSz w:w="11910" w:h="16840"/>
          <w:pgMar w:header="0" w:footer="1334" w:top="1340" w:bottom="1520" w:left="820" w:right="960"/>
          <w:cols w:num="2" w:equalWidth="0">
            <w:col w:w="4838" w:space="150"/>
            <w:col w:w="5142"/>
          </w:cols>
        </w:sectPr>
      </w:pPr>
    </w:p>
    <w:p>
      <w:pPr>
        <w:pStyle w:val="BodyText"/>
        <w:spacing w:before="7"/>
        <w:rPr>
          <w:sz w:val="15"/>
        </w:rPr>
      </w:pPr>
    </w:p>
    <w:p>
      <w:pPr>
        <w:spacing w:before="0"/>
        <w:ind w:left="0" w:right="231" w:firstLine="0"/>
        <w:jc w:val="right"/>
        <w:rPr>
          <w:sz w:val="16"/>
        </w:rPr>
      </w:pPr>
      <w:r>
        <w:rPr/>
        <w:pict>
          <v:group style="position:absolute;margin-left:61.608002pt;margin-top:-58.928997pt;width:228.15pt;height:172pt;mso-position-horizontal-relative:page;mso-position-vertical-relative:paragraph;z-index:251716608" coordorigin="1232,-1179" coordsize="4563,3440">
            <v:rect style="position:absolute;left:1368;top:1416;width:159;height:44" filled="true" fillcolor="#4f81bc" stroked="false">
              <v:fill type="solid"/>
            </v:rect>
            <v:rect style="position:absolute;left:1368;top:802;width:159;height:615" filled="true" fillcolor="#94b3d6" stroked="false">
              <v:fill type="solid"/>
            </v:rect>
            <v:rect style="position:absolute;left:1368;top:-338;width:159;height:1140" filled="true" fillcolor="#1f487c" stroked="false">
              <v:fill type="solid"/>
            </v:rect>
            <v:rect style="position:absolute;left:1368;top:-525;width:159;height:188" filled="true" fillcolor="#4aacc5" stroked="false">
              <v:fill type="solid"/>
            </v:rect>
            <v:rect style="position:absolute;left:1684;top:1383;width:156;height:77" filled="true" fillcolor="#4f81bc" stroked="false">
              <v:fill type="solid"/>
            </v:rect>
            <v:rect style="position:absolute;left:1684;top:958;width:156;height:425" filled="true" fillcolor="#94b3d6" stroked="false">
              <v:fill type="solid"/>
            </v:rect>
            <v:rect style="position:absolute;left:1684;top:-2;width:156;height:960" filled="true" fillcolor="#1f487c" stroked="false">
              <v:fill type="solid"/>
            </v:rect>
            <v:rect style="position:absolute;left:1684;top:-285;width:156;height:284" filled="true" fillcolor="#4aacc5" stroked="false">
              <v:fill type="solid"/>
            </v:rect>
            <v:rect style="position:absolute;left:1999;top:1397;width:156;height:63" filled="true" fillcolor="#4f81bc" stroked="false">
              <v:fill type="solid"/>
            </v:rect>
            <v:rect style="position:absolute;left:1999;top:1143;width:156;height:255" filled="true" fillcolor="#94b3d6" stroked="false">
              <v:fill type="solid"/>
            </v:rect>
            <v:rect style="position:absolute;left:1999;top:360;width:156;height:783" filled="true" fillcolor="#1f487c" stroked="false">
              <v:fill type="solid"/>
            </v:rect>
            <v:rect style="position:absolute;left:1999;top:53;width:156;height:308" filled="true" fillcolor="#4aacc5" stroked="false">
              <v:fill type="solid"/>
            </v:rect>
            <v:rect style="position:absolute;left:2313;top:1359;width:156;height:101" filled="true" fillcolor="#4f81bc" stroked="false">
              <v:fill type="solid"/>
            </v:rect>
            <v:rect style="position:absolute;left:2313;top:1184;width:156;height:176" filled="true" fillcolor="#94b3d6" stroked="false">
              <v:fill type="solid"/>
            </v:rect>
            <v:rect style="position:absolute;left:2313;top:492;width:156;height:692" filled="true" fillcolor="#1f487c" stroked="false">
              <v:fill type="solid"/>
            </v:rect>
            <v:rect style="position:absolute;left:2313;top:154;width:156;height:339" filled="true" fillcolor="#4aacc5" stroked="false">
              <v:fill type="solid"/>
            </v:rect>
            <v:rect style="position:absolute;left:2628;top:1388;width:156;height:72" filled="true" fillcolor="#4f81bc" stroked="false">
              <v:fill type="solid"/>
            </v:rect>
            <v:rect style="position:absolute;left:2628;top:1301;width:156;height:87" filled="true" fillcolor="#94b3d6" stroked="false">
              <v:fill type="solid"/>
            </v:rect>
            <v:rect style="position:absolute;left:2628;top:800;width:156;height:502" filled="true" fillcolor="#1f487c" stroked="false">
              <v:fill type="solid"/>
            </v:rect>
            <v:rect style="position:absolute;left:2628;top:233;width:156;height:567" filled="true" fillcolor="#4aacc5" stroked="false">
              <v:fill type="solid"/>
            </v:rect>
            <v:rect style="position:absolute;left:2942;top:1376;width:156;height:84" filled="true" fillcolor="#4f81bc" stroked="false">
              <v:fill type="solid"/>
            </v:rect>
            <v:rect style="position:absolute;left:2942;top:1344;width:156;height:32" filled="true" fillcolor="#94b3d6" stroked="false">
              <v:fill type="solid"/>
            </v:rect>
            <v:rect style="position:absolute;left:2942;top:920;width:156;height:425" filled="true" fillcolor="#1f487c" stroked="false">
              <v:fill type="solid"/>
            </v:rect>
            <v:rect style="position:absolute;left:2942;top:389;width:156;height:531" filled="true" fillcolor="#4aacc5" stroked="false">
              <v:fill type="solid"/>
            </v:rect>
            <v:rect style="position:absolute;left:3256;top:1392;width:156;height:68" filled="true" fillcolor="#4f81bc" stroked="false">
              <v:fill type="solid"/>
            </v:rect>
            <v:line style="position:absolute" from="3257,1392" to="3413,1392" stroked="true" strokeweight=".12pt" strokecolor="#94b3d6">
              <v:stroke dashstyle="solid"/>
            </v:line>
            <v:rect style="position:absolute;left:3256;top:1023;width:156;height:368" filled="true" fillcolor="#1f487c" stroked="false">
              <v:fill type="solid"/>
            </v:rect>
            <v:rect style="position:absolute;left:3256;top:488;width:156;height:536" filled="true" fillcolor="#4aacc5" stroked="false">
              <v:fill type="solid"/>
            </v:rect>
            <v:rect style="position:absolute;left:3571;top:1395;width:159;height:65" filled="true" fillcolor="#4f81bc" stroked="false">
              <v:fill type="solid"/>
            </v:rect>
            <v:rect style="position:absolute;left:3571;top:1460;width:159;height:29" filled="true" fillcolor="#94b3d6" stroked="false">
              <v:fill type="solid"/>
            </v:rect>
            <v:rect style="position:absolute;left:3571;top:1047;width:159;height:348" filled="true" fillcolor="#1f487c" stroked="false">
              <v:fill type="solid"/>
            </v:rect>
            <v:rect style="position:absolute;left:3571;top:550;width:159;height:497" filled="true" fillcolor="#4aacc5" stroked="false">
              <v:fill type="solid"/>
            </v:rect>
            <v:rect style="position:absolute;left:3885;top:1390;width:159;height:70" filled="true" fillcolor="#4f81bc" stroked="false">
              <v:fill type="solid"/>
            </v:rect>
            <v:rect style="position:absolute;left:3885;top:1460;width:159;height:48" filled="true" fillcolor="#94b3d6" stroked="false">
              <v:fill type="solid"/>
            </v:rect>
            <v:rect style="position:absolute;left:3885;top:1016;width:159;height:375" filled="true" fillcolor="#1f487c" stroked="false">
              <v:fill type="solid"/>
            </v:rect>
            <v:rect style="position:absolute;left:3885;top:495;width:159;height:521" filled="true" fillcolor="#4aacc5" stroked="false">
              <v:fill type="solid"/>
            </v:rect>
            <v:rect style="position:absolute;left:4200;top:1388;width:159;height:72" filled="true" fillcolor="#4f81bc" stroked="false">
              <v:fill type="solid"/>
            </v:rect>
            <v:rect style="position:absolute;left:4200;top:1460;width:159;height:53" filled="true" fillcolor="#94b3d6" stroked="false">
              <v:fill type="solid"/>
            </v:rect>
            <v:rect style="position:absolute;left:4200;top:987;width:159;height:401" filled="true" fillcolor="#1f487c" stroked="false">
              <v:fill type="solid"/>
            </v:rect>
            <v:rect style="position:absolute;left:4200;top:521;width:159;height:466" filled="true" fillcolor="#4aacc5" stroked="false">
              <v:fill type="solid"/>
            </v:rect>
            <v:rect style="position:absolute;left:4514;top:1361;width:159;height:99" filled="true" fillcolor="#4f81bc" stroked="false">
              <v:fill type="solid"/>
            </v:rect>
            <v:rect style="position:absolute;left:4514;top:1460;width:159;height:60" filled="true" fillcolor="#94b3d6" stroked="false">
              <v:fill type="solid"/>
            </v:rect>
            <v:rect style="position:absolute;left:4514;top:876;width:159;height:485" filled="true" fillcolor="#1f487c" stroked="false">
              <v:fill type="solid"/>
            </v:rect>
            <v:rect style="position:absolute;left:4514;top:560;width:159;height:317" filled="true" fillcolor="#4aacc5" stroked="false">
              <v:fill type="solid"/>
            </v:rect>
            <v:rect style="position:absolute;left:4828;top:1376;width:159;height:84" filled="true" fillcolor="#4f81bc" stroked="false">
              <v:fill type="solid"/>
            </v:rect>
            <v:rect style="position:absolute;left:4828;top:1460;width:159;height:77" filled="true" fillcolor="#94b3d6" stroked="false">
              <v:fill type="solid"/>
            </v:rect>
            <v:rect style="position:absolute;left:4828;top:824;width:159;height:552" filled="true" fillcolor="#1f487c" stroked="false">
              <v:fill type="solid"/>
            </v:rect>
            <v:rect style="position:absolute;left:4828;top:620;width:159;height:204" filled="true" fillcolor="#4aacc5" stroked="false">
              <v:fill type="solid"/>
            </v:rect>
            <v:rect style="position:absolute;left:5143;top:1385;width:159;height:75" filled="true" fillcolor="#4f81bc" stroked="false">
              <v:fill type="solid"/>
            </v:rect>
            <v:rect style="position:absolute;left:5143;top:1359;width:159;height:27" filled="true" fillcolor="#94b3d6" stroked="false">
              <v:fill type="solid"/>
            </v:rect>
            <v:rect style="position:absolute;left:5143;top:891;width:159;height:468" filled="true" fillcolor="#1f487c" stroked="false">
              <v:fill type="solid"/>
            </v:rect>
            <v:rect style="position:absolute;left:5143;top:432;width:159;height:459" filled="true" fillcolor="#4aacc5" stroked="false">
              <v:fill type="solid"/>
            </v:rect>
            <v:shape style="position:absolute;left:1291;top:-1080;width:4090;height:3046" coordorigin="1291,-1079" coordsize="4090,3046" path="m5381,1966l5381,-1079m5328,1966l5381,1966m5328,1460l5381,1460m5328,951l5381,951m5328,445l5381,445m5328,-64l5381,-64m5328,-570l5381,-570m5328,-1079l5381,-1079m1291,1460l5381,1460m1291,1407l1291,1460m1606,1407l1606,1460m1920,1407l1920,1460m2234,1407l2234,1460m2549,1407l2549,1460m2863,1407l2863,1460m3178,1407l3178,1460m3492,1407l3492,1460m3806,1407l3806,1460m4121,1407l4121,1460m4435,1407l4435,1460m4752,1407l4752,1460m5066,1407l5066,1460m5381,1407l5381,1460e" filled="false" stroked="true" strokeweight=".24pt" strokecolor="#000000">
              <v:path arrowok="t"/>
              <v:stroke dashstyle="solid"/>
            </v:shape>
            <v:shape style="position:absolute;left:1378;top:-594;width:3915;height:1361" coordorigin="1378,-594" coordsize="3915,1361" path="m1518,-524l1448,-594,1378,-524,1448,-455,1518,-524m1832,-286l1763,-356,1693,-286,1763,-217,1832,-286m2146,55l2077,-15,2007,55,2077,124,2146,55m2461,153l2392,83,2322,153,2392,222,2461,153m2775,235l2706,165,2636,235,2706,304,2775,235m3090,388l3020,318,2950,388,3020,457,3090,388m3404,487l3335,417,3265,487,3335,556,3404,487m3718,580l3649,510,3579,580,3649,649,3718,580m4033,542l3964,472,3894,542,3964,611,4033,542m4347,575l4278,505,4208,575,4278,645,4347,575m4662,619l4592,549,4522,619,4592,688,4662,619m4978,698l4909,628,4839,698,4909,767,4978,698m5293,434l5224,364,5154,434,5224,503,5293,434e" filled="true" fillcolor="#000000" stroked="false">
              <v:path arrowok="t"/>
              <v:fill type="solid"/>
            </v:shape>
            <v:rect style="position:absolute;left:2580;top:-1020;width:84;height:87" filled="true" fillcolor="#4f81bc" stroked="false">
              <v:fill type="solid"/>
            </v:rect>
            <v:rect style="position:absolute;left:2580;top:-792;width:84;height:84" filled="true" fillcolor="#94b3d6" stroked="false">
              <v:fill type="solid"/>
            </v:rect>
            <v:rect style="position:absolute;left:2580;top:-566;width:84;height:84" filled="true" fillcolor="#1f487c" stroked="false">
              <v:fill type="solid"/>
            </v:rect>
            <v:rect style="position:absolute;left:2580;top:-340;width:84;height:87" filled="true" fillcolor="#4aacc5" stroked="false">
              <v:fill type="solid"/>
            </v:rect>
            <v:shape style="position:absolute;left:2581;top:-111;width:80;height:80" coordorigin="2582,-111" coordsize="80,80" path="m2622,-111l2582,-71,2622,-31,2662,-71,2622,-111xe" filled="true" fillcolor="#000000" stroked="false">
              <v:path arrowok="t"/>
              <v:fill type="solid"/>
            </v:shape>
            <v:line style="position:absolute" from="5065,-1117" to="5065,2241" stroked="true" strokeweight=".75pt" strokecolor="#000000">
              <v:stroke dashstyle="shortdash"/>
            </v:line>
            <v:shape style="position:absolute;left:2701;top:-1075;width:1654;height:1096" type="#_x0000_t202" filled="false" stroked="false">
              <v:textbox inset="0,0,0,0">
                <w:txbxContent>
                  <w:p>
                    <w:pPr>
                      <w:spacing w:line="278" w:lineRule="auto" w:before="0"/>
                      <w:ind w:left="0" w:right="18" w:firstLine="0"/>
                      <w:jc w:val="left"/>
                      <w:rPr>
                        <w:sz w:val="17"/>
                      </w:rPr>
                    </w:pPr>
                    <w:r>
                      <w:rPr>
                        <w:sz w:val="17"/>
                      </w:rPr>
                      <w:t>Financial asset</w:t>
                    </w:r>
                    <w:r>
                      <w:rPr>
                        <w:spacing w:val="-10"/>
                        <w:sz w:val="17"/>
                      </w:rPr>
                      <w:t> </w:t>
                    </w:r>
                    <w:r>
                      <w:rPr>
                        <w:sz w:val="17"/>
                      </w:rPr>
                      <w:t>prices Inflation effects House prices Pensions</w:t>
                    </w:r>
                  </w:p>
                  <w:p>
                    <w:pPr>
                      <w:spacing w:line="193" w:lineRule="exact" w:before="0"/>
                      <w:ind w:left="0" w:right="0" w:firstLine="0"/>
                      <w:jc w:val="left"/>
                      <w:rPr>
                        <w:sz w:val="17"/>
                      </w:rPr>
                    </w:pPr>
                    <w:r>
                      <w:rPr>
                        <w:sz w:val="17"/>
                      </w:rPr>
                      <w:t>Total</w:t>
                    </w:r>
                  </w:p>
                </w:txbxContent>
              </v:textbox>
              <w10:wrap type="none"/>
            </v:shape>
            <v:shape style="position:absolute;left:5528;top:-1179;width:266;height:3238" type="#_x0000_t202" filled="false" stroked="false">
              <v:textbox inset="0,0,0,0">
                <w:txbxContent>
                  <w:p>
                    <w:pPr>
                      <w:spacing w:line="190" w:lineRule="exact" w:before="0"/>
                      <w:ind w:left="0" w:right="0" w:firstLine="0"/>
                      <w:jc w:val="left"/>
                      <w:rPr>
                        <w:sz w:val="17"/>
                      </w:rPr>
                    </w:pPr>
                    <w:r>
                      <w:rPr>
                        <w:sz w:val="17"/>
                      </w:rPr>
                      <w:t>50</w:t>
                    </w:r>
                  </w:p>
                  <w:p>
                    <w:pPr>
                      <w:spacing w:line="240" w:lineRule="auto" w:before="0"/>
                      <w:rPr>
                        <w:sz w:val="18"/>
                      </w:rPr>
                    </w:pPr>
                  </w:p>
                  <w:p>
                    <w:pPr>
                      <w:spacing w:before="105"/>
                      <w:ind w:left="0" w:right="0" w:firstLine="0"/>
                      <w:jc w:val="left"/>
                      <w:rPr>
                        <w:sz w:val="17"/>
                      </w:rPr>
                    </w:pPr>
                    <w:r>
                      <w:rPr>
                        <w:sz w:val="17"/>
                      </w:rPr>
                      <w:t>40</w:t>
                    </w:r>
                  </w:p>
                  <w:p>
                    <w:pPr>
                      <w:spacing w:line="240" w:lineRule="auto" w:before="0"/>
                      <w:rPr>
                        <w:sz w:val="18"/>
                      </w:rPr>
                    </w:pPr>
                  </w:p>
                  <w:p>
                    <w:pPr>
                      <w:spacing w:before="105"/>
                      <w:ind w:left="0" w:right="0" w:firstLine="0"/>
                      <w:jc w:val="left"/>
                      <w:rPr>
                        <w:sz w:val="17"/>
                      </w:rPr>
                    </w:pPr>
                    <w:r>
                      <w:rPr>
                        <w:sz w:val="17"/>
                      </w:rPr>
                      <w:t>30</w:t>
                    </w:r>
                  </w:p>
                  <w:p>
                    <w:pPr>
                      <w:spacing w:line="240" w:lineRule="auto" w:before="0"/>
                      <w:rPr>
                        <w:sz w:val="18"/>
                      </w:rPr>
                    </w:pPr>
                  </w:p>
                  <w:p>
                    <w:pPr>
                      <w:spacing w:before="106"/>
                      <w:ind w:left="0" w:right="0" w:firstLine="0"/>
                      <w:jc w:val="left"/>
                      <w:rPr>
                        <w:sz w:val="17"/>
                      </w:rPr>
                    </w:pPr>
                    <w:r>
                      <w:rPr>
                        <w:sz w:val="17"/>
                      </w:rPr>
                      <w:t>20</w:t>
                    </w:r>
                  </w:p>
                  <w:p>
                    <w:pPr>
                      <w:spacing w:line="240" w:lineRule="auto" w:before="0"/>
                      <w:rPr>
                        <w:sz w:val="18"/>
                      </w:rPr>
                    </w:pPr>
                  </w:p>
                  <w:p>
                    <w:pPr>
                      <w:spacing w:before="105"/>
                      <w:ind w:left="0" w:right="0" w:firstLine="0"/>
                      <w:jc w:val="left"/>
                      <w:rPr>
                        <w:sz w:val="17"/>
                      </w:rPr>
                    </w:pPr>
                    <w:r>
                      <w:rPr>
                        <w:sz w:val="17"/>
                      </w:rPr>
                      <w:t>10</w:t>
                    </w:r>
                  </w:p>
                  <w:p>
                    <w:pPr>
                      <w:spacing w:line="240" w:lineRule="auto" w:before="0"/>
                      <w:rPr>
                        <w:sz w:val="18"/>
                      </w:rPr>
                    </w:pPr>
                  </w:p>
                  <w:p>
                    <w:pPr>
                      <w:spacing w:before="106"/>
                      <w:ind w:left="0" w:right="0" w:firstLine="0"/>
                      <w:jc w:val="left"/>
                      <w:rPr>
                        <w:sz w:val="17"/>
                      </w:rPr>
                    </w:pPr>
                    <w:r>
                      <w:rPr>
                        <w:w w:val="100"/>
                        <w:sz w:val="17"/>
                      </w:rPr>
                      <w:t>0</w:t>
                    </w:r>
                  </w:p>
                  <w:p>
                    <w:pPr>
                      <w:spacing w:line="240" w:lineRule="auto" w:before="0"/>
                      <w:rPr>
                        <w:sz w:val="18"/>
                      </w:rPr>
                    </w:pPr>
                  </w:p>
                  <w:p>
                    <w:pPr>
                      <w:spacing w:before="105"/>
                      <w:ind w:left="0" w:right="0" w:firstLine="0"/>
                      <w:jc w:val="left"/>
                      <w:rPr>
                        <w:sz w:val="17"/>
                      </w:rPr>
                    </w:pPr>
                    <w:r>
                      <w:rPr>
                        <w:sz w:val="17"/>
                      </w:rPr>
                      <w:t>-10</w:t>
                    </w:r>
                  </w:p>
                </w:txbxContent>
              </v:textbox>
              <w10:wrap type="none"/>
            </v:shape>
            <v:shape style="position:absolute;left:1232;top:2071;width:4107;height:191" type="#_x0000_t202" filled="false" stroked="false">
              <v:textbox inset="0,0,0,0">
                <w:txbxContent>
                  <w:p>
                    <w:pPr>
                      <w:tabs>
                        <w:tab w:pos="3897" w:val="left" w:leader="none"/>
                      </w:tabs>
                      <w:spacing w:line="190" w:lineRule="exact" w:before="0"/>
                      <w:ind w:left="0" w:right="0" w:firstLine="0"/>
                      <w:jc w:val="left"/>
                      <w:rPr>
                        <w:sz w:val="17"/>
                      </w:rPr>
                    </w:pPr>
                    <w:r>
                      <w:rPr>
                        <w:sz w:val="17"/>
                      </w:rPr>
                      <w:t>25-29    35-39    45-49    55-59   </w:t>
                    </w:r>
                    <w:r>
                      <w:rPr>
                        <w:spacing w:val="15"/>
                        <w:sz w:val="17"/>
                      </w:rPr>
                      <w:t> </w:t>
                    </w:r>
                    <w:r>
                      <w:rPr>
                        <w:sz w:val="17"/>
                      </w:rPr>
                      <w:t>65-69   </w:t>
                    </w:r>
                    <w:r>
                      <w:rPr>
                        <w:spacing w:val="4"/>
                        <w:sz w:val="17"/>
                      </w:rPr>
                      <w:t> </w:t>
                    </w:r>
                    <w:r>
                      <w:rPr>
                        <w:sz w:val="17"/>
                      </w:rPr>
                      <w:t>75-79</w:t>
                      <w:tab/>
                      <w:t>All</w:t>
                    </w:r>
                  </w:p>
                </w:txbxContent>
              </v:textbox>
              <w10:wrap type="none"/>
            </v:shape>
            <w10:wrap type="none"/>
          </v:group>
        </w:pict>
      </w:r>
      <w:r>
        <w:rPr>
          <w:spacing w:val="-1"/>
          <w:sz w:val="16"/>
        </w:rPr>
        <w:t>20</w:t>
      </w:r>
    </w:p>
    <w:p>
      <w:pPr>
        <w:pStyle w:val="BodyText"/>
        <w:spacing w:before="7"/>
        <w:rPr>
          <w:sz w:val="15"/>
        </w:rPr>
      </w:pPr>
    </w:p>
    <w:p>
      <w:pPr>
        <w:spacing w:before="0"/>
        <w:ind w:left="0" w:right="231" w:firstLine="0"/>
        <w:jc w:val="right"/>
        <w:rPr>
          <w:sz w:val="16"/>
        </w:rPr>
      </w:pPr>
      <w:r>
        <w:rPr>
          <w:spacing w:val="-1"/>
          <w:sz w:val="16"/>
        </w:rPr>
        <w:t>15</w:t>
      </w:r>
    </w:p>
    <w:p>
      <w:pPr>
        <w:pStyle w:val="BodyText"/>
        <w:spacing w:before="6"/>
        <w:rPr>
          <w:sz w:val="15"/>
        </w:rPr>
      </w:pPr>
    </w:p>
    <w:p>
      <w:pPr>
        <w:spacing w:before="0"/>
        <w:ind w:left="0" w:right="231" w:firstLine="0"/>
        <w:jc w:val="right"/>
        <w:rPr>
          <w:sz w:val="16"/>
        </w:rPr>
      </w:pPr>
      <w:r>
        <w:rPr>
          <w:spacing w:val="-1"/>
          <w:sz w:val="16"/>
        </w:rPr>
        <w:t>10</w:t>
      </w:r>
    </w:p>
    <w:p>
      <w:pPr>
        <w:spacing w:after="0"/>
        <w:jc w:val="right"/>
        <w:rPr>
          <w:sz w:val="16"/>
        </w:rPr>
        <w:sectPr>
          <w:type w:val="continuous"/>
          <w:pgSz w:w="11910" w:h="16840"/>
          <w:pgMar w:top="1180" w:bottom="1520" w:left="820" w:right="960"/>
        </w:sect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4"/>
        <w:rPr>
          <w:sz w:val="23"/>
        </w:rPr>
      </w:pPr>
    </w:p>
    <w:p>
      <w:pPr>
        <w:spacing w:before="0"/>
        <w:ind w:left="0" w:right="0" w:firstLine="0"/>
        <w:jc w:val="right"/>
        <w:rPr>
          <w:sz w:val="16"/>
        </w:rPr>
      </w:pPr>
      <w:r>
        <w:rPr>
          <w:sz w:val="16"/>
        </w:rPr>
        <w:t>NE NW Y&amp;H EM WM</w:t>
      </w:r>
    </w:p>
    <w:p>
      <w:pPr>
        <w:pStyle w:val="BodyText"/>
        <w:spacing w:before="7"/>
        <w:rPr>
          <w:sz w:val="15"/>
        </w:rPr>
      </w:pPr>
      <w:r>
        <w:rPr/>
        <w:br w:type="column"/>
      </w:r>
      <w:r>
        <w:rPr>
          <w:sz w:val="15"/>
        </w:rPr>
      </w:r>
    </w:p>
    <w:p>
      <w:pPr>
        <w:spacing w:before="0"/>
        <w:ind w:left="0" w:right="319" w:firstLine="0"/>
        <w:jc w:val="right"/>
        <w:rPr>
          <w:sz w:val="16"/>
        </w:rPr>
      </w:pPr>
      <w:r>
        <w:rPr>
          <w:w w:val="100"/>
          <w:sz w:val="16"/>
        </w:rPr>
        <w:t>5</w:t>
      </w:r>
    </w:p>
    <w:p>
      <w:pPr>
        <w:pStyle w:val="BodyText"/>
        <w:spacing w:before="7"/>
        <w:rPr>
          <w:sz w:val="15"/>
        </w:rPr>
      </w:pPr>
    </w:p>
    <w:p>
      <w:pPr>
        <w:spacing w:before="0"/>
        <w:ind w:left="0" w:right="319" w:firstLine="0"/>
        <w:jc w:val="right"/>
        <w:rPr>
          <w:sz w:val="16"/>
        </w:rPr>
      </w:pPr>
      <w:r>
        <w:rPr>
          <w:w w:val="100"/>
          <w:sz w:val="16"/>
        </w:rPr>
        <w:t>0</w:t>
      </w:r>
    </w:p>
    <w:p>
      <w:pPr>
        <w:pStyle w:val="BodyText"/>
        <w:spacing w:before="6"/>
        <w:rPr>
          <w:sz w:val="15"/>
        </w:rPr>
      </w:pPr>
    </w:p>
    <w:p>
      <w:pPr>
        <w:spacing w:before="1"/>
        <w:ind w:left="0" w:right="267" w:firstLine="0"/>
        <w:jc w:val="right"/>
        <w:rPr>
          <w:sz w:val="16"/>
        </w:rPr>
      </w:pPr>
      <w:r>
        <w:rPr>
          <w:sz w:val="16"/>
        </w:rPr>
        <w:t>-5</w:t>
      </w:r>
    </w:p>
    <w:p>
      <w:pPr>
        <w:spacing w:before="6"/>
        <w:ind w:left="114" w:right="0" w:firstLine="0"/>
        <w:jc w:val="left"/>
        <w:rPr>
          <w:sz w:val="16"/>
        </w:rPr>
      </w:pPr>
      <w:r>
        <w:rPr>
          <w:sz w:val="16"/>
        </w:rPr>
        <w:t>E LON SE SW WALSCO All</w:t>
      </w:r>
    </w:p>
    <w:p>
      <w:pPr>
        <w:spacing w:after="0"/>
        <w:jc w:val="left"/>
        <w:rPr>
          <w:sz w:val="16"/>
        </w:rPr>
        <w:sectPr>
          <w:type w:val="continuous"/>
          <w:pgSz w:w="11910" w:h="16840"/>
          <w:pgMar w:top="1180" w:bottom="1520" w:left="820" w:right="960"/>
          <w:cols w:num="2" w:equalWidth="0">
            <w:col w:w="7097" w:space="40"/>
            <w:col w:w="2993"/>
          </w:cols>
        </w:sectPr>
      </w:pPr>
    </w:p>
    <w:p>
      <w:pPr>
        <w:pStyle w:val="BodyText"/>
        <w:spacing w:before="6"/>
        <w:rPr>
          <w:sz w:val="14"/>
        </w:rPr>
      </w:pPr>
    </w:p>
    <w:p>
      <w:pPr>
        <w:spacing w:before="0"/>
        <w:ind w:left="1300" w:right="0" w:firstLine="0"/>
        <w:jc w:val="left"/>
        <w:rPr>
          <w:sz w:val="17"/>
        </w:rPr>
      </w:pPr>
      <w:r>
        <w:rPr>
          <w:sz w:val="17"/>
        </w:rPr>
        <w:t>Head of household age in 2012-14</w:t>
      </w:r>
    </w:p>
    <w:p>
      <w:pPr>
        <w:spacing w:before="109"/>
        <w:ind w:left="313" w:right="0" w:firstLine="0"/>
        <w:jc w:val="left"/>
        <w:rPr>
          <w:sz w:val="16"/>
        </w:rPr>
      </w:pPr>
      <w:r>
        <w:rPr>
          <w:sz w:val="16"/>
        </w:rPr>
        <w:t>Sources: ONS and Bank calculations</w:t>
      </w:r>
    </w:p>
    <w:p>
      <w:pPr>
        <w:spacing w:line="276" w:lineRule="auto" w:before="28"/>
        <w:ind w:left="313" w:right="-17" w:firstLine="0"/>
        <w:jc w:val="left"/>
        <w:rPr>
          <w:sz w:val="16"/>
        </w:rPr>
      </w:pPr>
      <w:r>
        <w:rPr>
          <w:sz w:val="16"/>
        </w:rPr>
        <w:t>Note: Chart shows average cumulative real impact of policy changes since 2007 as of 2012-14 as a percentage of net wealth.</w:t>
      </w:r>
    </w:p>
    <w:p>
      <w:pPr>
        <w:spacing w:before="109"/>
        <w:ind w:left="2013" w:right="1696" w:firstLine="0"/>
        <w:jc w:val="center"/>
        <w:rPr>
          <w:sz w:val="17"/>
        </w:rPr>
      </w:pPr>
      <w:r>
        <w:rPr/>
        <w:br w:type="column"/>
      </w:r>
      <w:r>
        <w:rPr>
          <w:sz w:val="17"/>
        </w:rPr>
        <w:t>Region in 2012-14</w:t>
      </w:r>
    </w:p>
    <w:p>
      <w:pPr>
        <w:pStyle w:val="BodyText"/>
        <w:spacing w:before="6"/>
        <w:rPr>
          <w:sz w:val="14"/>
        </w:rPr>
      </w:pPr>
    </w:p>
    <w:p>
      <w:pPr>
        <w:spacing w:before="0"/>
        <w:ind w:left="311" w:right="0" w:firstLine="0"/>
        <w:jc w:val="left"/>
        <w:rPr>
          <w:sz w:val="16"/>
        </w:rPr>
      </w:pPr>
      <w:r>
        <w:rPr>
          <w:sz w:val="16"/>
        </w:rPr>
        <w:t>Sources: ONS and Bank calculations</w:t>
      </w:r>
    </w:p>
    <w:p>
      <w:pPr>
        <w:spacing w:line="276" w:lineRule="auto" w:before="28"/>
        <w:ind w:left="311" w:right="466" w:firstLine="0"/>
        <w:jc w:val="left"/>
        <w:rPr>
          <w:sz w:val="16"/>
        </w:rPr>
      </w:pPr>
      <w:r>
        <w:rPr>
          <w:sz w:val="16"/>
        </w:rPr>
        <w:t>Note: Chart shows average cumulative real impact of policy changes since 2007 as of 2012-14 as a percentage of annual income.</w:t>
      </w:r>
    </w:p>
    <w:p>
      <w:pPr>
        <w:spacing w:after="0" w:line="276" w:lineRule="auto"/>
        <w:jc w:val="left"/>
        <w:rPr>
          <w:sz w:val="16"/>
        </w:rPr>
        <w:sectPr>
          <w:type w:val="continuous"/>
          <w:pgSz w:w="11910" w:h="16840"/>
          <w:pgMar w:top="1180" w:bottom="1520" w:left="820" w:right="960"/>
          <w:cols w:num="2" w:equalWidth="0">
            <w:col w:w="4951" w:space="40"/>
            <w:col w:w="5139"/>
          </w:cols>
        </w:sectPr>
      </w:pPr>
    </w:p>
    <w:p>
      <w:pPr>
        <w:pStyle w:val="BodyText"/>
      </w:pPr>
    </w:p>
    <w:p>
      <w:pPr>
        <w:pStyle w:val="BodyText"/>
      </w:pPr>
    </w:p>
    <w:p>
      <w:pPr>
        <w:pStyle w:val="BodyText"/>
      </w:pPr>
    </w:p>
    <w:p>
      <w:pPr>
        <w:pStyle w:val="BodyText"/>
        <w:spacing w:before="8"/>
        <w:rPr>
          <w:sz w:val="23"/>
        </w:rPr>
      </w:pPr>
    </w:p>
    <w:p>
      <w:pPr>
        <w:spacing w:after="0"/>
        <w:rPr>
          <w:sz w:val="23"/>
        </w:rPr>
        <w:sectPr>
          <w:type w:val="continuous"/>
          <w:pgSz w:w="11910" w:h="16840"/>
          <w:pgMar w:top="1180" w:bottom="1520" w:left="820" w:right="960"/>
        </w:sectPr>
      </w:pPr>
    </w:p>
    <w:p>
      <w:pPr>
        <w:pStyle w:val="Heading1"/>
        <w:spacing w:line="276" w:lineRule="auto" w:before="93"/>
      </w:pPr>
      <w:r>
        <w:rPr/>
        <w:t>Chart 19: Impact of monetary policy on wealth, across different UK regions (%)</w:t>
      </w:r>
    </w:p>
    <w:p>
      <w:pPr>
        <w:spacing w:line="276" w:lineRule="auto" w:before="93"/>
        <w:ind w:left="313" w:right="192" w:firstLine="0"/>
        <w:jc w:val="left"/>
        <w:rPr>
          <w:b/>
          <w:sz w:val="20"/>
        </w:rPr>
      </w:pPr>
      <w:r>
        <w:rPr/>
        <w:br w:type="column"/>
      </w:r>
      <w:r>
        <w:rPr>
          <w:b/>
          <w:sz w:val="20"/>
        </w:rPr>
        <w:t>Chart 20: Impact of Bank Rate, across the income distribution (%)</w:t>
      </w:r>
    </w:p>
    <w:p>
      <w:pPr>
        <w:spacing w:after="0" w:line="276" w:lineRule="auto"/>
        <w:jc w:val="left"/>
        <w:rPr>
          <w:sz w:val="20"/>
        </w:rPr>
        <w:sectPr>
          <w:type w:val="continuous"/>
          <w:pgSz w:w="11910" w:h="16840"/>
          <w:pgMar w:top="1180" w:bottom="1520" w:left="820" w:right="960"/>
          <w:cols w:num="2" w:equalWidth="0">
            <w:col w:w="4837" w:space="151"/>
            <w:col w:w="5142"/>
          </w:cols>
        </w:sectPr>
      </w:pPr>
    </w:p>
    <w:p>
      <w:pPr>
        <w:pStyle w:val="BodyText"/>
        <w:spacing w:before="2"/>
        <w:rPr>
          <w:b/>
          <w:sz w:val="19"/>
        </w:rPr>
      </w:pPr>
    </w:p>
    <w:p>
      <w:pPr>
        <w:spacing w:before="0"/>
        <w:ind w:left="2033" w:right="0" w:firstLine="0"/>
        <w:jc w:val="left"/>
        <w:rPr>
          <w:sz w:val="16"/>
        </w:rPr>
      </w:pPr>
      <w:r>
        <w:rPr/>
        <w:pict>
          <v:group style="position:absolute;margin-left:61.799999pt;margin-top:19.835501pt;width:215.55pt;height:174.95pt;mso-position-horizontal-relative:page;mso-position-vertical-relative:paragraph;z-index:-255034368" coordorigin="1236,397" coordsize="4311,3499">
            <v:rect style="position:absolute;left:1327;top:3356;width:180;height:149" filled="true" fillcolor="#4f81bc" stroked="false">
              <v:fill type="solid"/>
            </v:rect>
            <v:rect style="position:absolute;left:1327;top:3298;width:180;height:58" filled="true" fillcolor="#b8cde4" stroked="false">
              <v:fill type="solid"/>
            </v:rect>
            <v:rect style="position:absolute;left:1327;top:2418;width:180;height:881" filled="true" fillcolor="#1f487c" stroked="false">
              <v:fill type="solid"/>
            </v:rect>
            <v:rect style="position:absolute;left:1327;top:1105;width:180;height:1313" filled="true" fillcolor="#4aacc5" stroked="false">
              <v:fill type="solid"/>
            </v:rect>
            <v:rect style="position:absolute;left:1687;top:3366;width:180;height:140" filled="true" fillcolor="#4f81bc" stroked="false">
              <v:fill type="solid"/>
            </v:rect>
            <v:rect style="position:absolute;left:1687;top:3296;width:180;height:70" filled="true" fillcolor="#b8cde4" stroked="false">
              <v:fill type="solid"/>
            </v:rect>
            <v:rect style="position:absolute;left:1687;top:2336;width:180;height:960" filled="true" fillcolor="#1f487c" stroked="false">
              <v:fill type="solid"/>
            </v:rect>
            <v:rect style="position:absolute;left:1687;top:1143;width:180;height:1193" filled="true" fillcolor="#4aacc5" stroked="false">
              <v:fill type="solid"/>
            </v:rect>
            <v:rect style="position:absolute;left:2044;top:3313;width:180;height:192" filled="true" fillcolor="#4f81bc" stroked="false">
              <v:fill type="solid"/>
            </v:rect>
            <v:rect style="position:absolute;left:2044;top:3255;width:180;height:58" filled="true" fillcolor="#b8cde4" stroked="false">
              <v:fill type="solid"/>
            </v:rect>
            <v:rect style="position:absolute;left:2044;top:2286;width:180;height:970" filled="true" fillcolor="#1f487c" stroked="false">
              <v:fill type="solid"/>
            </v:rect>
            <v:rect style="position:absolute;left:2044;top:1222;width:180;height:1064" filled="true" fillcolor="#4aacc5" stroked="false">
              <v:fill type="solid"/>
            </v:rect>
            <v:rect style="position:absolute;left:2404;top:3289;width:180;height:216" filled="true" fillcolor="#4f81bc" stroked="false">
              <v:fill type="solid"/>
            </v:rect>
            <v:rect style="position:absolute;left:2404;top:3238;width:180;height:51" filled="true" fillcolor="#b8cde4" stroked="false">
              <v:fill type="solid"/>
            </v:rect>
            <v:rect style="position:absolute;left:2404;top:2305;width:180;height:934" filled="true" fillcolor="#1f487c" stroked="false">
              <v:fill type="solid"/>
            </v:rect>
            <v:rect style="position:absolute;left:2404;top:1239;width:180;height:1066" filled="true" fillcolor="#4aacc5" stroked="false">
              <v:fill type="solid"/>
            </v:rect>
            <v:rect style="position:absolute;left:2762;top:3375;width:180;height:130" filled="true" fillcolor="#4f81bc" stroked="false">
              <v:fill type="solid"/>
            </v:rect>
            <v:rect style="position:absolute;left:2762;top:3332;width:180;height:44" filled="true" fillcolor="#b8cde4" stroked="false">
              <v:fill type="solid"/>
            </v:rect>
            <v:rect style="position:absolute;left:2762;top:2322;width:180;height:1011" filled="true" fillcolor="#1f487c" stroked="false">
              <v:fill type="solid"/>
            </v:rect>
            <v:rect style="position:absolute;left:2762;top:1244;width:180;height:1078" filled="true" fillcolor="#4aacc5" stroked="false">
              <v:fill type="solid"/>
            </v:rect>
            <v:rect style="position:absolute;left:3122;top:3361;width:178;height:144" filled="true" fillcolor="#4f81bc" stroked="false">
              <v:fill type="solid"/>
            </v:rect>
            <v:rect style="position:absolute;left:3122;top:3313;width:178;height:48" filled="true" fillcolor="#b8cde4" stroked="false">
              <v:fill type="solid"/>
            </v:rect>
            <v:rect style="position:absolute;left:3122;top:2276;width:178;height:1037" filled="true" fillcolor="#1f487c" stroked="false">
              <v:fill type="solid"/>
            </v:rect>
            <v:rect style="position:absolute;left:3122;top:1194;width:178;height:1083" filled="true" fillcolor="#4aacc5" stroked="false">
              <v:fill type="solid"/>
            </v:rect>
            <v:rect style="position:absolute;left:3480;top:3339;width:180;height:166" filled="true" fillcolor="#4f81bc" stroked="false">
              <v:fill type="solid"/>
            </v:rect>
            <v:rect style="position:absolute;left:3480;top:3253;width:180;height:87" filled="true" fillcolor="#b8cde4" stroked="false">
              <v:fill type="solid"/>
            </v:rect>
            <v:rect style="position:absolute;left:3480;top:1940;width:180;height:1313" filled="true" fillcolor="#1f487c" stroked="false">
              <v:fill type="solid"/>
            </v:rect>
            <v:rect style="position:absolute;left:3480;top:1242;width:180;height:699" filled="true" fillcolor="#4aacc5" stroked="false">
              <v:fill type="solid"/>
            </v:rect>
            <v:rect style="position:absolute;left:3840;top:3315;width:178;height:190" filled="true" fillcolor="#4f81bc" stroked="false">
              <v:fill type="solid"/>
            </v:rect>
            <v:rect style="position:absolute;left:3840;top:3255;width:178;height:60" filled="true" fillcolor="#b8cde4" stroked="false">
              <v:fill type="solid"/>
            </v:rect>
            <v:rect style="position:absolute;left:3840;top:2144;width:178;height:1112" filled="true" fillcolor="#1f487c" stroked="false">
              <v:fill type="solid"/>
            </v:rect>
            <v:rect style="position:absolute;left:3840;top:1107;width:178;height:1037" filled="true" fillcolor="#4aacc5" stroked="false">
              <v:fill type="solid"/>
            </v:rect>
            <v:rect style="position:absolute;left:4197;top:3342;width:180;height:164" filled="true" fillcolor="#4f81bc" stroked="false">
              <v:fill type="solid"/>
            </v:rect>
            <v:rect style="position:absolute;left:4197;top:3279;width:180;height:63" filled="true" fillcolor="#b8cde4" stroked="false">
              <v:fill type="solid"/>
            </v:rect>
            <v:rect style="position:absolute;left:4197;top:2166;width:180;height:1114" filled="true" fillcolor="#1f487c" stroked="false">
              <v:fill type="solid"/>
            </v:rect>
            <v:rect style="position:absolute;left:4197;top:1119;width:180;height:1047" filled="true" fillcolor="#4aacc5" stroked="false">
              <v:fill type="solid"/>
            </v:rect>
            <v:rect style="position:absolute;left:4557;top:3332;width:178;height:173" filled="true" fillcolor="#4f81bc" stroked="false">
              <v:fill type="solid"/>
            </v:rect>
            <v:line style="position:absolute" from="4558,3328" to="4735,3328" stroked="true" strokeweight=".48pt" strokecolor="#b8cde4">
              <v:stroke dashstyle="solid"/>
            </v:line>
            <v:rect style="position:absolute;left:4557;top:2362;width:178;height:960" filled="true" fillcolor="#1f487c" stroked="false">
              <v:fill type="solid"/>
            </v:rect>
            <v:rect style="position:absolute;left:4557;top:1383;width:178;height:980" filled="true" fillcolor="#4aacc5" stroked="false">
              <v:fill type="solid"/>
            </v:rect>
            <v:rect style="position:absolute;left:4915;top:3308;width:180;height:197" filled="true" fillcolor="#4f81bc" stroked="false">
              <v:fill type="solid"/>
            </v:rect>
            <v:rect style="position:absolute;left:4915;top:3262;width:180;height:46" filled="true" fillcolor="#b8cde4" stroked="false">
              <v:fill type="solid"/>
            </v:rect>
            <v:rect style="position:absolute;left:4915;top:2355;width:180;height:908" filled="true" fillcolor="#1f487c" stroked="false">
              <v:fill type="solid"/>
            </v:rect>
            <v:rect style="position:absolute;left:4915;top:1174;width:180;height:1181" filled="true" fillcolor="#4aacc5" stroked="false">
              <v:fill type="solid"/>
            </v:rect>
            <v:rect style="position:absolute;left:5275;top:3334;width:178;height:171" filled="true" fillcolor="#4f81bc" stroked="false">
              <v:fill type="solid"/>
            </v:rect>
            <v:rect style="position:absolute;left:5275;top:3277;width:178;height:58" filled="true" fillcolor="#b8cde4" stroked="false">
              <v:fill type="solid"/>
            </v:rect>
            <v:rect style="position:absolute;left:5275;top:2214;width:178;height:1064" filled="true" fillcolor="#1f487c" stroked="false">
              <v:fill type="solid"/>
            </v:rect>
            <v:rect style="position:absolute;left:5275;top:1184;width:178;height:1030" filled="true" fillcolor="#4aacc5" stroked="false">
              <v:fill type="solid"/>
            </v:rect>
            <v:shape style="position:absolute;left:1238;top:627;width:4306;height:2878" coordorigin="1238,628" coordsize="4306,2878" path="m5544,3505l5544,628m5491,3505l5544,3505m5491,2929l5544,2929m5491,2353l5544,2353m5491,1780l5544,1780m5491,1204l5544,1204m5491,628l5544,628m1238,3505l5544,3505m1238,3457l1238,3505m1596,3457l1596,3505m1956,3457l1956,3505m2314,3457l2314,3505m2674,3457l2674,3505m3031,3457l3031,3505m3391,3457l3391,3505m3749,3457l3749,3505m4109,3457l4109,3505m4466,3457l4466,3505m4826,3457l4826,3505m5184,3457l5184,3505m5544,3457l5544,3505e" filled="false" stroked="true" strokeweight=".24pt" strokecolor="#000000">
              <v:path arrowok="t"/>
              <v:stroke dashstyle="solid"/>
            </v:shape>
            <v:shape style="position:absolute;left:1347;top:1034;width:4088;height:418" coordorigin="1347,1034" coordsize="4088,418" path="m1486,1104l1417,1034,1347,1104,1417,1173,1486,1104m1846,1143l1777,1073,1707,1143,1777,1212,1846,1143m2204,1219l2135,1149,2065,1219,2135,1289,2204,1219m2564,1236l2495,1166,2425,1236,2495,1305,2564,1236m2922,1241l2852,1171,2782,1241,2852,1310,2922,1241m3282,1193l3212,1123,3142,1193,3212,1262,3282,1193m3639,1239l3570,1169,3500,1239,3570,1308,3639,1239m3999,1104l3930,1034,3860,1104,3930,1173,3999,1104m4357,1116l4288,1046,4218,1116,4288,1185,4357,1116m4717,1383l4648,1313,4578,1383,4648,1452,4717,1383m5074,1171l5005,1101,4935,1171,5005,1241,5074,1171m5434,1181l5365,1111,5295,1181,5365,1250,5434,1181e" filled="true" fillcolor="#000000" stroked="false">
              <v:path arrowok="t"/>
              <v:fill type="solid"/>
            </v:shape>
            <v:rect style="position:absolute;left:1596;top:680;width:80;height:82" filled="true" fillcolor="#1f487c" stroked="false">
              <v:fill type="solid"/>
            </v:rect>
            <v:rect style="position:absolute;left:3511;top:680;width:82;height:82" filled="true" fillcolor="#4aacc5" stroked="false">
              <v:fill type="solid"/>
            </v:rect>
            <v:shape style="position:absolute;left:1595;top:911;width:80;height:80" coordorigin="1596,911" coordsize="80,80" path="m1636,911l1596,951,1636,991,1676,951,1636,911xe" filled="true" fillcolor="#000000" stroked="false">
              <v:path arrowok="t"/>
              <v:fill type="solid"/>
            </v:shape>
            <v:line style="position:absolute" from="5231,480" to="5231,3895" stroked="true" strokeweight=".75pt" strokecolor="#000000">
              <v:stroke dashstyle="shortdash"/>
            </v:line>
            <v:shape style="position:absolute;left:1710;top:396;width:3012;height:640" type="#_x0000_t202" filled="false" stroked="false">
              <v:textbox inset="0,0,0,0">
                <w:txbxContent>
                  <w:p>
                    <w:pPr>
                      <w:tabs>
                        <w:tab w:pos="1916" w:val="left" w:leader="none"/>
                      </w:tabs>
                      <w:spacing w:line="300" w:lineRule="auto" w:before="0"/>
                      <w:ind w:left="0" w:right="18" w:firstLine="0"/>
                      <w:jc w:val="left"/>
                      <w:rPr>
                        <w:sz w:val="16"/>
                      </w:rPr>
                    </w:pPr>
                    <w:r>
                      <w:rPr>
                        <w:sz w:val="16"/>
                      </w:rPr>
                      <w:t>Financial</w:t>
                    </w:r>
                    <w:r>
                      <w:rPr>
                        <w:spacing w:val="-4"/>
                        <w:sz w:val="16"/>
                      </w:rPr>
                      <w:t> </w:t>
                    </w:r>
                    <w:r>
                      <w:rPr>
                        <w:sz w:val="16"/>
                      </w:rPr>
                      <w:t>asset</w:t>
                    </w:r>
                    <w:r>
                      <w:rPr>
                        <w:spacing w:val="-2"/>
                        <w:sz w:val="16"/>
                      </w:rPr>
                      <w:t> </w:t>
                    </w:r>
                    <w:r>
                      <w:rPr>
                        <w:sz w:val="16"/>
                      </w:rPr>
                      <w:t>prices</w:t>
                      <w:tab/>
                      <w:t>Inflation </w:t>
                    </w:r>
                    <w:r>
                      <w:rPr>
                        <w:spacing w:val="-3"/>
                        <w:sz w:val="16"/>
                      </w:rPr>
                      <w:t>effects </w:t>
                    </w:r>
                    <w:r>
                      <w:rPr>
                        <w:sz w:val="16"/>
                      </w:rPr>
                      <w:t>House</w:t>
                    </w:r>
                    <w:r>
                      <w:rPr>
                        <w:spacing w:val="-3"/>
                        <w:sz w:val="16"/>
                      </w:rPr>
                      <w:t> </w:t>
                    </w:r>
                    <w:r>
                      <w:rPr>
                        <w:sz w:val="16"/>
                      </w:rPr>
                      <w:t>prices</w:t>
                      <w:tab/>
                      <w:t>Pensions</w:t>
                    </w:r>
                  </w:p>
                  <w:p>
                    <w:pPr>
                      <w:spacing w:line="183" w:lineRule="exact" w:before="0"/>
                      <w:ind w:left="0" w:right="0" w:firstLine="0"/>
                      <w:jc w:val="left"/>
                      <w:rPr>
                        <w:sz w:val="16"/>
                      </w:rPr>
                    </w:pPr>
                    <w:r>
                      <w:rPr>
                        <w:sz w:val="16"/>
                      </w:rPr>
                      <w:t>Total</w:t>
                    </w:r>
                  </w:p>
                </w:txbxContent>
              </v:textbox>
              <w10:wrap type="none"/>
            </v:shape>
            <v:shape style="position:absolute;left:1308;top:3600;width:4167;height:180" type="#_x0000_t202" filled="false" stroked="false">
              <v:textbox inset="0,0,0,0">
                <w:txbxContent>
                  <w:p>
                    <w:pPr>
                      <w:spacing w:line="179" w:lineRule="exact" w:before="0"/>
                      <w:ind w:left="0" w:right="0" w:firstLine="0"/>
                      <w:jc w:val="left"/>
                      <w:rPr>
                        <w:sz w:val="16"/>
                      </w:rPr>
                    </w:pPr>
                    <w:r>
                      <w:rPr>
                        <w:sz w:val="16"/>
                      </w:rPr>
                      <w:t>NE NW Y&amp;H EM WM E LON SE SW WALSCO All</w:t>
                    </w:r>
                  </w:p>
                </w:txbxContent>
              </v:textbox>
              <w10:wrap type="none"/>
            </v:shape>
            <w10:wrap type="none"/>
          </v:group>
        </w:pict>
      </w:r>
      <w:r>
        <w:rPr>
          <w:sz w:val="16"/>
        </w:rPr>
        <w:t>Impact as of 2012-14 (% of net wealth)</w:t>
      </w:r>
    </w:p>
    <w:p>
      <w:pPr>
        <w:pStyle w:val="BodyText"/>
        <w:spacing w:before="11"/>
        <w:rPr>
          <w:sz w:val="19"/>
        </w:rPr>
      </w:pPr>
      <w:r>
        <w:rPr/>
        <w:pict>
          <v:rect style="position:absolute;margin-left:79.800003pt;margin-top:13.425584pt;width:3.96pt;height:3.96pt;mso-position-horizontal-relative:page;mso-position-vertical-relative:paragraph;z-index:-251608064;mso-wrap-distance-left:0;mso-wrap-distance-right:0" filled="true" fillcolor="#4f81bc" stroked="false">
            <v:fill type="solid"/>
            <w10:wrap type="topAndBottom"/>
          </v:rect>
        </w:pict>
      </w:r>
      <w:r>
        <w:rPr/>
        <w:pict>
          <v:rect style="position:absolute;margin-left:175.559998pt;margin-top:13.425584pt;width:4.08pt;height:3.96pt;mso-position-horizontal-relative:page;mso-position-vertical-relative:paragraph;z-index:-251607040;mso-wrap-distance-left:0;mso-wrap-distance-right:0" filled="true" fillcolor="#b8cde4" stroked="false">
            <v:fill type="solid"/>
            <w10:wrap type="topAndBottom"/>
          </v:rect>
        </w:pict>
      </w:r>
    </w:p>
    <w:p>
      <w:pPr>
        <w:spacing w:before="0"/>
        <w:ind w:left="0" w:right="0" w:firstLine="0"/>
        <w:jc w:val="right"/>
        <w:rPr>
          <w:sz w:val="17"/>
        </w:rPr>
      </w:pPr>
      <w:r>
        <w:rPr>
          <w:spacing w:val="-2"/>
          <w:sz w:val="17"/>
        </w:rPr>
        <w:t>25</w:t>
      </w:r>
    </w:p>
    <w:p>
      <w:pPr>
        <w:pStyle w:val="BodyText"/>
        <w:rPr>
          <w:sz w:val="18"/>
        </w:rPr>
      </w:pPr>
    </w:p>
    <w:p>
      <w:pPr>
        <w:pStyle w:val="BodyText"/>
        <w:rPr>
          <w:sz w:val="15"/>
        </w:rPr>
      </w:pPr>
    </w:p>
    <w:p>
      <w:pPr>
        <w:spacing w:before="0"/>
        <w:ind w:left="0" w:right="0" w:firstLine="0"/>
        <w:jc w:val="right"/>
        <w:rPr>
          <w:sz w:val="17"/>
        </w:rPr>
      </w:pPr>
      <w:r>
        <w:rPr>
          <w:spacing w:val="-2"/>
          <w:sz w:val="17"/>
        </w:rPr>
        <w:t>20</w:t>
      </w:r>
    </w:p>
    <w:p>
      <w:pPr>
        <w:pStyle w:val="BodyText"/>
        <w:rPr>
          <w:sz w:val="18"/>
        </w:rPr>
      </w:pPr>
    </w:p>
    <w:p>
      <w:pPr>
        <w:pStyle w:val="BodyText"/>
        <w:spacing w:before="1"/>
        <w:rPr>
          <w:sz w:val="15"/>
        </w:rPr>
      </w:pPr>
    </w:p>
    <w:p>
      <w:pPr>
        <w:spacing w:before="0"/>
        <w:ind w:left="0" w:right="0" w:firstLine="0"/>
        <w:jc w:val="right"/>
        <w:rPr>
          <w:sz w:val="17"/>
        </w:rPr>
      </w:pPr>
      <w:r>
        <w:rPr>
          <w:spacing w:val="-2"/>
          <w:sz w:val="17"/>
        </w:rPr>
        <w:t>15</w:t>
      </w:r>
    </w:p>
    <w:p>
      <w:pPr>
        <w:pStyle w:val="BodyText"/>
        <w:rPr>
          <w:sz w:val="18"/>
        </w:rPr>
      </w:pPr>
    </w:p>
    <w:p>
      <w:pPr>
        <w:pStyle w:val="BodyText"/>
        <w:rPr>
          <w:sz w:val="15"/>
        </w:rPr>
      </w:pPr>
    </w:p>
    <w:p>
      <w:pPr>
        <w:spacing w:before="0"/>
        <w:ind w:left="0" w:right="0" w:firstLine="0"/>
        <w:jc w:val="right"/>
        <w:rPr>
          <w:sz w:val="17"/>
        </w:rPr>
      </w:pPr>
      <w:r>
        <w:rPr>
          <w:spacing w:val="-2"/>
          <w:sz w:val="17"/>
        </w:rPr>
        <w:t>10</w:t>
      </w:r>
    </w:p>
    <w:p>
      <w:pPr>
        <w:pStyle w:val="BodyText"/>
        <w:rPr>
          <w:sz w:val="18"/>
        </w:rPr>
      </w:pPr>
    </w:p>
    <w:p>
      <w:pPr>
        <w:pStyle w:val="BodyText"/>
        <w:spacing w:before="1"/>
        <w:rPr>
          <w:sz w:val="15"/>
        </w:rPr>
      </w:pPr>
    </w:p>
    <w:p>
      <w:pPr>
        <w:spacing w:before="0"/>
        <w:ind w:left="0" w:right="90" w:firstLine="0"/>
        <w:jc w:val="right"/>
        <w:rPr>
          <w:sz w:val="17"/>
        </w:rPr>
      </w:pPr>
      <w:r>
        <w:rPr>
          <w:w w:val="100"/>
          <w:sz w:val="17"/>
        </w:rPr>
        <w:t>5</w:t>
      </w:r>
    </w:p>
    <w:p>
      <w:pPr>
        <w:pStyle w:val="BodyText"/>
        <w:rPr>
          <w:sz w:val="18"/>
        </w:rPr>
      </w:pPr>
    </w:p>
    <w:p>
      <w:pPr>
        <w:pStyle w:val="BodyText"/>
        <w:rPr>
          <w:sz w:val="15"/>
        </w:rPr>
      </w:pPr>
    </w:p>
    <w:p>
      <w:pPr>
        <w:spacing w:before="1"/>
        <w:ind w:left="0" w:right="90" w:firstLine="0"/>
        <w:jc w:val="right"/>
        <w:rPr>
          <w:sz w:val="17"/>
        </w:rPr>
      </w:pPr>
      <w:r>
        <w:rPr>
          <w:w w:val="100"/>
          <w:sz w:val="17"/>
        </w:rPr>
        <w:t>0</w:t>
      </w:r>
    </w:p>
    <w:p>
      <w:pPr>
        <w:pStyle w:val="BodyText"/>
        <w:spacing w:before="2"/>
        <w:rPr>
          <w:sz w:val="25"/>
        </w:rPr>
      </w:pPr>
    </w:p>
    <w:p>
      <w:pPr>
        <w:spacing w:before="0"/>
        <w:ind w:left="1998" w:right="0" w:firstLine="0"/>
        <w:jc w:val="left"/>
        <w:rPr>
          <w:sz w:val="17"/>
        </w:rPr>
      </w:pPr>
      <w:r>
        <w:rPr>
          <w:sz w:val="17"/>
        </w:rPr>
        <w:t>Region in 2012-14</w:t>
      </w:r>
    </w:p>
    <w:p>
      <w:pPr>
        <w:spacing w:before="116"/>
        <w:ind w:left="313" w:right="0" w:firstLine="0"/>
        <w:jc w:val="left"/>
        <w:rPr>
          <w:sz w:val="16"/>
        </w:rPr>
      </w:pPr>
      <w:r>
        <w:rPr>
          <w:sz w:val="16"/>
        </w:rPr>
        <w:t>Sources: ONS and Bank calculations</w:t>
      </w:r>
    </w:p>
    <w:p>
      <w:pPr>
        <w:pStyle w:val="BodyText"/>
        <w:spacing w:before="10"/>
        <w:rPr>
          <w:sz w:val="16"/>
        </w:rPr>
      </w:pPr>
      <w:r>
        <w:rPr/>
        <w:br w:type="column"/>
      </w:r>
      <w:r>
        <w:rPr>
          <w:sz w:val="16"/>
        </w:rPr>
      </w:r>
    </w:p>
    <w:p>
      <w:pPr>
        <w:spacing w:before="0"/>
        <w:ind w:left="1468" w:right="0" w:firstLine="0"/>
        <w:jc w:val="left"/>
        <w:rPr>
          <w:sz w:val="16"/>
        </w:rPr>
      </w:pPr>
      <w:r>
        <w:rPr>
          <w:sz w:val="16"/>
        </w:rPr>
        <w:t>Impact as of 2012-14 (% of annual income)</w:t>
      </w:r>
    </w:p>
    <w:p>
      <w:pPr>
        <w:pStyle w:val="BodyText"/>
        <w:spacing w:before="3"/>
        <w:rPr>
          <w:sz w:val="9"/>
        </w:rPr>
      </w:pPr>
    </w:p>
    <w:p>
      <w:pPr>
        <w:pStyle w:val="BodyText"/>
        <w:ind w:left="264" w:right="-29"/>
      </w:pPr>
      <w:r>
        <w:rPr/>
        <w:pict>
          <v:group style="width:211.95pt;height:178.95pt;mso-position-horizontal-relative:char;mso-position-vertical-relative:line" coordorigin="0,0" coordsize="4239,3579">
            <v:rect style="position:absolute;left:98;top:2688;width:192;height:87" filled="true" fillcolor="#c0504d" stroked="false">
              <v:fill type="solid"/>
            </v:rect>
            <v:rect style="position:absolute;left:98;top:2774;width:192;height:152" filled="true" fillcolor="#e6b8b8" stroked="false">
              <v:fill type="solid"/>
            </v:rect>
            <v:rect style="position:absolute;left:98;top:2602;width:192;height:87" filled="true" fillcolor="#4f81bc" stroked="false">
              <v:fill type="solid"/>
            </v:rect>
            <v:rect style="position:absolute;left:98;top:2926;width:192;height:120" filled="true" fillcolor="#b8cde4" stroked="false">
              <v:fill type="solid"/>
            </v:rect>
            <v:rect style="position:absolute;left:98;top:468;width:192;height:2134" filled="true" fillcolor="#1f487c" stroked="false">
              <v:fill type="solid"/>
            </v:rect>
            <v:rect style="position:absolute;left:482;top:2688;width:192;height:87" filled="true" fillcolor="#c0504d" stroked="false">
              <v:fill type="solid"/>
            </v:rect>
            <v:rect style="position:absolute;left:482;top:2774;width:192;height:65" filled="true" fillcolor="#e6b8b8" stroked="false">
              <v:fill type="solid"/>
            </v:rect>
            <v:rect style="position:absolute;left:482;top:2626;width:192;height:63" filled="true" fillcolor="#4f81bc" stroked="false">
              <v:fill type="solid"/>
            </v:rect>
            <v:rect style="position:absolute;left:482;top:2839;width:192;height:48" filled="true" fillcolor="#b8cde4" stroked="false">
              <v:fill type="solid"/>
            </v:rect>
            <v:rect style="position:absolute;left:482;top:1032;width:192;height:1594" filled="true" fillcolor="#1f487c" stroked="false">
              <v:fill type="solid"/>
            </v:rect>
            <v:rect style="position:absolute;left:868;top:2638;width:192;height:137" filled="true" fillcolor="#c0504d" stroked="false">
              <v:fill type="solid"/>
            </v:rect>
            <v:rect style="position:absolute;left:868;top:2774;width:192;height:22" filled="true" fillcolor="#e6b8b8" stroked="false">
              <v:fill type="solid"/>
            </v:rect>
            <v:rect style="position:absolute;left:868;top:2585;width:192;height:53" filled="true" fillcolor="#4f81bc" stroked="false">
              <v:fill type="solid"/>
            </v:rect>
            <v:line style="position:absolute" from="869,2800" to="1061,2800" stroked="true" strokeweight=".36pt" strokecolor="#b8cde4">
              <v:stroke dashstyle="solid"/>
            </v:line>
            <v:rect style="position:absolute;left:868;top:1272;width:192;height:1313" filled="true" fillcolor="#1f487c" stroked="false">
              <v:fill type="solid"/>
            </v:rect>
            <v:rect style="position:absolute;left:1252;top:2626;width:192;height:149" filled="true" fillcolor="#c0504d" stroked="false">
              <v:fill type="solid"/>
            </v:rect>
            <v:rect style="position:absolute;left:1252;top:2774;width:192;height:22" filled="true" fillcolor="#e6b8b8" stroked="false">
              <v:fill type="solid"/>
            </v:rect>
            <v:rect style="position:absolute;left:1252;top:2563;width:192;height:63" filled="true" fillcolor="#4f81bc" stroked="false">
              <v:fill type="solid"/>
            </v:rect>
            <v:line style="position:absolute" from="1253,2801" to="1445,2801" stroked="true" strokeweight=".48pt" strokecolor="#b8cde4">
              <v:stroke dashstyle="solid"/>
            </v:line>
            <v:rect style="position:absolute;left:1252;top:1387;width:192;height:1176" filled="true" fillcolor="#1f487c" stroked="false">
              <v:fill type="solid"/>
            </v:rect>
            <v:rect style="position:absolute;left:1636;top:2597;width:195;height:178" filled="true" fillcolor="#c0504d" stroked="false">
              <v:fill type="solid"/>
            </v:rect>
            <v:line style="position:absolute" from="1637,2594" to="1831,2594" stroked="true" strokeweight=".36pt" strokecolor="#e6b8b8">
              <v:stroke dashstyle="solid"/>
            </v:line>
            <v:rect style="position:absolute;left:1636;top:2522;width:195;height:68" filled="true" fillcolor="#4f81bc" stroked="false">
              <v:fill type="solid"/>
            </v:rect>
            <v:line style="position:absolute" from="1637,2515" to="1831,2515" stroked="true" strokeweight=".84pt" strokecolor="#b8cde4">
              <v:stroke dashstyle="solid"/>
            </v:line>
            <v:rect style="position:absolute;left:1636;top:1289;width:195;height:1217" filled="true" fillcolor="#1f487c" stroked="false">
              <v:fill type="solid"/>
            </v:rect>
            <v:rect style="position:absolute;left:2023;top:2570;width:192;height:204" filled="true" fillcolor="#c0504d" stroked="false">
              <v:fill type="solid"/>
            </v:rect>
            <v:rect style="position:absolute;left:2023;top:2522;width:192;height:48" filled="true" fillcolor="#e6b8b8" stroked="false">
              <v:fill type="solid"/>
            </v:rect>
            <v:rect style="position:absolute;left:2023;top:2455;width:192;height:68" filled="true" fillcolor="#4f81bc" stroked="false">
              <v:fill type="solid"/>
            </v:rect>
            <v:rect style="position:absolute;left:2023;top:2405;width:192;height:51" filled="true" fillcolor="#b8cde4" stroked="false">
              <v:fill type="solid"/>
            </v:rect>
            <v:rect style="position:absolute;left:2023;top:1123;width:192;height:1282" filled="true" fillcolor="#1f487c" stroked="false">
              <v:fill type="solid"/>
            </v:rect>
            <v:rect style="position:absolute;left:2407;top:2546;width:192;height:228" filled="true" fillcolor="#c0504d" stroked="false">
              <v:fill type="solid"/>
            </v:rect>
            <v:rect style="position:absolute;left:2407;top:2455;width:192;height:92" filled="true" fillcolor="#e6b8b8" stroked="false">
              <v:fill type="solid"/>
            </v:rect>
            <v:rect style="position:absolute;left:2407;top:2400;width:192;height:56" filled="true" fillcolor="#4f81bc" stroked="false">
              <v:fill type="solid"/>
            </v:rect>
            <v:rect style="position:absolute;left:2407;top:2309;width:192;height:92" filled="true" fillcolor="#b8cde4" stroked="false">
              <v:fill type="solid"/>
            </v:rect>
            <v:rect style="position:absolute;left:2407;top:1306;width:192;height:1004" filled="true" fillcolor="#1f487c" stroked="false">
              <v:fill type="solid"/>
            </v:rect>
            <v:rect style="position:absolute;left:2793;top:2556;width:192;height:219" filled="true" fillcolor="#c0504d" stroked="false">
              <v:fill type="solid"/>
            </v:rect>
            <v:rect style="position:absolute;left:2793;top:2467;width:192;height:89" filled="true" fillcolor="#e6b8b8" stroked="false">
              <v:fill type="solid"/>
            </v:rect>
            <v:rect style="position:absolute;left:2793;top:2390;width:192;height:77" filled="true" fillcolor="#4f81bc" stroked="false">
              <v:fill type="solid"/>
            </v:rect>
            <v:rect style="position:absolute;left:2793;top:2304;width:192;height:87" filled="true" fillcolor="#b8cde4" stroked="false">
              <v:fill type="solid"/>
            </v:rect>
            <v:rect style="position:absolute;left:2793;top:1152;width:192;height:1152" filled="true" fillcolor="#1f487c" stroked="false">
              <v:fill type="solid"/>
            </v:rect>
            <v:rect style="position:absolute;left:3177;top:2573;width:192;height:202" filled="true" fillcolor="#c0504d" stroked="false">
              <v:fill type="solid"/>
            </v:rect>
            <v:rect style="position:absolute;left:3177;top:2474;width:192;height:99" filled="true" fillcolor="#e6b8b8" stroked="false">
              <v:fill type="solid"/>
            </v:rect>
            <v:rect style="position:absolute;left:3177;top:2395;width:192;height:80" filled="true" fillcolor="#4f81bc" stroked="false">
              <v:fill type="solid"/>
            </v:rect>
            <v:rect style="position:absolute;left:3177;top:2302;width:192;height:94" filled="true" fillcolor="#b8cde4" stroked="false">
              <v:fill type="solid"/>
            </v:rect>
            <v:rect style="position:absolute;left:3177;top:1130;width:192;height:1172" filled="true" fillcolor="#1f487c" stroked="false">
              <v:fill type="solid"/>
            </v:rect>
            <v:rect style="position:absolute;left:3561;top:2604;width:195;height:171" filled="true" fillcolor="#c0504d" stroked="false">
              <v:fill type="solid"/>
            </v:rect>
            <v:rect style="position:absolute;left:3561;top:2522;width:195;height:82" filled="true" fillcolor="#e6b8b8" stroked="false">
              <v:fill type="solid"/>
            </v:rect>
            <v:rect style="position:absolute;left:3561;top:2381;width:195;height:142" filled="true" fillcolor="#4f81bc" stroked="false">
              <v:fill type="solid"/>
            </v:rect>
            <v:rect style="position:absolute;left:3561;top:2299;width:195;height:82" filled="true" fillcolor="#b8cde4" stroked="false">
              <v:fill type="solid"/>
            </v:rect>
            <v:rect style="position:absolute;left:3561;top:1054;width:195;height:1246" filled="true" fillcolor="#1f487c" stroked="false">
              <v:fill type="solid"/>
            </v:rect>
            <v:rect style="position:absolute;left:3948;top:2592;width:192;height:183" filled="true" fillcolor="#c0504d" stroked="false">
              <v:fill type="solid"/>
            </v:rect>
            <v:rect style="position:absolute;left:3948;top:2537;width:192;height:56" filled="true" fillcolor="#e6b8b8" stroked="false">
              <v:fill type="solid"/>
            </v:rect>
            <v:rect style="position:absolute;left:3948;top:2448;width:192;height:89" filled="true" fillcolor="#4f81bc" stroked="false">
              <v:fill type="solid"/>
            </v:rect>
            <v:rect style="position:absolute;left:3948;top:2390;width:192;height:58" filled="true" fillcolor="#b8cde4" stroked="false">
              <v:fill type="solid"/>
            </v:rect>
            <v:rect style="position:absolute;left:3948;top:1162;width:192;height:1229" filled="true" fillcolor="#1f487c" stroked="false">
              <v:fill type="solid"/>
            </v:rect>
            <v:line style="position:absolute" from="4236,3303" to="4236,142" stroked="true" strokeweight=".24pt" strokecolor="#000000">
              <v:stroke dashstyle="solid"/>
            </v:line>
            <v:line style="position:absolute" from="4188,3303" to="4236,3303" stroked="true" strokeweight=".24pt" strokecolor="#000000">
              <v:stroke dashstyle="solid"/>
            </v:line>
            <v:line style="position:absolute" from="4188,2775" to="4236,2775" stroked="true" strokeweight=".24pt" strokecolor="#000000">
              <v:stroke dashstyle="solid"/>
            </v:line>
            <v:line style="position:absolute" from="4188,2249" to="4236,2249" stroked="true" strokeweight=".24pt" strokecolor="#000000">
              <v:stroke dashstyle="solid"/>
            </v:line>
            <v:line style="position:absolute" from="4188,1721" to="4236,1721" stroked="true" strokeweight=".24pt" strokecolor="#000000">
              <v:stroke dashstyle="solid"/>
            </v:line>
            <v:line style="position:absolute" from="4188,1196" to="4236,1196" stroked="true" strokeweight=".24pt" strokecolor="#000000">
              <v:stroke dashstyle="solid"/>
            </v:line>
            <v:line style="position:absolute" from="4188,668" to="4236,668" stroked="true" strokeweight=".24pt" strokecolor="#000000">
              <v:stroke dashstyle="solid"/>
            </v:line>
            <v:line style="position:absolute" from="4188,142" to="4236,142" stroked="true" strokeweight=".24pt" strokecolor="#000000">
              <v:stroke dashstyle="solid"/>
            </v:line>
            <v:line style="position:absolute" from="2,2775" to="4236,2775" stroked="true" strokeweight=".24pt" strokecolor="#000000">
              <v:stroke dashstyle="solid"/>
            </v:line>
            <v:line style="position:absolute" from="2,2727" to="2,2775" stroked="true" strokeweight=".24pt" strokecolor="#000000">
              <v:stroke dashstyle="solid"/>
            </v:line>
            <v:line style="position:absolute" from="386,2727" to="386,2775" stroked="true" strokeweight=".24pt" strokecolor="#000000">
              <v:stroke dashstyle="solid"/>
            </v:line>
            <v:line style="position:absolute" from="770,2727" to="770,2775" stroked="true" strokeweight=".24pt" strokecolor="#000000">
              <v:stroke dashstyle="solid"/>
            </v:line>
            <v:line style="position:absolute" from="1157,2727" to="1157,2775" stroked="true" strokeweight=".24pt" strokecolor="#000000">
              <v:stroke dashstyle="solid"/>
            </v:line>
            <v:line style="position:absolute" from="1541,2727" to="1541,2775" stroked="true" strokeweight=".24pt" strokecolor="#000000">
              <v:stroke dashstyle="solid"/>
            </v:line>
            <v:line style="position:absolute" from="1927,2727" to="1927,2775" stroked="true" strokeweight=".24pt" strokecolor="#000000">
              <v:stroke dashstyle="solid"/>
            </v:line>
            <v:line style="position:absolute" from="2311,2727" to="2311,2775" stroked="true" strokeweight=".24pt" strokecolor="#000000">
              <v:stroke dashstyle="solid"/>
            </v:line>
            <v:line style="position:absolute" from="2695,2727" to="2695,2775" stroked="true" strokeweight=".24pt" strokecolor="#000000">
              <v:stroke dashstyle="solid"/>
            </v:line>
            <v:line style="position:absolute" from="3082,2727" to="3082,2775" stroked="true" strokeweight=".24pt" strokecolor="#000000">
              <v:stroke dashstyle="solid"/>
            </v:line>
            <v:line style="position:absolute" from="3466,2727" to="3466,2775" stroked="true" strokeweight=".24pt" strokecolor="#000000">
              <v:stroke dashstyle="solid"/>
            </v:line>
            <v:line style="position:absolute" from="3852,2727" to="3852,2775" stroked="true" strokeweight=".24pt" strokecolor="#000000">
              <v:stroke dashstyle="solid"/>
            </v:line>
            <v:line style="position:absolute" from="4236,2727" to="4236,2775" stroked="true" strokeweight=".24pt" strokecolor="#000000">
              <v:stroke dashstyle="solid"/>
            </v:line>
            <v:shape style="position:absolute;left:122;top:666;width:140;height:140" coordorigin="122,666" coordsize="140,140" path="m192,666l122,736,192,806,261,736,192,666xe" filled="true" fillcolor="#000000" stroked="false">
              <v:path arrowok="t"/>
              <v:fill type="solid"/>
            </v:shape>
            <v:shape style="position:absolute;left:508;top:1071;width:140;height:140" coordorigin="508,1072" coordsize="140,140" path="m578,1072l508,1142,578,1211,648,1142,578,1072xe" filled="true" fillcolor="#000000" stroked="false">
              <v:path arrowok="t"/>
              <v:fill type="solid"/>
            </v:shape>
            <v:shape style="position:absolute;left:892;top:1227;width:140;height:140" coordorigin="892,1228" coordsize="140,140" path="m962,1228l892,1298,962,1367,1032,1298,962,1228xe" filled="true" fillcolor="#000000" stroked="false">
              <v:path arrowok="t"/>
              <v:fill type="solid"/>
            </v:shape>
            <v:shape style="position:absolute;left:1278;top:1345;width:140;height:140" coordorigin="1279,1346" coordsize="140,140" path="m1349,1346l1279,1416,1349,1485,1418,1416,1349,1346xe" filled="true" fillcolor="#000000" stroked="false">
              <v:path arrowok="t"/>
              <v:fill type="solid"/>
            </v:shape>
            <v:shape style="position:absolute;left:1662;top:1215;width:140;height:140" coordorigin="1663,1216" coordsize="140,140" path="m1733,1216l1663,1286,1733,1355,1802,1286,1733,1216xe" filled="true" fillcolor="#000000" stroked="false">
              <v:path arrowok="t"/>
              <v:fill type="solid"/>
            </v:shape>
            <v:shape style="position:absolute;left:2046;top:1052;width:140;height:140" coordorigin="2047,1053" coordsize="140,140" path="m2117,1053l2047,1123,2117,1192,2186,1123,2117,1053xe" filled="true" fillcolor="#000000" stroked="false">
              <v:path arrowok="t"/>
              <v:fill type="solid"/>
            </v:shape>
            <v:shape style="position:absolute;left:2433;top:1235;width:140;height:140" coordorigin="2433,1235" coordsize="140,140" path="m2503,1235l2433,1305,2503,1374,2572,1305,2503,1235xe" filled="true" fillcolor="#000000" stroked="false">
              <v:path arrowok="t"/>
              <v:fill type="solid"/>
            </v:shape>
            <v:shape style="position:absolute;left:2817;top:1081;width:140;height:140" coordorigin="2817,1082" coordsize="140,140" path="m2887,1082l2817,1152,2887,1221,2956,1152,2887,1082xe" filled="true" fillcolor="#000000" stroked="false">
              <v:path arrowok="t"/>
              <v:fill type="solid"/>
            </v:shape>
            <v:shape style="position:absolute;left:3203;top:1057;width:140;height:140" coordorigin="3204,1058" coordsize="140,140" path="m3274,1058l3204,1128,3274,1197,3343,1128,3274,1058xe" filled="true" fillcolor="#000000" stroked="false">
              <v:path arrowok="t"/>
              <v:fill type="solid"/>
            </v:shape>
            <v:shape style="position:absolute;left:3587;top:983;width:140;height:140" coordorigin="3588,983" coordsize="140,140" path="m3658,983l3588,1053,3658,1122,3727,1053,3658,983xe" filled="true" fillcolor="#000000" stroked="false">
              <v:path arrowok="t"/>
              <v:fill type="solid"/>
            </v:shape>
            <v:shape style="position:absolute;left:3971;top:1088;width:140;height:140" coordorigin="3972,1089" coordsize="140,140" path="m4042,1089l3972,1159,4042,1228,4111,1159,4042,1089xe" filled="true" fillcolor="#000000" stroked="false">
              <v:path arrowok="t"/>
              <v:fill type="solid"/>
            </v:shape>
            <v:rect style="position:absolute;left:880;top:55;width:80;height:80" filled="true" fillcolor="#1f487c" stroked="false">
              <v:fill type="solid"/>
            </v:rect>
            <v:rect style="position:absolute;left:880;top:242;width:80;height:80" filled="true" fillcolor="#b8cde4" stroked="false">
              <v:fill type="solid"/>
            </v:rect>
            <v:rect style="position:absolute;left:880;top:430;width:80;height:80" filled="true" fillcolor="#4f81bc" stroked="false">
              <v:fill type="solid"/>
            </v:rect>
            <v:rect style="position:absolute;left:880;top:617;width:80;height:82" filled="true" fillcolor="#e6b8b8" stroked="false">
              <v:fill type="solid"/>
            </v:rect>
            <v:rect style="position:absolute;left:880;top:804;width:80;height:82" filled="true" fillcolor="#c0504d" stroked="false">
              <v:fill type="solid"/>
            </v:rect>
            <v:shape style="position:absolute;left:880;top:992;width:80;height:80" coordorigin="880,993" coordsize="80,80" path="m920,993l880,1033,920,1073,960,1033,920,993xe" filled="true" fillcolor="#000000" stroked="false">
              <v:path arrowok="t"/>
              <v:fill type="solid"/>
            </v:shape>
            <v:line style="position:absolute" from="3852,160" to="3852,3446" stroked="true" strokeweight=".75pt" strokecolor="#000000">
              <v:stroke dashstyle="shortdash"/>
            </v:line>
            <v:shape style="position:absolute;left:994;top:0;width:2252;height:1118" type="#_x0000_t202" filled="false" stroked="false">
              <v:textbox inset="0,0,0,0">
                <w:txbxContent>
                  <w:p>
                    <w:pPr>
                      <w:spacing w:line="244" w:lineRule="auto" w:before="0"/>
                      <w:ind w:left="0" w:right="1155" w:firstLine="0"/>
                      <w:jc w:val="left"/>
                      <w:rPr>
                        <w:sz w:val="16"/>
                      </w:rPr>
                    </w:pPr>
                    <w:r>
                      <w:rPr>
                        <w:sz w:val="16"/>
                      </w:rPr>
                      <w:t>House prices Inflation effects</w:t>
                    </w:r>
                  </w:p>
                  <w:p>
                    <w:pPr>
                      <w:spacing w:line="244" w:lineRule="auto" w:before="0"/>
                      <w:ind w:left="0" w:right="355" w:firstLine="0"/>
                      <w:jc w:val="left"/>
                      <w:rPr>
                        <w:sz w:val="16"/>
                      </w:rPr>
                    </w:pPr>
                    <w:r>
                      <w:rPr>
                        <w:sz w:val="16"/>
                      </w:rPr>
                      <w:t>Financial asset prices Interest receipts/payments</w:t>
                    </w:r>
                  </w:p>
                  <w:p>
                    <w:pPr>
                      <w:spacing w:line="244" w:lineRule="auto" w:before="0"/>
                      <w:ind w:left="0" w:right="-1" w:firstLine="0"/>
                      <w:jc w:val="left"/>
                      <w:rPr>
                        <w:sz w:val="16"/>
                      </w:rPr>
                    </w:pPr>
                    <w:r>
                      <w:rPr>
                        <w:sz w:val="16"/>
                      </w:rPr>
                      <w:t>Macro effects on labour income Total</w:t>
                    </w:r>
                  </w:p>
                </w:txbxContent>
              </v:textbox>
              <w10:wrap type="none"/>
            </v:shape>
            <v:shape style="position:absolute;left:150;top:3398;width:4004;height:180" type="#_x0000_t202" filled="false" stroked="false">
              <v:textbox inset="0,0,0,0">
                <w:txbxContent>
                  <w:p>
                    <w:pPr>
                      <w:tabs>
                        <w:tab w:pos="384" w:val="left" w:leader="none"/>
                        <w:tab w:pos="770" w:val="left" w:leader="none"/>
                        <w:tab w:pos="1155" w:val="left" w:leader="none"/>
                        <w:tab w:pos="1540" w:val="left" w:leader="none"/>
                        <w:tab w:pos="1925" w:val="left" w:leader="none"/>
                        <w:tab w:pos="2310" w:val="left" w:leader="none"/>
                        <w:tab w:pos="2695" w:val="left" w:leader="none"/>
                        <w:tab w:pos="3080" w:val="left" w:leader="none"/>
                        <w:tab w:pos="3420" w:val="left" w:leader="none"/>
                        <w:tab w:pos="3806" w:val="left" w:leader="none"/>
                      </w:tabs>
                      <w:spacing w:line="179" w:lineRule="exact" w:before="0"/>
                      <w:ind w:left="0" w:right="0" w:firstLine="0"/>
                      <w:jc w:val="left"/>
                      <w:rPr>
                        <w:sz w:val="16"/>
                      </w:rPr>
                    </w:pPr>
                    <w:r>
                      <w:rPr>
                        <w:sz w:val="16"/>
                      </w:rPr>
                      <w:t>1</w:t>
                      <w:tab/>
                      <w:t>2</w:t>
                      <w:tab/>
                      <w:t>3</w:t>
                      <w:tab/>
                      <w:t>4</w:t>
                      <w:tab/>
                      <w:t>5</w:t>
                      <w:tab/>
                      <w:t>6</w:t>
                      <w:tab/>
                      <w:t>7</w:t>
                      <w:tab/>
                      <w:t>8</w:t>
                      <w:tab/>
                      <w:t>9</w:t>
                      <w:tab/>
                      <w:t>10</w:t>
                      <w:tab/>
                      <w:t>All</w:t>
                    </w:r>
                  </w:p>
                </w:txbxContent>
              </v:textbox>
              <w10:wrap type="none"/>
            </v:shape>
          </v:group>
        </w:pict>
      </w:r>
      <w:r>
        <w:rPr/>
      </w:r>
    </w:p>
    <w:p>
      <w:pPr>
        <w:spacing w:before="0"/>
        <w:ind w:left="1624" w:right="0" w:firstLine="0"/>
        <w:jc w:val="left"/>
        <w:rPr>
          <w:sz w:val="17"/>
        </w:rPr>
      </w:pPr>
      <w:r>
        <w:rPr>
          <w:sz w:val="17"/>
        </w:rPr>
        <w:t>Income decile in 2012-14</w:t>
      </w:r>
    </w:p>
    <w:p>
      <w:pPr>
        <w:spacing w:before="151"/>
        <w:ind w:left="201" w:right="0" w:firstLine="0"/>
        <w:jc w:val="left"/>
        <w:rPr>
          <w:sz w:val="16"/>
        </w:rPr>
      </w:pPr>
      <w:r>
        <w:rPr>
          <w:sz w:val="16"/>
        </w:rPr>
        <w:t>Sources: ONS and Bank calculations</w:t>
      </w:r>
    </w:p>
    <w:p>
      <w:pPr>
        <w:pStyle w:val="BodyText"/>
        <w:rPr>
          <w:sz w:val="18"/>
        </w:rPr>
      </w:pPr>
      <w:r>
        <w:rPr/>
        <w:br w:type="column"/>
      </w:r>
      <w:r>
        <w:rPr>
          <w:sz w:val="18"/>
        </w:rPr>
      </w:r>
    </w:p>
    <w:p>
      <w:pPr>
        <w:pStyle w:val="BodyText"/>
        <w:rPr>
          <w:sz w:val="18"/>
        </w:rPr>
      </w:pPr>
    </w:p>
    <w:p>
      <w:pPr>
        <w:spacing w:before="112"/>
        <w:ind w:left="66" w:right="0" w:firstLine="0"/>
        <w:jc w:val="left"/>
        <w:rPr>
          <w:sz w:val="16"/>
        </w:rPr>
      </w:pPr>
      <w:r>
        <w:rPr>
          <w:sz w:val="16"/>
        </w:rPr>
        <w:t>50</w:t>
      </w:r>
    </w:p>
    <w:p>
      <w:pPr>
        <w:pStyle w:val="BodyText"/>
        <w:rPr>
          <w:sz w:val="18"/>
        </w:rPr>
      </w:pPr>
    </w:p>
    <w:p>
      <w:pPr>
        <w:spacing w:before="136"/>
        <w:ind w:left="66" w:right="0" w:firstLine="0"/>
        <w:jc w:val="left"/>
        <w:rPr>
          <w:sz w:val="16"/>
        </w:rPr>
      </w:pPr>
      <w:r>
        <w:rPr>
          <w:sz w:val="16"/>
        </w:rPr>
        <w:t>40</w:t>
      </w:r>
    </w:p>
    <w:p>
      <w:pPr>
        <w:pStyle w:val="BodyText"/>
        <w:rPr>
          <w:sz w:val="18"/>
        </w:rPr>
      </w:pPr>
    </w:p>
    <w:p>
      <w:pPr>
        <w:spacing w:before="136"/>
        <w:ind w:left="66" w:right="0" w:firstLine="0"/>
        <w:jc w:val="left"/>
        <w:rPr>
          <w:sz w:val="16"/>
        </w:rPr>
      </w:pPr>
      <w:r>
        <w:rPr>
          <w:sz w:val="16"/>
        </w:rPr>
        <w:t>30</w:t>
      </w:r>
    </w:p>
    <w:p>
      <w:pPr>
        <w:pStyle w:val="BodyText"/>
        <w:rPr>
          <w:sz w:val="18"/>
        </w:rPr>
      </w:pPr>
    </w:p>
    <w:p>
      <w:pPr>
        <w:spacing w:before="136"/>
        <w:ind w:left="66" w:right="0" w:firstLine="0"/>
        <w:jc w:val="left"/>
        <w:rPr>
          <w:sz w:val="16"/>
        </w:rPr>
      </w:pPr>
      <w:r>
        <w:rPr>
          <w:sz w:val="16"/>
        </w:rPr>
        <w:t>20</w:t>
      </w:r>
    </w:p>
    <w:p>
      <w:pPr>
        <w:pStyle w:val="BodyText"/>
        <w:rPr>
          <w:sz w:val="18"/>
        </w:rPr>
      </w:pPr>
    </w:p>
    <w:p>
      <w:pPr>
        <w:spacing w:before="136"/>
        <w:ind w:left="66" w:right="0" w:firstLine="0"/>
        <w:jc w:val="left"/>
        <w:rPr>
          <w:sz w:val="16"/>
        </w:rPr>
      </w:pPr>
      <w:r>
        <w:rPr>
          <w:sz w:val="16"/>
        </w:rPr>
        <w:t>10</w:t>
      </w:r>
    </w:p>
    <w:p>
      <w:pPr>
        <w:pStyle w:val="BodyText"/>
        <w:rPr>
          <w:sz w:val="18"/>
        </w:rPr>
      </w:pPr>
    </w:p>
    <w:p>
      <w:pPr>
        <w:spacing w:before="136"/>
        <w:ind w:left="66" w:right="0" w:firstLine="0"/>
        <w:jc w:val="left"/>
        <w:rPr>
          <w:sz w:val="16"/>
        </w:rPr>
      </w:pPr>
      <w:r>
        <w:rPr>
          <w:w w:val="100"/>
          <w:sz w:val="16"/>
        </w:rPr>
        <w:t>0</w:t>
      </w:r>
    </w:p>
    <w:p>
      <w:pPr>
        <w:pStyle w:val="BodyText"/>
        <w:rPr>
          <w:sz w:val="18"/>
        </w:rPr>
      </w:pPr>
    </w:p>
    <w:p>
      <w:pPr>
        <w:spacing w:before="136"/>
        <w:ind w:left="66" w:right="0" w:firstLine="0"/>
        <w:jc w:val="left"/>
        <w:rPr>
          <w:sz w:val="16"/>
        </w:rPr>
      </w:pPr>
      <w:r>
        <w:rPr>
          <w:sz w:val="16"/>
        </w:rPr>
        <w:t>-10</w:t>
      </w:r>
    </w:p>
    <w:p>
      <w:pPr>
        <w:spacing w:after="0"/>
        <w:jc w:val="left"/>
        <w:rPr>
          <w:sz w:val="16"/>
        </w:rPr>
        <w:sectPr>
          <w:type w:val="continuous"/>
          <w:pgSz w:w="11910" w:h="16840"/>
          <w:pgMar w:top="1180" w:bottom="1520" w:left="820" w:right="960"/>
          <w:cols w:num="3" w:equalWidth="0">
            <w:col w:w="5060" w:space="40"/>
            <w:col w:w="4535" w:space="39"/>
            <w:col w:w="456"/>
          </w:cols>
        </w:sectPr>
      </w:pPr>
    </w:p>
    <w:p>
      <w:pPr>
        <w:spacing w:line="276" w:lineRule="auto" w:before="27"/>
        <w:ind w:left="313" w:right="-20" w:firstLine="0"/>
        <w:jc w:val="left"/>
        <w:rPr>
          <w:sz w:val="16"/>
        </w:rPr>
      </w:pPr>
      <w:r>
        <w:rPr>
          <w:sz w:val="16"/>
        </w:rPr>
        <w:t>Note: Chart shows average cumulative real impact of policy changes since 2007 as of 2012-14 as a percentage of net wealth.</w:t>
      </w:r>
    </w:p>
    <w:p>
      <w:pPr>
        <w:spacing w:line="276" w:lineRule="auto" w:before="27"/>
        <w:ind w:left="313" w:right="192" w:firstLine="0"/>
        <w:jc w:val="left"/>
        <w:rPr>
          <w:sz w:val="16"/>
        </w:rPr>
      </w:pPr>
      <w:r>
        <w:rPr/>
        <w:br w:type="column"/>
      </w:r>
      <w:r>
        <w:rPr>
          <w:sz w:val="16"/>
        </w:rPr>
        <w:t>Note: Chart shows average cumulative real impact of changes in Bank Rate since 2007 as of 2012-14 as a percentage of annual income.</w:t>
      </w:r>
    </w:p>
    <w:p>
      <w:pPr>
        <w:spacing w:after="0" w:line="276" w:lineRule="auto"/>
        <w:jc w:val="left"/>
        <w:rPr>
          <w:sz w:val="16"/>
        </w:rPr>
        <w:sectPr>
          <w:type w:val="continuous"/>
          <w:pgSz w:w="11910" w:h="16840"/>
          <w:pgMar w:top="1180" w:bottom="1520" w:left="820" w:right="960"/>
          <w:cols w:num="2" w:equalWidth="0">
            <w:col w:w="4948" w:space="40"/>
            <w:col w:w="5142"/>
          </w:cols>
        </w:sectPr>
      </w:pPr>
    </w:p>
    <w:p>
      <w:pPr>
        <w:pStyle w:val="Heading1"/>
        <w:spacing w:line="276" w:lineRule="auto"/>
      </w:pPr>
      <w:r>
        <w:rPr/>
        <w:t>Chart 21: Impact of QE, across the income distribution</w:t>
      </w:r>
    </w:p>
    <w:p>
      <w:pPr>
        <w:spacing w:before="74"/>
        <w:ind w:left="1518" w:right="0" w:firstLine="0"/>
        <w:jc w:val="left"/>
        <w:rPr>
          <w:sz w:val="17"/>
        </w:rPr>
      </w:pPr>
      <w:r>
        <w:rPr>
          <w:sz w:val="17"/>
        </w:rPr>
        <w:t>Impact as of 2012-14 (% of annual income)</w:t>
      </w:r>
    </w:p>
    <w:p>
      <w:pPr>
        <w:pStyle w:val="BodyText"/>
        <w:spacing w:before="9"/>
        <w:rPr>
          <w:sz w:val="18"/>
        </w:rPr>
      </w:pPr>
    </w:p>
    <w:p>
      <w:pPr>
        <w:spacing w:before="0"/>
        <w:ind w:left="0" w:right="0" w:firstLine="0"/>
        <w:jc w:val="right"/>
        <w:rPr>
          <w:sz w:val="16"/>
        </w:rPr>
      </w:pPr>
      <w:r>
        <w:rPr/>
        <w:pict>
          <v:group style="position:absolute;margin-left:59.279999pt;margin-top:4.843914pt;width:207.4pt;height:160.2pt;mso-position-horizontal-relative:page;mso-position-vertical-relative:paragraph;z-index:-255033344" coordorigin="1186,97" coordsize="4148,3204">
            <v:rect style="position:absolute;left:1284;top:2554;width:188;height:75" filled="true" fillcolor="#c0504d" stroked="false">
              <v:fill type="solid"/>
            </v:rect>
            <v:rect style="position:absolute;left:1284;top:2182;width:188;height:372" filled="true" fillcolor="#4f81bc" stroked="false">
              <v:fill type="solid"/>
            </v:rect>
            <v:rect style="position:absolute;left:1284;top:2628;width:188;height:140" filled="true" fillcolor="#b8cde4" stroked="false">
              <v:fill type="solid"/>
            </v:rect>
            <v:rect style="position:absolute;left:1284;top:1316;width:188;height:867" filled="true" fillcolor="#1f487c" stroked="false">
              <v:fill type="solid"/>
            </v:rect>
            <v:rect style="position:absolute;left:1658;top:2544;width:190;height:84" filled="true" fillcolor="#c0504d" stroked="false">
              <v:fill type="solid"/>
            </v:rect>
            <v:rect style="position:absolute;left:1658;top:2276;width:190;height:269" filled="true" fillcolor="#4f81bc" stroked="false">
              <v:fill type="solid"/>
            </v:rect>
            <v:rect style="position:absolute;left:1658;top:2628;width:190;height:58" filled="true" fillcolor="#b8cde4" stroked="false">
              <v:fill type="solid"/>
            </v:rect>
            <v:rect style="position:absolute;left:1658;top:1659;width:190;height:617" filled="true" fillcolor="#1f487c" stroked="false">
              <v:fill type="solid"/>
            </v:rect>
            <v:rect style="position:absolute;left:2035;top:2484;width:190;height:144" filled="true" fillcolor="#c0504d" stroked="false">
              <v:fill type="solid"/>
            </v:rect>
            <v:rect style="position:absolute;left:2035;top:2252;width:190;height:233" filled="true" fillcolor="#4f81bc" stroked="false">
              <v:fill type="solid"/>
            </v:rect>
            <v:line style="position:absolute" from="2035,2636" to="2225,2636" stroked="true" strokeweight=".72pt" strokecolor="#b8cde4">
              <v:stroke dashstyle="solid"/>
            </v:line>
            <v:rect style="position:absolute;left:2035;top:1733;width:190;height:519" filled="true" fillcolor="#1f487c" stroked="false">
              <v:fill type="solid"/>
            </v:rect>
            <v:rect style="position:absolute;left:2412;top:2480;width:190;height:149" filled="true" fillcolor="#c0504d" stroked="false">
              <v:fill type="solid"/>
            </v:rect>
            <v:rect style="position:absolute;left:2412;top:2208;width:190;height:272" filled="true" fillcolor="#4f81bc" stroked="false">
              <v:fill type="solid"/>
            </v:rect>
            <v:line style="position:absolute" from="2412,2636" to="2602,2636" stroked="true" strokeweight=".72pt" strokecolor="#b8cde4">
              <v:stroke dashstyle="solid"/>
            </v:line>
            <v:rect style="position:absolute;left:2412;top:1736;width:190;height:473" filled="true" fillcolor="#1f487c" stroked="false">
              <v:fill type="solid"/>
            </v:rect>
            <v:rect style="position:absolute;left:2788;top:2448;width:190;height:180" filled="true" fillcolor="#c0504d" stroked="false">
              <v:fill type="solid"/>
            </v:rect>
            <v:rect style="position:absolute;left:2788;top:2148;width:190;height:300" filled="true" fillcolor="#4f81bc" stroked="false">
              <v:fill type="solid"/>
            </v:rect>
            <v:line style="position:absolute" from="2789,2144" to="2978,2144" stroked="true" strokeweight=".48pt" strokecolor="#b8cde4">
              <v:stroke dashstyle="solid"/>
            </v:line>
            <v:rect style="position:absolute;left:2788;top:1647;width:190;height:492" filled="true" fillcolor="#1f487c" stroked="false">
              <v:fill type="solid"/>
            </v:rect>
            <v:rect style="position:absolute;left:3165;top:2412;width:188;height:216" filled="true" fillcolor="#c0504d" stroked="false">
              <v:fill type="solid"/>
            </v:rect>
            <v:rect style="position:absolute;left:3165;top:2112;width:188;height:300" filled="true" fillcolor="#4f81bc" stroked="false">
              <v:fill type="solid"/>
            </v:rect>
            <v:rect style="position:absolute;left:3165;top:2067;width:188;height:46" filled="true" fillcolor="#b8cde4" stroked="false">
              <v:fill type="solid"/>
            </v:rect>
            <v:rect style="position:absolute;left:3165;top:1541;width:188;height:526" filled="true" fillcolor="#1f487c" stroked="false">
              <v:fill type="solid"/>
            </v:rect>
            <v:rect style="position:absolute;left:3542;top:2388;width:188;height:240" filled="true" fillcolor="#c0504d" stroked="false">
              <v:fill type="solid"/>
            </v:rect>
            <v:rect style="position:absolute;left:3542;top:2148;width:188;height:240" filled="true" fillcolor="#4f81bc" stroked="false">
              <v:fill type="solid"/>
            </v:rect>
            <v:rect style="position:absolute;left:3542;top:2052;width:188;height:96" filled="true" fillcolor="#b8cde4" stroked="false">
              <v:fill type="solid"/>
            </v:rect>
            <v:rect style="position:absolute;left:3542;top:1635;width:188;height:418" filled="true" fillcolor="#1f487c" stroked="false">
              <v:fill type="solid"/>
            </v:rect>
            <v:rect style="position:absolute;left:3919;top:2393;width:188;height:236" filled="true" fillcolor="#c0504d" stroked="false">
              <v:fill type="solid"/>
            </v:rect>
            <v:rect style="position:absolute;left:3919;top:2060;width:188;height:334" filled="true" fillcolor="#4f81bc" stroked="false">
              <v:fill type="solid"/>
            </v:rect>
            <v:rect style="position:absolute;left:3919;top:1976;width:188;height:84" filled="true" fillcolor="#b8cde4" stroked="false">
              <v:fill type="solid"/>
            </v:rect>
            <v:rect style="position:absolute;left:3919;top:1498;width:188;height:478" filled="true" fillcolor="#1f487c" stroked="false">
              <v:fill type="solid"/>
            </v:rect>
            <v:rect style="position:absolute;left:4296;top:2405;width:188;height:224" filled="true" fillcolor="#c0504d" stroked="false">
              <v:fill type="solid"/>
            </v:rect>
            <v:rect style="position:absolute;left:4296;top:2057;width:188;height:348" filled="true" fillcolor="#4f81bc" stroked="false">
              <v:fill type="solid"/>
            </v:rect>
            <v:rect style="position:absolute;left:4296;top:1956;width:188;height:101" filled="true" fillcolor="#b8cde4" stroked="false">
              <v:fill type="solid"/>
            </v:rect>
            <v:rect style="position:absolute;left:4296;top:1457;width:188;height:500" filled="true" fillcolor="#1f487c" stroked="false">
              <v:fill type="solid"/>
            </v:rect>
            <v:rect style="position:absolute;left:4672;top:2436;width:188;height:192" filled="true" fillcolor="#c0504d" stroked="false">
              <v:fill type="solid"/>
            </v:rect>
            <v:rect style="position:absolute;left:4672;top:1812;width:188;height:624" filled="true" fillcolor="#4f81bc" stroked="false">
              <v:fill type="solid"/>
            </v:rect>
            <v:rect style="position:absolute;left:4672;top:1726;width:188;height:87" filled="true" fillcolor="#b8cde4" stroked="false">
              <v:fill type="solid"/>
            </v:rect>
            <v:rect style="position:absolute;left:4672;top:1172;width:188;height:555" filled="true" fillcolor="#1f487c" stroked="false">
              <v:fill type="solid"/>
            </v:rect>
            <v:rect style="position:absolute;left:5049;top:2432;width:188;height:197" filled="true" fillcolor="#c0504d" stroked="false">
              <v:fill type="solid"/>
            </v:rect>
            <v:rect style="position:absolute;left:5049;top:2045;width:188;height:387" filled="true" fillcolor="#4f81bc" stroked="false">
              <v:fill type="solid"/>
            </v:rect>
            <v:rect style="position:absolute;left:5049;top:1990;width:188;height:56" filled="true" fillcolor="#b8cde4" stroked="false">
              <v:fill type="solid"/>
            </v:rect>
            <v:rect style="position:absolute;left:5049;top:1472;width:188;height:519" filled="true" fillcolor="#1f487c" stroked="false">
              <v:fill type="solid"/>
            </v:rect>
            <v:shape style="position:absolute;left:1188;top:99;width:4143;height:3036" coordorigin="1188,99" coordsize="4143,3036" path="m5330,3135l5330,99m5282,3135l5330,3135m5282,2629l5330,2629m5282,2125l5330,2125m5282,1618l5330,1618m5282,1112l5330,1112m5282,606l5330,606m5282,99l5330,99m1188,2629l5330,2629m1188,2581l1188,2629m1565,2581l1565,2629m1942,2581l1942,2629m2318,2581l2318,2629m2695,2581l2695,2629m3072,2581l3072,2629m3449,2581l3449,2629m3826,2581l3826,2629m4202,2581l4202,2629m4577,2581l4577,2629m4954,2581l4954,2629m5330,2581l5330,2629e" filled="false" stroked="true" strokeweight=".24pt" strokecolor="#000000">
              <v:path arrowok="t"/>
              <v:stroke dashstyle="solid"/>
            </v:shape>
            <v:shape style="position:absolute;left:1306;top:1103;width:3905;height:716" coordorigin="1306,1103" coordsize="3905,716" path="m1446,1451l1376,1381,1306,1451,1376,1521,1446,1451m1822,1715l1753,1645,1683,1715,1753,1785,1822,1715m2199,1747l2130,1677,2060,1747,2130,1816,2199,1747m2576,1749l2507,1679,2437,1749,2507,1818,2576,1749m2953,1648l2884,1578,2814,1648,2884,1717,2953,1648m3330,1543l3260,1473,3190,1543,3260,1612,3330,1543m3706,1634l3637,1564,3567,1634,3637,1703,3706,1634m4083,1497l4014,1427,3944,1497,4014,1566,4083,1497m4458,1456l4388,1386,4318,1456,4388,1525,4458,1456m4834,1173l4765,1103,4695,1173,4765,1242,4834,1173m5211,1473l5142,1403,5072,1473,5142,1542,5211,1473e" filled="true" fillcolor="#000000" stroked="false">
              <v:path arrowok="t"/>
              <v:fill type="solid"/>
            </v:shape>
            <v:rect style="position:absolute;left:1934;top:250;width:80;height:82" filled="true" fillcolor="#1f487c" stroked="false">
              <v:fill type="solid"/>
            </v:rect>
            <v:rect style="position:absolute;left:1934;top:468;width:80;height:80" filled="true" fillcolor="#b8cde4" stroked="false">
              <v:fill type="solid"/>
            </v:rect>
            <v:rect style="position:absolute;left:1934;top:687;width:80;height:80" filled="true" fillcolor="#4f81bc" stroked="false">
              <v:fill type="solid"/>
            </v:rect>
            <v:rect style="position:absolute;left:1934;top:903;width:80;height:82" filled="true" fillcolor="#c0504d" stroked="false">
              <v:fill type="solid"/>
            </v:rect>
            <v:shape style="position:absolute;left:1934;top:1121;width:80;height:80" coordorigin="1934,1122" coordsize="80,80" path="m1974,1122l1934,1162,1974,1202,2014,1162,1974,1122xe" filled="true" fillcolor="#000000" stroked="false">
              <v:path arrowok="t"/>
              <v:fill type="solid"/>
            </v:shape>
            <v:line style="position:absolute" from="4965,124" to="4965,3301" stroked="true" strokeweight=".75pt" strokecolor="#000000">
              <v:stroke dashstyle="shortdash"/>
            </v:line>
            <w10:wrap type="none"/>
          </v:group>
        </w:pict>
      </w:r>
      <w:r>
        <w:rPr>
          <w:sz w:val="16"/>
        </w:rPr>
        <w:t>50</w:t>
      </w:r>
    </w:p>
    <w:p>
      <w:pPr>
        <w:pStyle w:val="Heading1"/>
        <w:spacing w:line="276" w:lineRule="auto"/>
        <w:ind w:left="197"/>
      </w:pPr>
      <w:r>
        <w:rPr>
          <w:b w:val="0"/>
        </w:rPr>
        <w:br w:type="column"/>
      </w:r>
      <w:r>
        <w:rPr/>
        <w:t>Chart 22: Impact of monetary policy on welfare, across the income distribution</w:t>
      </w:r>
    </w:p>
    <w:p>
      <w:pPr>
        <w:pStyle w:val="BodyText"/>
        <w:rPr>
          <w:b/>
          <w:sz w:val="22"/>
        </w:rPr>
      </w:pPr>
    </w:p>
    <w:p>
      <w:pPr>
        <w:pStyle w:val="BodyText"/>
        <w:spacing w:before="3"/>
        <w:rPr>
          <w:b/>
        </w:rPr>
      </w:pPr>
    </w:p>
    <w:p>
      <w:pPr>
        <w:spacing w:before="0"/>
        <w:ind w:left="0" w:right="175" w:firstLine="0"/>
        <w:jc w:val="right"/>
        <w:rPr>
          <w:sz w:val="16"/>
        </w:rPr>
      </w:pPr>
      <w:r>
        <w:rPr/>
        <w:pict>
          <v:group style="position:absolute;margin-left:304.799988pt;margin-top:-13.604514pt;width:206.8pt;height:183.2pt;mso-position-horizontal-relative:page;mso-position-vertical-relative:paragraph;z-index:251726848" coordorigin="6096,-272" coordsize="4136,3664">
            <v:rect style="position:absolute;left:6211;top:2875;width:149;height:240" filled="true" fillcolor="#c0504d" stroked="false">
              <v:fill type="solid"/>
            </v:rect>
            <v:rect style="position:absolute;left:6211;top:2709;width:149;height:166" filled="true" fillcolor="#4f81bc" stroked="false">
              <v:fill type="solid"/>
            </v:rect>
            <v:rect style="position:absolute;left:6211;top:2527;width:149;height:183" filled="true" fillcolor="#00af50" stroked="false">
              <v:fill type="solid"/>
            </v:rect>
            <v:rect style="position:absolute;left:6585;top:3060;width:152;height:56" filled="true" fillcolor="#c0504d" stroked="false">
              <v:fill type="solid"/>
            </v:rect>
            <v:rect style="position:absolute;left:6585;top:2875;width:152;height:185" filled="true" fillcolor="#4f81bc" stroked="false">
              <v:fill type="solid"/>
            </v:rect>
            <v:rect style="position:absolute;left:6585;top:2474;width:152;height:401" filled="true" fillcolor="#00af50" stroked="false">
              <v:fill type="solid"/>
            </v:rect>
            <v:rect style="position:absolute;left:6960;top:2937;width:152;height:178" filled="true" fillcolor="#c0504d" stroked="false">
              <v:fill type="solid"/>
            </v:rect>
            <v:rect style="position:absolute;left:6960;top:2731;width:152;height:207" filled="true" fillcolor="#4f81bc" stroked="false">
              <v:fill type="solid"/>
            </v:rect>
            <v:rect style="position:absolute;left:6960;top:1687;width:152;height:1044" filled="true" fillcolor="#00af50" stroked="false">
              <v:fill type="solid"/>
            </v:rect>
            <v:rect style="position:absolute;left:7336;top:2937;width:149;height:178" filled="true" fillcolor="#c0504d" stroked="false">
              <v:fill type="solid"/>
            </v:rect>
            <v:rect style="position:absolute;left:7336;top:2709;width:149;height:228" filled="true" fillcolor="#4f81bc" stroked="false">
              <v:fill type="solid"/>
            </v:rect>
            <v:rect style="position:absolute;left:7336;top:1541;width:149;height:1169" filled="true" fillcolor="#00af50" stroked="false">
              <v:fill type="solid"/>
            </v:rect>
            <v:rect style="position:absolute;left:7711;top:2877;width:152;height:238" filled="true" fillcolor="#c0504d" stroked="false">
              <v:fill type="solid"/>
            </v:rect>
            <v:rect style="position:absolute;left:7711;top:2580;width:152;height:298" filled="true" fillcolor="#4f81bc" stroked="false">
              <v:fill type="solid"/>
            </v:rect>
            <v:rect style="position:absolute;left:7711;top:1178;width:152;height:1402" filled="true" fillcolor="#00af50" stroked="false">
              <v:fill type="solid"/>
            </v:rect>
            <v:rect style="position:absolute;left:8088;top:2796;width:149;height:320" filled="true" fillcolor="#c0504d" stroked="false">
              <v:fill type="solid"/>
            </v:rect>
            <v:rect style="position:absolute;left:8088;top:2486;width:149;height:310" filled="true" fillcolor="#4f81bc" stroked="false">
              <v:fill type="solid"/>
            </v:rect>
            <v:rect style="position:absolute;left:8088;top:775;width:149;height:1712" filled="true" fillcolor="#00af50" stroked="false">
              <v:fill type="solid"/>
            </v:rect>
            <v:rect style="position:absolute;left:8462;top:2697;width:152;height:418" filled="true" fillcolor="#c0504d" stroked="false">
              <v:fill type="solid"/>
            </v:rect>
            <v:rect style="position:absolute;left:8462;top:2441;width:152;height:257" filled="true" fillcolor="#4f81bc" stroked="false">
              <v:fill type="solid"/>
            </v:rect>
            <v:rect style="position:absolute;left:8462;top:276;width:152;height:2165" filled="true" fillcolor="#00af50" stroked="false">
              <v:fill type="solid"/>
            </v:rect>
            <v:rect style="position:absolute;left:8839;top:2707;width:149;height:408" filled="true" fillcolor="#c0504d" stroked="false">
              <v:fill type="solid"/>
            </v:rect>
            <v:rect style="position:absolute;left:8839;top:2342;width:149;height:365" filled="true" fillcolor="#4f81bc" stroked="false">
              <v:fill type="solid"/>
            </v:rect>
            <v:rect style="position:absolute;left:8839;top:463;width:149;height:1880" filled="true" fillcolor="#00af50" stroked="false">
              <v:fill type="solid"/>
            </v:rect>
            <v:rect style="position:absolute;left:9213;top:2594;width:152;height:521" filled="true" fillcolor="#c0504d" stroked="false">
              <v:fill type="solid"/>
            </v:rect>
            <v:rect style="position:absolute;left:9213;top:2287;width:152;height:308" filled="true" fillcolor="#4f81bc" stroked="false">
              <v:fill type="solid"/>
            </v:rect>
            <v:rect style="position:absolute;left:9213;top:341;width:152;height:1947" filled="true" fillcolor="#00af50" stroked="false">
              <v:fill type="solid"/>
            </v:rect>
            <v:rect style="position:absolute;left:9590;top:2721;width:149;height:394" filled="true" fillcolor="#c0504d" stroked="false">
              <v:fill type="solid"/>
            </v:rect>
            <v:rect style="position:absolute;left:9590;top:2359;width:149;height:363" filled="true" fillcolor="#4f81bc" stroked="false">
              <v:fill type="solid"/>
            </v:rect>
            <v:rect style="position:absolute;left:9590;top:482;width:149;height:1877" filled="true" fillcolor="#00af50" stroked="false">
              <v:fill type="solid"/>
            </v:rect>
            <v:rect style="position:absolute;left:9964;top:2820;width:152;height:296" filled="true" fillcolor="#c0504d" stroked="false">
              <v:fill type="solid"/>
            </v:rect>
            <v:rect style="position:absolute;left:9964;top:2551;width:152;height:269" filled="true" fillcolor="#4f81bc" stroked="false">
              <v:fill type="solid"/>
            </v:rect>
            <v:rect style="position:absolute;left:9964;top:1176;width:152;height:1376" filled="true" fillcolor="#00af50" stroked="false">
              <v:fill type="solid"/>
            </v:rect>
            <v:shape style="position:absolute;left:6098;top:98;width:4131;height:3017" coordorigin="6098,99" coordsize="4131,3017" path="m10229,3115l10229,99m10181,3115l10229,3115m10181,2683l10229,2683m10181,2254l10229,2254m10181,1822l10229,1822m10181,1392l10229,1392m10181,960l10229,960m10181,531l10229,531m10181,99l10229,99m6098,3115l10229,3115m6098,3067l6098,3115m6473,3067l6473,3115m6850,3067l6850,3115m7224,3067l7224,3115m7598,3067l7598,3115m7975,3067l7975,3115m8350,3067l8350,3115m8726,3067l8726,3115m9101,3067l9101,3115m9478,3067l9478,3115m9852,3067l9852,3115m10229,3067l10229,3115e" filled="false" stroked="true" strokeweight=".24pt" strokecolor="#000000">
              <v:path arrowok="t"/>
              <v:stroke dashstyle="solid"/>
            </v:shape>
            <v:shape style="position:absolute;left:6203;top:196;width:3917;height:2413" coordorigin="6203,197" coordsize="3917,2413" path="m6364,2528l6283,2448,6203,2528,6283,2609,6364,2528m6741,2476l6660,2395,6580,2476,6660,2556,6741,2476m7115,1688l7035,1608,6954,1688,7035,1769,7115,1688m7492,1542l7411,1462,7331,1542,7411,1622,7492,1542m7866,1180l7786,1099,7705,1180,7786,1260,7866,1180m8243,774l8163,694,8082,774,8163,854,8243,774m8617,277l8537,197,8457,277,8537,358,8617,277m8994,462l8914,382,8833,462,8914,542,8994,462m9369,340l9288,259,9208,340,9288,420,9369,340m9743,481l9663,401,9582,481,9663,562,9743,481m10120,1177l10039,1097,9959,1177,10039,1258,10120,1177e" filled="true" fillcolor="#000000" stroked="false">
              <v:path arrowok="t"/>
              <v:fill type="solid"/>
            </v:shape>
            <v:rect style="position:absolute;left:6420;top:-15;width:80;height:80" filled="true" fillcolor="#c0504d" stroked="false">
              <v:fill type="solid"/>
            </v:rect>
            <v:rect style="position:absolute;left:6420;top:261;width:80;height:80" filled="true" fillcolor="#4f81bc" stroked="false">
              <v:fill type="solid"/>
            </v:rect>
            <v:rect style="position:absolute;left:6420;top:537;width:80;height:80" filled="true" fillcolor="#00af50" stroked="false">
              <v:fill type="solid"/>
            </v:rect>
            <v:shape style="position:absolute;left:6419;top:813;width:80;height:80" coordorigin="6420,813" coordsize="80,80" path="m6460,813l6420,853,6460,893,6500,853,6460,813xe" filled="true" fillcolor="#000000" stroked="false">
              <v:path arrowok="t"/>
              <v:fill type="solid"/>
            </v:shape>
            <v:line style="position:absolute" from="9862,14" to="9862,3316" stroked="true" strokeweight=".75pt" strokecolor="#000000">
              <v:stroke dashstyle="shortdash"/>
            </v:line>
            <v:shape style="position:absolute;left:9812;top:-273;width:415;height:180" type="#_x0000_t202" filled="false" stroked="false">
              <v:textbox inset="0,0,0,0">
                <w:txbxContent>
                  <w:p>
                    <w:pPr>
                      <w:spacing w:line="179" w:lineRule="exact" w:before="0"/>
                      <w:ind w:left="0" w:right="0" w:firstLine="0"/>
                      <w:jc w:val="left"/>
                      <w:rPr>
                        <w:sz w:val="16"/>
                      </w:rPr>
                    </w:pPr>
                    <w:r>
                      <w:rPr>
                        <w:sz w:val="16"/>
                      </w:rPr>
                      <w:t>Utility</w:t>
                    </w:r>
                  </w:p>
                </w:txbxContent>
              </v:textbox>
              <w10:wrap type="none"/>
            </v:shape>
            <v:shape style="position:absolute;left:6534;top:-69;width:1533;height:1008" type="#_x0000_t202" filled="false" stroked="false">
              <v:textbox inset="0,0,0,0">
                <w:txbxContent>
                  <w:p>
                    <w:pPr>
                      <w:spacing w:line="360" w:lineRule="auto" w:before="0"/>
                      <w:ind w:left="0" w:right="597" w:firstLine="0"/>
                      <w:jc w:val="left"/>
                      <w:rPr>
                        <w:sz w:val="16"/>
                      </w:rPr>
                    </w:pPr>
                    <w:r>
                      <w:rPr>
                        <w:sz w:val="16"/>
                      </w:rPr>
                      <w:t>Total income Total wealth</w:t>
                    </w:r>
                  </w:p>
                  <w:p>
                    <w:pPr>
                      <w:spacing w:line="184" w:lineRule="exact" w:before="0"/>
                      <w:ind w:left="0" w:right="0" w:firstLine="0"/>
                      <w:jc w:val="left"/>
                      <w:rPr>
                        <w:sz w:val="16"/>
                      </w:rPr>
                    </w:pPr>
                    <w:r>
                      <w:rPr>
                        <w:sz w:val="16"/>
                      </w:rPr>
                      <w:t>Unemployment effect</w:t>
                    </w:r>
                  </w:p>
                  <w:p>
                    <w:pPr>
                      <w:spacing w:before="87"/>
                      <w:ind w:left="0" w:right="0" w:firstLine="0"/>
                      <w:jc w:val="left"/>
                      <w:rPr>
                        <w:sz w:val="16"/>
                      </w:rPr>
                    </w:pPr>
                    <w:r>
                      <w:rPr>
                        <w:sz w:val="16"/>
                      </w:rPr>
                      <w:t>Total</w:t>
                    </w:r>
                  </w:p>
                </w:txbxContent>
              </v:textbox>
              <w10:wrap type="none"/>
            </v:shape>
            <v:shape style="position:absolute;left:6242;top:3211;width:3909;height:180" type="#_x0000_t202" filled="false" stroked="false">
              <v:textbox inset="0,0,0,0">
                <w:txbxContent>
                  <w:p>
                    <w:pPr>
                      <w:tabs>
                        <w:tab w:pos="375" w:val="left" w:leader="none"/>
                        <w:tab w:pos="751" w:val="left" w:leader="none"/>
                        <w:tab w:pos="1126" w:val="left" w:leader="none"/>
                        <w:tab w:pos="1501" w:val="left" w:leader="none"/>
                        <w:tab w:pos="1877" w:val="left" w:leader="none"/>
                        <w:tab w:pos="2253" w:val="left" w:leader="none"/>
                        <w:tab w:pos="2628" w:val="left" w:leader="none"/>
                        <w:tab w:pos="3004" w:val="left" w:leader="none"/>
                        <w:tab w:pos="3335" w:val="left" w:leader="none"/>
                      </w:tabs>
                      <w:spacing w:line="179" w:lineRule="exact" w:before="0"/>
                      <w:ind w:left="0" w:right="0" w:firstLine="0"/>
                      <w:jc w:val="left"/>
                      <w:rPr>
                        <w:sz w:val="16"/>
                      </w:rPr>
                    </w:pPr>
                    <w:r>
                      <w:rPr>
                        <w:sz w:val="16"/>
                      </w:rPr>
                      <w:t>1</w:t>
                      <w:tab/>
                      <w:t>2</w:t>
                      <w:tab/>
                      <w:t>3</w:t>
                      <w:tab/>
                      <w:t>4</w:t>
                      <w:tab/>
                      <w:t>5</w:t>
                      <w:tab/>
                      <w:t>6</w:t>
                      <w:tab/>
                      <w:t>7</w:t>
                      <w:tab/>
                      <w:t>8</w:t>
                      <w:tab/>
                      <w:t>9</w:t>
                      <w:tab/>
                      <w:t>10</w:t>
                    </w:r>
                    <w:r>
                      <w:rPr>
                        <w:spacing w:val="17"/>
                        <w:sz w:val="16"/>
                      </w:rPr>
                      <w:t> </w:t>
                    </w:r>
                    <w:r>
                      <w:rPr>
                        <w:sz w:val="16"/>
                      </w:rPr>
                      <w:t>All</w:t>
                    </w:r>
                  </w:p>
                </w:txbxContent>
              </v:textbox>
              <w10:wrap type="none"/>
            </v:shape>
            <w10:wrap type="none"/>
          </v:group>
        </w:pict>
      </w:r>
      <w:r>
        <w:rPr>
          <w:sz w:val="16"/>
        </w:rPr>
        <w:t>0.035</w:t>
      </w:r>
    </w:p>
    <w:p>
      <w:pPr>
        <w:spacing w:after="0"/>
        <w:jc w:val="right"/>
        <w:rPr>
          <w:sz w:val="16"/>
        </w:rPr>
        <w:sectPr>
          <w:pgSz w:w="11910" w:h="16840"/>
          <w:pgMar w:header="0" w:footer="1334" w:top="1340" w:bottom="1520" w:left="820" w:right="960"/>
          <w:cols w:num="2" w:equalWidth="0">
            <w:col w:w="4829" w:space="40"/>
            <w:col w:w="5261"/>
          </w:cols>
        </w:sectPr>
      </w:pPr>
    </w:p>
    <w:p>
      <w:pPr>
        <w:spacing w:before="8"/>
        <w:ind w:left="1229" w:right="0" w:firstLine="0"/>
        <w:jc w:val="left"/>
        <w:rPr>
          <w:sz w:val="16"/>
        </w:rPr>
      </w:pPr>
      <w:r>
        <w:rPr>
          <w:sz w:val="16"/>
        </w:rPr>
        <w:t>House prices</w:t>
      </w:r>
    </w:p>
    <w:p>
      <w:pPr>
        <w:tabs>
          <w:tab w:pos="4828" w:val="right" w:leader="none"/>
        </w:tabs>
        <w:spacing w:line="180" w:lineRule="auto" w:before="46"/>
        <w:ind w:left="1229" w:right="0" w:firstLine="0"/>
        <w:jc w:val="left"/>
        <w:rPr>
          <w:sz w:val="16"/>
        </w:rPr>
      </w:pPr>
      <w:r>
        <w:rPr>
          <w:sz w:val="16"/>
        </w:rPr>
        <w:t>Inflation</w:t>
      </w:r>
      <w:r>
        <w:rPr>
          <w:spacing w:val="-1"/>
          <w:sz w:val="16"/>
        </w:rPr>
        <w:t> </w:t>
      </w:r>
      <w:r>
        <w:rPr>
          <w:sz w:val="16"/>
        </w:rPr>
        <w:t>effects</w:t>
        <w:tab/>
      </w:r>
      <w:r>
        <w:rPr>
          <w:position w:val="-9"/>
          <w:sz w:val="16"/>
        </w:rPr>
        <w:t>40</w:t>
      </w:r>
    </w:p>
    <w:p>
      <w:pPr>
        <w:spacing w:line="151" w:lineRule="exact" w:before="0"/>
        <w:ind w:left="1229" w:right="0" w:firstLine="0"/>
        <w:jc w:val="left"/>
        <w:rPr>
          <w:sz w:val="16"/>
        </w:rPr>
      </w:pPr>
      <w:r>
        <w:rPr>
          <w:sz w:val="16"/>
        </w:rPr>
        <w:t>Financial asset prices</w:t>
      </w:r>
    </w:p>
    <w:p>
      <w:pPr>
        <w:spacing w:line="176" w:lineRule="exact" w:before="34"/>
        <w:ind w:left="1229" w:right="0" w:firstLine="0"/>
        <w:jc w:val="left"/>
        <w:rPr>
          <w:sz w:val="16"/>
        </w:rPr>
      </w:pPr>
      <w:r>
        <w:rPr>
          <w:sz w:val="16"/>
        </w:rPr>
        <w:t>Macro effects on labour income</w:t>
      </w:r>
    </w:p>
    <w:p>
      <w:pPr>
        <w:tabs>
          <w:tab w:pos="4828" w:val="right" w:leader="none"/>
        </w:tabs>
        <w:spacing w:line="226" w:lineRule="exact" w:before="0"/>
        <w:ind w:left="1229" w:right="0" w:firstLine="0"/>
        <w:jc w:val="left"/>
        <w:rPr>
          <w:sz w:val="16"/>
        </w:rPr>
      </w:pPr>
      <w:r>
        <w:rPr>
          <w:sz w:val="16"/>
        </w:rPr>
        <w:t>Total</w:t>
        <w:tab/>
      </w:r>
      <w:r>
        <w:rPr>
          <w:position w:val="5"/>
          <w:sz w:val="16"/>
        </w:rPr>
        <w:t>30</w:t>
      </w:r>
    </w:p>
    <w:p>
      <w:pPr>
        <w:pStyle w:val="BodyText"/>
        <w:spacing w:before="7"/>
        <w:rPr>
          <w:sz w:val="23"/>
        </w:rPr>
      </w:pPr>
    </w:p>
    <w:p>
      <w:pPr>
        <w:spacing w:before="0"/>
        <w:ind w:left="0" w:right="38" w:firstLine="0"/>
        <w:jc w:val="right"/>
        <w:rPr>
          <w:sz w:val="16"/>
        </w:rPr>
      </w:pPr>
      <w:r>
        <w:rPr>
          <w:spacing w:val="-1"/>
          <w:sz w:val="16"/>
        </w:rPr>
        <w:t>20</w:t>
      </w:r>
    </w:p>
    <w:p>
      <w:pPr>
        <w:pStyle w:val="BodyText"/>
        <w:rPr>
          <w:sz w:val="18"/>
        </w:rPr>
      </w:pPr>
    </w:p>
    <w:p>
      <w:pPr>
        <w:spacing w:before="115"/>
        <w:ind w:left="0" w:right="38" w:firstLine="0"/>
        <w:jc w:val="right"/>
        <w:rPr>
          <w:sz w:val="16"/>
        </w:rPr>
      </w:pPr>
      <w:r>
        <w:rPr>
          <w:spacing w:val="-1"/>
          <w:sz w:val="16"/>
        </w:rPr>
        <w:t>10</w:t>
      </w:r>
    </w:p>
    <w:p>
      <w:pPr>
        <w:pStyle w:val="BodyText"/>
        <w:rPr>
          <w:sz w:val="18"/>
        </w:rPr>
      </w:pPr>
    </w:p>
    <w:p>
      <w:pPr>
        <w:spacing w:before="116"/>
        <w:ind w:left="0" w:right="126" w:firstLine="0"/>
        <w:jc w:val="right"/>
        <w:rPr>
          <w:sz w:val="16"/>
        </w:rPr>
      </w:pPr>
      <w:r>
        <w:rPr>
          <w:w w:val="100"/>
          <w:sz w:val="16"/>
        </w:rPr>
        <w:t>0</w:t>
      </w:r>
    </w:p>
    <w:p>
      <w:pPr>
        <w:pStyle w:val="BodyText"/>
        <w:spacing w:before="5"/>
        <w:rPr>
          <w:sz w:val="21"/>
        </w:rPr>
      </w:pPr>
      <w:r>
        <w:rPr/>
        <w:br w:type="column"/>
      </w:r>
      <w:r>
        <w:rPr>
          <w:sz w:val="21"/>
        </w:rPr>
      </w:r>
    </w:p>
    <w:p>
      <w:pPr>
        <w:spacing w:before="0"/>
        <w:ind w:left="0" w:right="263" w:firstLine="0"/>
        <w:jc w:val="right"/>
        <w:rPr>
          <w:sz w:val="16"/>
        </w:rPr>
      </w:pPr>
      <w:r>
        <w:rPr>
          <w:sz w:val="16"/>
        </w:rPr>
        <w:t>0.03</w:t>
      </w:r>
    </w:p>
    <w:p>
      <w:pPr>
        <w:pStyle w:val="BodyText"/>
        <w:spacing w:before="5"/>
        <w:rPr>
          <w:sz w:val="21"/>
        </w:rPr>
      </w:pPr>
    </w:p>
    <w:p>
      <w:pPr>
        <w:spacing w:before="1"/>
        <w:ind w:left="0" w:right="175" w:firstLine="0"/>
        <w:jc w:val="right"/>
        <w:rPr>
          <w:sz w:val="16"/>
        </w:rPr>
      </w:pPr>
      <w:r>
        <w:rPr>
          <w:sz w:val="16"/>
        </w:rPr>
        <w:t>0.025</w:t>
      </w:r>
    </w:p>
    <w:p>
      <w:pPr>
        <w:pStyle w:val="BodyText"/>
        <w:spacing w:before="5"/>
        <w:rPr>
          <w:sz w:val="21"/>
        </w:rPr>
      </w:pPr>
    </w:p>
    <w:p>
      <w:pPr>
        <w:spacing w:before="0"/>
        <w:ind w:left="0" w:right="263" w:firstLine="0"/>
        <w:jc w:val="right"/>
        <w:rPr>
          <w:sz w:val="16"/>
        </w:rPr>
      </w:pPr>
      <w:r>
        <w:rPr>
          <w:sz w:val="16"/>
        </w:rPr>
        <w:t>0.02</w:t>
      </w:r>
    </w:p>
    <w:p>
      <w:pPr>
        <w:pStyle w:val="BodyText"/>
        <w:spacing w:before="5"/>
        <w:rPr>
          <w:sz w:val="21"/>
        </w:rPr>
      </w:pPr>
    </w:p>
    <w:p>
      <w:pPr>
        <w:spacing w:before="1"/>
        <w:ind w:left="0" w:right="175" w:firstLine="0"/>
        <w:jc w:val="right"/>
        <w:rPr>
          <w:sz w:val="16"/>
        </w:rPr>
      </w:pPr>
      <w:r>
        <w:rPr>
          <w:sz w:val="16"/>
        </w:rPr>
        <w:t>0.015</w:t>
      </w:r>
    </w:p>
    <w:p>
      <w:pPr>
        <w:pStyle w:val="BodyText"/>
        <w:spacing w:before="5"/>
        <w:rPr>
          <w:sz w:val="21"/>
        </w:rPr>
      </w:pPr>
    </w:p>
    <w:p>
      <w:pPr>
        <w:spacing w:before="0"/>
        <w:ind w:left="0" w:right="263" w:firstLine="0"/>
        <w:jc w:val="right"/>
        <w:rPr>
          <w:sz w:val="16"/>
        </w:rPr>
      </w:pPr>
      <w:r>
        <w:rPr>
          <w:sz w:val="16"/>
        </w:rPr>
        <w:t>0.01</w:t>
      </w:r>
    </w:p>
    <w:p>
      <w:pPr>
        <w:pStyle w:val="BodyText"/>
        <w:spacing w:before="6"/>
        <w:rPr>
          <w:sz w:val="21"/>
        </w:rPr>
      </w:pPr>
    </w:p>
    <w:p>
      <w:pPr>
        <w:spacing w:before="0"/>
        <w:ind w:left="0" w:right="175" w:firstLine="0"/>
        <w:jc w:val="right"/>
        <w:rPr>
          <w:sz w:val="16"/>
        </w:rPr>
      </w:pPr>
      <w:r>
        <w:rPr>
          <w:sz w:val="16"/>
        </w:rPr>
        <w:t>0.005</w:t>
      </w:r>
    </w:p>
    <w:p>
      <w:pPr>
        <w:spacing w:after="0"/>
        <w:jc w:val="right"/>
        <w:rPr>
          <w:sz w:val="16"/>
        </w:rPr>
        <w:sectPr>
          <w:type w:val="continuous"/>
          <w:pgSz w:w="11910" w:h="16840"/>
          <w:pgMar w:top="1180" w:bottom="1520" w:left="820" w:right="960"/>
          <w:cols w:num="2" w:equalWidth="0">
            <w:col w:w="4869" w:space="3450"/>
            <w:col w:w="1811"/>
          </w:cols>
        </w:sectPr>
      </w:pPr>
    </w:p>
    <w:p>
      <w:pPr>
        <w:pStyle w:val="BodyText"/>
        <w:spacing w:before="1"/>
        <w:rPr>
          <w:sz w:val="13"/>
        </w:rPr>
      </w:pPr>
    </w:p>
    <w:p>
      <w:pPr>
        <w:spacing w:after="0"/>
        <w:rPr>
          <w:sz w:val="13"/>
        </w:rPr>
        <w:sectPr>
          <w:type w:val="continuous"/>
          <w:pgSz w:w="11910" w:h="16840"/>
          <w:pgMar w:top="1180" w:bottom="1520" w:left="820" w:right="960"/>
        </w:sectPr>
      </w:pPr>
    </w:p>
    <w:p>
      <w:pPr>
        <w:pStyle w:val="BodyText"/>
        <w:spacing w:before="8"/>
        <w:rPr>
          <w:sz w:val="26"/>
        </w:rPr>
      </w:pPr>
    </w:p>
    <w:p>
      <w:pPr>
        <w:tabs>
          <w:tab w:pos="890" w:val="left" w:leader="none"/>
          <w:tab w:pos="1267" w:val="left" w:leader="none"/>
          <w:tab w:pos="1643" w:val="left" w:leader="none"/>
          <w:tab w:pos="2020" w:val="left" w:leader="none"/>
          <w:tab w:pos="2397" w:val="left" w:leader="none"/>
          <w:tab w:pos="2773" w:val="left" w:leader="none"/>
          <w:tab w:pos="3150" w:val="left" w:leader="none"/>
          <w:tab w:pos="3527" w:val="left" w:leader="none"/>
          <w:tab w:pos="3858" w:val="left" w:leader="none"/>
        </w:tabs>
        <w:spacing w:before="1"/>
        <w:ind w:left="513" w:right="0" w:firstLine="0"/>
        <w:jc w:val="left"/>
        <w:rPr>
          <w:sz w:val="16"/>
        </w:rPr>
      </w:pPr>
      <w:r>
        <w:rPr>
          <w:sz w:val="16"/>
        </w:rPr>
        <w:t>1</w:t>
        <w:tab/>
        <w:t>2</w:t>
        <w:tab/>
        <w:t>3</w:t>
        <w:tab/>
        <w:t>4</w:t>
        <w:tab/>
        <w:t>5</w:t>
        <w:tab/>
        <w:t>6</w:t>
        <w:tab/>
        <w:t>7</w:t>
        <w:tab/>
        <w:t>8</w:t>
        <w:tab/>
        <w:t>9</w:t>
        <w:tab/>
      </w:r>
      <w:r>
        <w:rPr>
          <w:spacing w:val="-11"/>
          <w:sz w:val="16"/>
        </w:rPr>
        <w:t>10</w:t>
      </w:r>
    </w:p>
    <w:p>
      <w:pPr>
        <w:spacing w:before="42"/>
        <w:ind w:left="1711" w:right="0" w:firstLine="0"/>
        <w:jc w:val="left"/>
        <w:rPr>
          <w:sz w:val="16"/>
        </w:rPr>
      </w:pPr>
      <w:r>
        <w:rPr>
          <w:sz w:val="16"/>
        </w:rPr>
        <w:t>Income decile in 2012-14</w:t>
      </w:r>
    </w:p>
    <w:p>
      <w:pPr>
        <w:pStyle w:val="BodyText"/>
        <w:rPr>
          <w:sz w:val="15"/>
        </w:rPr>
      </w:pPr>
    </w:p>
    <w:p>
      <w:pPr>
        <w:spacing w:before="0"/>
        <w:ind w:left="313" w:right="0" w:firstLine="0"/>
        <w:jc w:val="left"/>
        <w:rPr>
          <w:sz w:val="16"/>
        </w:rPr>
      </w:pPr>
      <w:r>
        <w:rPr>
          <w:sz w:val="16"/>
        </w:rPr>
        <w:t>Sources: ONS and Bank calculations</w:t>
      </w:r>
    </w:p>
    <w:p>
      <w:pPr>
        <w:pStyle w:val="BodyText"/>
        <w:spacing w:before="8"/>
        <w:rPr>
          <w:sz w:val="26"/>
        </w:rPr>
      </w:pPr>
      <w:r>
        <w:rPr/>
        <w:br w:type="column"/>
      </w:r>
      <w:r>
        <w:rPr>
          <w:sz w:val="26"/>
        </w:rPr>
      </w:r>
    </w:p>
    <w:p>
      <w:pPr>
        <w:spacing w:before="1"/>
        <w:ind w:left="159" w:right="0" w:firstLine="0"/>
        <w:jc w:val="left"/>
        <w:rPr>
          <w:sz w:val="16"/>
        </w:rPr>
      </w:pPr>
      <w:r>
        <w:rPr>
          <w:sz w:val="16"/>
        </w:rPr>
        <w:t>All</w:t>
      </w:r>
    </w:p>
    <w:p>
      <w:pPr>
        <w:spacing w:before="117"/>
        <w:ind w:left="198" w:right="0" w:firstLine="0"/>
        <w:jc w:val="left"/>
        <w:rPr>
          <w:sz w:val="16"/>
        </w:rPr>
      </w:pPr>
      <w:r>
        <w:rPr/>
        <w:br w:type="column"/>
      </w:r>
      <w:r>
        <w:rPr>
          <w:spacing w:val="-1"/>
          <w:sz w:val="16"/>
        </w:rPr>
        <w:t>-10</w:t>
      </w:r>
    </w:p>
    <w:p>
      <w:pPr>
        <w:spacing w:before="96"/>
        <w:ind w:left="0" w:right="488" w:firstLine="0"/>
        <w:jc w:val="right"/>
        <w:rPr>
          <w:sz w:val="16"/>
        </w:rPr>
      </w:pPr>
      <w:r>
        <w:rPr/>
        <w:br w:type="column"/>
      </w:r>
      <w:r>
        <w:rPr>
          <w:sz w:val="16"/>
        </w:rPr>
        <w:t>0</w:t>
      </w:r>
    </w:p>
    <w:p>
      <w:pPr>
        <w:pStyle w:val="BodyText"/>
        <w:spacing w:before="10"/>
        <w:rPr>
          <w:sz w:val="14"/>
        </w:rPr>
      </w:pPr>
    </w:p>
    <w:p>
      <w:pPr>
        <w:spacing w:line="310" w:lineRule="atLeast" w:before="0"/>
        <w:ind w:left="145" w:right="1764" w:firstLine="1492"/>
        <w:jc w:val="left"/>
        <w:rPr>
          <w:sz w:val="16"/>
        </w:rPr>
      </w:pPr>
      <w:r>
        <w:rPr>
          <w:sz w:val="16"/>
        </w:rPr>
        <w:t>Income decile in 2012-14 Sources: ONS and Bank calculations</w:t>
      </w:r>
    </w:p>
    <w:p>
      <w:pPr>
        <w:spacing w:after="0" w:line="310" w:lineRule="atLeast"/>
        <w:jc w:val="left"/>
        <w:rPr>
          <w:sz w:val="16"/>
        </w:rPr>
        <w:sectPr>
          <w:type w:val="continuous"/>
          <w:pgSz w:w="11910" w:h="16840"/>
          <w:pgMar w:top="1180" w:bottom="1520" w:left="820" w:right="960"/>
          <w:cols w:num="4" w:equalWidth="0">
            <w:col w:w="4037" w:space="40"/>
            <w:col w:w="337" w:space="39"/>
            <w:col w:w="429" w:space="39"/>
            <w:col w:w="5209"/>
          </w:cols>
        </w:sectPr>
      </w:pPr>
    </w:p>
    <w:p>
      <w:pPr>
        <w:spacing w:line="276" w:lineRule="auto" w:before="28"/>
        <w:ind w:left="313" w:right="5034" w:firstLine="0"/>
        <w:jc w:val="left"/>
        <w:rPr>
          <w:sz w:val="16"/>
        </w:rPr>
      </w:pPr>
      <w:r>
        <w:rPr>
          <w:sz w:val="16"/>
        </w:rPr>
        <w:t>Note: Chart shows average cumulative real impact of QE since 2007 as of 2012-14 as a percentage of annual income.</w:t>
      </w:r>
    </w:p>
    <w:p>
      <w:pPr>
        <w:pStyle w:val="BodyText"/>
      </w:pPr>
    </w:p>
    <w:p>
      <w:pPr>
        <w:pStyle w:val="BodyText"/>
      </w:pPr>
    </w:p>
    <w:p>
      <w:pPr>
        <w:pStyle w:val="BodyText"/>
      </w:pPr>
    </w:p>
    <w:p>
      <w:pPr>
        <w:pStyle w:val="BodyText"/>
        <w:spacing w:before="8"/>
        <w:rPr>
          <w:sz w:val="23"/>
        </w:rPr>
      </w:pPr>
    </w:p>
    <w:p>
      <w:pPr>
        <w:spacing w:after="0"/>
        <w:rPr>
          <w:sz w:val="23"/>
        </w:rPr>
        <w:sectPr>
          <w:type w:val="continuous"/>
          <w:pgSz w:w="11910" w:h="16840"/>
          <w:pgMar w:top="1180" w:bottom="1520" w:left="820" w:right="960"/>
        </w:sectPr>
      </w:pPr>
    </w:p>
    <w:p>
      <w:pPr>
        <w:pStyle w:val="Heading1"/>
        <w:spacing w:line="276" w:lineRule="auto" w:before="93"/>
      </w:pPr>
      <w:r>
        <w:rPr/>
        <w:t>Chart 23: Impact of monetary policy on welfare, across the age distribution</w:t>
      </w:r>
    </w:p>
    <w:p>
      <w:pPr>
        <w:spacing w:line="154" w:lineRule="exact" w:before="159"/>
        <w:ind w:left="3923" w:right="0" w:firstLine="0"/>
        <w:jc w:val="left"/>
        <w:rPr>
          <w:sz w:val="16"/>
        </w:rPr>
      </w:pPr>
      <w:r>
        <w:rPr>
          <w:sz w:val="16"/>
        </w:rPr>
        <w:t>Utility</w:t>
      </w:r>
    </w:p>
    <w:p>
      <w:pPr>
        <w:spacing w:line="154" w:lineRule="exact" w:before="0"/>
        <w:ind w:left="1452" w:right="0" w:firstLine="0"/>
        <w:jc w:val="left"/>
        <w:rPr>
          <w:sz w:val="16"/>
        </w:rPr>
      </w:pPr>
      <w:r>
        <w:rPr/>
        <w:pict>
          <v:group style="position:absolute;margin-left:58.32pt;margin-top:6.464303pt;width:197.05pt;height:160.3pt;mso-position-horizontal-relative:page;mso-position-vertical-relative:paragraph;z-index:-255028224" coordorigin="1166,129" coordsize="3941,3206">
            <v:line style="position:absolute" from="1320,2405" to="1320,2693" stroked="true" strokeweight="6pt" strokecolor="#c0504d">
              <v:stroke dashstyle="solid"/>
            </v:line>
            <v:rect style="position:absolute;left:1260;top:2340;width:120;height:65" filled="true" fillcolor="#4f81bc" stroked="false">
              <v:fill type="solid"/>
            </v:rect>
            <v:line style="position:absolute" from="1320,922" to="1320,2340" stroked="true" strokeweight="6pt" strokecolor="#00af50">
              <v:stroke dashstyle="solid"/>
            </v:line>
            <v:line style="position:absolute" from="1622,2225" to="1622,2693" stroked="true" strokeweight="6pt" strokecolor="#c0504d">
              <v:stroke dashstyle="solid"/>
            </v:line>
            <v:line style="position:absolute" from="1622,2045" to="1622,2225" stroked="true" strokeweight="6pt" strokecolor="#4f81bc">
              <v:stroke dashstyle="solid"/>
            </v:line>
            <v:line style="position:absolute" from="1622,747" to="1622,2045" stroked="true" strokeweight="6pt" strokecolor="#00af50">
              <v:stroke dashstyle="solid"/>
            </v:line>
            <v:line style="position:absolute" from="1926,2309" to="1926,2693" stroked="true" strokeweight="6.12pt" strokecolor="#c0504d">
              <v:stroke dashstyle="solid"/>
            </v:line>
            <v:rect style="position:absolute;left:1864;top:2182;width:123;height:128" filled="true" fillcolor="#4f81bc" stroked="false">
              <v:fill type="solid"/>
            </v:rect>
            <v:line style="position:absolute" from="1926,1162" to="1926,2182" stroked="true" strokeweight="6.12pt" strokecolor="#00af50">
              <v:stroke dashstyle="solid"/>
            </v:line>
            <v:line style="position:absolute" from="2228,2235" to="2228,2693" stroked="true" strokeweight="6.12pt" strokecolor="#c0504d">
              <v:stroke dashstyle="solid"/>
            </v:line>
            <v:line style="position:absolute" from="2228,2088" to="2228,2235" stroked="true" strokeweight="6.12pt" strokecolor="#4f81bc">
              <v:stroke dashstyle="solid"/>
            </v:line>
            <v:line style="position:absolute" from="2228,1164" to="2228,2088" stroked="true" strokeweight="6.12pt" strokecolor="#00af50">
              <v:stroke dashstyle="solid"/>
            </v:line>
            <v:line style="position:absolute" from="2531,2448" to="2531,2693" stroked="true" strokeweight="6.12pt" strokecolor="#c0504d">
              <v:stroke dashstyle="solid"/>
            </v:line>
            <v:line style="position:absolute" from="2531,2244" to="2531,2448" stroked="true" strokeweight="6.12pt" strokecolor="#4f81bc">
              <v:stroke dashstyle="solid"/>
            </v:line>
            <v:line style="position:absolute" from="2531,1114" to="2531,2244" stroked="true" strokeweight="6.12pt" strokecolor="#00af50">
              <v:stroke dashstyle="solid"/>
            </v:line>
            <v:line style="position:absolute" from="2834,2480" to="2834,2693" stroked="true" strokeweight="6pt" strokecolor="#c0504d">
              <v:stroke dashstyle="solid"/>
            </v:line>
            <v:line style="position:absolute" from="2834,2288" to="2834,2480" stroked="true" strokeweight="6pt" strokecolor="#4f81bc">
              <v:stroke dashstyle="solid"/>
            </v:line>
            <v:line style="position:absolute" from="2834,1210" to="2834,2288" stroked="true" strokeweight="6pt" strokecolor="#00af50">
              <v:stroke dashstyle="solid"/>
            </v:line>
            <v:rect style="position:absolute;left:3076;top:2575;width:120;height:118" filled="true" fillcolor="#c0504d" stroked="false">
              <v:fill type="solid"/>
            </v:rect>
            <v:line style="position:absolute" from="3137,2400" to="3137,2576" stroked="true" strokeweight="6pt" strokecolor="#4f81bc">
              <v:stroke dashstyle="solid"/>
            </v:line>
            <v:line style="position:absolute" from="3137,1556" to="3137,2400" stroked="true" strokeweight="6pt" strokecolor="#00af50">
              <v:stroke dashstyle="solid"/>
            </v:line>
            <v:rect style="position:absolute;left:3379;top:2671;width:120;height:22" filled="true" fillcolor="#c0504d" stroked="false">
              <v:fill type="solid"/>
            </v:rect>
            <v:line style="position:absolute" from="3439,2504" to="3439,2672" stroked="true" strokeweight="6pt" strokecolor="#4f81bc">
              <v:stroke dashstyle="solid"/>
            </v:line>
            <v:line style="position:absolute" from="3439,1877" to="3439,2504" stroked="true" strokeweight="6pt" strokecolor="#00af50">
              <v:stroke dashstyle="solid"/>
            </v:line>
            <v:rect style="position:absolute;left:3681;top:2693;width:123;height:72" filled="true" fillcolor="#c0504d" stroked="false">
              <v:fill type="solid"/>
            </v:rect>
            <v:line style="position:absolute" from="3743,2513" to="3743,2693" stroked="true" strokeweight="6.12pt" strokecolor="#4f81bc">
              <v:stroke dashstyle="solid"/>
            </v:line>
            <v:line style="position:absolute" from="3743,2199" to="3743,2513" stroked="true" strokeweight="6.12pt" strokecolor="#00af50">
              <v:stroke dashstyle="solid"/>
            </v:line>
            <v:rect style="position:absolute;left:3984;top:2693;width:123;height:80" filled="true" fillcolor="#c0504d" stroked="false">
              <v:fill type="solid"/>
            </v:rect>
            <v:line style="position:absolute" from="4045,2540" to="4045,2693" stroked="true" strokeweight="6.12pt" strokecolor="#4f81bc">
              <v:stroke dashstyle="solid"/>
            </v:line>
            <v:line style="position:absolute" from="4045,2396" to="4045,2540" stroked="true" strokeweight="6.12pt" strokecolor="#00af50">
              <v:stroke dashstyle="solid"/>
            </v:line>
            <v:rect style="position:absolute;left:4288;top:2693;width:120;height:96" filled="true" fillcolor="#c0504d" stroked="false">
              <v:fill type="solid"/>
            </v:rect>
            <v:rect style="position:absolute;left:4288;top:2563;width:120;height:130" filled="true" fillcolor="#4f81bc" stroked="false">
              <v:fill type="solid"/>
            </v:rect>
            <v:rect style="position:absolute;left:4288;top:2472;width:120;height:92" filled="true" fillcolor="#00af50" stroked="false">
              <v:fill type="solid"/>
            </v:rect>
            <v:rect style="position:absolute;left:4591;top:2693;width:120;height:130" filled="true" fillcolor="#c0504d" stroked="false">
              <v:fill type="solid"/>
            </v:rect>
            <v:rect style="position:absolute;left:4591;top:2630;width:120;height:63" filled="true" fillcolor="#4f81bc" stroked="false">
              <v:fill type="solid"/>
            </v:rect>
            <v:rect style="position:absolute;left:4591;top:2587;width:120;height:44" filled="true" fillcolor="#00af50" stroked="false">
              <v:fill type="solid"/>
            </v:rect>
            <v:line style="position:absolute" from="4954,2528" to="4954,2693" stroked="true" strokeweight="6pt" strokecolor="#c0504d">
              <v:stroke dashstyle="solid"/>
            </v:line>
            <v:line style="position:absolute" from="4954,2376" to="4954,2528" stroked="true" strokeweight="6pt" strokecolor="#4f81bc">
              <v:stroke dashstyle="solid"/>
            </v:line>
            <v:line style="position:absolute" from="4954,1596" to="4954,2376" stroked="true" strokeweight="6pt" strokecolor="#00af50">
              <v:stroke dashstyle="solid"/>
            </v:line>
            <v:shape style="position:absolute;left:1168;top:254;width:3936;height:2928" coordorigin="1169,255" coordsize="3936,2928" path="m5105,3183l5105,255m5057,3183l5105,3183m5057,2693l5105,2693m5057,2206l5105,2206m5057,1719l5105,1719m5057,1229l5105,1229m5057,742l5105,742m5057,255l5105,255m1169,2693l5105,2693m1169,2645l1169,2693m1471,2645l1471,2693m1774,2645l1774,2693m2076,2645l2076,2693m2381,2645l2381,2693m2683,2645l2683,2693m2986,2645l2986,2693m3288,2645l3288,2693m3590,2645l3590,2693m3895,2645l3895,2693m4198,2645l4198,2693m4500,2645l4500,2693m4802,2645l4802,2693m5105,2645l5105,2693e" filled="false" stroked="true" strokeweight=".24pt" strokecolor="#000000">
              <v:path arrowok="t"/>
              <v:stroke dashstyle="solid"/>
            </v:shape>
            <v:shape style="position:absolute;left:1238;top:667;width:3797;height:2132" coordorigin="1238,667" coordsize="3797,2132" path="m1399,921l1319,840,1238,921,1319,1001,1399,921m1704,748l1624,667,1543,748,1624,828,1704,748m2006,1163l1926,1083,1846,1163,1926,1243,2006,1163m2309,1163l2228,1083,2148,1163,2228,1243,2309,1163m2611,1115l2531,1035,2450,1115,2531,1195,2611,1115m2914,1211l2833,1131,2753,1211,2833,1291,2914,1211m3218,1554l3138,1474,3058,1554,3138,1635,3218,1554m3521,1876l3440,1795,3360,1876,3440,1956,3521,1876m3823,2272l3743,2191,3662,2272,3743,2352,3823,2272m4126,2473l4045,2393,3965,2473,4045,2554,4126,2473m4428,2567l4348,2487,4267,2567,4348,2647,4428,2567m4730,2718l4650,2638,4570,2718,4650,2799,4730,2718m5035,1597l4955,1517,4874,1597,4955,1678,5035,1597e" filled="true" fillcolor="#000000" stroked="false">
              <v:path arrowok="t"/>
              <v:fill type="solid"/>
            </v:shape>
            <v:rect style="position:absolute;left:2157;top:257;width:82;height:82" filled="true" fillcolor="#4f81bc" stroked="false">
              <v:fill type="solid"/>
            </v:rect>
            <v:rect style="position:absolute;left:2157;top:487;width:82;height:80" filled="true" fillcolor="#00af50" stroked="false">
              <v:fill type="solid"/>
            </v:rect>
            <v:shape style="position:absolute;left:2158;top:716;width:80;height:80" coordorigin="2158,717" coordsize="80,80" path="m2198,717l2158,757,2198,797,2238,757,2198,717xe" filled="true" fillcolor="#000000" stroked="false">
              <v:path arrowok="t"/>
              <v:fill type="solid"/>
            </v:shape>
            <v:line style="position:absolute" from="4814,129" to="4814,3334" stroked="true" strokeweight=".75pt" strokecolor="#000000">
              <v:stroke dashstyle="shortdash"/>
            </v:line>
            <w10:wrap type="none"/>
          </v:group>
        </w:pict>
      </w:r>
      <w:r>
        <w:rPr/>
        <w:pict>
          <v:rect style="position:absolute;margin-left:107.879997pt;margin-top:1.344302pt;width:4.08pt;height:4.08pt;mso-position-horizontal-relative:page;mso-position-vertical-relative:paragraph;z-index:251728896" filled="true" fillcolor="#c0504d" stroked="false">
            <v:fill type="solid"/>
            <w10:wrap type="none"/>
          </v:rect>
        </w:pict>
      </w:r>
      <w:r>
        <w:rPr>
          <w:sz w:val="16"/>
        </w:rPr>
        <w:t>Total income</w:t>
      </w:r>
    </w:p>
    <w:p>
      <w:pPr>
        <w:spacing w:line="300" w:lineRule="auto" w:before="46"/>
        <w:ind w:left="1452" w:right="1335" w:firstLine="0"/>
        <w:jc w:val="left"/>
        <w:rPr>
          <w:sz w:val="16"/>
        </w:rPr>
      </w:pPr>
      <w:r>
        <w:rPr>
          <w:sz w:val="16"/>
        </w:rPr>
        <w:t>Total wealth Unemployment effect Total</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spacing w:before="108"/>
        <w:ind w:left="412" w:right="0" w:firstLine="0"/>
        <w:jc w:val="left"/>
        <w:rPr>
          <w:sz w:val="16"/>
        </w:rPr>
      </w:pPr>
      <w:r>
        <w:rPr>
          <w:sz w:val="16"/>
        </w:rPr>
        <w:t>25 30 35 40 45 50 55 60 65 70 75 80 All</w:t>
      </w:r>
    </w:p>
    <w:p>
      <w:pPr>
        <w:spacing w:before="95"/>
        <w:ind w:left="1776" w:right="0" w:firstLine="0"/>
        <w:jc w:val="left"/>
        <w:rPr>
          <w:sz w:val="16"/>
        </w:rPr>
      </w:pPr>
      <w:r>
        <w:rPr>
          <w:sz w:val="16"/>
        </w:rPr>
        <w:t>2012-14 age group</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spacing w:before="10"/>
        <w:rPr>
          <w:sz w:val="22"/>
        </w:rPr>
      </w:pPr>
    </w:p>
    <w:p>
      <w:pPr>
        <w:spacing w:before="0"/>
        <w:ind w:left="67" w:right="0" w:firstLine="0"/>
        <w:jc w:val="left"/>
        <w:rPr>
          <w:sz w:val="16"/>
        </w:rPr>
      </w:pPr>
      <w:r>
        <w:rPr>
          <w:sz w:val="16"/>
        </w:rPr>
        <w:t>0.05</w:t>
      </w:r>
    </w:p>
    <w:p>
      <w:pPr>
        <w:pStyle w:val="BodyText"/>
        <w:spacing w:before="5"/>
        <w:rPr>
          <w:sz w:val="26"/>
        </w:rPr>
      </w:pPr>
    </w:p>
    <w:p>
      <w:pPr>
        <w:spacing w:before="1"/>
        <w:ind w:left="67" w:right="0" w:firstLine="0"/>
        <w:jc w:val="left"/>
        <w:rPr>
          <w:sz w:val="16"/>
        </w:rPr>
      </w:pPr>
      <w:r>
        <w:rPr>
          <w:sz w:val="16"/>
        </w:rPr>
        <w:t>0.04</w:t>
      </w:r>
    </w:p>
    <w:p>
      <w:pPr>
        <w:pStyle w:val="BodyText"/>
        <w:spacing w:before="4"/>
        <w:rPr>
          <w:sz w:val="26"/>
        </w:rPr>
      </w:pPr>
    </w:p>
    <w:p>
      <w:pPr>
        <w:spacing w:before="0"/>
        <w:ind w:left="67" w:right="0" w:firstLine="0"/>
        <w:jc w:val="left"/>
        <w:rPr>
          <w:sz w:val="16"/>
        </w:rPr>
      </w:pPr>
      <w:r>
        <w:rPr>
          <w:sz w:val="16"/>
        </w:rPr>
        <w:t>0.03</w:t>
      </w:r>
    </w:p>
    <w:p>
      <w:pPr>
        <w:pStyle w:val="BodyText"/>
        <w:spacing w:before="5"/>
        <w:rPr>
          <w:sz w:val="26"/>
        </w:rPr>
      </w:pPr>
    </w:p>
    <w:p>
      <w:pPr>
        <w:spacing w:before="0"/>
        <w:ind w:left="67" w:right="0" w:firstLine="0"/>
        <w:jc w:val="left"/>
        <w:rPr>
          <w:sz w:val="16"/>
        </w:rPr>
      </w:pPr>
      <w:r>
        <w:rPr>
          <w:sz w:val="16"/>
        </w:rPr>
        <w:t>0.02</w:t>
      </w:r>
    </w:p>
    <w:p>
      <w:pPr>
        <w:pStyle w:val="BodyText"/>
        <w:spacing w:before="6"/>
        <w:rPr>
          <w:sz w:val="26"/>
        </w:rPr>
      </w:pPr>
    </w:p>
    <w:p>
      <w:pPr>
        <w:spacing w:before="0"/>
        <w:ind w:left="67" w:right="0" w:firstLine="0"/>
        <w:jc w:val="left"/>
        <w:rPr>
          <w:sz w:val="16"/>
        </w:rPr>
      </w:pPr>
      <w:r>
        <w:rPr>
          <w:sz w:val="16"/>
        </w:rPr>
        <w:t>0.01</w:t>
      </w:r>
    </w:p>
    <w:p>
      <w:pPr>
        <w:pStyle w:val="BodyText"/>
        <w:spacing w:before="4"/>
        <w:rPr>
          <w:sz w:val="26"/>
        </w:rPr>
      </w:pPr>
    </w:p>
    <w:p>
      <w:pPr>
        <w:spacing w:before="0"/>
        <w:ind w:left="67" w:right="0" w:firstLine="0"/>
        <w:jc w:val="left"/>
        <w:rPr>
          <w:sz w:val="16"/>
        </w:rPr>
      </w:pPr>
      <w:r>
        <w:rPr>
          <w:w w:val="100"/>
          <w:sz w:val="16"/>
        </w:rPr>
        <w:t>0</w:t>
      </w:r>
    </w:p>
    <w:p>
      <w:pPr>
        <w:pStyle w:val="BodyText"/>
        <w:spacing w:before="5"/>
        <w:rPr>
          <w:sz w:val="26"/>
        </w:rPr>
      </w:pPr>
    </w:p>
    <w:p>
      <w:pPr>
        <w:spacing w:before="1"/>
        <w:ind w:left="67" w:right="0" w:firstLine="0"/>
        <w:jc w:val="left"/>
        <w:rPr>
          <w:sz w:val="16"/>
        </w:rPr>
      </w:pPr>
      <w:r>
        <w:rPr>
          <w:sz w:val="16"/>
        </w:rPr>
        <w:t>-0.01</w:t>
      </w:r>
    </w:p>
    <w:p>
      <w:pPr>
        <w:pStyle w:val="Heading1"/>
        <w:spacing w:line="276" w:lineRule="auto" w:before="93"/>
        <w:ind w:left="235"/>
      </w:pPr>
      <w:r>
        <w:rPr>
          <w:b w:val="0"/>
        </w:rPr>
        <w:br w:type="column"/>
      </w:r>
      <w:r>
        <w:rPr/>
        <w:t>Chart 24: Perceived impact of monetary policy on welfare, across the age distribution</w:t>
      </w:r>
    </w:p>
    <w:p>
      <w:pPr>
        <w:spacing w:before="85"/>
        <w:ind w:left="0" w:right="506" w:firstLine="0"/>
        <w:jc w:val="right"/>
        <w:rPr>
          <w:sz w:val="17"/>
        </w:rPr>
      </w:pPr>
      <w:r>
        <w:rPr>
          <w:w w:val="105"/>
          <w:sz w:val="17"/>
        </w:rPr>
        <w:t>Net</w:t>
      </w:r>
      <w:r>
        <w:rPr>
          <w:spacing w:val="-11"/>
          <w:w w:val="105"/>
          <w:sz w:val="17"/>
        </w:rPr>
        <w:t> </w:t>
      </w:r>
      <w:r>
        <w:rPr>
          <w:w w:val="105"/>
          <w:sz w:val="17"/>
        </w:rPr>
        <w:t>percentage</w:t>
      </w:r>
      <w:r>
        <w:rPr>
          <w:spacing w:val="-10"/>
          <w:w w:val="105"/>
          <w:sz w:val="17"/>
        </w:rPr>
        <w:t> </w:t>
      </w:r>
      <w:r>
        <w:rPr>
          <w:w w:val="105"/>
          <w:sz w:val="17"/>
        </w:rPr>
        <w:t>balance</w:t>
      </w:r>
      <w:r>
        <w:rPr>
          <w:spacing w:val="-11"/>
          <w:w w:val="105"/>
          <w:sz w:val="17"/>
        </w:rPr>
        <w:t> </w:t>
      </w:r>
      <w:r>
        <w:rPr>
          <w:w w:val="105"/>
          <w:sz w:val="17"/>
        </w:rPr>
        <w:t>of</w:t>
      </w:r>
      <w:r>
        <w:rPr>
          <w:spacing w:val="-12"/>
          <w:w w:val="105"/>
          <w:sz w:val="17"/>
        </w:rPr>
        <w:t> </w:t>
      </w:r>
      <w:r>
        <w:rPr>
          <w:w w:val="105"/>
          <w:sz w:val="17"/>
        </w:rPr>
        <w:t>household</w:t>
      </w:r>
      <w:r>
        <w:rPr>
          <w:spacing w:val="-8"/>
          <w:w w:val="105"/>
          <w:sz w:val="17"/>
        </w:rPr>
        <w:t> </w:t>
      </w:r>
      <w:r>
        <w:rPr>
          <w:w w:val="105"/>
          <w:sz w:val="17"/>
        </w:rPr>
        <w:t>who</w:t>
      </w:r>
      <w:r>
        <w:rPr>
          <w:spacing w:val="-12"/>
          <w:w w:val="105"/>
          <w:sz w:val="17"/>
        </w:rPr>
        <w:t> </w:t>
      </w:r>
      <w:r>
        <w:rPr>
          <w:w w:val="105"/>
          <w:sz w:val="17"/>
        </w:rPr>
        <w:t>think</w:t>
      </w:r>
      <w:r>
        <w:rPr>
          <w:spacing w:val="-11"/>
          <w:w w:val="105"/>
          <w:sz w:val="17"/>
        </w:rPr>
        <w:t> </w:t>
      </w:r>
      <w:r>
        <w:rPr>
          <w:w w:val="105"/>
          <w:sz w:val="17"/>
        </w:rPr>
        <w:t>lower</w:t>
      </w:r>
    </w:p>
    <w:p>
      <w:pPr>
        <w:spacing w:before="9"/>
        <w:ind w:left="0" w:right="500" w:firstLine="0"/>
        <w:jc w:val="right"/>
        <w:rPr>
          <w:sz w:val="17"/>
        </w:rPr>
      </w:pPr>
      <w:r>
        <w:rPr>
          <w:w w:val="105"/>
          <w:sz w:val="17"/>
        </w:rPr>
        <w:t>interest</w:t>
      </w:r>
      <w:r>
        <w:rPr>
          <w:spacing w:val="-10"/>
          <w:w w:val="105"/>
          <w:sz w:val="17"/>
        </w:rPr>
        <w:t> </w:t>
      </w:r>
      <w:r>
        <w:rPr>
          <w:w w:val="105"/>
          <w:sz w:val="17"/>
        </w:rPr>
        <w:t>rates</w:t>
      </w:r>
      <w:r>
        <w:rPr>
          <w:spacing w:val="-8"/>
          <w:w w:val="105"/>
          <w:sz w:val="17"/>
        </w:rPr>
        <w:t> </w:t>
      </w:r>
      <w:r>
        <w:rPr>
          <w:w w:val="105"/>
          <w:sz w:val="17"/>
        </w:rPr>
        <w:t>have</w:t>
      </w:r>
      <w:r>
        <w:rPr>
          <w:spacing w:val="-6"/>
          <w:w w:val="105"/>
          <w:sz w:val="17"/>
        </w:rPr>
        <w:t> </w:t>
      </w:r>
      <w:r>
        <w:rPr>
          <w:w w:val="105"/>
          <w:sz w:val="17"/>
        </w:rPr>
        <w:t>made</w:t>
      </w:r>
      <w:r>
        <w:rPr>
          <w:spacing w:val="-6"/>
          <w:w w:val="105"/>
          <w:sz w:val="17"/>
        </w:rPr>
        <w:t> </w:t>
      </w:r>
      <w:r>
        <w:rPr>
          <w:w w:val="105"/>
          <w:sz w:val="17"/>
        </w:rPr>
        <w:t>them</w:t>
      </w:r>
      <w:r>
        <w:rPr>
          <w:spacing w:val="-8"/>
          <w:w w:val="105"/>
          <w:sz w:val="17"/>
        </w:rPr>
        <w:t> </w:t>
      </w:r>
      <w:r>
        <w:rPr>
          <w:w w:val="105"/>
          <w:sz w:val="17"/>
        </w:rPr>
        <w:t>better</w:t>
      </w:r>
      <w:r>
        <w:rPr>
          <w:spacing w:val="-8"/>
          <w:w w:val="105"/>
          <w:sz w:val="17"/>
        </w:rPr>
        <w:t> </w:t>
      </w:r>
      <w:r>
        <w:rPr>
          <w:w w:val="105"/>
          <w:sz w:val="17"/>
        </w:rPr>
        <w:t>off</w:t>
      </w:r>
    </w:p>
    <w:p>
      <w:pPr>
        <w:spacing w:before="47"/>
        <w:ind w:left="0" w:right="440" w:firstLine="0"/>
        <w:jc w:val="right"/>
        <w:rPr>
          <w:sz w:val="17"/>
        </w:rPr>
      </w:pPr>
      <w:r>
        <w:rPr/>
        <w:pict>
          <v:group style="position:absolute;margin-left:313.902344pt;margin-top:7.153023pt;width:194.25pt;height:139.35pt;mso-position-horizontal-relative:page;mso-position-vertical-relative:paragraph;z-index:251729920" coordorigin="6278,143" coordsize="3885,2787">
            <v:rect style="position:absolute;left:6285;top:150;width:3870;height:2772" filled="false" stroked="true" strokeweight=".748345pt" strokecolor="#000000">
              <v:stroke dashstyle="solid"/>
            </v:rect>
            <v:shape style="position:absolute;left:6335;top:497;width:497;height:272" coordorigin="6335,497" coordsize="497,272" path="m6535,497l6335,497,6335,769,6535,769,6535,497m6832,497l6632,497,6632,682,6832,682,6832,497e" filled="true" fillcolor="#4f81bc" stroked="false">
              <v:path arrowok="t"/>
              <v:fill type="solid"/>
            </v:shape>
            <v:line style="position:absolute" from="6932,489" to="7129,489" stroked="true" strokeweight=".873015pt" strokecolor="#4f81bc">
              <v:stroke dashstyle="solid"/>
            </v:line>
            <v:line style="position:absolute" from="7229,527" to="7428,527" stroked="true" strokeweight="2.993194pt" strokecolor="#4f81bc">
              <v:stroke dashstyle="solid"/>
            </v:line>
            <v:line style="position:absolute" from="7525,494" to="7725,494" stroked="true" strokeweight=".374149pt" strokecolor="#4f81bc">
              <v:stroke dashstyle="solid"/>
            </v:line>
            <v:line style="position:absolute" from="7825,507" to="8022,507" stroked="true" strokeweight=".997731pt" strokecolor="#4f81bc">
              <v:stroke dashstyle="solid"/>
            </v:line>
            <v:shape style="position:absolute;left:8121;top:497;width:1986;height:2003" coordorigin="8122,497" coordsize="1986,2003" path="m8321,497l8122,497,8122,1460,8321,1460,8321,497m8618,497l8419,497,8419,1877,8618,1877,8618,497m8915,497l8718,497,8718,2395,8915,2395,8915,497m9214,497l9015,497,9015,2500,9214,2500,9214,497m9511,497l9312,497,9312,2263,9511,2263,9511,497m9808,497l9611,497,9611,2465,9808,2465,9808,497m10108,497l9908,497,9908,1178,10108,1178,10108,497e" filled="true" fillcolor="#4f81bc" stroked="false">
              <v:path arrowok="t"/>
              <v:fill type="solid"/>
            </v:shape>
            <v:shape style="position:absolute;left:216;top:4611;width:3723;height:2667" coordorigin="216,4611" coordsize="3723,2667" path="m10155,2922l10155,151m10103,2922l10155,2922m10103,2575l10155,2575m10103,2228l10155,2228m10103,1882l10155,1882m10103,1535l10155,1535m10103,1188l10155,1188m10103,841l10155,841m10103,497l10155,497m10103,151l10155,151m6286,497l10155,497m6286,497l6286,550m6882,497l6882,550m7476,497l7476,550m8072,497l8072,550m8668,497l8668,550m9262,497l9262,550m9858,497l9858,550e" filled="false" stroked="true" strokeweight=".249455pt" strokecolor="#000000">
              <v:path arrowok="t"/>
              <v:stroke dashstyle="solid"/>
            </v:shape>
            <v:line style="position:absolute" from="9841,2904" to="9841,168" stroked="true" strokeweight=".748435pt" strokecolor="#000000">
              <v:stroke dashstyle="shortdash"/>
            </v:line>
            <w10:wrap type="none"/>
          </v:group>
        </w:pict>
      </w:r>
      <w:r>
        <w:rPr>
          <w:spacing w:val="-2"/>
          <w:sz w:val="17"/>
        </w:rPr>
        <w:t>10</w:t>
      </w:r>
    </w:p>
    <w:p>
      <w:pPr>
        <w:spacing w:before="151"/>
        <w:ind w:left="0" w:right="536" w:firstLine="0"/>
        <w:jc w:val="right"/>
        <w:rPr>
          <w:sz w:val="17"/>
        </w:rPr>
      </w:pPr>
      <w:r>
        <w:rPr>
          <w:w w:val="104"/>
          <w:sz w:val="17"/>
        </w:rPr>
        <w:t>0</w:t>
      </w:r>
    </w:p>
    <w:p>
      <w:pPr>
        <w:spacing w:before="151"/>
        <w:ind w:left="0" w:right="379" w:firstLine="0"/>
        <w:jc w:val="right"/>
        <w:rPr>
          <w:sz w:val="17"/>
        </w:rPr>
      </w:pPr>
      <w:r>
        <w:rPr>
          <w:spacing w:val="-1"/>
          <w:sz w:val="17"/>
        </w:rPr>
        <w:t>-10</w:t>
      </w:r>
    </w:p>
    <w:p>
      <w:pPr>
        <w:spacing w:before="151"/>
        <w:ind w:left="0" w:right="379" w:firstLine="0"/>
        <w:jc w:val="right"/>
        <w:rPr>
          <w:sz w:val="17"/>
        </w:rPr>
      </w:pPr>
      <w:r>
        <w:rPr>
          <w:spacing w:val="-1"/>
          <w:sz w:val="17"/>
        </w:rPr>
        <w:t>-20</w:t>
      </w:r>
    </w:p>
    <w:p>
      <w:pPr>
        <w:spacing w:before="151"/>
        <w:ind w:left="0" w:right="379" w:firstLine="0"/>
        <w:jc w:val="right"/>
        <w:rPr>
          <w:sz w:val="17"/>
        </w:rPr>
      </w:pPr>
      <w:r>
        <w:rPr>
          <w:spacing w:val="-1"/>
          <w:sz w:val="17"/>
        </w:rPr>
        <w:t>-30</w:t>
      </w:r>
    </w:p>
    <w:p>
      <w:pPr>
        <w:spacing w:before="151"/>
        <w:ind w:left="0" w:right="379" w:firstLine="0"/>
        <w:jc w:val="right"/>
        <w:rPr>
          <w:sz w:val="17"/>
        </w:rPr>
      </w:pPr>
      <w:r>
        <w:rPr>
          <w:spacing w:val="-1"/>
          <w:sz w:val="17"/>
        </w:rPr>
        <w:t>-40</w:t>
      </w:r>
    </w:p>
    <w:p>
      <w:pPr>
        <w:spacing w:before="151"/>
        <w:ind w:left="0" w:right="379" w:firstLine="0"/>
        <w:jc w:val="right"/>
        <w:rPr>
          <w:sz w:val="17"/>
        </w:rPr>
      </w:pPr>
      <w:r>
        <w:rPr>
          <w:spacing w:val="-1"/>
          <w:sz w:val="17"/>
        </w:rPr>
        <w:t>-50</w:t>
      </w:r>
    </w:p>
    <w:p>
      <w:pPr>
        <w:spacing w:before="151"/>
        <w:ind w:left="0" w:right="379" w:firstLine="0"/>
        <w:jc w:val="right"/>
        <w:rPr>
          <w:sz w:val="17"/>
        </w:rPr>
      </w:pPr>
      <w:r>
        <w:rPr>
          <w:spacing w:val="-1"/>
          <w:sz w:val="17"/>
        </w:rPr>
        <w:t>-60</w:t>
      </w:r>
    </w:p>
    <w:p>
      <w:pPr>
        <w:spacing w:before="151"/>
        <w:ind w:left="4558" w:right="280" w:firstLine="0"/>
        <w:jc w:val="center"/>
        <w:rPr>
          <w:sz w:val="17"/>
        </w:rPr>
      </w:pPr>
      <w:r>
        <w:rPr>
          <w:w w:val="105"/>
          <w:sz w:val="17"/>
        </w:rPr>
        <w:t>-70</w:t>
      </w:r>
    </w:p>
    <w:p>
      <w:pPr>
        <w:tabs>
          <w:tab w:pos="3702" w:val="left" w:leader="none"/>
        </w:tabs>
        <w:spacing w:before="15"/>
        <w:ind w:left="0" w:right="280" w:firstLine="0"/>
        <w:jc w:val="center"/>
        <w:rPr>
          <w:sz w:val="17"/>
        </w:rPr>
      </w:pPr>
      <w:r>
        <w:rPr>
          <w:w w:val="105"/>
          <w:sz w:val="17"/>
        </w:rPr>
        <w:t>25-29   35-39   45-49   55-59</w:t>
      </w:r>
      <w:r>
        <w:rPr>
          <w:spacing w:val="48"/>
          <w:w w:val="105"/>
          <w:sz w:val="17"/>
        </w:rPr>
        <w:t> </w:t>
      </w:r>
      <w:r>
        <w:rPr>
          <w:w w:val="105"/>
          <w:sz w:val="17"/>
        </w:rPr>
        <w:t>65-69 </w:t>
      </w:r>
      <w:r>
        <w:rPr>
          <w:spacing w:val="36"/>
          <w:w w:val="105"/>
          <w:sz w:val="17"/>
        </w:rPr>
        <w:t> </w:t>
      </w:r>
      <w:r>
        <w:rPr>
          <w:w w:val="105"/>
          <w:sz w:val="17"/>
        </w:rPr>
        <w:t>75-79</w:t>
        <w:tab/>
        <w:t>All</w:t>
      </w:r>
    </w:p>
    <w:p>
      <w:pPr>
        <w:spacing w:before="41"/>
        <w:ind w:left="0" w:right="326" w:firstLine="0"/>
        <w:jc w:val="center"/>
        <w:rPr>
          <w:sz w:val="17"/>
        </w:rPr>
      </w:pPr>
      <w:r>
        <w:rPr>
          <w:w w:val="105"/>
          <w:sz w:val="17"/>
        </w:rPr>
        <w:t>Age group</w:t>
      </w:r>
    </w:p>
    <w:p>
      <w:pPr>
        <w:spacing w:after="0"/>
        <w:jc w:val="center"/>
        <w:rPr>
          <w:sz w:val="17"/>
        </w:rPr>
        <w:sectPr>
          <w:type w:val="continuous"/>
          <w:pgSz w:w="11910" w:h="16840"/>
          <w:pgMar w:top="1180" w:bottom="1520" w:left="820" w:right="960"/>
          <w:cols w:num="3" w:equalWidth="0">
            <w:col w:w="4319" w:space="40"/>
            <w:col w:w="433" w:space="39"/>
            <w:col w:w="5299"/>
          </w:cols>
        </w:sectPr>
      </w:pPr>
    </w:p>
    <w:p>
      <w:pPr>
        <w:tabs>
          <w:tab w:pos="5066" w:val="left" w:leader="none"/>
        </w:tabs>
        <w:spacing w:before="95"/>
        <w:ind w:left="313" w:right="0" w:firstLine="0"/>
        <w:jc w:val="left"/>
        <w:rPr>
          <w:sz w:val="16"/>
        </w:rPr>
      </w:pPr>
      <w:r>
        <w:rPr>
          <w:sz w:val="16"/>
        </w:rPr>
        <w:t>Sources:  ONS and</w:t>
      </w:r>
      <w:r>
        <w:rPr>
          <w:spacing w:val="-10"/>
          <w:sz w:val="16"/>
        </w:rPr>
        <w:t> </w:t>
      </w:r>
      <w:r>
        <w:rPr>
          <w:sz w:val="16"/>
        </w:rPr>
        <w:t>Bank</w:t>
      </w:r>
      <w:r>
        <w:rPr>
          <w:spacing w:val="-3"/>
          <w:sz w:val="16"/>
        </w:rPr>
        <w:t> </w:t>
      </w:r>
      <w:r>
        <w:rPr>
          <w:sz w:val="16"/>
        </w:rPr>
        <w:t>calculations</w:t>
        <w:tab/>
        <w:t>Sources: NMG Consulting and Bank</w:t>
      </w:r>
      <w:r>
        <w:rPr>
          <w:spacing w:val="-4"/>
          <w:sz w:val="16"/>
        </w:rPr>
        <w:t> </w:t>
      </w:r>
      <w:r>
        <w:rPr>
          <w:sz w:val="16"/>
        </w:rPr>
        <w:t>calculations</w:t>
      </w:r>
    </w:p>
    <w:p>
      <w:pPr>
        <w:spacing w:after="0"/>
        <w:jc w:val="left"/>
        <w:rPr>
          <w:sz w:val="16"/>
        </w:rPr>
        <w:sectPr>
          <w:type w:val="continuous"/>
          <w:pgSz w:w="11910" w:h="16840"/>
          <w:pgMar w:top="1180" w:bottom="1520" w:left="820" w:right="960"/>
        </w:sectPr>
      </w:pPr>
    </w:p>
    <w:p>
      <w:pPr>
        <w:pStyle w:val="Heading1"/>
      </w:pPr>
      <w:r>
        <w:rPr/>
        <w:pict>
          <v:group style="position:absolute;margin-left:56.700001pt;margin-top:17.314384pt;width:481.7pt;height:.550pt;mso-position-horizontal-relative:page;mso-position-vertical-relative:paragraph;z-index:251740160" coordorigin="1134,346" coordsize="9634,11">
            <v:line style="position:absolute" from="1139,351" to="10763,351" stroked="true" strokeweight=".518158pt" strokecolor="#000000">
              <v:stroke dashstyle="solid"/>
            </v:line>
            <v:line style="position:absolute" from="1134,352" to="10768,352" stroked="true" strokeweight=".518158pt" strokecolor="#000000">
              <v:stroke dashstyle="solid"/>
            </v:line>
            <w10:wrap type="none"/>
          </v:group>
        </w:pict>
      </w:r>
      <w:r>
        <w:rPr/>
        <w:t>Table 1 – Regression </w:t>
      </w:r>
      <w:r>
        <w:rPr>
          <w:spacing w:val="-3"/>
        </w:rPr>
        <w:t>results</w:t>
      </w:r>
    </w:p>
    <w:p>
      <w:pPr>
        <w:pStyle w:val="BodyText"/>
        <w:rPr>
          <w:b/>
          <w:sz w:val="16"/>
        </w:rPr>
      </w:pPr>
      <w:r>
        <w:rPr/>
        <w:br w:type="column"/>
      </w:r>
      <w:r>
        <w:rPr>
          <w:b/>
          <w:sz w:val="16"/>
        </w:rPr>
      </w:r>
    </w:p>
    <w:p>
      <w:pPr>
        <w:pStyle w:val="BodyText"/>
        <w:spacing w:before="1"/>
        <w:rPr>
          <w:b/>
          <w:sz w:val="16"/>
        </w:rPr>
      </w:pPr>
    </w:p>
    <w:p>
      <w:pPr>
        <w:tabs>
          <w:tab w:pos="1481" w:val="left" w:leader="none"/>
          <w:tab w:pos="2649" w:val="left" w:leader="none"/>
          <w:tab w:pos="3816" w:val="left" w:leader="none"/>
          <w:tab w:pos="4985" w:val="left" w:leader="none"/>
          <w:tab w:pos="5973" w:val="left" w:leader="none"/>
          <w:tab w:pos="6342" w:val="left" w:leader="none"/>
          <w:tab w:pos="6871" w:val="left" w:leader="none"/>
        </w:tabs>
        <w:spacing w:before="0"/>
        <w:ind w:left="313" w:right="0" w:firstLine="0"/>
        <w:jc w:val="left"/>
        <w:rPr>
          <w:rFonts w:ascii="Calibri"/>
          <w:sz w:val="15"/>
        </w:rPr>
      </w:pPr>
      <w:r>
        <w:rPr/>
        <w:pict>
          <v:group style="position:absolute;margin-left:56.700001pt;margin-top:9.213767pt;width:420.8pt;height:.550pt;mso-position-horizontal-relative:page;mso-position-vertical-relative:paragraph;z-index:251741184" coordorigin="1134,184" coordsize="8416,11">
            <v:line style="position:absolute" from="1139,190" to="9545,190" stroked="true" strokeweight=".518158pt" strokecolor="#000000">
              <v:stroke dashstyle="solid"/>
            </v:line>
            <v:line style="position:absolute" from="1134,189" to="9550,189" stroked="true" strokeweight=".518158pt" strokecolor="#000000">
              <v:stroke dashstyle="solid"/>
            </v:line>
            <w10:wrap type="none"/>
          </v:group>
        </w:pict>
      </w:r>
      <w:r>
        <w:rPr>
          <w:rFonts w:ascii="Calibri"/>
          <w:sz w:val="15"/>
        </w:rPr>
        <w:t>[1]</w:t>
        <w:tab/>
        <w:t>[2]</w:t>
        <w:tab/>
        <w:t>[3]</w:t>
        <w:tab/>
        <w:t>[4]</w:t>
        <w:tab/>
        <w:t>[5]</w:t>
        <w:tab/>
      </w:r>
      <w:r>
        <w:rPr>
          <w:rFonts w:ascii="Calibri"/>
          <w:sz w:val="15"/>
          <w:u w:val="single"/>
        </w:rPr>
        <w:t> </w:t>
        <w:tab/>
        <w:t>[6]</w:t>
        <w:tab/>
      </w:r>
    </w:p>
    <w:p>
      <w:pPr>
        <w:spacing w:after="0"/>
        <w:jc w:val="left"/>
        <w:rPr>
          <w:rFonts w:ascii="Calibri"/>
          <w:sz w:val="15"/>
        </w:rPr>
        <w:sectPr>
          <w:pgSz w:w="11910" w:h="16840"/>
          <w:pgMar w:header="0" w:footer="1334" w:top="1340" w:bottom="1520" w:left="820" w:right="960"/>
          <w:cols w:num="2" w:equalWidth="0">
            <w:col w:w="3024" w:space="51"/>
            <w:col w:w="7055"/>
          </w:cols>
        </w:sectPr>
      </w:pPr>
    </w:p>
    <w:p>
      <w:pPr>
        <w:spacing w:before="24"/>
        <w:ind w:left="343" w:right="0" w:firstLine="0"/>
        <w:jc w:val="left"/>
        <w:rPr>
          <w:rFonts w:ascii="Calibri"/>
          <w:sz w:val="15"/>
        </w:rPr>
      </w:pPr>
      <w:r>
        <w:rPr>
          <w:rFonts w:ascii="Calibri"/>
          <w:sz w:val="15"/>
        </w:rPr>
        <w:t>Dependant variable</w:t>
      </w:r>
    </w:p>
    <w:p>
      <w:pPr>
        <w:tabs>
          <w:tab w:pos="1991" w:val="left" w:leader="none"/>
          <w:tab w:pos="6193" w:val="left" w:leader="none"/>
        </w:tabs>
        <w:spacing w:before="24"/>
        <w:ind w:left="343" w:right="0" w:firstLine="0"/>
        <w:jc w:val="left"/>
        <w:rPr>
          <w:rFonts w:ascii="Calibri"/>
          <w:sz w:val="15"/>
        </w:rPr>
      </w:pPr>
      <w:r>
        <w:rPr/>
        <w:br w:type="column"/>
      </w:r>
      <w:r>
        <w:rPr>
          <w:rFonts w:ascii="Calibri"/>
          <w:w w:val="99"/>
          <w:sz w:val="15"/>
          <w:u w:val="single"/>
        </w:rPr>
        <w:t> </w:t>
      </w:r>
      <w:r>
        <w:rPr>
          <w:rFonts w:ascii="Calibri"/>
          <w:sz w:val="15"/>
          <w:u w:val="single"/>
        </w:rPr>
        <w:tab/>
        <w:t>Average of happiness and </w:t>
      </w:r>
      <w:r>
        <w:rPr>
          <w:rFonts w:ascii="Calibri"/>
          <w:spacing w:val="3"/>
          <w:sz w:val="15"/>
          <w:u w:val="single"/>
        </w:rPr>
        <w:t>life</w:t>
      </w:r>
      <w:r>
        <w:rPr>
          <w:rFonts w:ascii="Calibri"/>
          <w:spacing w:val="10"/>
          <w:sz w:val="15"/>
          <w:u w:val="single"/>
        </w:rPr>
        <w:t> </w:t>
      </w:r>
      <w:r>
        <w:rPr>
          <w:rFonts w:ascii="Calibri"/>
          <w:sz w:val="15"/>
          <w:u w:val="single"/>
        </w:rPr>
        <w:t>satisfaction</w:t>
        <w:tab/>
      </w:r>
    </w:p>
    <w:p>
      <w:pPr>
        <w:spacing w:before="24"/>
        <w:ind w:left="279" w:right="0" w:firstLine="0"/>
        <w:jc w:val="left"/>
        <w:rPr>
          <w:rFonts w:ascii="Calibri"/>
          <w:sz w:val="15"/>
        </w:rPr>
      </w:pPr>
      <w:r>
        <w:rPr/>
        <w:br w:type="column"/>
      </w:r>
      <w:r>
        <w:rPr>
          <w:rFonts w:ascii="Calibri"/>
          <w:w w:val="99"/>
          <w:sz w:val="15"/>
          <w:u w:val="single"/>
        </w:rPr>
        <w:t> </w:t>
      </w:r>
      <w:r>
        <w:rPr>
          <w:rFonts w:ascii="Calibri"/>
          <w:sz w:val="15"/>
          <w:u w:val="single"/>
        </w:rPr>
        <w:t>Average of all</w:t>
      </w:r>
    </w:p>
    <w:p>
      <w:pPr>
        <w:spacing w:after="0"/>
        <w:jc w:val="left"/>
        <w:rPr>
          <w:rFonts w:ascii="Calibri"/>
          <w:sz w:val="15"/>
        </w:rPr>
        <w:sectPr>
          <w:type w:val="continuous"/>
          <w:pgSz w:w="11910" w:h="16840"/>
          <w:pgMar w:top="1180" w:bottom="1520" w:left="820" w:right="960"/>
          <w:cols w:num="3" w:equalWidth="0">
            <w:col w:w="1594" w:space="942"/>
            <w:col w:w="6194" w:space="39"/>
            <w:col w:w="1361"/>
          </w:cols>
        </w:sectPr>
      </w:pPr>
    </w:p>
    <w:p>
      <w:pPr>
        <w:pStyle w:val="BodyText"/>
        <w:spacing w:before="2"/>
        <w:rPr>
          <w:rFonts w:ascii="Calibri"/>
          <w:sz w:val="21"/>
        </w:rPr>
      </w:pPr>
    </w:p>
    <w:tbl>
      <w:tblPr>
        <w:tblW w:w="0" w:type="auto"/>
        <w:jc w:val="left"/>
        <w:tblInd w:w="3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6"/>
        <w:gridCol w:w="1084"/>
        <w:gridCol w:w="1137"/>
        <w:gridCol w:w="1177"/>
        <w:gridCol w:w="1167"/>
        <w:gridCol w:w="1262"/>
        <w:gridCol w:w="1125"/>
      </w:tblGrid>
      <w:tr>
        <w:trPr>
          <w:trHeight w:val="1011" w:hRule="atLeast"/>
        </w:trPr>
        <w:tc>
          <w:tcPr>
            <w:tcW w:w="2676" w:type="dxa"/>
          </w:tcPr>
          <w:p>
            <w:pPr>
              <w:pStyle w:val="TableParagraph"/>
              <w:spacing w:line="157" w:lineRule="exact"/>
              <w:ind w:left="29"/>
              <w:rPr>
                <w:sz w:val="15"/>
              </w:rPr>
            </w:pPr>
            <w:r>
              <w:rPr>
                <w:sz w:val="15"/>
              </w:rPr>
              <w:t>Income (£000)</w:t>
            </w:r>
          </w:p>
          <w:p>
            <w:pPr>
              <w:pStyle w:val="TableParagraph"/>
              <w:spacing w:line="410" w:lineRule="atLeast" w:before="5"/>
              <w:ind w:left="29" w:right="928"/>
              <w:rPr>
                <w:sz w:val="15"/>
              </w:rPr>
            </w:pPr>
            <w:r>
              <w:rPr>
                <w:sz w:val="15"/>
              </w:rPr>
              <w:t>Net wealth (000) ihs(income)</w:t>
            </w:r>
          </w:p>
        </w:tc>
        <w:tc>
          <w:tcPr>
            <w:tcW w:w="1084" w:type="dxa"/>
          </w:tcPr>
          <w:p>
            <w:pPr>
              <w:pStyle w:val="TableParagraph"/>
              <w:spacing w:line="157" w:lineRule="exact"/>
              <w:ind w:left="179"/>
              <w:rPr>
                <w:sz w:val="15"/>
              </w:rPr>
            </w:pPr>
            <w:r>
              <w:rPr>
                <w:sz w:val="15"/>
              </w:rPr>
              <w:t>0.0015***</w:t>
            </w:r>
          </w:p>
          <w:p>
            <w:pPr>
              <w:pStyle w:val="TableParagraph"/>
              <w:spacing w:before="24"/>
              <w:ind w:left="239"/>
              <w:rPr>
                <w:sz w:val="15"/>
              </w:rPr>
            </w:pPr>
            <w:r>
              <w:rPr>
                <w:spacing w:val="-3"/>
                <w:sz w:val="15"/>
              </w:rPr>
              <w:t>(0.0003)</w:t>
            </w:r>
          </w:p>
          <w:p>
            <w:pPr>
              <w:pStyle w:val="TableParagraph"/>
              <w:spacing w:line="271" w:lineRule="auto" w:before="25"/>
              <w:ind w:left="239" w:right="287" w:hanging="60"/>
              <w:rPr>
                <w:sz w:val="15"/>
              </w:rPr>
            </w:pPr>
            <w:r>
              <w:rPr>
                <w:spacing w:val="-5"/>
                <w:sz w:val="15"/>
              </w:rPr>
              <w:t>0.0002*** </w:t>
            </w:r>
            <w:r>
              <w:rPr>
                <w:spacing w:val="-3"/>
                <w:sz w:val="15"/>
              </w:rPr>
              <w:t>(0.0000)</w:t>
            </w:r>
          </w:p>
          <w:p>
            <w:pPr>
              <w:pStyle w:val="TableParagraph"/>
              <w:spacing w:before="1"/>
              <w:ind w:left="219"/>
              <w:rPr>
                <w:sz w:val="15"/>
              </w:rPr>
            </w:pPr>
            <w:r>
              <w:rPr>
                <w:spacing w:val="-4"/>
                <w:sz w:val="15"/>
              </w:rPr>
              <w:t>0.200***</w:t>
            </w:r>
          </w:p>
        </w:tc>
        <w:tc>
          <w:tcPr>
            <w:tcW w:w="1137" w:type="dxa"/>
          </w:tcPr>
          <w:p>
            <w:pPr>
              <w:pStyle w:val="TableParagraph"/>
              <w:rPr>
                <w:sz w:val="16"/>
              </w:rPr>
            </w:pPr>
          </w:p>
          <w:p>
            <w:pPr>
              <w:pStyle w:val="TableParagraph"/>
              <w:rPr>
                <w:sz w:val="16"/>
              </w:rPr>
            </w:pPr>
          </w:p>
          <w:p>
            <w:pPr>
              <w:pStyle w:val="TableParagraph"/>
              <w:rPr>
                <w:sz w:val="16"/>
              </w:rPr>
            </w:pPr>
          </w:p>
          <w:p>
            <w:pPr>
              <w:pStyle w:val="TableParagraph"/>
              <w:spacing w:before="10"/>
              <w:rPr>
                <w:sz w:val="17"/>
              </w:rPr>
            </w:pPr>
          </w:p>
          <w:p>
            <w:pPr>
              <w:pStyle w:val="TableParagraph"/>
              <w:ind w:left="266" w:right="263"/>
              <w:jc w:val="center"/>
              <w:rPr>
                <w:sz w:val="15"/>
              </w:rPr>
            </w:pPr>
            <w:r>
              <w:rPr>
                <w:sz w:val="15"/>
              </w:rPr>
              <w:t>0.284***</w:t>
            </w:r>
          </w:p>
        </w:tc>
        <w:tc>
          <w:tcPr>
            <w:tcW w:w="1177" w:type="dxa"/>
          </w:tcPr>
          <w:p>
            <w:pPr>
              <w:pStyle w:val="TableParagraph"/>
              <w:rPr>
                <w:sz w:val="16"/>
              </w:rPr>
            </w:pPr>
          </w:p>
          <w:p>
            <w:pPr>
              <w:pStyle w:val="TableParagraph"/>
              <w:rPr>
                <w:sz w:val="16"/>
              </w:rPr>
            </w:pPr>
          </w:p>
          <w:p>
            <w:pPr>
              <w:pStyle w:val="TableParagraph"/>
              <w:rPr>
                <w:sz w:val="16"/>
              </w:rPr>
            </w:pPr>
          </w:p>
          <w:p>
            <w:pPr>
              <w:pStyle w:val="TableParagraph"/>
              <w:spacing w:before="10"/>
              <w:rPr>
                <w:sz w:val="17"/>
              </w:rPr>
            </w:pPr>
          </w:p>
          <w:p>
            <w:pPr>
              <w:pStyle w:val="TableParagraph"/>
              <w:ind w:left="269" w:right="245"/>
              <w:jc w:val="center"/>
              <w:rPr>
                <w:sz w:val="15"/>
              </w:rPr>
            </w:pPr>
            <w:r>
              <w:rPr>
                <w:sz w:val="15"/>
              </w:rPr>
              <w:t>0.130***</w:t>
            </w:r>
          </w:p>
        </w:tc>
        <w:tc>
          <w:tcPr>
            <w:tcW w:w="1167" w:type="dxa"/>
          </w:tcPr>
          <w:p>
            <w:pPr>
              <w:pStyle w:val="TableParagraph"/>
              <w:rPr>
                <w:sz w:val="16"/>
              </w:rPr>
            </w:pPr>
          </w:p>
          <w:p>
            <w:pPr>
              <w:pStyle w:val="TableParagraph"/>
              <w:rPr>
                <w:sz w:val="16"/>
              </w:rPr>
            </w:pPr>
          </w:p>
          <w:p>
            <w:pPr>
              <w:pStyle w:val="TableParagraph"/>
              <w:rPr>
                <w:sz w:val="16"/>
              </w:rPr>
            </w:pPr>
          </w:p>
          <w:p>
            <w:pPr>
              <w:pStyle w:val="TableParagraph"/>
              <w:spacing w:before="10"/>
              <w:rPr>
                <w:sz w:val="17"/>
              </w:rPr>
            </w:pPr>
          </w:p>
          <w:p>
            <w:pPr>
              <w:pStyle w:val="TableParagraph"/>
              <w:ind w:left="260" w:right="244"/>
              <w:jc w:val="center"/>
              <w:rPr>
                <w:sz w:val="15"/>
              </w:rPr>
            </w:pPr>
            <w:r>
              <w:rPr>
                <w:sz w:val="15"/>
              </w:rPr>
              <w:t>0.081***</w:t>
            </w:r>
          </w:p>
        </w:tc>
        <w:tc>
          <w:tcPr>
            <w:tcW w:w="1262" w:type="dxa"/>
          </w:tcPr>
          <w:p>
            <w:pPr>
              <w:pStyle w:val="TableParagraph"/>
              <w:rPr>
                <w:sz w:val="16"/>
              </w:rPr>
            </w:pPr>
          </w:p>
          <w:p>
            <w:pPr>
              <w:pStyle w:val="TableParagraph"/>
              <w:rPr>
                <w:sz w:val="16"/>
              </w:rPr>
            </w:pPr>
          </w:p>
          <w:p>
            <w:pPr>
              <w:pStyle w:val="TableParagraph"/>
              <w:rPr>
                <w:sz w:val="16"/>
              </w:rPr>
            </w:pPr>
          </w:p>
          <w:p>
            <w:pPr>
              <w:pStyle w:val="TableParagraph"/>
              <w:spacing w:before="10"/>
              <w:rPr>
                <w:sz w:val="17"/>
              </w:rPr>
            </w:pPr>
          </w:p>
          <w:p>
            <w:pPr>
              <w:pStyle w:val="TableParagraph"/>
              <w:ind w:right="400"/>
              <w:jc w:val="right"/>
              <w:rPr>
                <w:sz w:val="15"/>
              </w:rPr>
            </w:pPr>
            <w:r>
              <w:rPr>
                <w:w w:val="95"/>
                <w:sz w:val="15"/>
              </w:rPr>
              <w:t>0.059***</w:t>
            </w:r>
          </w:p>
        </w:tc>
        <w:tc>
          <w:tcPr>
            <w:tcW w:w="1125" w:type="dxa"/>
          </w:tcPr>
          <w:p>
            <w:pPr>
              <w:pStyle w:val="TableParagraph"/>
              <w:rPr>
                <w:sz w:val="16"/>
              </w:rPr>
            </w:pPr>
          </w:p>
          <w:p>
            <w:pPr>
              <w:pStyle w:val="TableParagraph"/>
              <w:rPr>
                <w:sz w:val="16"/>
              </w:rPr>
            </w:pPr>
          </w:p>
          <w:p>
            <w:pPr>
              <w:pStyle w:val="TableParagraph"/>
              <w:rPr>
                <w:sz w:val="16"/>
              </w:rPr>
            </w:pPr>
          </w:p>
          <w:p>
            <w:pPr>
              <w:pStyle w:val="TableParagraph"/>
              <w:spacing w:before="10"/>
              <w:rPr>
                <w:sz w:val="17"/>
              </w:rPr>
            </w:pPr>
          </w:p>
          <w:p>
            <w:pPr>
              <w:pStyle w:val="TableParagraph"/>
              <w:ind w:left="422"/>
              <w:rPr>
                <w:sz w:val="15"/>
              </w:rPr>
            </w:pPr>
            <w:r>
              <w:rPr>
                <w:sz w:val="15"/>
              </w:rPr>
              <w:t>0.047***</w:t>
            </w:r>
          </w:p>
        </w:tc>
      </w:tr>
      <w:tr>
        <w:trPr>
          <w:trHeight w:val="829" w:hRule="atLeast"/>
        </w:trPr>
        <w:tc>
          <w:tcPr>
            <w:tcW w:w="2676" w:type="dxa"/>
          </w:tcPr>
          <w:p>
            <w:pPr>
              <w:pStyle w:val="TableParagraph"/>
              <w:spacing w:before="11"/>
              <w:rPr>
                <w:sz w:val="16"/>
              </w:rPr>
            </w:pPr>
          </w:p>
          <w:p>
            <w:pPr>
              <w:pStyle w:val="TableParagraph"/>
              <w:spacing w:before="1"/>
              <w:ind w:left="29"/>
              <w:rPr>
                <w:sz w:val="15"/>
              </w:rPr>
            </w:pPr>
            <w:r>
              <w:rPr>
                <w:sz w:val="15"/>
              </w:rPr>
              <w:t>ihs(net wealth)</w:t>
            </w:r>
          </w:p>
          <w:p>
            <w:pPr>
              <w:pStyle w:val="TableParagraph"/>
              <w:rPr>
                <w:sz w:val="19"/>
              </w:rPr>
            </w:pPr>
          </w:p>
          <w:p>
            <w:pPr>
              <w:pStyle w:val="TableParagraph"/>
              <w:ind w:left="29"/>
              <w:rPr>
                <w:sz w:val="15"/>
              </w:rPr>
            </w:pPr>
            <w:r>
              <w:rPr>
                <w:sz w:val="15"/>
              </w:rPr>
              <w:t>ihs(net financial wealth)</w:t>
            </w:r>
          </w:p>
        </w:tc>
        <w:tc>
          <w:tcPr>
            <w:tcW w:w="1084" w:type="dxa"/>
          </w:tcPr>
          <w:p>
            <w:pPr>
              <w:pStyle w:val="TableParagraph"/>
              <w:ind w:left="238" w:right="367"/>
              <w:jc w:val="center"/>
              <w:rPr>
                <w:sz w:val="15"/>
              </w:rPr>
            </w:pPr>
            <w:r>
              <w:rPr>
                <w:sz w:val="15"/>
              </w:rPr>
              <w:t>(0.021)</w:t>
            </w:r>
          </w:p>
        </w:tc>
        <w:tc>
          <w:tcPr>
            <w:tcW w:w="1137" w:type="dxa"/>
          </w:tcPr>
          <w:p>
            <w:pPr>
              <w:pStyle w:val="TableParagraph"/>
              <w:ind w:left="353"/>
              <w:rPr>
                <w:sz w:val="15"/>
              </w:rPr>
            </w:pPr>
            <w:r>
              <w:rPr>
                <w:spacing w:val="-3"/>
                <w:sz w:val="15"/>
              </w:rPr>
              <w:t>(0.012)</w:t>
            </w:r>
          </w:p>
          <w:p>
            <w:pPr>
              <w:pStyle w:val="TableParagraph"/>
              <w:spacing w:line="271" w:lineRule="auto" w:before="24"/>
              <w:ind w:left="353" w:right="279" w:hanging="50"/>
              <w:rPr>
                <w:sz w:val="15"/>
              </w:rPr>
            </w:pPr>
            <w:r>
              <w:rPr>
                <w:spacing w:val="-4"/>
                <w:sz w:val="15"/>
              </w:rPr>
              <w:t>0.094***</w:t>
            </w:r>
            <w:r>
              <w:rPr>
                <w:w w:val="99"/>
                <w:sz w:val="15"/>
              </w:rPr>
              <w:t> </w:t>
            </w:r>
            <w:r>
              <w:rPr>
                <w:spacing w:val="-3"/>
                <w:sz w:val="15"/>
              </w:rPr>
              <w:t>(0.003)</w:t>
            </w:r>
          </w:p>
        </w:tc>
        <w:tc>
          <w:tcPr>
            <w:tcW w:w="1177" w:type="dxa"/>
          </w:tcPr>
          <w:p>
            <w:pPr>
              <w:pStyle w:val="TableParagraph"/>
              <w:ind w:left="383"/>
              <w:rPr>
                <w:sz w:val="15"/>
              </w:rPr>
            </w:pPr>
            <w:r>
              <w:rPr>
                <w:spacing w:val="-3"/>
                <w:sz w:val="15"/>
              </w:rPr>
              <w:t>(0.014)</w:t>
            </w:r>
          </w:p>
          <w:p>
            <w:pPr>
              <w:pStyle w:val="TableParagraph"/>
              <w:spacing w:line="271" w:lineRule="auto" w:before="24"/>
              <w:ind w:left="383" w:right="289" w:hanging="50"/>
              <w:rPr>
                <w:sz w:val="15"/>
              </w:rPr>
            </w:pPr>
            <w:r>
              <w:rPr>
                <w:spacing w:val="-4"/>
                <w:sz w:val="15"/>
              </w:rPr>
              <w:t>0.054*** </w:t>
            </w:r>
            <w:r>
              <w:rPr>
                <w:spacing w:val="-3"/>
                <w:sz w:val="15"/>
              </w:rPr>
              <w:t>(0.003)</w:t>
            </w:r>
          </w:p>
        </w:tc>
        <w:tc>
          <w:tcPr>
            <w:tcW w:w="1167" w:type="dxa"/>
          </w:tcPr>
          <w:p>
            <w:pPr>
              <w:pStyle w:val="TableParagraph"/>
              <w:ind w:left="375"/>
              <w:rPr>
                <w:sz w:val="15"/>
              </w:rPr>
            </w:pPr>
            <w:r>
              <w:rPr>
                <w:sz w:val="15"/>
              </w:rPr>
              <w:t>(0.015)</w:t>
            </w:r>
          </w:p>
          <w:p>
            <w:pPr>
              <w:pStyle w:val="TableParagraph"/>
              <w:rPr>
                <w:sz w:val="16"/>
              </w:rPr>
            </w:pPr>
          </w:p>
          <w:p>
            <w:pPr>
              <w:pStyle w:val="TableParagraph"/>
              <w:spacing w:before="12"/>
              <w:rPr>
                <w:sz w:val="19"/>
              </w:rPr>
            </w:pPr>
          </w:p>
          <w:p>
            <w:pPr>
              <w:pStyle w:val="TableParagraph"/>
              <w:ind w:left="325"/>
              <w:rPr>
                <w:sz w:val="15"/>
              </w:rPr>
            </w:pPr>
            <w:r>
              <w:rPr>
                <w:sz w:val="15"/>
              </w:rPr>
              <w:t>0.024***</w:t>
            </w:r>
          </w:p>
        </w:tc>
        <w:tc>
          <w:tcPr>
            <w:tcW w:w="1262" w:type="dxa"/>
          </w:tcPr>
          <w:p>
            <w:pPr>
              <w:pStyle w:val="TableParagraph"/>
              <w:ind w:right="469"/>
              <w:jc w:val="right"/>
              <w:rPr>
                <w:sz w:val="15"/>
              </w:rPr>
            </w:pPr>
            <w:r>
              <w:rPr>
                <w:sz w:val="15"/>
              </w:rPr>
              <w:t>(0.016)</w:t>
            </w:r>
          </w:p>
        </w:tc>
        <w:tc>
          <w:tcPr>
            <w:tcW w:w="1125" w:type="dxa"/>
          </w:tcPr>
          <w:p>
            <w:pPr>
              <w:pStyle w:val="TableParagraph"/>
              <w:ind w:left="471"/>
              <w:rPr>
                <w:sz w:val="15"/>
              </w:rPr>
            </w:pPr>
            <w:r>
              <w:rPr>
                <w:sz w:val="15"/>
              </w:rPr>
              <w:t>(0.015)</w:t>
            </w:r>
          </w:p>
        </w:tc>
      </w:tr>
      <w:tr>
        <w:trPr>
          <w:trHeight w:val="415" w:hRule="atLeast"/>
        </w:trPr>
        <w:tc>
          <w:tcPr>
            <w:tcW w:w="2676" w:type="dxa"/>
          </w:tcPr>
          <w:p>
            <w:pPr>
              <w:pStyle w:val="TableParagraph"/>
              <w:spacing w:before="11"/>
              <w:rPr>
                <w:sz w:val="16"/>
              </w:rPr>
            </w:pPr>
          </w:p>
          <w:p>
            <w:pPr>
              <w:pStyle w:val="TableParagraph"/>
              <w:spacing w:before="1"/>
              <w:ind w:left="29"/>
              <w:rPr>
                <w:sz w:val="15"/>
              </w:rPr>
            </w:pPr>
            <w:r>
              <w:rPr>
                <w:sz w:val="15"/>
              </w:rPr>
              <w:t>ihs(pension wealth)</w:t>
            </w:r>
          </w:p>
        </w:tc>
        <w:tc>
          <w:tcPr>
            <w:tcW w:w="1084" w:type="dxa"/>
          </w:tcPr>
          <w:p>
            <w:pPr>
              <w:pStyle w:val="TableParagraph"/>
              <w:rPr>
                <w:rFonts w:ascii="Times New Roman"/>
                <w:sz w:val="14"/>
              </w:rPr>
            </w:pPr>
          </w:p>
        </w:tc>
        <w:tc>
          <w:tcPr>
            <w:tcW w:w="1137" w:type="dxa"/>
          </w:tcPr>
          <w:p>
            <w:pPr>
              <w:pStyle w:val="TableParagraph"/>
              <w:rPr>
                <w:rFonts w:ascii="Times New Roman"/>
                <w:sz w:val="14"/>
              </w:rPr>
            </w:pPr>
          </w:p>
        </w:tc>
        <w:tc>
          <w:tcPr>
            <w:tcW w:w="1177" w:type="dxa"/>
          </w:tcPr>
          <w:p>
            <w:pPr>
              <w:pStyle w:val="TableParagraph"/>
              <w:rPr>
                <w:rFonts w:ascii="Times New Roman"/>
                <w:sz w:val="14"/>
              </w:rPr>
            </w:pPr>
          </w:p>
        </w:tc>
        <w:tc>
          <w:tcPr>
            <w:tcW w:w="1167" w:type="dxa"/>
          </w:tcPr>
          <w:p>
            <w:pPr>
              <w:pStyle w:val="TableParagraph"/>
              <w:spacing w:line="183" w:lineRule="exact"/>
              <w:ind w:left="375"/>
              <w:rPr>
                <w:sz w:val="15"/>
              </w:rPr>
            </w:pPr>
            <w:r>
              <w:rPr>
                <w:sz w:val="15"/>
              </w:rPr>
              <w:t>(0.001)</w:t>
            </w:r>
          </w:p>
          <w:p>
            <w:pPr>
              <w:pStyle w:val="TableParagraph"/>
              <w:spacing w:before="24"/>
              <w:ind w:left="325"/>
              <w:rPr>
                <w:sz w:val="15"/>
              </w:rPr>
            </w:pPr>
            <w:r>
              <w:rPr>
                <w:sz w:val="15"/>
              </w:rPr>
              <w:t>0.008***</w:t>
            </w:r>
          </w:p>
        </w:tc>
        <w:tc>
          <w:tcPr>
            <w:tcW w:w="1262" w:type="dxa"/>
          </w:tcPr>
          <w:p>
            <w:pPr>
              <w:pStyle w:val="TableParagraph"/>
              <w:spacing w:before="11"/>
              <w:rPr>
                <w:sz w:val="16"/>
              </w:rPr>
            </w:pPr>
          </w:p>
          <w:p>
            <w:pPr>
              <w:pStyle w:val="TableParagraph"/>
              <w:spacing w:before="1"/>
              <w:ind w:right="400"/>
              <w:jc w:val="right"/>
              <w:rPr>
                <w:sz w:val="15"/>
              </w:rPr>
            </w:pPr>
            <w:r>
              <w:rPr>
                <w:w w:val="95"/>
                <w:sz w:val="15"/>
              </w:rPr>
              <w:t>0.007***</w:t>
            </w:r>
          </w:p>
        </w:tc>
        <w:tc>
          <w:tcPr>
            <w:tcW w:w="1125" w:type="dxa"/>
          </w:tcPr>
          <w:p>
            <w:pPr>
              <w:pStyle w:val="TableParagraph"/>
              <w:spacing w:before="11"/>
              <w:rPr>
                <w:sz w:val="16"/>
              </w:rPr>
            </w:pPr>
          </w:p>
          <w:p>
            <w:pPr>
              <w:pStyle w:val="TableParagraph"/>
              <w:spacing w:before="1"/>
              <w:ind w:left="422"/>
              <w:rPr>
                <w:sz w:val="15"/>
              </w:rPr>
            </w:pPr>
            <w:r>
              <w:rPr>
                <w:sz w:val="15"/>
              </w:rPr>
              <w:t>0.008***</w:t>
            </w:r>
          </w:p>
        </w:tc>
      </w:tr>
      <w:tr>
        <w:trPr>
          <w:trHeight w:val="829" w:hRule="atLeast"/>
        </w:trPr>
        <w:tc>
          <w:tcPr>
            <w:tcW w:w="2676" w:type="dxa"/>
          </w:tcPr>
          <w:p>
            <w:pPr>
              <w:pStyle w:val="TableParagraph"/>
              <w:spacing w:line="416" w:lineRule="exact" w:before="17"/>
              <w:ind w:left="29" w:right="928"/>
              <w:rPr>
                <w:sz w:val="15"/>
              </w:rPr>
            </w:pPr>
            <w:r>
              <w:rPr>
                <w:sz w:val="15"/>
              </w:rPr>
              <w:t>ihs(net housing wealth) ihs(physical wealth)</w:t>
            </w:r>
          </w:p>
        </w:tc>
        <w:tc>
          <w:tcPr>
            <w:tcW w:w="1084" w:type="dxa"/>
          </w:tcPr>
          <w:p>
            <w:pPr>
              <w:pStyle w:val="TableParagraph"/>
              <w:rPr>
                <w:rFonts w:ascii="Times New Roman"/>
                <w:sz w:val="14"/>
              </w:rPr>
            </w:pPr>
          </w:p>
        </w:tc>
        <w:tc>
          <w:tcPr>
            <w:tcW w:w="1137" w:type="dxa"/>
          </w:tcPr>
          <w:p>
            <w:pPr>
              <w:pStyle w:val="TableParagraph"/>
              <w:rPr>
                <w:rFonts w:ascii="Times New Roman"/>
                <w:sz w:val="14"/>
              </w:rPr>
            </w:pPr>
          </w:p>
        </w:tc>
        <w:tc>
          <w:tcPr>
            <w:tcW w:w="1177" w:type="dxa"/>
          </w:tcPr>
          <w:p>
            <w:pPr>
              <w:pStyle w:val="TableParagraph"/>
              <w:rPr>
                <w:rFonts w:ascii="Times New Roman"/>
                <w:sz w:val="14"/>
              </w:rPr>
            </w:pPr>
          </w:p>
        </w:tc>
        <w:tc>
          <w:tcPr>
            <w:tcW w:w="1167" w:type="dxa"/>
          </w:tcPr>
          <w:p>
            <w:pPr>
              <w:pStyle w:val="TableParagraph"/>
              <w:ind w:left="375"/>
              <w:rPr>
                <w:sz w:val="15"/>
              </w:rPr>
            </w:pPr>
            <w:r>
              <w:rPr>
                <w:spacing w:val="-3"/>
                <w:sz w:val="15"/>
              </w:rPr>
              <w:t>(0.002)</w:t>
            </w:r>
          </w:p>
          <w:p>
            <w:pPr>
              <w:pStyle w:val="TableParagraph"/>
              <w:spacing w:line="271" w:lineRule="auto" w:before="24"/>
              <w:ind w:left="375" w:right="287" w:hanging="50"/>
              <w:rPr>
                <w:sz w:val="15"/>
              </w:rPr>
            </w:pPr>
            <w:r>
              <w:rPr>
                <w:spacing w:val="-4"/>
                <w:sz w:val="15"/>
              </w:rPr>
              <w:t>0.009***</w:t>
            </w:r>
            <w:r>
              <w:rPr>
                <w:w w:val="99"/>
                <w:sz w:val="15"/>
              </w:rPr>
              <w:t> </w:t>
            </w:r>
            <w:r>
              <w:rPr>
                <w:spacing w:val="-3"/>
                <w:sz w:val="15"/>
              </w:rPr>
              <w:t>(0.002)</w:t>
            </w:r>
          </w:p>
          <w:p>
            <w:pPr>
              <w:pStyle w:val="TableParagraph"/>
              <w:spacing w:before="1"/>
              <w:ind w:left="325"/>
              <w:rPr>
                <w:sz w:val="15"/>
              </w:rPr>
            </w:pPr>
            <w:r>
              <w:rPr>
                <w:sz w:val="15"/>
              </w:rPr>
              <w:t>0.124***</w:t>
            </w:r>
          </w:p>
        </w:tc>
        <w:tc>
          <w:tcPr>
            <w:tcW w:w="1262" w:type="dxa"/>
          </w:tcPr>
          <w:p>
            <w:pPr>
              <w:pStyle w:val="TableParagraph"/>
              <w:ind w:left="376"/>
              <w:rPr>
                <w:sz w:val="15"/>
              </w:rPr>
            </w:pPr>
            <w:r>
              <w:rPr>
                <w:sz w:val="15"/>
              </w:rPr>
              <w:t>(0.002)</w:t>
            </w:r>
          </w:p>
          <w:p>
            <w:pPr>
              <w:pStyle w:val="TableParagraph"/>
              <w:rPr>
                <w:sz w:val="16"/>
              </w:rPr>
            </w:pPr>
          </w:p>
          <w:p>
            <w:pPr>
              <w:pStyle w:val="TableParagraph"/>
              <w:spacing w:before="12"/>
              <w:rPr>
                <w:sz w:val="19"/>
              </w:rPr>
            </w:pPr>
          </w:p>
          <w:p>
            <w:pPr>
              <w:pStyle w:val="TableParagraph"/>
              <w:ind w:left="326"/>
              <w:rPr>
                <w:sz w:val="15"/>
              </w:rPr>
            </w:pPr>
            <w:r>
              <w:rPr>
                <w:sz w:val="15"/>
              </w:rPr>
              <w:t>0.115***</w:t>
            </w:r>
          </w:p>
        </w:tc>
        <w:tc>
          <w:tcPr>
            <w:tcW w:w="1125" w:type="dxa"/>
          </w:tcPr>
          <w:p>
            <w:pPr>
              <w:pStyle w:val="TableParagraph"/>
              <w:ind w:left="471"/>
              <w:rPr>
                <w:sz w:val="15"/>
              </w:rPr>
            </w:pPr>
            <w:r>
              <w:rPr>
                <w:sz w:val="15"/>
              </w:rPr>
              <w:t>(0.002)</w:t>
            </w:r>
          </w:p>
          <w:p>
            <w:pPr>
              <w:pStyle w:val="TableParagraph"/>
              <w:rPr>
                <w:sz w:val="16"/>
              </w:rPr>
            </w:pPr>
          </w:p>
          <w:p>
            <w:pPr>
              <w:pStyle w:val="TableParagraph"/>
              <w:spacing w:before="12"/>
              <w:rPr>
                <w:sz w:val="19"/>
              </w:rPr>
            </w:pPr>
          </w:p>
          <w:p>
            <w:pPr>
              <w:pStyle w:val="TableParagraph"/>
              <w:ind w:left="422"/>
              <w:rPr>
                <w:sz w:val="15"/>
              </w:rPr>
            </w:pPr>
            <w:r>
              <w:rPr>
                <w:sz w:val="15"/>
              </w:rPr>
              <w:t>0.121***</w:t>
            </w:r>
          </w:p>
        </w:tc>
      </w:tr>
      <w:tr>
        <w:trPr>
          <w:trHeight w:val="1433" w:hRule="atLeast"/>
        </w:trPr>
        <w:tc>
          <w:tcPr>
            <w:tcW w:w="2676" w:type="dxa"/>
          </w:tcPr>
          <w:p>
            <w:pPr>
              <w:pStyle w:val="TableParagraph"/>
              <w:spacing w:before="5"/>
              <w:rPr>
                <w:sz w:val="15"/>
              </w:rPr>
            </w:pPr>
          </w:p>
          <w:p>
            <w:pPr>
              <w:pStyle w:val="TableParagraph"/>
              <w:ind w:left="29"/>
              <w:rPr>
                <w:sz w:val="15"/>
              </w:rPr>
            </w:pPr>
            <w:r>
              <w:rPr>
                <w:sz w:val="15"/>
              </w:rPr>
              <w:t>ihs(gross housing wealth)</w:t>
            </w:r>
          </w:p>
          <w:p>
            <w:pPr>
              <w:pStyle w:val="TableParagraph"/>
              <w:spacing w:line="410" w:lineRule="atLeast" w:before="5"/>
              <w:ind w:left="29"/>
              <w:rPr>
                <w:sz w:val="15"/>
              </w:rPr>
            </w:pPr>
            <w:r>
              <w:rPr>
                <w:sz w:val="15"/>
              </w:rPr>
              <w:t>ihs(other gross financial wealth) ihs(deposits)</w:t>
            </w:r>
          </w:p>
        </w:tc>
        <w:tc>
          <w:tcPr>
            <w:tcW w:w="1084" w:type="dxa"/>
          </w:tcPr>
          <w:p>
            <w:pPr>
              <w:pStyle w:val="TableParagraph"/>
              <w:rPr>
                <w:rFonts w:ascii="Times New Roman"/>
                <w:sz w:val="14"/>
              </w:rPr>
            </w:pPr>
          </w:p>
        </w:tc>
        <w:tc>
          <w:tcPr>
            <w:tcW w:w="1137" w:type="dxa"/>
          </w:tcPr>
          <w:p>
            <w:pPr>
              <w:pStyle w:val="TableParagraph"/>
              <w:rPr>
                <w:rFonts w:ascii="Times New Roman"/>
                <w:sz w:val="14"/>
              </w:rPr>
            </w:pPr>
          </w:p>
        </w:tc>
        <w:tc>
          <w:tcPr>
            <w:tcW w:w="1177" w:type="dxa"/>
          </w:tcPr>
          <w:p>
            <w:pPr>
              <w:pStyle w:val="TableParagraph"/>
              <w:rPr>
                <w:rFonts w:ascii="Times New Roman"/>
                <w:sz w:val="14"/>
              </w:rPr>
            </w:pPr>
          </w:p>
        </w:tc>
        <w:tc>
          <w:tcPr>
            <w:tcW w:w="1167" w:type="dxa"/>
          </w:tcPr>
          <w:p>
            <w:pPr>
              <w:pStyle w:val="TableParagraph"/>
              <w:spacing w:line="164" w:lineRule="exact"/>
              <w:ind w:left="254" w:right="254"/>
              <w:jc w:val="center"/>
              <w:rPr>
                <w:sz w:val="15"/>
              </w:rPr>
            </w:pPr>
            <w:r>
              <w:rPr>
                <w:sz w:val="15"/>
              </w:rPr>
              <w:t>(0.010)</w:t>
            </w:r>
          </w:p>
        </w:tc>
        <w:tc>
          <w:tcPr>
            <w:tcW w:w="1262" w:type="dxa"/>
          </w:tcPr>
          <w:p>
            <w:pPr>
              <w:pStyle w:val="TableParagraph"/>
              <w:spacing w:line="164" w:lineRule="exact"/>
              <w:ind w:left="376"/>
              <w:rPr>
                <w:sz w:val="15"/>
              </w:rPr>
            </w:pPr>
            <w:r>
              <w:rPr>
                <w:spacing w:val="-3"/>
                <w:sz w:val="15"/>
              </w:rPr>
              <w:t>(0.010)</w:t>
            </w:r>
          </w:p>
          <w:p>
            <w:pPr>
              <w:pStyle w:val="TableParagraph"/>
              <w:spacing w:line="271" w:lineRule="auto" w:before="24"/>
              <w:ind w:left="376" w:right="382" w:hanging="51"/>
              <w:rPr>
                <w:sz w:val="15"/>
              </w:rPr>
            </w:pPr>
            <w:r>
              <w:rPr>
                <w:spacing w:val="-4"/>
                <w:sz w:val="15"/>
              </w:rPr>
              <w:t>0.005*** </w:t>
            </w:r>
            <w:r>
              <w:rPr>
                <w:spacing w:val="-3"/>
                <w:sz w:val="15"/>
              </w:rPr>
              <w:t>(0.002)</w:t>
            </w:r>
          </w:p>
          <w:p>
            <w:pPr>
              <w:pStyle w:val="TableParagraph"/>
              <w:spacing w:line="271" w:lineRule="auto" w:before="1"/>
              <w:ind w:left="376" w:right="382" w:hanging="51"/>
              <w:rPr>
                <w:sz w:val="15"/>
              </w:rPr>
            </w:pPr>
            <w:r>
              <w:rPr>
                <w:spacing w:val="-4"/>
                <w:sz w:val="15"/>
              </w:rPr>
              <w:t>0.006*** </w:t>
            </w:r>
            <w:r>
              <w:rPr>
                <w:spacing w:val="-3"/>
                <w:sz w:val="15"/>
              </w:rPr>
              <w:t>(0.002)</w:t>
            </w:r>
          </w:p>
          <w:p>
            <w:pPr>
              <w:pStyle w:val="TableParagraph"/>
              <w:spacing w:before="1"/>
              <w:ind w:left="326"/>
              <w:rPr>
                <w:sz w:val="15"/>
              </w:rPr>
            </w:pPr>
            <w:r>
              <w:rPr>
                <w:sz w:val="15"/>
              </w:rPr>
              <w:t>0.056***</w:t>
            </w:r>
          </w:p>
          <w:p>
            <w:pPr>
              <w:pStyle w:val="TableParagraph"/>
              <w:spacing w:before="25"/>
              <w:ind w:left="376"/>
              <w:rPr>
                <w:sz w:val="15"/>
              </w:rPr>
            </w:pPr>
            <w:r>
              <w:rPr>
                <w:sz w:val="15"/>
              </w:rPr>
              <w:t>(0.004)</w:t>
            </w:r>
          </w:p>
        </w:tc>
        <w:tc>
          <w:tcPr>
            <w:tcW w:w="1125" w:type="dxa"/>
          </w:tcPr>
          <w:p>
            <w:pPr>
              <w:pStyle w:val="TableParagraph"/>
              <w:spacing w:line="164" w:lineRule="exact"/>
              <w:ind w:left="471"/>
              <w:rPr>
                <w:sz w:val="15"/>
              </w:rPr>
            </w:pPr>
            <w:r>
              <w:rPr>
                <w:spacing w:val="-3"/>
                <w:sz w:val="15"/>
              </w:rPr>
              <w:t>(0.010)</w:t>
            </w:r>
          </w:p>
          <w:p>
            <w:pPr>
              <w:pStyle w:val="TableParagraph"/>
              <w:spacing w:line="271" w:lineRule="auto" w:before="24"/>
              <w:ind w:left="471" w:right="207" w:hanging="20"/>
              <w:jc w:val="both"/>
              <w:rPr>
                <w:sz w:val="15"/>
              </w:rPr>
            </w:pPr>
            <w:r>
              <w:rPr>
                <w:spacing w:val="-4"/>
                <w:sz w:val="15"/>
              </w:rPr>
              <w:t>0.005** </w:t>
            </w:r>
            <w:r>
              <w:rPr>
                <w:spacing w:val="-3"/>
                <w:sz w:val="15"/>
              </w:rPr>
              <w:t>(0.002) </w:t>
            </w:r>
            <w:r>
              <w:rPr>
                <w:spacing w:val="-4"/>
                <w:sz w:val="15"/>
              </w:rPr>
              <w:t>0.003* </w:t>
            </w:r>
            <w:r>
              <w:rPr>
                <w:spacing w:val="-3"/>
                <w:sz w:val="15"/>
              </w:rPr>
              <w:t>(0.002)</w:t>
            </w:r>
          </w:p>
          <w:p>
            <w:pPr>
              <w:pStyle w:val="TableParagraph"/>
              <w:spacing w:before="2"/>
              <w:ind w:left="422"/>
              <w:rPr>
                <w:sz w:val="15"/>
              </w:rPr>
            </w:pPr>
            <w:r>
              <w:rPr>
                <w:sz w:val="15"/>
              </w:rPr>
              <w:t>0.045***</w:t>
            </w:r>
          </w:p>
          <w:p>
            <w:pPr>
              <w:pStyle w:val="TableParagraph"/>
              <w:spacing w:before="25"/>
              <w:ind w:left="471"/>
              <w:rPr>
                <w:sz w:val="15"/>
              </w:rPr>
            </w:pPr>
            <w:r>
              <w:rPr>
                <w:sz w:val="15"/>
              </w:rPr>
              <w:t>(0.003)</w:t>
            </w:r>
          </w:p>
        </w:tc>
      </w:tr>
      <w:tr>
        <w:trPr>
          <w:trHeight w:val="207" w:hRule="atLeast"/>
        </w:trPr>
        <w:tc>
          <w:tcPr>
            <w:tcW w:w="2676" w:type="dxa"/>
          </w:tcPr>
          <w:p>
            <w:pPr>
              <w:pStyle w:val="TableParagraph"/>
              <w:ind w:left="29"/>
              <w:rPr>
                <w:sz w:val="15"/>
              </w:rPr>
            </w:pPr>
            <w:r>
              <w:rPr>
                <w:sz w:val="15"/>
              </w:rPr>
              <w:t>ihs(mortgage debt)</w:t>
            </w:r>
          </w:p>
        </w:tc>
        <w:tc>
          <w:tcPr>
            <w:tcW w:w="1084" w:type="dxa"/>
          </w:tcPr>
          <w:p>
            <w:pPr>
              <w:pStyle w:val="TableParagraph"/>
              <w:rPr>
                <w:rFonts w:ascii="Times New Roman"/>
                <w:sz w:val="14"/>
              </w:rPr>
            </w:pPr>
          </w:p>
        </w:tc>
        <w:tc>
          <w:tcPr>
            <w:tcW w:w="1137" w:type="dxa"/>
          </w:tcPr>
          <w:p>
            <w:pPr>
              <w:pStyle w:val="TableParagraph"/>
              <w:rPr>
                <w:rFonts w:ascii="Times New Roman"/>
                <w:sz w:val="14"/>
              </w:rPr>
            </w:pPr>
          </w:p>
        </w:tc>
        <w:tc>
          <w:tcPr>
            <w:tcW w:w="1177" w:type="dxa"/>
          </w:tcPr>
          <w:p>
            <w:pPr>
              <w:pStyle w:val="TableParagraph"/>
              <w:rPr>
                <w:rFonts w:ascii="Times New Roman"/>
                <w:sz w:val="14"/>
              </w:rPr>
            </w:pPr>
          </w:p>
        </w:tc>
        <w:tc>
          <w:tcPr>
            <w:tcW w:w="1167" w:type="dxa"/>
          </w:tcPr>
          <w:p>
            <w:pPr>
              <w:pStyle w:val="TableParagraph"/>
              <w:rPr>
                <w:rFonts w:ascii="Times New Roman"/>
                <w:sz w:val="14"/>
              </w:rPr>
            </w:pPr>
          </w:p>
        </w:tc>
        <w:tc>
          <w:tcPr>
            <w:tcW w:w="1262" w:type="dxa"/>
          </w:tcPr>
          <w:p>
            <w:pPr>
              <w:pStyle w:val="TableParagraph"/>
              <w:ind w:left="406"/>
              <w:rPr>
                <w:sz w:val="15"/>
              </w:rPr>
            </w:pPr>
            <w:r>
              <w:rPr>
                <w:sz w:val="15"/>
              </w:rPr>
              <w:t>-0.001</w:t>
            </w:r>
          </w:p>
        </w:tc>
        <w:tc>
          <w:tcPr>
            <w:tcW w:w="1125" w:type="dxa"/>
          </w:tcPr>
          <w:p>
            <w:pPr>
              <w:pStyle w:val="TableParagraph"/>
              <w:ind w:left="501"/>
              <w:rPr>
                <w:sz w:val="15"/>
              </w:rPr>
            </w:pPr>
            <w:r>
              <w:rPr>
                <w:sz w:val="15"/>
              </w:rPr>
              <w:t>-0.002</w:t>
            </w:r>
          </w:p>
        </w:tc>
      </w:tr>
      <w:tr>
        <w:trPr>
          <w:trHeight w:val="829" w:hRule="atLeast"/>
        </w:trPr>
        <w:tc>
          <w:tcPr>
            <w:tcW w:w="2676" w:type="dxa"/>
          </w:tcPr>
          <w:p>
            <w:pPr>
              <w:pStyle w:val="TableParagraph"/>
              <w:spacing w:line="414" w:lineRule="exact" w:before="19"/>
              <w:ind w:left="29" w:right="793"/>
              <w:rPr>
                <w:sz w:val="15"/>
              </w:rPr>
            </w:pPr>
            <w:r>
              <w:rPr>
                <w:sz w:val="15"/>
              </w:rPr>
              <w:t>ihs(unsecured debt) Household head unemployed</w:t>
            </w:r>
          </w:p>
        </w:tc>
        <w:tc>
          <w:tcPr>
            <w:tcW w:w="1084" w:type="dxa"/>
          </w:tcPr>
          <w:p>
            <w:pPr>
              <w:pStyle w:val="TableParagraph"/>
              <w:rPr>
                <w:rFonts w:ascii="Times New Roman"/>
                <w:sz w:val="14"/>
              </w:rPr>
            </w:pPr>
          </w:p>
        </w:tc>
        <w:tc>
          <w:tcPr>
            <w:tcW w:w="1137" w:type="dxa"/>
          </w:tcPr>
          <w:p>
            <w:pPr>
              <w:pStyle w:val="TableParagraph"/>
              <w:rPr>
                <w:rFonts w:ascii="Times New Roman"/>
                <w:sz w:val="14"/>
              </w:rPr>
            </w:pPr>
          </w:p>
        </w:tc>
        <w:tc>
          <w:tcPr>
            <w:tcW w:w="1177" w:type="dxa"/>
          </w:tcPr>
          <w:p>
            <w:pPr>
              <w:pStyle w:val="TableParagraph"/>
              <w:rPr>
                <w:sz w:val="16"/>
              </w:rPr>
            </w:pPr>
          </w:p>
          <w:p>
            <w:pPr>
              <w:pStyle w:val="TableParagraph"/>
              <w:rPr>
                <w:sz w:val="16"/>
              </w:rPr>
            </w:pPr>
          </w:p>
          <w:p>
            <w:pPr>
              <w:pStyle w:val="TableParagraph"/>
              <w:spacing w:before="11"/>
              <w:rPr>
                <w:sz w:val="18"/>
              </w:rPr>
            </w:pPr>
          </w:p>
          <w:p>
            <w:pPr>
              <w:pStyle w:val="TableParagraph"/>
              <w:spacing w:before="1"/>
              <w:ind w:left="269" w:right="255"/>
              <w:jc w:val="center"/>
              <w:rPr>
                <w:sz w:val="15"/>
              </w:rPr>
            </w:pPr>
            <w:r>
              <w:rPr>
                <w:sz w:val="15"/>
              </w:rPr>
              <w:t>-0.505***</w:t>
            </w:r>
          </w:p>
        </w:tc>
        <w:tc>
          <w:tcPr>
            <w:tcW w:w="1167" w:type="dxa"/>
          </w:tcPr>
          <w:p>
            <w:pPr>
              <w:pStyle w:val="TableParagraph"/>
              <w:rPr>
                <w:sz w:val="16"/>
              </w:rPr>
            </w:pPr>
          </w:p>
          <w:p>
            <w:pPr>
              <w:pStyle w:val="TableParagraph"/>
              <w:rPr>
                <w:sz w:val="16"/>
              </w:rPr>
            </w:pPr>
          </w:p>
          <w:p>
            <w:pPr>
              <w:pStyle w:val="TableParagraph"/>
              <w:spacing w:before="11"/>
              <w:rPr>
                <w:sz w:val="18"/>
              </w:rPr>
            </w:pPr>
          </w:p>
          <w:p>
            <w:pPr>
              <w:pStyle w:val="TableParagraph"/>
              <w:spacing w:before="1"/>
              <w:ind w:left="260" w:right="254"/>
              <w:jc w:val="center"/>
              <w:rPr>
                <w:sz w:val="15"/>
              </w:rPr>
            </w:pPr>
            <w:r>
              <w:rPr>
                <w:sz w:val="15"/>
              </w:rPr>
              <w:t>-0.473***</w:t>
            </w:r>
          </w:p>
        </w:tc>
        <w:tc>
          <w:tcPr>
            <w:tcW w:w="1262" w:type="dxa"/>
          </w:tcPr>
          <w:p>
            <w:pPr>
              <w:pStyle w:val="TableParagraph"/>
              <w:spacing w:line="183" w:lineRule="exact"/>
              <w:ind w:left="376"/>
              <w:rPr>
                <w:sz w:val="15"/>
              </w:rPr>
            </w:pPr>
            <w:r>
              <w:rPr>
                <w:spacing w:val="-3"/>
                <w:sz w:val="15"/>
              </w:rPr>
              <w:t>(0.002)</w:t>
            </w:r>
          </w:p>
          <w:p>
            <w:pPr>
              <w:pStyle w:val="TableParagraph"/>
              <w:spacing w:line="271" w:lineRule="auto" w:before="24"/>
              <w:ind w:left="376" w:right="370" w:hanging="81"/>
              <w:rPr>
                <w:sz w:val="15"/>
              </w:rPr>
            </w:pPr>
            <w:r>
              <w:rPr>
                <w:spacing w:val="-4"/>
                <w:sz w:val="15"/>
              </w:rPr>
              <w:t>-0.016*** </w:t>
            </w:r>
            <w:r>
              <w:rPr>
                <w:spacing w:val="-3"/>
                <w:sz w:val="15"/>
              </w:rPr>
              <w:t>(0.002)</w:t>
            </w:r>
          </w:p>
          <w:p>
            <w:pPr>
              <w:pStyle w:val="TableParagraph"/>
              <w:spacing w:before="1"/>
              <w:ind w:left="296"/>
              <w:rPr>
                <w:sz w:val="15"/>
              </w:rPr>
            </w:pPr>
            <w:r>
              <w:rPr>
                <w:sz w:val="15"/>
              </w:rPr>
              <w:t>-0.466***</w:t>
            </w:r>
          </w:p>
        </w:tc>
        <w:tc>
          <w:tcPr>
            <w:tcW w:w="1125" w:type="dxa"/>
          </w:tcPr>
          <w:p>
            <w:pPr>
              <w:pStyle w:val="TableParagraph"/>
              <w:spacing w:line="183" w:lineRule="exact"/>
              <w:ind w:left="471"/>
              <w:rPr>
                <w:sz w:val="15"/>
              </w:rPr>
            </w:pPr>
            <w:r>
              <w:rPr>
                <w:spacing w:val="-3"/>
                <w:sz w:val="15"/>
              </w:rPr>
              <w:t>(0.002)</w:t>
            </w:r>
          </w:p>
          <w:p>
            <w:pPr>
              <w:pStyle w:val="TableParagraph"/>
              <w:spacing w:line="271" w:lineRule="auto" w:before="24"/>
              <w:ind w:left="471" w:right="137" w:hanging="80"/>
              <w:rPr>
                <w:sz w:val="15"/>
              </w:rPr>
            </w:pPr>
            <w:r>
              <w:rPr>
                <w:spacing w:val="-4"/>
                <w:sz w:val="15"/>
              </w:rPr>
              <w:t>-0.019*** </w:t>
            </w:r>
            <w:r>
              <w:rPr>
                <w:spacing w:val="-3"/>
                <w:sz w:val="15"/>
              </w:rPr>
              <w:t>(0.002)</w:t>
            </w:r>
          </w:p>
          <w:p>
            <w:pPr>
              <w:pStyle w:val="TableParagraph"/>
              <w:spacing w:before="1"/>
              <w:ind w:left="392"/>
              <w:rPr>
                <w:sz w:val="15"/>
              </w:rPr>
            </w:pPr>
            <w:r>
              <w:rPr>
                <w:sz w:val="15"/>
              </w:rPr>
              <w:t>-0.435***</w:t>
            </w:r>
          </w:p>
        </w:tc>
      </w:tr>
      <w:tr>
        <w:trPr>
          <w:trHeight w:val="1539" w:hRule="atLeast"/>
        </w:trPr>
        <w:tc>
          <w:tcPr>
            <w:tcW w:w="2676" w:type="dxa"/>
          </w:tcPr>
          <w:p>
            <w:pPr>
              <w:pStyle w:val="TableParagraph"/>
              <w:spacing w:before="7"/>
              <w:rPr>
                <w:sz w:val="15"/>
              </w:rPr>
            </w:pPr>
          </w:p>
          <w:p>
            <w:pPr>
              <w:pStyle w:val="TableParagraph"/>
              <w:spacing w:line="544" w:lineRule="auto"/>
              <w:ind w:left="29"/>
              <w:rPr>
                <w:sz w:val="15"/>
              </w:rPr>
            </w:pPr>
            <w:r>
              <w:rPr>
                <w:sz w:val="15"/>
              </w:rPr>
              <w:t>Other unemployed person in household Arrears of less than 2 months</w:t>
            </w:r>
          </w:p>
          <w:p>
            <w:pPr>
              <w:pStyle w:val="TableParagraph"/>
              <w:spacing w:line="182" w:lineRule="exact"/>
              <w:ind w:left="29"/>
              <w:rPr>
                <w:sz w:val="15"/>
              </w:rPr>
            </w:pPr>
            <w:r>
              <w:rPr>
                <w:sz w:val="15"/>
              </w:rPr>
              <w:t>Arrears of 2 months plus</w:t>
            </w:r>
          </w:p>
        </w:tc>
        <w:tc>
          <w:tcPr>
            <w:tcW w:w="1084" w:type="dxa"/>
          </w:tcPr>
          <w:p>
            <w:pPr>
              <w:pStyle w:val="TableParagraph"/>
              <w:rPr>
                <w:rFonts w:ascii="Times New Roman"/>
                <w:sz w:val="14"/>
              </w:rPr>
            </w:pPr>
          </w:p>
        </w:tc>
        <w:tc>
          <w:tcPr>
            <w:tcW w:w="1137" w:type="dxa"/>
          </w:tcPr>
          <w:p>
            <w:pPr>
              <w:pStyle w:val="TableParagraph"/>
              <w:rPr>
                <w:rFonts w:ascii="Times New Roman"/>
                <w:sz w:val="14"/>
              </w:rPr>
            </w:pPr>
          </w:p>
        </w:tc>
        <w:tc>
          <w:tcPr>
            <w:tcW w:w="1177" w:type="dxa"/>
          </w:tcPr>
          <w:p>
            <w:pPr>
              <w:pStyle w:val="TableParagraph"/>
              <w:spacing w:line="166" w:lineRule="exact"/>
              <w:ind w:left="383"/>
              <w:rPr>
                <w:sz w:val="15"/>
              </w:rPr>
            </w:pPr>
            <w:r>
              <w:rPr>
                <w:spacing w:val="-3"/>
                <w:sz w:val="15"/>
              </w:rPr>
              <w:t>(0.051)</w:t>
            </w:r>
          </w:p>
          <w:p>
            <w:pPr>
              <w:pStyle w:val="TableParagraph"/>
              <w:spacing w:line="271" w:lineRule="auto" w:before="24"/>
              <w:ind w:left="383" w:right="277" w:hanging="80"/>
              <w:rPr>
                <w:sz w:val="15"/>
              </w:rPr>
            </w:pPr>
            <w:r>
              <w:rPr>
                <w:spacing w:val="-4"/>
                <w:sz w:val="15"/>
              </w:rPr>
              <w:t>-0.345*** </w:t>
            </w:r>
            <w:r>
              <w:rPr>
                <w:spacing w:val="-3"/>
                <w:sz w:val="15"/>
              </w:rPr>
              <w:t>(0.041)</w:t>
            </w:r>
          </w:p>
          <w:p>
            <w:pPr>
              <w:pStyle w:val="TableParagraph"/>
              <w:spacing w:line="271" w:lineRule="auto" w:before="1"/>
              <w:ind w:left="383" w:right="277" w:hanging="80"/>
              <w:rPr>
                <w:sz w:val="15"/>
              </w:rPr>
            </w:pPr>
            <w:r>
              <w:rPr>
                <w:spacing w:val="-4"/>
                <w:sz w:val="15"/>
              </w:rPr>
              <w:t>-0.646*** </w:t>
            </w:r>
            <w:r>
              <w:rPr>
                <w:spacing w:val="-3"/>
                <w:sz w:val="15"/>
              </w:rPr>
              <w:t>(0.209)</w:t>
            </w:r>
          </w:p>
          <w:p>
            <w:pPr>
              <w:pStyle w:val="TableParagraph"/>
              <w:spacing w:line="271" w:lineRule="auto" w:before="1"/>
              <w:ind w:left="383" w:right="277" w:hanging="80"/>
              <w:rPr>
                <w:sz w:val="15"/>
              </w:rPr>
            </w:pPr>
            <w:r>
              <w:rPr>
                <w:spacing w:val="-4"/>
                <w:sz w:val="15"/>
              </w:rPr>
              <w:t>-1.126*** </w:t>
            </w:r>
            <w:r>
              <w:rPr>
                <w:spacing w:val="-3"/>
                <w:sz w:val="15"/>
              </w:rPr>
              <w:t>(0.135)</w:t>
            </w:r>
          </w:p>
        </w:tc>
        <w:tc>
          <w:tcPr>
            <w:tcW w:w="1167" w:type="dxa"/>
          </w:tcPr>
          <w:p>
            <w:pPr>
              <w:pStyle w:val="TableParagraph"/>
              <w:spacing w:line="166" w:lineRule="exact"/>
              <w:ind w:left="375"/>
              <w:rPr>
                <w:sz w:val="15"/>
              </w:rPr>
            </w:pPr>
            <w:r>
              <w:rPr>
                <w:spacing w:val="-3"/>
                <w:sz w:val="15"/>
              </w:rPr>
              <w:t>(0.055)</w:t>
            </w:r>
          </w:p>
          <w:p>
            <w:pPr>
              <w:pStyle w:val="TableParagraph"/>
              <w:spacing w:line="271" w:lineRule="auto" w:before="24"/>
              <w:ind w:left="375" w:right="275" w:hanging="80"/>
              <w:rPr>
                <w:sz w:val="15"/>
              </w:rPr>
            </w:pPr>
            <w:r>
              <w:rPr>
                <w:spacing w:val="-4"/>
                <w:sz w:val="15"/>
              </w:rPr>
              <w:t>-0.294*** </w:t>
            </w:r>
            <w:r>
              <w:rPr>
                <w:spacing w:val="-3"/>
                <w:sz w:val="15"/>
              </w:rPr>
              <w:t>(0.045)</w:t>
            </w:r>
          </w:p>
          <w:p>
            <w:pPr>
              <w:pStyle w:val="TableParagraph"/>
              <w:spacing w:line="271" w:lineRule="auto" w:before="1"/>
              <w:ind w:left="375" w:right="298" w:hanging="40"/>
              <w:rPr>
                <w:sz w:val="15"/>
              </w:rPr>
            </w:pPr>
            <w:r>
              <w:rPr>
                <w:spacing w:val="-3"/>
                <w:sz w:val="15"/>
              </w:rPr>
              <w:t>-0.517** (0.226)</w:t>
            </w:r>
          </w:p>
          <w:p>
            <w:pPr>
              <w:pStyle w:val="TableParagraph"/>
              <w:spacing w:line="271" w:lineRule="auto" w:before="1"/>
              <w:ind w:left="375" w:right="275" w:hanging="80"/>
              <w:rPr>
                <w:sz w:val="15"/>
              </w:rPr>
            </w:pPr>
            <w:r>
              <w:rPr>
                <w:spacing w:val="-4"/>
                <w:sz w:val="15"/>
              </w:rPr>
              <w:t>-1.255*** </w:t>
            </w:r>
            <w:r>
              <w:rPr>
                <w:spacing w:val="-3"/>
                <w:sz w:val="15"/>
              </w:rPr>
              <w:t>(0.146)</w:t>
            </w:r>
          </w:p>
        </w:tc>
        <w:tc>
          <w:tcPr>
            <w:tcW w:w="1262" w:type="dxa"/>
          </w:tcPr>
          <w:p>
            <w:pPr>
              <w:pStyle w:val="TableParagraph"/>
              <w:spacing w:line="166" w:lineRule="exact"/>
              <w:ind w:left="376"/>
              <w:rPr>
                <w:sz w:val="15"/>
              </w:rPr>
            </w:pPr>
            <w:r>
              <w:rPr>
                <w:spacing w:val="-3"/>
                <w:sz w:val="15"/>
              </w:rPr>
              <w:t>(0.056)</w:t>
            </w:r>
          </w:p>
          <w:p>
            <w:pPr>
              <w:pStyle w:val="TableParagraph"/>
              <w:spacing w:line="271" w:lineRule="auto" w:before="24"/>
              <w:ind w:left="376" w:right="370" w:hanging="81"/>
              <w:rPr>
                <w:sz w:val="15"/>
              </w:rPr>
            </w:pPr>
            <w:r>
              <w:rPr>
                <w:spacing w:val="-4"/>
                <w:sz w:val="15"/>
              </w:rPr>
              <w:t>-0.298*** </w:t>
            </w:r>
            <w:r>
              <w:rPr>
                <w:spacing w:val="-3"/>
                <w:sz w:val="15"/>
              </w:rPr>
              <w:t>(0.045)</w:t>
            </w:r>
          </w:p>
          <w:p>
            <w:pPr>
              <w:pStyle w:val="TableParagraph"/>
              <w:spacing w:line="271" w:lineRule="auto" w:before="1"/>
              <w:ind w:left="376" w:right="392" w:hanging="40"/>
              <w:rPr>
                <w:sz w:val="15"/>
              </w:rPr>
            </w:pPr>
            <w:r>
              <w:rPr>
                <w:spacing w:val="-3"/>
                <w:sz w:val="15"/>
              </w:rPr>
              <w:t>-0.498** (0.226)</w:t>
            </w:r>
          </w:p>
          <w:p>
            <w:pPr>
              <w:pStyle w:val="TableParagraph"/>
              <w:spacing w:line="271" w:lineRule="auto" w:before="1"/>
              <w:ind w:left="376" w:right="370" w:hanging="81"/>
              <w:rPr>
                <w:sz w:val="15"/>
              </w:rPr>
            </w:pPr>
            <w:r>
              <w:rPr>
                <w:spacing w:val="-4"/>
                <w:sz w:val="15"/>
              </w:rPr>
              <w:t>-1.282*** </w:t>
            </w:r>
            <w:r>
              <w:rPr>
                <w:spacing w:val="-3"/>
                <w:sz w:val="15"/>
              </w:rPr>
              <w:t>(0.147)</w:t>
            </w:r>
          </w:p>
        </w:tc>
        <w:tc>
          <w:tcPr>
            <w:tcW w:w="1125" w:type="dxa"/>
          </w:tcPr>
          <w:p>
            <w:pPr>
              <w:pStyle w:val="TableParagraph"/>
              <w:spacing w:line="166" w:lineRule="exact"/>
              <w:ind w:left="471"/>
              <w:rPr>
                <w:sz w:val="15"/>
              </w:rPr>
            </w:pPr>
            <w:r>
              <w:rPr>
                <w:spacing w:val="-3"/>
                <w:sz w:val="15"/>
              </w:rPr>
              <w:t>(0.051)</w:t>
            </w:r>
          </w:p>
          <w:p>
            <w:pPr>
              <w:pStyle w:val="TableParagraph"/>
              <w:spacing w:line="271" w:lineRule="auto" w:before="24"/>
              <w:ind w:left="471" w:right="137" w:hanging="80"/>
              <w:rPr>
                <w:sz w:val="15"/>
              </w:rPr>
            </w:pPr>
            <w:r>
              <w:rPr>
                <w:spacing w:val="-4"/>
                <w:sz w:val="15"/>
              </w:rPr>
              <w:t>-0.300*** </w:t>
            </w:r>
            <w:r>
              <w:rPr>
                <w:spacing w:val="-3"/>
                <w:sz w:val="15"/>
              </w:rPr>
              <w:t>(0.041)</w:t>
            </w:r>
          </w:p>
          <w:p>
            <w:pPr>
              <w:pStyle w:val="TableParagraph"/>
              <w:spacing w:line="271" w:lineRule="auto" w:before="1"/>
              <w:ind w:left="471" w:right="137" w:hanging="80"/>
              <w:rPr>
                <w:sz w:val="15"/>
              </w:rPr>
            </w:pPr>
            <w:r>
              <w:rPr>
                <w:spacing w:val="-4"/>
                <w:sz w:val="15"/>
              </w:rPr>
              <w:t>-0.582*** </w:t>
            </w:r>
            <w:r>
              <w:rPr>
                <w:spacing w:val="-3"/>
                <w:sz w:val="15"/>
              </w:rPr>
              <w:t>(0.208)</w:t>
            </w:r>
          </w:p>
          <w:p>
            <w:pPr>
              <w:pStyle w:val="TableParagraph"/>
              <w:spacing w:line="271" w:lineRule="auto" w:before="1"/>
              <w:ind w:left="471" w:right="137" w:hanging="80"/>
              <w:rPr>
                <w:sz w:val="15"/>
              </w:rPr>
            </w:pPr>
            <w:r>
              <w:rPr>
                <w:spacing w:val="-4"/>
                <w:sz w:val="15"/>
              </w:rPr>
              <w:t>-1.048*** </w:t>
            </w:r>
            <w:r>
              <w:rPr>
                <w:spacing w:val="-3"/>
                <w:sz w:val="15"/>
              </w:rPr>
              <w:t>(0.135)</w:t>
            </w:r>
          </w:p>
        </w:tc>
      </w:tr>
      <w:tr>
        <w:trPr>
          <w:trHeight w:val="414" w:hRule="atLeast"/>
        </w:trPr>
        <w:tc>
          <w:tcPr>
            <w:tcW w:w="2676" w:type="dxa"/>
          </w:tcPr>
          <w:p>
            <w:pPr>
              <w:pStyle w:val="TableParagraph"/>
              <w:spacing w:before="103"/>
              <w:ind w:left="29"/>
              <w:rPr>
                <w:sz w:val="15"/>
              </w:rPr>
            </w:pPr>
            <w:r>
              <w:rPr>
                <w:sz w:val="15"/>
              </w:rPr>
              <w:t>Additional controls</w:t>
            </w:r>
          </w:p>
        </w:tc>
        <w:tc>
          <w:tcPr>
            <w:tcW w:w="1084" w:type="dxa"/>
          </w:tcPr>
          <w:p>
            <w:pPr>
              <w:pStyle w:val="TableParagraph"/>
              <w:spacing w:before="103"/>
              <w:ind w:right="127"/>
              <w:jc w:val="center"/>
              <w:rPr>
                <w:sz w:val="15"/>
              </w:rPr>
            </w:pPr>
            <w:r>
              <w:rPr>
                <w:w w:val="99"/>
                <w:sz w:val="15"/>
              </w:rPr>
              <w:t>N</w:t>
            </w:r>
          </w:p>
        </w:tc>
        <w:tc>
          <w:tcPr>
            <w:tcW w:w="1137" w:type="dxa"/>
          </w:tcPr>
          <w:p>
            <w:pPr>
              <w:pStyle w:val="TableParagraph"/>
              <w:spacing w:before="103"/>
              <w:ind w:right="12"/>
              <w:jc w:val="center"/>
              <w:rPr>
                <w:sz w:val="15"/>
              </w:rPr>
            </w:pPr>
            <w:r>
              <w:rPr>
                <w:w w:val="99"/>
                <w:sz w:val="15"/>
              </w:rPr>
              <w:t>N</w:t>
            </w:r>
          </w:p>
        </w:tc>
        <w:tc>
          <w:tcPr>
            <w:tcW w:w="1177" w:type="dxa"/>
          </w:tcPr>
          <w:p>
            <w:pPr>
              <w:pStyle w:val="TableParagraph"/>
              <w:spacing w:before="103"/>
              <w:ind w:left="23"/>
              <w:jc w:val="center"/>
              <w:rPr>
                <w:sz w:val="15"/>
              </w:rPr>
            </w:pPr>
            <w:r>
              <w:rPr>
                <w:w w:val="99"/>
                <w:sz w:val="15"/>
              </w:rPr>
              <w:t>Y</w:t>
            </w:r>
          </w:p>
        </w:tc>
        <w:tc>
          <w:tcPr>
            <w:tcW w:w="1167" w:type="dxa"/>
          </w:tcPr>
          <w:p>
            <w:pPr>
              <w:pStyle w:val="TableParagraph"/>
              <w:spacing w:before="103"/>
              <w:ind w:left="15"/>
              <w:jc w:val="center"/>
              <w:rPr>
                <w:sz w:val="15"/>
              </w:rPr>
            </w:pPr>
            <w:r>
              <w:rPr>
                <w:w w:val="99"/>
                <w:sz w:val="15"/>
              </w:rPr>
              <w:t>Y</w:t>
            </w:r>
          </w:p>
        </w:tc>
        <w:tc>
          <w:tcPr>
            <w:tcW w:w="1262" w:type="dxa"/>
          </w:tcPr>
          <w:p>
            <w:pPr>
              <w:pStyle w:val="TableParagraph"/>
              <w:spacing w:before="103"/>
              <w:ind w:right="75"/>
              <w:jc w:val="center"/>
              <w:rPr>
                <w:sz w:val="15"/>
              </w:rPr>
            </w:pPr>
            <w:r>
              <w:rPr>
                <w:w w:val="99"/>
                <w:sz w:val="15"/>
              </w:rPr>
              <w:t>Y</w:t>
            </w:r>
          </w:p>
        </w:tc>
        <w:tc>
          <w:tcPr>
            <w:tcW w:w="1125" w:type="dxa"/>
          </w:tcPr>
          <w:p>
            <w:pPr>
              <w:pStyle w:val="TableParagraph"/>
              <w:spacing w:before="103"/>
              <w:ind w:left="250"/>
              <w:jc w:val="center"/>
              <w:rPr>
                <w:sz w:val="15"/>
              </w:rPr>
            </w:pPr>
            <w:r>
              <w:rPr>
                <w:w w:val="99"/>
                <w:sz w:val="15"/>
              </w:rPr>
              <w:t>Y</w:t>
            </w:r>
          </w:p>
        </w:tc>
      </w:tr>
      <w:tr>
        <w:trPr>
          <w:trHeight w:val="311" w:hRule="atLeast"/>
        </w:trPr>
        <w:tc>
          <w:tcPr>
            <w:tcW w:w="2676" w:type="dxa"/>
          </w:tcPr>
          <w:p>
            <w:pPr>
              <w:pStyle w:val="TableParagraph"/>
              <w:spacing w:before="103"/>
              <w:ind w:left="29"/>
              <w:rPr>
                <w:sz w:val="15"/>
              </w:rPr>
            </w:pPr>
            <w:r>
              <w:rPr>
                <w:sz w:val="15"/>
              </w:rPr>
              <w:t>Observations</w:t>
            </w:r>
          </w:p>
        </w:tc>
        <w:tc>
          <w:tcPr>
            <w:tcW w:w="1084" w:type="dxa"/>
          </w:tcPr>
          <w:p>
            <w:pPr>
              <w:pStyle w:val="TableParagraph"/>
              <w:spacing w:before="103"/>
              <w:ind w:left="241" w:right="349"/>
              <w:jc w:val="center"/>
              <w:rPr>
                <w:sz w:val="15"/>
              </w:rPr>
            </w:pPr>
            <w:r>
              <w:rPr>
                <w:sz w:val="15"/>
              </w:rPr>
              <w:t>48,545</w:t>
            </w:r>
          </w:p>
        </w:tc>
        <w:tc>
          <w:tcPr>
            <w:tcW w:w="1137" w:type="dxa"/>
          </w:tcPr>
          <w:p>
            <w:pPr>
              <w:pStyle w:val="TableParagraph"/>
              <w:spacing w:before="103"/>
              <w:ind w:left="266" w:right="262"/>
              <w:jc w:val="center"/>
              <w:rPr>
                <w:sz w:val="15"/>
              </w:rPr>
            </w:pPr>
            <w:r>
              <w:rPr>
                <w:sz w:val="15"/>
              </w:rPr>
              <w:t>48,545</w:t>
            </w:r>
          </w:p>
        </w:tc>
        <w:tc>
          <w:tcPr>
            <w:tcW w:w="1177" w:type="dxa"/>
          </w:tcPr>
          <w:p>
            <w:pPr>
              <w:pStyle w:val="TableParagraph"/>
              <w:spacing w:before="103"/>
              <w:ind w:left="269" w:right="244"/>
              <w:jc w:val="center"/>
              <w:rPr>
                <w:sz w:val="15"/>
              </w:rPr>
            </w:pPr>
            <w:r>
              <w:rPr>
                <w:sz w:val="15"/>
              </w:rPr>
              <w:t>48,094</w:t>
            </w:r>
          </w:p>
        </w:tc>
        <w:tc>
          <w:tcPr>
            <w:tcW w:w="1167" w:type="dxa"/>
          </w:tcPr>
          <w:p>
            <w:pPr>
              <w:pStyle w:val="TableParagraph"/>
              <w:spacing w:before="103"/>
              <w:ind w:left="260" w:right="242"/>
              <w:jc w:val="center"/>
              <w:rPr>
                <w:sz w:val="15"/>
              </w:rPr>
            </w:pPr>
            <w:r>
              <w:rPr>
                <w:sz w:val="15"/>
              </w:rPr>
              <w:t>48,200</w:t>
            </w:r>
          </w:p>
        </w:tc>
        <w:tc>
          <w:tcPr>
            <w:tcW w:w="1262" w:type="dxa"/>
          </w:tcPr>
          <w:p>
            <w:pPr>
              <w:pStyle w:val="TableParagraph"/>
              <w:spacing w:before="103"/>
              <w:ind w:right="468"/>
              <w:jc w:val="right"/>
              <w:rPr>
                <w:sz w:val="15"/>
              </w:rPr>
            </w:pPr>
            <w:r>
              <w:rPr>
                <w:sz w:val="15"/>
              </w:rPr>
              <w:t>48,200</w:t>
            </w:r>
          </w:p>
        </w:tc>
        <w:tc>
          <w:tcPr>
            <w:tcW w:w="1125" w:type="dxa"/>
          </w:tcPr>
          <w:p>
            <w:pPr>
              <w:pStyle w:val="TableParagraph"/>
              <w:spacing w:before="103"/>
              <w:ind w:left="491"/>
              <w:rPr>
                <w:sz w:val="15"/>
              </w:rPr>
            </w:pPr>
            <w:r>
              <w:rPr>
                <w:sz w:val="15"/>
              </w:rPr>
              <w:t>48,094</w:t>
            </w:r>
          </w:p>
        </w:tc>
      </w:tr>
      <w:tr>
        <w:trPr>
          <w:trHeight w:val="181" w:hRule="atLeast"/>
        </w:trPr>
        <w:tc>
          <w:tcPr>
            <w:tcW w:w="2676" w:type="dxa"/>
            <w:tcBorders>
              <w:bottom w:val="single" w:sz="6" w:space="0" w:color="000000"/>
            </w:tcBorders>
          </w:tcPr>
          <w:p>
            <w:pPr>
              <w:pStyle w:val="TableParagraph"/>
              <w:spacing w:line="162" w:lineRule="exact"/>
              <w:ind w:left="29"/>
              <w:rPr>
                <w:sz w:val="15"/>
              </w:rPr>
            </w:pPr>
            <w:r>
              <w:rPr>
                <w:sz w:val="15"/>
              </w:rPr>
              <w:t>R-squared</w:t>
            </w:r>
          </w:p>
        </w:tc>
        <w:tc>
          <w:tcPr>
            <w:tcW w:w="1084" w:type="dxa"/>
            <w:tcBorders>
              <w:bottom w:val="single" w:sz="6" w:space="0" w:color="000000"/>
            </w:tcBorders>
          </w:tcPr>
          <w:p>
            <w:pPr>
              <w:pStyle w:val="TableParagraph"/>
              <w:spacing w:line="162" w:lineRule="exact"/>
              <w:ind w:left="241" w:right="361"/>
              <w:jc w:val="center"/>
              <w:rPr>
                <w:sz w:val="15"/>
              </w:rPr>
            </w:pPr>
            <w:r>
              <w:rPr>
                <w:sz w:val="15"/>
              </w:rPr>
              <w:t>0.018</w:t>
            </w:r>
          </w:p>
        </w:tc>
        <w:tc>
          <w:tcPr>
            <w:tcW w:w="1137" w:type="dxa"/>
            <w:tcBorders>
              <w:bottom w:val="single" w:sz="6" w:space="0" w:color="000000"/>
            </w:tcBorders>
          </w:tcPr>
          <w:p>
            <w:pPr>
              <w:pStyle w:val="TableParagraph"/>
              <w:spacing w:line="162" w:lineRule="exact"/>
              <w:ind w:left="260" w:right="263"/>
              <w:jc w:val="center"/>
              <w:rPr>
                <w:sz w:val="15"/>
              </w:rPr>
            </w:pPr>
            <w:r>
              <w:rPr>
                <w:sz w:val="15"/>
              </w:rPr>
              <w:t>0.048</w:t>
            </w:r>
          </w:p>
        </w:tc>
        <w:tc>
          <w:tcPr>
            <w:tcW w:w="1177" w:type="dxa"/>
            <w:tcBorders>
              <w:bottom w:val="single" w:sz="6" w:space="0" w:color="000000"/>
            </w:tcBorders>
          </w:tcPr>
          <w:p>
            <w:pPr>
              <w:pStyle w:val="TableParagraph"/>
              <w:spacing w:line="162" w:lineRule="exact"/>
              <w:ind w:left="269" w:right="253"/>
              <w:jc w:val="center"/>
              <w:rPr>
                <w:sz w:val="15"/>
              </w:rPr>
            </w:pPr>
            <w:r>
              <w:rPr>
                <w:sz w:val="15"/>
              </w:rPr>
              <w:t>0.112</w:t>
            </w:r>
          </w:p>
        </w:tc>
        <w:tc>
          <w:tcPr>
            <w:tcW w:w="1167" w:type="dxa"/>
            <w:tcBorders>
              <w:bottom w:val="single" w:sz="6" w:space="0" w:color="000000"/>
            </w:tcBorders>
          </w:tcPr>
          <w:p>
            <w:pPr>
              <w:pStyle w:val="TableParagraph"/>
              <w:spacing w:line="162" w:lineRule="exact"/>
              <w:ind w:left="260" w:right="252"/>
              <w:jc w:val="center"/>
              <w:rPr>
                <w:sz w:val="15"/>
              </w:rPr>
            </w:pPr>
            <w:r>
              <w:rPr>
                <w:sz w:val="15"/>
              </w:rPr>
              <w:t>0.128</w:t>
            </w:r>
          </w:p>
        </w:tc>
        <w:tc>
          <w:tcPr>
            <w:tcW w:w="1262" w:type="dxa"/>
            <w:tcBorders>
              <w:bottom w:val="single" w:sz="6" w:space="0" w:color="000000"/>
            </w:tcBorders>
          </w:tcPr>
          <w:p>
            <w:pPr>
              <w:pStyle w:val="TableParagraph"/>
              <w:spacing w:line="162" w:lineRule="exact"/>
              <w:ind w:left="399" w:right="481"/>
              <w:jc w:val="center"/>
              <w:rPr>
                <w:sz w:val="15"/>
              </w:rPr>
            </w:pPr>
            <w:r>
              <w:rPr>
                <w:sz w:val="15"/>
              </w:rPr>
              <w:t>0.127</w:t>
            </w:r>
          </w:p>
        </w:tc>
        <w:tc>
          <w:tcPr>
            <w:tcW w:w="1125" w:type="dxa"/>
            <w:tcBorders>
              <w:bottom w:val="single" w:sz="6" w:space="0" w:color="000000"/>
            </w:tcBorders>
          </w:tcPr>
          <w:p>
            <w:pPr>
              <w:pStyle w:val="TableParagraph"/>
              <w:spacing w:line="162" w:lineRule="exact"/>
              <w:ind w:left="521"/>
              <w:rPr>
                <w:sz w:val="15"/>
              </w:rPr>
            </w:pPr>
            <w:r>
              <w:rPr>
                <w:sz w:val="15"/>
              </w:rPr>
              <w:t>0.123</w:t>
            </w:r>
          </w:p>
        </w:tc>
      </w:tr>
    </w:tbl>
    <w:p>
      <w:pPr>
        <w:spacing w:before="7"/>
        <w:ind w:left="343" w:right="0" w:firstLine="0"/>
        <w:jc w:val="left"/>
        <w:rPr>
          <w:rFonts w:ascii="Calibri"/>
          <w:sz w:val="15"/>
        </w:rPr>
      </w:pPr>
      <w:r>
        <w:rPr>
          <w:rFonts w:ascii="Calibri"/>
          <w:sz w:val="15"/>
        </w:rPr>
        <w:t>Standard errors in parentheses</w:t>
      </w:r>
    </w:p>
    <w:p>
      <w:pPr>
        <w:spacing w:before="25"/>
        <w:ind w:left="343" w:right="0" w:firstLine="0"/>
        <w:jc w:val="left"/>
        <w:rPr>
          <w:rFonts w:ascii="Calibri"/>
          <w:sz w:val="15"/>
        </w:rPr>
      </w:pPr>
      <w:r>
        <w:rPr>
          <w:rFonts w:ascii="Calibri"/>
          <w:sz w:val="15"/>
        </w:rPr>
        <w:t>*** p&lt;0.01, ** p&lt;0.05, * p&lt;0.1</w:t>
      </w:r>
    </w:p>
    <w:p>
      <w:pPr>
        <w:spacing w:line="271" w:lineRule="auto" w:before="24"/>
        <w:ind w:left="343" w:right="1364" w:firstLine="0"/>
        <w:jc w:val="left"/>
        <w:rPr>
          <w:rFonts w:ascii="Calibri"/>
          <w:sz w:val="15"/>
        </w:rPr>
      </w:pPr>
      <w:r>
        <w:rPr>
          <w:rFonts w:ascii="Calibri"/>
          <w:sz w:val="15"/>
        </w:rPr>
        <w:t>All equations include additional controls for wave, age, education, gender, marital status and economic activity of head of household Effect of being unemployed is relative to being in employment</w:t>
      </w:r>
    </w:p>
    <w:p>
      <w:pPr>
        <w:tabs>
          <w:tab w:pos="2879" w:val="left" w:leader="none"/>
          <w:tab w:pos="4047" w:val="left" w:leader="none"/>
          <w:tab w:pos="5215" w:val="left" w:leader="none"/>
          <w:tab w:pos="6383" w:val="left" w:leader="none"/>
          <w:tab w:pos="7551" w:val="left" w:leader="none"/>
          <w:tab w:pos="8719" w:val="left" w:leader="none"/>
          <w:tab w:pos="9049" w:val="left" w:leader="none"/>
          <w:tab w:pos="9937" w:val="left" w:leader="none"/>
        </w:tabs>
        <w:spacing w:line="20" w:lineRule="exact"/>
        <w:ind w:left="314" w:right="0" w:firstLine="0"/>
        <w:rPr>
          <w:rFonts w:ascii="Calibri"/>
          <w:sz w:val="2"/>
        </w:rPr>
      </w:pPr>
      <w:r>
        <w:rPr>
          <w:rFonts w:ascii="Calibri"/>
          <w:sz w:val="2"/>
        </w:rPr>
        <w:pict>
          <v:group style="width:.5pt;height:.1pt;mso-position-horizontal-relative:char;mso-position-vertical-relative:line" coordorigin="0,0" coordsize="10,2">
            <v:shape style="position:absolute;left:0;top:0;width:10;height:2" coordorigin="0,0" coordsize="10,0" path="m10,0l0,0,10,0xe" filled="true" fillcolor="#dadcdd" stroked="false">
              <v:path arrowok="t"/>
              <v:fill type="solid"/>
            </v:shape>
          </v:group>
        </w:pict>
      </w:r>
      <w:r>
        <w:rPr>
          <w:rFonts w:ascii="Calibri"/>
          <w:sz w:val="2"/>
        </w:rPr>
      </w:r>
      <w:r>
        <w:rPr>
          <w:rFonts w:ascii="Calibri"/>
          <w:sz w:val="2"/>
        </w:rPr>
        <w:tab/>
      </w:r>
      <w:r>
        <w:rPr>
          <w:rFonts w:ascii="Calibri"/>
          <w:sz w:val="2"/>
        </w:rPr>
        <w:pict>
          <v:group style="width:.5pt;height:.1pt;mso-position-horizontal-relative:char;mso-position-vertical-relative:line" coordorigin="0,0" coordsize="10,2">
            <v:shape style="position:absolute;left:0;top:0;width:10;height:2" coordorigin="0,0" coordsize="10,0" path="m10,0l0,0,10,0xe" filled="true" fillcolor="#dadcdd" stroked="false">
              <v:path arrowok="t"/>
              <v:fill type="solid"/>
            </v:shape>
          </v:group>
        </w:pict>
      </w:r>
      <w:r>
        <w:rPr>
          <w:rFonts w:ascii="Calibri"/>
          <w:sz w:val="2"/>
        </w:rPr>
      </w:r>
      <w:r>
        <w:rPr>
          <w:rFonts w:ascii="Calibri"/>
          <w:sz w:val="2"/>
        </w:rPr>
        <w:tab/>
      </w:r>
      <w:r>
        <w:rPr>
          <w:rFonts w:ascii="Calibri"/>
          <w:sz w:val="2"/>
        </w:rPr>
        <w:pict>
          <v:group style="width:.5pt;height:.1pt;mso-position-horizontal-relative:char;mso-position-vertical-relative:line" coordorigin="0,0" coordsize="10,2">
            <v:shape style="position:absolute;left:0;top:0;width:10;height:2" coordorigin="0,0" coordsize="10,0" path="m10,0l0,0,10,0xe" filled="true" fillcolor="#dadcdd" stroked="false">
              <v:path arrowok="t"/>
              <v:fill type="solid"/>
            </v:shape>
          </v:group>
        </w:pict>
      </w:r>
      <w:r>
        <w:rPr>
          <w:rFonts w:ascii="Calibri"/>
          <w:sz w:val="2"/>
        </w:rPr>
      </w:r>
      <w:r>
        <w:rPr>
          <w:rFonts w:ascii="Calibri"/>
          <w:sz w:val="2"/>
        </w:rPr>
        <w:tab/>
      </w:r>
      <w:r>
        <w:rPr>
          <w:rFonts w:ascii="Calibri"/>
          <w:sz w:val="2"/>
        </w:rPr>
        <w:pict>
          <v:group style="width:.5pt;height:.1pt;mso-position-horizontal-relative:char;mso-position-vertical-relative:line" coordorigin="0,0" coordsize="10,2">
            <v:shape style="position:absolute;left:0;top:0;width:10;height:2" coordorigin="0,0" coordsize="10,0" path="m10,0l0,0,10,0xe" filled="true" fillcolor="#dadcdd" stroked="false">
              <v:path arrowok="t"/>
              <v:fill type="solid"/>
            </v:shape>
          </v:group>
        </w:pict>
      </w:r>
      <w:r>
        <w:rPr>
          <w:rFonts w:ascii="Calibri"/>
          <w:sz w:val="2"/>
        </w:rPr>
      </w:r>
      <w:r>
        <w:rPr>
          <w:rFonts w:ascii="Calibri"/>
          <w:sz w:val="2"/>
        </w:rPr>
        <w:tab/>
      </w:r>
      <w:r>
        <w:rPr>
          <w:rFonts w:ascii="Calibri"/>
          <w:sz w:val="2"/>
        </w:rPr>
        <w:pict>
          <v:group style="width:.5pt;height:.1pt;mso-position-horizontal-relative:char;mso-position-vertical-relative:line" coordorigin="0,0" coordsize="10,2">
            <v:shape style="position:absolute;left:0;top:0;width:10;height:2" coordorigin="0,0" coordsize="10,0" path="m10,0l0,0,10,0xe" filled="true" fillcolor="#dadcdd" stroked="false">
              <v:path arrowok="t"/>
              <v:fill type="solid"/>
            </v:shape>
          </v:group>
        </w:pict>
      </w:r>
      <w:r>
        <w:rPr>
          <w:rFonts w:ascii="Calibri"/>
          <w:sz w:val="2"/>
        </w:rPr>
      </w:r>
      <w:r>
        <w:rPr>
          <w:rFonts w:ascii="Calibri"/>
          <w:sz w:val="2"/>
        </w:rPr>
        <w:tab/>
      </w:r>
      <w:r>
        <w:rPr>
          <w:rFonts w:ascii="Calibri"/>
          <w:sz w:val="2"/>
        </w:rPr>
        <w:pict>
          <v:group style="width:.5pt;height:.1pt;mso-position-horizontal-relative:char;mso-position-vertical-relative:line" coordorigin="0,0" coordsize="10,2">
            <v:shape style="position:absolute;left:0;top:0;width:10;height:2" coordorigin="0,0" coordsize="10,0" path="m10,0l0,0,10,0xe" filled="true" fillcolor="#dadcdd" stroked="false">
              <v:path arrowok="t"/>
              <v:fill type="solid"/>
            </v:shape>
          </v:group>
        </w:pict>
      </w:r>
      <w:r>
        <w:rPr>
          <w:rFonts w:ascii="Calibri"/>
          <w:sz w:val="2"/>
        </w:rPr>
      </w:r>
      <w:r>
        <w:rPr>
          <w:rFonts w:ascii="Calibri"/>
          <w:sz w:val="2"/>
        </w:rPr>
        <w:tab/>
      </w:r>
      <w:r>
        <w:rPr>
          <w:rFonts w:ascii="Calibri"/>
          <w:sz w:val="2"/>
        </w:rPr>
        <w:pict>
          <v:group style="width:.5pt;height:.1pt;mso-position-horizontal-relative:char;mso-position-vertical-relative:line" coordorigin="0,0" coordsize="10,2">
            <v:shape style="position:absolute;left:0;top:0;width:10;height:2" coordorigin="0,0" coordsize="10,0" path="m10,0l0,0,10,0xe" filled="true" fillcolor="#dadcdd" stroked="false">
              <v:path arrowok="t"/>
              <v:fill type="solid"/>
            </v:shape>
          </v:group>
        </w:pict>
      </w:r>
      <w:r>
        <w:rPr>
          <w:rFonts w:ascii="Calibri"/>
          <w:sz w:val="2"/>
        </w:rPr>
      </w:r>
      <w:r>
        <w:rPr>
          <w:rFonts w:ascii="Calibri"/>
          <w:sz w:val="2"/>
        </w:rPr>
        <w:tab/>
      </w:r>
      <w:r>
        <w:rPr>
          <w:rFonts w:ascii="Calibri"/>
          <w:sz w:val="2"/>
        </w:rPr>
        <w:pict>
          <v:group style="width:.5pt;height:.1pt;mso-position-horizontal-relative:char;mso-position-vertical-relative:line" coordorigin="0,0" coordsize="10,2">
            <v:shape style="position:absolute;left:0;top:0;width:10;height:2" coordorigin="0,0" coordsize="10,0" path="m10,0l0,0,10,0xe" filled="true" fillcolor="#dadcdd" stroked="false">
              <v:path arrowok="t"/>
              <v:fill type="solid"/>
            </v:shape>
          </v:group>
        </w:pict>
      </w:r>
      <w:r>
        <w:rPr>
          <w:rFonts w:ascii="Calibri"/>
          <w:sz w:val="2"/>
        </w:rPr>
      </w:r>
      <w:r>
        <w:rPr>
          <w:rFonts w:ascii="Calibri"/>
          <w:sz w:val="2"/>
        </w:rPr>
        <w:tab/>
      </w:r>
      <w:r>
        <w:rPr>
          <w:rFonts w:ascii="Calibri"/>
          <w:sz w:val="2"/>
        </w:rPr>
        <w:pict>
          <v:group style="width:.5pt;height:.1pt;mso-position-horizontal-relative:char;mso-position-vertical-relative:line" coordorigin="0,0" coordsize="10,2">
            <v:shape style="position:absolute;left:0;top:0;width:10;height:2" coordorigin="0,0" coordsize="10,0" path="m10,0l0,0,10,0xe" filled="true" fillcolor="#dadcdd" stroked="false">
              <v:path arrowok="t"/>
              <v:fill type="solid"/>
            </v:shape>
          </v:group>
        </w:pict>
      </w:r>
      <w:r>
        <w:rPr>
          <w:rFonts w:ascii="Calibri"/>
          <w:sz w:val="2"/>
        </w:rPr>
      </w:r>
    </w:p>
    <w:p>
      <w:pPr>
        <w:spacing w:before="18"/>
        <w:ind w:left="313" w:right="0" w:firstLine="0"/>
        <w:jc w:val="left"/>
        <w:rPr>
          <w:rFonts w:ascii="Calibri" w:hAnsi="Calibri"/>
          <w:sz w:val="16"/>
        </w:rPr>
      </w:pPr>
      <w:r>
        <w:rPr>
          <w:rFonts w:ascii="Calibri" w:hAnsi="Calibri"/>
          <w:sz w:val="16"/>
        </w:rPr>
        <w:t>“ihs" refers to inverse hyperbolic sine – this is a similar to a log transformation but can be applied to numbers which are zero or negative.</w:t>
      </w:r>
    </w:p>
    <w:p>
      <w:pPr>
        <w:spacing w:after="0"/>
        <w:jc w:val="left"/>
        <w:rPr>
          <w:rFonts w:ascii="Calibri" w:hAnsi="Calibri"/>
          <w:sz w:val="16"/>
        </w:rPr>
        <w:sectPr>
          <w:type w:val="continuous"/>
          <w:pgSz w:w="11910" w:h="16840"/>
          <w:pgMar w:top="1180" w:bottom="1520" w:left="820" w:right="960"/>
        </w:sect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26"/>
        <w:gridCol w:w="3377"/>
      </w:tblGrid>
      <w:tr>
        <w:trPr>
          <w:trHeight w:val="244" w:hRule="atLeast"/>
        </w:trPr>
        <w:tc>
          <w:tcPr>
            <w:tcW w:w="8103" w:type="dxa"/>
            <w:gridSpan w:val="2"/>
          </w:tcPr>
          <w:p>
            <w:pPr>
              <w:pStyle w:val="TableParagraph"/>
              <w:spacing w:line="223" w:lineRule="exact"/>
              <w:ind w:left="200"/>
              <w:rPr>
                <w:rFonts w:ascii="Arial" w:hAnsi="Arial"/>
                <w:b/>
                <w:sz w:val="20"/>
              </w:rPr>
            </w:pPr>
            <w:r>
              <w:rPr>
                <w:rFonts w:ascii="Arial" w:hAnsi="Arial"/>
                <w:b/>
                <w:sz w:val="20"/>
              </w:rPr>
              <w:t>Figure 1: Monetary policy scorecard – average household (mean)</w:t>
            </w:r>
          </w:p>
        </w:tc>
      </w:tr>
      <w:tr>
        <w:trPr>
          <w:trHeight w:val="262" w:hRule="atLeast"/>
        </w:trPr>
        <w:tc>
          <w:tcPr>
            <w:tcW w:w="8103" w:type="dxa"/>
            <w:gridSpan w:val="2"/>
          </w:tcPr>
          <w:p>
            <w:pPr>
              <w:pStyle w:val="TableParagraph"/>
              <w:spacing w:line="227" w:lineRule="exact" w:before="15"/>
              <w:ind w:left="200"/>
              <w:rPr>
                <w:rFonts w:ascii="Arial" w:hAnsi="Arial"/>
                <w:sz w:val="20"/>
              </w:rPr>
            </w:pPr>
            <w:r>
              <w:rPr>
                <w:rFonts w:ascii="Arial" w:hAnsi="Arial"/>
                <w:sz w:val="20"/>
                <w:u w:val="single"/>
              </w:rPr>
              <w:t>Average annual contribution of monetary policy to income and wealth over 2008-14 (£):</w:t>
            </w:r>
          </w:p>
        </w:tc>
      </w:tr>
      <w:tr>
        <w:trPr>
          <w:trHeight w:val="239" w:hRule="atLeast"/>
        </w:trPr>
        <w:tc>
          <w:tcPr>
            <w:tcW w:w="4726" w:type="dxa"/>
          </w:tcPr>
          <w:p>
            <w:pPr>
              <w:pStyle w:val="TableParagraph"/>
              <w:rPr>
                <w:rFonts w:ascii="Times New Roman"/>
                <w:sz w:val="16"/>
              </w:rPr>
            </w:pPr>
          </w:p>
        </w:tc>
        <w:tc>
          <w:tcPr>
            <w:tcW w:w="3377" w:type="dxa"/>
          </w:tcPr>
          <w:p>
            <w:pPr>
              <w:pStyle w:val="TableParagraph"/>
              <w:spacing w:before="11"/>
              <w:ind w:left="845" w:right="511"/>
              <w:jc w:val="center"/>
              <w:rPr>
                <w:rFonts w:ascii="Arial"/>
                <w:b/>
                <w:sz w:val="18"/>
              </w:rPr>
            </w:pPr>
            <w:r>
              <w:rPr>
                <w:rFonts w:ascii="Arial"/>
                <w:b/>
                <w:sz w:val="18"/>
              </w:rPr>
              <w:t>Average UK household</w:t>
            </w:r>
          </w:p>
        </w:tc>
      </w:tr>
      <w:tr>
        <w:trPr>
          <w:trHeight w:val="241" w:hRule="atLeast"/>
        </w:trPr>
        <w:tc>
          <w:tcPr>
            <w:tcW w:w="4726" w:type="dxa"/>
          </w:tcPr>
          <w:p>
            <w:pPr>
              <w:pStyle w:val="TableParagraph"/>
              <w:spacing w:line="206" w:lineRule="exact" w:before="14"/>
              <w:ind w:left="200"/>
              <w:rPr>
                <w:rFonts w:ascii="Arial"/>
                <w:i/>
                <w:sz w:val="18"/>
              </w:rPr>
            </w:pPr>
            <w:r>
              <w:rPr>
                <w:rFonts w:ascii="Arial"/>
                <w:i/>
                <w:color w:val="FF0000"/>
                <w:sz w:val="18"/>
              </w:rPr>
              <w:t>Net interest income</w:t>
            </w:r>
          </w:p>
        </w:tc>
        <w:tc>
          <w:tcPr>
            <w:tcW w:w="3377" w:type="dxa"/>
          </w:tcPr>
          <w:p>
            <w:pPr>
              <w:pStyle w:val="TableParagraph"/>
              <w:spacing w:line="204" w:lineRule="exact" w:before="17"/>
              <w:ind w:left="845" w:right="510"/>
              <w:jc w:val="center"/>
              <w:rPr>
                <w:rFonts w:ascii="Arial"/>
                <w:sz w:val="18"/>
              </w:rPr>
            </w:pPr>
            <w:r>
              <w:rPr>
                <w:rFonts w:ascii="Arial"/>
                <w:sz w:val="18"/>
              </w:rPr>
              <w:t>264</w:t>
            </w:r>
          </w:p>
        </w:tc>
      </w:tr>
      <w:tr>
        <w:trPr>
          <w:trHeight w:val="237" w:hRule="atLeast"/>
        </w:trPr>
        <w:tc>
          <w:tcPr>
            <w:tcW w:w="4726" w:type="dxa"/>
          </w:tcPr>
          <w:p>
            <w:pPr>
              <w:pStyle w:val="TableParagraph"/>
              <w:spacing w:line="206" w:lineRule="exact" w:before="11"/>
              <w:ind w:left="200"/>
              <w:rPr>
                <w:rFonts w:ascii="Arial"/>
                <w:i/>
                <w:sz w:val="18"/>
              </w:rPr>
            </w:pPr>
            <w:r>
              <w:rPr>
                <w:rFonts w:ascii="Arial"/>
                <w:i/>
                <w:color w:val="FF0000"/>
                <w:sz w:val="18"/>
              </w:rPr>
              <w:t>Labour income</w:t>
            </w:r>
          </w:p>
        </w:tc>
        <w:tc>
          <w:tcPr>
            <w:tcW w:w="3377" w:type="dxa"/>
          </w:tcPr>
          <w:p>
            <w:pPr>
              <w:pStyle w:val="TableParagraph"/>
              <w:spacing w:line="204" w:lineRule="exact" w:before="13"/>
              <w:ind w:left="843" w:right="511"/>
              <w:jc w:val="center"/>
              <w:rPr>
                <w:rFonts w:ascii="Arial"/>
                <w:sz w:val="18"/>
              </w:rPr>
            </w:pPr>
            <w:r>
              <w:rPr>
                <w:rFonts w:ascii="Arial"/>
                <w:sz w:val="18"/>
              </w:rPr>
              <w:t>1,217</w:t>
            </w:r>
          </w:p>
        </w:tc>
      </w:tr>
      <w:tr>
        <w:trPr>
          <w:trHeight w:val="237" w:hRule="atLeast"/>
        </w:trPr>
        <w:tc>
          <w:tcPr>
            <w:tcW w:w="4726" w:type="dxa"/>
          </w:tcPr>
          <w:p>
            <w:pPr>
              <w:pStyle w:val="TableParagraph"/>
              <w:spacing w:line="206" w:lineRule="exact" w:before="11"/>
              <w:ind w:left="200"/>
              <w:rPr>
                <w:rFonts w:ascii="Arial"/>
                <w:i/>
                <w:sz w:val="18"/>
              </w:rPr>
            </w:pPr>
            <w:r>
              <w:rPr>
                <w:rFonts w:ascii="Arial"/>
                <w:i/>
                <w:color w:val="00AF50"/>
                <w:sz w:val="18"/>
              </w:rPr>
              <w:t>Financial wealth</w:t>
            </w:r>
          </w:p>
        </w:tc>
        <w:tc>
          <w:tcPr>
            <w:tcW w:w="3377" w:type="dxa"/>
          </w:tcPr>
          <w:p>
            <w:pPr>
              <w:pStyle w:val="TableParagraph"/>
              <w:spacing w:line="204" w:lineRule="exact" w:before="13"/>
              <w:ind w:left="843" w:right="511"/>
              <w:jc w:val="center"/>
              <w:rPr>
                <w:rFonts w:ascii="Arial"/>
                <w:sz w:val="18"/>
              </w:rPr>
            </w:pPr>
            <w:r>
              <w:rPr>
                <w:rFonts w:ascii="Arial"/>
                <w:sz w:val="18"/>
              </w:rPr>
              <w:t>1,059</w:t>
            </w:r>
          </w:p>
        </w:tc>
      </w:tr>
      <w:tr>
        <w:trPr>
          <w:trHeight w:val="237" w:hRule="atLeast"/>
        </w:trPr>
        <w:tc>
          <w:tcPr>
            <w:tcW w:w="4726" w:type="dxa"/>
          </w:tcPr>
          <w:p>
            <w:pPr>
              <w:pStyle w:val="TableParagraph"/>
              <w:spacing w:line="206" w:lineRule="exact" w:before="11"/>
              <w:ind w:left="200"/>
              <w:rPr>
                <w:rFonts w:ascii="Arial"/>
                <w:i/>
                <w:sz w:val="18"/>
              </w:rPr>
            </w:pPr>
            <w:r>
              <w:rPr>
                <w:rFonts w:ascii="Arial"/>
                <w:i/>
                <w:color w:val="00AF50"/>
                <w:sz w:val="18"/>
              </w:rPr>
              <w:t>Pension wealth</w:t>
            </w:r>
          </w:p>
        </w:tc>
        <w:tc>
          <w:tcPr>
            <w:tcW w:w="3377" w:type="dxa"/>
          </w:tcPr>
          <w:p>
            <w:pPr>
              <w:pStyle w:val="TableParagraph"/>
              <w:spacing w:line="204" w:lineRule="exact" w:before="13"/>
              <w:ind w:left="843" w:right="511"/>
              <w:jc w:val="center"/>
              <w:rPr>
                <w:rFonts w:ascii="Arial"/>
                <w:sz w:val="18"/>
              </w:rPr>
            </w:pPr>
            <w:r>
              <w:rPr>
                <w:rFonts w:ascii="Arial"/>
                <w:sz w:val="18"/>
              </w:rPr>
              <w:t>6,495</w:t>
            </w:r>
          </w:p>
        </w:tc>
      </w:tr>
      <w:tr>
        <w:trPr>
          <w:trHeight w:val="237" w:hRule="atLeast"/>
        </w:trPr>
        <w:tc>
          <w:tcPr>
            <w:tcW w:w="4726" w:type="dxa"/>
          </w:tcPr>
          <w:p>
            <w:pPr>
              <w:pStyle w:val="TableParagraph"/>
              <w:spacing w:line="206" w:lineRule="exact" w:before="11"/>
              <w:ind w:left="200"/>
              <w:rPr>
                <w:rFonts w:ascii="Arial"/>
                <w:i/>
                <w:sz w:val="18"/>
              </w:rPr>
            </w:pPr>
            <w:r>
              <w:rPr>
                <w:rFonts w:ascii="Arial"/>
                <w:i/>
                <w:color w:val="00AF50"/>
                <w:sz w:val="18"/>
              </w:rPr>
              <w:t>Housing wealth</w:t>
            </w:r>
          </w:p>
        </w:tc>
        <w:tc>
          <w:tcPr>
            <w:tcW w:w="3377" w:type="dxa"/>
          </w:tcPr>
          <w:p>
            <w:pPr>
              <w:pStyle w:val="TableParagraph"/>
              <w:spacing w:line="204" w:lineRule="exact" w:before="13"/>
              <w:ind w:left="843" w:right="511"/>
              <w:jc w:val="center"/>
              <w:rPr>
                <w:rFonts w:ascii="Arial"/>
                <w:sz w:val="18"/>
              </w:rPr>
            </w:pPr>
            <w:r>
              <w:rPr>
                <w:rFonts w:ascii="Arial"/>
                <w:sz w:val="18"/>
              </w:rPr>
              <w:t>6,653</w:t>
            </w:r>
          </w:p>
        </w:tc>
      </w:tr>
      <w:tr>
        <w:trPr>
          <w:trHeight w:val="834" w:hRule="atLeast"/>
        </w:trPr>
        <w:tc>
          <w:tcPr>
            <w:tcW w:w="4726" w:type="dxa"/>
          </w:tcPr>
          <w:p>
            <w:pPr>
              <w:pStyle w:val="TableParagraph"/>
              <w:spacing w:line="276" w:lineRule="auto" w:before="11"/>
              <w:ind w:left="200" w:right="1754"/>
              <w:rPr>
                <w:rFonts w:ascii="Arial"/>
                <w:i/>
                <w:sz w:val="18"/>
              </w:rPr>
            </w:pPr>
            <w:r>
              <w:rPr>
                <w:rFonts w:ascii="Arial"/>
                <w:i/>
                <w:color w:val="006FC0"/>
                <w:sz w:val="18"/>
              </w:rPr>
              <w:t>Reduced probability of </w:t>
            </w:r>
            <w:r>
              <w:rPr>
                <w:rFonts w:ascii="Arial"/>
                <w:i/>
                <w:color w:val="006FC0"/>
                <w:sz w:val="18"/>
              </w:rPr>
              <w:t>unemployment (income-equivalent effect on well-being)</w:t>
            </w:r>
          </w:p>
        </w:tc>
        <w:tc>
          <w:tcPr>
            <w:tcW w:w="3377" w:type="dxa"/>
          </w:tcPr>
          <w:p>
            <w:pPr>
              <w:pStyle w:val="TableParagraph"/>
              <w:spacing w:before="9"/>
              <w:rPr>
                <w:sz w:val="20"/>
              </w:rPr>
            </w:pPr>
          </w:p>
          <w:p>
            <w:pPr>
              <w:pStyle w:val="TableParagraph"/>
              <w:ind w:left="843" w:right="511"/>
              <w:jc w:val="center"/>
              <w:rPr>
                <w:rFonts w:ascii="Arial"/>
                <w:sz w:val="18"/>
              </w:rPr>
            </w:pPr>
            <w:r>
              <w:rPr>
                <w:rFonts w:ascii="Arial"/>
                <w:sz w:val="18"/>
              </w:rPr>
              <w:t>7,300</w:t>
            </w:r>
          </w:p>
        </w:tc>
      </w:tr>
      <w:tr>
        <w:trPr>
          <w:trHeight w:val="356" w:hRule="atLeast"/>
        </w:trPr>
        <w:tc>
          <w:tcPr>
            <w:tcW w:w="4726" w:type="dxa"/>
          </w:tcPr>
          <w:p>
            <w:pPr>
              <w:pStyle w:val="TableParagraph"/>
              <w:spacing w:line="204" w:lineRule="exact" w:before="132"/>
              <w:ind w:left="200"/>
              <w:rPr>
                <w:rFonts w:ascii="Arial"/>
                <w:sz w:val="18"/>
              </w:rPr>
            </w:pPr>
            <w:r>
              <w:rPr>
                <w:rFonts w:ascii="Arial"/>
                <w:sz w:val="18"/>
                <w:u w:val="single"/>
              </w:rPr>
              <w:t>Memo items:</w:t>
            </w:r>
          </w:p>
        </w:tc>
        <w:tc>
          <w:tcPr>
            <w:tcW w:w="3377" w:type="dxa"/>
          </w:tcPr>
          <w:p>
            <w:pPr>
              <w:pStyle w:val="TableParagraph"/>
              <w:rPr>
                <w:rFonts w:ascii="Times New Roman"/>
                <w:sz w:val="18"/>
              </w:rPr>
            </w:pPr>
          </w:p>
        </w:tc>
      </w:tr>
      <w:tr>
        <w:trPr>
          <w:trHeight w:val="238" w:hRule="atLeast"/>
        </w:trPr>
        <w:tc>
          <w:tcPr>
            <w:tcW w:w="4726" w:type="dxa"/>
          </w:tcPr>
          <w:p>
            <w:pPr>
              <w:pStyle w:val="TableParagraph"/>
              <w:spacing w:before="11"/>
              <w:ind w:left="200"/>
              <w:rPr>
                <w:rFonts w:ascii="Arial"/>
                <w:i/>
                <w:sz w:val="18"/>
              </w:rPr>
            </w:pPr>
            <w:r>
              <w:rPr>
                <w:rFonts w:ascii="Arial"/>
                <w:i/>
                <w:sz w:val="18"/>
              </w:rPr>
              <w:t>Average annual income (2012-14)</w:t>
            </w:r>
          </w:p>
        </w:tc>
        <w:tc>
          <w:tcPr>
            <w:tcW w:w="3377" w:type="dxa"/>
          </w:tcPr>
          <w:p>
            <w:pPr>
              <w:pStyle w:val="TableParagraph"/>
              <w:spacing w:line="205" w:lineRule="exact" w:before="13"/>
              <w:ind w:left="845" w:right="511"/>
              <w:jc w:val="center"/>
              <w:rPr>
                <w:rFonts w:ascii="Arial"/>
                <w:sz w:val="18"/>
              </w:rPr>
            </w:pPr>
            <w:r>
              <w:rPr>
                <w:rFonts w:ascii="Arial"/>
                <w:sz w:val="18"/>
              </w:rPr>
              <w:t>32,261</w:t>
            </w:r>
          </w:p>
        </w:tc>
      </w:tr>
      <w:tr>
        <w:trPr>
          <w:trHeight w:val="238" w:hRule="atLeast"/>
        </w:trPr>
        <w:tc>
          <w:tcPr>
            <w:tcW w:w="4726" w:type="dxa"/>
          </w:tcPr>
          <w:p>
            <w:pPr>
              <w:pStyle w:val="TableParagraph"/>
              <w:spacing w:line="206" w:lineRule="exact" w:before="12"/>
              <w:ind w:left="200"/>
              <w:rPr>
                <w:rFonts w:ascii="Arial"/>
                <w:i/>
                <w:sz w:val="18"/>
              </w:rPr>
            </w:pPr>
            <w:r>
              <w:rPr>
                <w:rFonts w:ascii="Arial"/>
                <w:i/>
                <w:sz w:val="18"/>
              </w:rPr>
              <w:t>Average level of net wealth (2012-14)</w:t>
            </w:r>
          </w:p>
        </w:tc>
        <w:tc>
          <w:tcPr>
            <w:tcW w:w="3377" w:type="dxa"/>
          </w:tcPr>
          <w:p>
            <w:pPr>
              <w:pStyle w:val="TableParagraph"/>
              <w:spacing w:line="204" w:lineRule="exact" w:before="14"/>
              <w:ind w:left="845" w:right="511"/>
              <w:jc w:val="center"/>
              <w:rPr>
                <w:rFonts w:ascii="Arial"/>
                <w:sz w:val="18"/>
              </w:rPr>
            </w:pPr>
            <w:r>
              <w:rPr>
                <w:rFonts w:ascii="Arial"/>
                <w:sz w:val="18"/>
              </w:rPr>
              <w:t>432,871</w:t>
            </w:r>
          </w:p>
        </w:tc>
      </w:tr>
      <w:tr>
        <w:trPr>
          <w:trHeight w:val="455" w:hRule="atLeast"/>
        </w:trPr>
        <w:tc>
          <w:tcPr>
            <w:tcW w:w="4726" w:type="dxa"/>
          </w:tcPr>
          <w:p>
            <w:pPr>
              <w:pStyle w:val="TableParagraph"/>
              <w:spacing w:before="11"/>
              <w:ind w:left="200"/>
              <w:rPr>
                <w:rFonts w:ascii="Arial"/>
                <w:i/>
                <w:sz w:val="18"/>
              </w:rPr>
            </w:pPr>
            <w:r>
              <w:rPr>
                <w:rFonts w:ascii="Arial"/>
                <w:i/>
                <w:sz w:val="18"/>
              </w:rPr>
              <w:t>Cost of monetary policy per</w:t>
            </w:r>
          </w:p>
          <w:p>
            <w:pPr>
              <w:pStyle w:val="TableParagraph"/>
              <w:spacing w:line="187" w:lineRule="exact" w:before="30"/>
              <w:ind w:left="200"/>
              <w:rPr>
                <w:rFonts w:ascii="Arial"/>
                <w:i/>
                <w:sz w:val="18"/>
              </w:rPr>
            </w:pPr>
            <w:r>
              <w:rPr>
                <w:rFonts w:ascii="Arial"/>
                <w:i/>
                <w:sz w:val="18"/>
              </w:rPr>
              <w:t>household (2017)</w:t>
            </w:r>
          </w:p>
        </w:tc>
        <w:tc>
          <w:tcPr>
            <w:tcW w:w="3377" w:type="dxa"/>
          </w:tcPr>
          <w:p>
            <w:pPr>
              <w:pStyle w:val="TableParagraph"/>
              <w:spacing w:before="131"/>
              <w:ind w:left="330"/>
              <w:jc w:val="center"/>
              <w:rPr>
                <w:rFonts w:ascii="Arial"/>
                <w:sz w:val="18"/>
              </w:rPr>
            </w:pPr>
            <w:r>
              <w:rPr>
                <w:rFonts w:ascii="Arial"/>
                <w:w w:val="99"/>
                <w:sz w:val="18"/>
              </w:rPr>
              <w:t>3</w:t>
            </w:r>
          </w:p>
        </w:tc>
      </w:tr>
    </w:tbl>
    <w:p>
      <w:pPr>
        <w:pStyle w:val="BodyText"/>
        <w:spacing w:before="3" w:after="1"/>
        <w:rPr>
          <w:rFonts w:ascii="Calibri"/>
          <w:sz w:val="25"/>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64"/>
        <w:gridCol w:w="2041"/>
        <w:gridCol w:w="1736"/>
        <w:gridCol w:w="2469"/>
      </w:tblGrid>
      <w:tr>
        <w:trPr>
          <w:trHeight w:val="244" w:hRule="atLeast"/>
        </w:trPr>
        <w:tc>
          <w:tcPr>
            <w:tcW w:w="9910" w:type="dxa"/>
            <w:gridSpan w:val="4"/>
          </w:tcPr>
          <w:p>
            <w:pPr>
              <w:pStyle w:val="TableParagraph"/>
              <w:spacing w:line="223" w:lineRule="exact"/>
              <w:ind w:left="200"/>
              <w:rPr>
                <w:rFonts w:ascii="Arial" w:hAnsi="Arial"/>
                <w:b/>
                <w:sz w:val="20"/>
              </w:rPr>
            </w:pPr>
            <w:r>
              <w:rPr>
                <w:rFonts w:ascii="Arial" w:hAnsi="Arial"/>
                <w:b/>
                <w:sz w:val="20"/>
              </w:rPr>
              <w:t>Figure 2-4: Monetary policy scorecard – different cohorts by age and housing tenure</w:t>
            </w:r>
          </w:p>
        </w:tc>
      </w:tr>
      <w:tr>
        <w:trPr>
          <w:trHeight w:val="263" w:hRule="atLeast"/>
        </w:trPr>
        <w:tc>
          <w:tcPr>
            <w:tcW w:w="9910" w:type="dxa"/>
            <w:gridSpan w:val="4"/>
          </w:tcPr>
          <w:p>
            <w:pPr>
              <w:pStyle w:val="TableParagraph"/>
              <w:spacing w:line="228" w:lineRule="exact" w:before="14"/>
              <w:ind w:left="200"/>
              <w:rPr>
                <w:rFonts w:ascii="Arial" w:hAnsi="Arial"/>
                <w:sz w:val="20"/>
              </w:rPr>
            </w:pPr>
            <w:r>
              <w:rPr>
                <w:rFonts w:ascii="Arial" w:hAnsi="Arial"/>
                <w:sz w:val="20"/>
                <w:u w:val="single"/>
              </w:rPr>
              <w:t>Average annual contribution of monetary policy to income and wealth over 2008-14 (£):</w:t>
            </w:r>
          </w:p>
        </w:tc>
      </w:tr>
      <w:tr>
        <w:trPr>
          <w:trHeight w:val="476" w:hRule="atLeast"/>
        </w:trPr>
        <w:tc>
          <w:tcPr>
            <w:tcW w:w="5705" w:type="dxa"/>
            <w:gridSpan w:val="2"/>
          </w:tcPr>
          <w:p>
            <w:pPr>
              <w:pStyle w:val="TableParagraph"/>
              <w:spacing w:before="12"/>
              <w:ind w:left="3476"/>
              <w:rPr>
                <w:rFonts w:ascii="Arial"/>
                <w:b/>
                <w:sz w:val="18"/>
              </w:rPr>
            </w:pPr>
            <w:r>
              <w:rPr>
                <w:rFonts w:ascii="Arial"/>
                <w:b/>
                <w:sz w:val="18"/>
              </w:rPr>
              <w:t>Aged under 30, renter</w:t>
            </w:r>
          </w:p>
        </w:tc>
        <w:tc>
          <w:tcPr>
            <w:tcW w:w="1736" w:type="dxa"/>
          </w:tcPr>
          <w:p>
            <w:pPr>
              <w:pStyle w:val="TableParagraph"/>
              <w:spacing w:before="12"/>
              <w:ind w:left="366"/>
              <w:rPr>
                <w:rFonts w:ascii="Arial"/>
                <w:b/>
                <w:sz w:val="18"/>
              </w:rPr>
            </w:pPr>
            <w:r>
              <w:rPr>
                <w:rFonts w:ascii="Arial"/>
                <w:b/>
                <w:sz w:val="18"/>
              </w:rPr>
              <w:t>Aged 30-50,</w:t>
            </w:r>
          </w:p>
          <w:p>
            <w:pPr>
              <w:pStyle w:val="TableParagraph"/>
              <w:spacing w:line="206" w:lineRule="exact" w:before="31"/>
              <w:ind w:left="423"/>
              <w:rPr>
                <w:rFonts w:ascii="Arial"/>
                <w:b/>
                <w:sz w:val="18"/>
              </w:rPr>
            </w:pPr>
            <w:r>
              <w:rPr>
                <w:rFonts w:ascii="Arial"/>
                <w:b/>
                <w:sz w:val="18"/>
              </w:rPr>
              <w:t>mortgagor</w:t>
            </w:r>
          </w:p>
        </w:tc>
        <w:tc>
          <w:tcPr>
            <w:tcW w:w="2469" w:type="dxa"/>
          </w:tcPr>
          <w:p>
            <w:pPr>
              <w:pStyle w:val="TableParagraph"/>
              <w:spacing w:before="12"/>
              <w:ind w:left="336" w:right="181"/>
              <w:jc w:val="center"/>
              <w:rPr>
                <w:rFonts w:ascii="Arial"/>
                <w:b/>
                <w:sz w:val="18"/>
              </w:rPr>
            </w:pPr>
            <w:r>
              <w:rPr>
                <w:rFonts w:ascii="Arial"/>
                <w:b/>
                <w:sz w:val="18"/>
              </w:rPr>
              <w:t>Aged over 50, outright</w:t>
            </w:r>
          </w:p>
          <w:p>
            <w:pPr>
              <w:pStyle w:val="TableParagraph"/>
              <w:spacing w:line="206" w:lineRule="exact" w:before="31"/>
              <w:ind w:left="336" w:right="177"/>
              <w:jc w:val="center"/>
              <w:rPr>
                <w:rFonts w:ascii="Arial"/>
                <w:b/>
                <w:sz w:val="18"/>
              </w:rPr>
            </w:pPr>
            <w:r>
              <w:rPr>
                <w:rFonts w:ascii="Arial"/>
                <w:b/>
                <w:sz w:val="18"/>
              </w:rPr>
              <w:t>owner</w:t>
            </w:r>
          </w:p>
        </w:tc>
      </w:tr>
      <w:tr>
        <w:trPr>
          <w:trHeight w:val="240" w:hRule="atLeast"/>
        </w:trPr>
        <w:tc>
          <w:tcPr>
            <w:tcW w:w="3664" w:type="dxa"/>
          </w:tcPr>
          <w:p>
            <w:pPr>
              <w:pStyle w:val="TableParagraph"/>
              <w:spacing w:line="206" w:lineRule="exact" w:before="13"/>
              <w:ind w:left="200"/>
              <w:rPr>
                <w:rFonts w:ascii="Arial"/>
                <w:i/>
                <w:sz w:val="18"/>
              </w:rPr>
            </w:pPr>
            <w:r>
              <w:rPr>
                <w:rFonts w:ascii="Arial"/>
                <w:i/>
                <w:color w:val="FF0000"/>
                <w:sz w:val="18"/>
              </w:rPr>
              <w:t>Net interest income</w:t>
            </w:r>
          </w:p>
        </w:tc>
        <w:tc>
          <w:tcPr>
            <w:tcW w:w="2041" w:type="dxa"/>
          </w:tcPr>
          <w:p>
            <w:pPr>
              <w:pStyle w:val="TableParagraph"/>
              <w:spacing w:line="204" w:lineRule="exact" w:before="16"/>
              <w:ind w:left="449" w:right="1000"/>
              <w:jc w:val="center"/>
              <w:rPr>
                <w:rFonts w:ascii="Arial"/>
                <w:sz w:val="18"/>
              </w:rPr>
            </w:pPr>
            <w:r>
              <w:rPr>
                <w:rFonts w:ascii="Arial"/>
                <w:sz w:val="18"/>
              </w:rPr>
              <w:t>168</w:t>
            </w:r>
          </w:p>
        </w:tc>
        <w:tc>
          <w:tcPr>
            <w:tcW w:w="1736" w:type="dxa"/>
          </w:tcPr>
          <w:p>
            <w:pPr>
              <w:pStyle w:val="TableParagraph"/>
              <w:spacing w:line="204" w:lineRule="exact" w:before="16"/>
              <w:ind w:right="634"/>
              <w:jc w:val="right"/>
              <w:rPr>
                <w:rFonts w:ascii="Arial"/>
                <w:sz w:val="18"/>
              </w:rPr>
            </w:pPr>
            <w:r>
              <w:rPr>
                <w:rFonts w:ascii="Arial"/>
                <w:w w:val="95"/>
                <w:sz w:val="18"/>
              </w:rPr>
              <w:t>2,262</w:t>
            </w:r>
          </w:p>
        </w:tc>
        <w:tc>
          <w:tcPr>
            <w:tcW w:w="2469" w:type="dxa"/>
          </w:tcPr>
          <w:p>
            <w:pPr>
              <w:pStyle w:val="TableParagraph"/>
              <w:spacing w:line="204" w:lineRule="exact" w:before="16"/>
              <w:ind w:left="336" w:right="179"/>
              <w:jc w:val="center"/>
              <w:rPr>
                <w:rFonts w:ascii="Arial"/>
                <w:sz w:val="18"/>
              </w:rPr>
            </w:pPr>
            <w:r>
              <w:rPr>
                <w:rFonts w:ascii="Arial"/>
                <w:sz w:val="18"/>
              </w:rPr>
              <w:t>-1,308</w:t>
            </w:r>
          </w:p>
        </w:tc>
      </w:tr>
      <w:tr>
        <w:trPr>
          <w:trHeight w:val="237" w:hRule="atLeast"/>
        </w:trPr>
        <w:tc>
          <w:tcPr>
            <w:tcW w:w="3664" w:type="dxa"/>
          </w:tcPr>
          <w:p>
            <w:pPr>
              <w:pStyle w:val="TableParagraph"/>
              <w:spacing w:line="206" w:lineRule="exact" w:before="11"/>
              <w:ind w:left="200"/>
              <w:rPr>
                <w:rFonts w:ascii="Arial"/>
                <w:i/>
                <w:sz w:val="18"/>
              </w:rPr>
            </w:pPr>
            <w:r>
              <w:rPr>
                <w:rFonts w:ascii="Arial"/>
                <w:i/>
                <w:color w:val="FF0000"/>
                <w:sz w:val="18"/>
              </w:rPr>
              <w:t>Labour income</w:t>
            </w:r>
          </w:p>
        </w:tc>
        <w:tc>
          <w:tcPr>
            <w:tcW w:w="2041" w:type="dxa"/>
          </w:tcPr>
          <w:p>
            <w:pPr>
              <w:pStyle w:val="TableParagraph"/>
              <w:spacing w:line="204" w:lineRule="exact" w:before="13"/>
              <w:ind w:left="446" w:right="1001"/>
              <w:jc w:val="center"/>
              <w:rPr>
                <w:rFonts w:ascii="Arial"/>
                <w:sz w:val="18"/>
              </w:rPr>
            </w:pPr>
            <w:r>
              <w:rPr>
                <w:rFonts w:ascii="Arial"/>
                <w:sz w:val="18"/>
              </w:rPr>
              <w:t>1,247</w:t>
            </w:r>
          </w:p>
        </w:tc>
        <w:tc>
          <w:tcPr>
            <w:tcW w:w="1736" w:type="dxa"/>
          </w:tcPr>
          <w:p>
            <w:pPr>
              <w:pStyle w:val="TableParagraph"/>
              <w:spacing w:line="204" w:lineRule="exact" w:before="13"/>
              <w:ind w:right="634"/>
              <w:jc w:val="right"/>
              <w:rPr>
                <w:rFonts w:ascii="Arial"/>
                <w:sz w:val="18"/>
              </w:rPr>
            </w:pPr>
            <w:r>
              <w:rPr>
                <w:rFonts w:ascii="Arial"/>
                <w:w w:val="95"/>
                <w:sz w:val="18"/>
              </w:rPr>
              <w:t>2,478</w:t>
            </w:r>
          </w:p>
        </w:tc>
        <w:tc>
          <w:tcPr>
            <w:tcW w:w="2469" w:type="dxa"/>
          </w:tcPr>
          <w:p>
            <w:pPr>
              <w:pStyle w:val="TableParagraph"/>
              <w:spacing w:line="204" w:lineRule="exact" w:before="13"/>
              <w:ind w:left="336" w:right="177"/>
              <w:jc w:val="center"/>
              <w:rPr>
                <w:rFonts w:ascii="Arial"/>
                <w:sz w:val="18"/>
              </w:rPr>
            </w:pPr>
            <w:r>
              <w:rPr>
                <w:rFonts w:ascii="Arial"/>
                <w:sz w:val="18"/>
              </w:rPr>
              <w:t>571</w:t>
            </w:r>
          </w:p>
        </w:tc>
      </w:tr>
      <w:tr>
        <w:trPr>
          <w:trHeight w:val="238" w:hRule="atLeast"/>
        </w:trPr>
        <w:tc>
          <w:tcPr>
            <w:tcW w:w="3664" w:type="dxa"/>
          </w:tcPr>
          <w:p>
            <w:pPr>
              <w:pStyle w:val="TableParagraph"/>
              <w:spacing w:before="11"/>
              <w:ind w:left="200"/>
              <w:rPr>
                <w:rFonts w:ascii="Arial"/>
                <w:i/>
                <w:sz w:val="18"/>
              </w:rPr>
            </w:pPr>
            <w:r>
              <w:rPr>
                <w:rFonts w:ascii="Arial"/>
                <w:i/>
                <w:color w:val="00AF50"/>
                <w:sz w:val="18"/>
              </w:rPr>
              <w:t>Financial wealth</w:t>
            </w:r>
          </w:p>
        </w:tc>
        <w:tc>
          <w:tcPr>
            <w:tcW w:w="2041" w:type="dxa"/>
          </w:tcPr>
          <w:p>
            <w:pPr>
              <w:pStyle w:val="TableParagraph"/>
              <w:spacing w:line="205" w:lineRule="exact" w:before="13"/>
              <w:ind w:left="449" w:right="1000"/>
              <w:jc w:val="center"/>
              <w:rPr>
                <w:rFonts w:ascii="Arial"/>
                <w:sz w:val="18"/>
              </w:rPr>
            </w:pPr>
            <w:r>
              <w:rPr>
                <w:rFonts w:ascii="Arial"/>
                <w:sz w:val="18"/>
              </w:rPr>
              <w:t>92</w:t>
            </w:r>
          </w:p>
        </w:tc>
        <w:tc>
          <w:tcPr>
            <w:tcW w:w="1736" w:type="dxa"/>
          </w:tcPr>
          <w:p>
            <w:pPr>
              <w:pStyle w:val="TableParagraph"/>
              <w:spacing w:line="205" w:lineRule="exact" w:before="13"/>
              <w:ind w:left="704" w:right="690"/>
              <w:jc w:val="center"/>
              <w:rPr>
                <w:rFonts w:ascii="Arial"/>
                <w:sz w:val="18"/>
              </w:rPr>
            </w:pPr>
            <w:r>
              <w:rPr>
                <w:rFonts w:ascii="Arial"/>
                <w:sz w:val="18"/>
              </w:rPr>
              <w:t>940</w:t>
            </w:r>
          </w:p>
        </w:tc>
        <w:tc>
          <w:tcPr>
            <w:tcW w:w="2469" w:type="dxa"/>
          </w:tcPr>
          <w:p>
            <w:pPr>
              <w:pStyle w:val="TableParagraph"/>
              <w:spacing w:line="205" w:lineRule="exact" w:before="13"/>
              <w:ind w:left="336" w:right="176"/>
              <w:jc w:val="center"/>
              <w:rPr>
                <w:rFonts w:ascii="Arial"/>
                <w:sz w:val="18"/>
              </w:rPr>
            </w:pPr>
            <w:r>
              <w:rPr>
                <w:rFonts w:ascii="Arial"/>
                <w:sz w:val="18"/>
              </w:rPr>
              <w:t>2,010</w:t>
            </w:r>
          </w:p>
        </w:tc>
      </w:tr>
      <w:tr>
        <w:trPr>
          <w:trHeight w:val="238" w:hRule="atLeast"/>
        </w:trPr>
        <w:tc>
          <w:tcPr>
            <w:tcW w:w="3664" w:type="dxa"/>
          </w:tcPr>
          <w:p>
            <w:pPr>
              <w:pStyle w:val="TableParagraph"/>
              <w:spacing w:line="206" w:lineRule="exact" w:before="12"/>
              <w:ind w:left="200"/>
              <w:rPr>
                <w:rFonts w:ascii="Arial"/>
                <w:i/>
                <w:sz w:val="18"/>
              </w:rPr>
            </w:pPr>
            <w:r>
              <w:rPr>
                <w:rFonts w:ascii="Arial"/>
                <w:i/>
                <w:color w:val="00AF50"/>
                <w:sz w:val="18"/>
              </w:rPr>
              <w:t>Pension wealth</w:t>
            </w:r>
          </w:p>
        </w:tc>
        <w:tc>
          <w:tcPr>
            <w:tcW w:w="2041" w:type="dxa"/>
          </w:tcPr>
          <w:p>
            <w:pPr>
              <w:pStyle w:val="TableParagraph"/>
              <w:spacing w:line="204" w:lineRule="exact" w:before="14"/>
              <w:ind w:left="449" w:right="1000"/>
              <w:jc w:val="center"/>
              <w:rPr>
                <w:rFonts w:ascii="Arial"/>
                <w:sz w:val="18"/>
              </w:rPr>
            </w:pPr>
            <w:r>
              <w:rPr>
                <w:rFonts w:ascii="Arial"/>
                <w:sz w:val="18"/>
              </w:rPr>
              <w:t>132</w:t>
            </w:r>
          </w:p>
        </w:tc>
        <w:tc>
          <w:tcPr>
            <w:tcW w:w="1736" w:type="dxa"/>
          </w:tcPr>
          <w:p>
            <w:pPr>
              <w:pStyle w:val="TableParagraph"/>
              <w:spacing w:line="204" w:lineRule="exact" w:before="14"/>
              <w:ind w:right="634"/>
              <w:jc w:val="right"/>
              <w:rPr>
                <w:rFonts w:ascii="Arial"/>
                <w:sz w:val="18"/>
              </w:rPr>
            </w:pPr>
            <w:r>
              <w:rPr>
                <w:rFonts w:ascii="Arial"/>
                <w:w w:val="95"/>
                <w:sz w:val="18"/>
              </w:rPr>
              <w:t>4,690</w:t>
            </w:r>
          </w:p>
        </w:tc>
        <w:tc>
          <w:tcPr>
            <w:tcW w:w="2469" w:type="dxa"/>
          </w:tcPr>
          <w:p>
            <w:pPr>
              <w:pStyle w:val="TableParagraph"/>
              <w:spacing w:line="204" w:lineRule="exact" w:before="14"/>
              <w:ind w:right="878"/>
              <w:jc w:val="right"/>
              <w:rPr>
                <w:rFonts w:ascii="Arial"/>
                <w:sz w:val="18"/>
              </w:rPr>
            </w:pPr>
            <w:r>
              <w:rPr>
                <w:rFonts w:ascii="Arial"/>
                <w:sz w:val="18"/>
              </w:rPr>
              <w:t>11,608</w:t>
            </w:r>
          </w:p>
        </w:tc>
      </w:tr>
      <w:tr>
        <w:trPr>
          <w:trHeight w:val="237" w:hRule="atLeast"/>
        </w:trPr>
        <w:tc>
          <w:tcPr>
            <w:tcW w:w="3664" w:type="dxa"/>
          </w:tcPr>
          <w:p>
            <w:pPr>
              <w:pStyle w:val="TableParagraph"/>
              <w:spacing w:line="206" w:lineRule="exact" w:before="11"/>
              <w:ind w:left="200"/>
              <w:rPr>
                <w:rFonts w:ascii="Arial"/>
                <w:i/>
                <w:sz w:val="18"/>
              </w:rPr>
            </w:pPr>
            <w:r>
              <w:rPr>
                <w:rFonts w:ascii="Arial"/>
                <w:i/>
                <w:color w:val="00AF50"/>
                <w:sz w:val="18"/>
              </w:rPr>
              <w:t>Housing wealth</w:t>
            </w:r>
          </w:p>
        </w:tc>
        <w:tc>
          <w:tcPr>
            <w:tcW w:w="2041" w:type="dxa"/>
          </w:tcPr>
          <w:p>
            <w:pPr>
              <w:pStyle w:val="TableParagraph"/>
              <w:spacing w:line="204" w:lineRule="exact" w:before="13"/>
              <w:ind w:left="449" w:right="1000"/>
              <w:jc w:val="center"/>
              <w:rPr>
                <w:rFonts w:ascii="Arial"/>
                <w:sz w:val="18"/>
              </w:rPr>
            </w:pPr>
            <w:r>
              <w:rPr>
                <w:rFonts w:ascii="Arial"/>
                <w:sz w:val="18"/>
              </w:rPr>
              <w:t>281</w:t>
            </w:r>
          </w:p>
        </w:tc>
        <w:tc>
          <w:tcPr>
            <w:tcW w:w="1736" w:type="dxa"/>
          </w:tcPr>
          <w:p>
            <w:pPr>
              <w:pStyle w:val="TableParagraph"/>
              <w:spacing w:line="204" w:lineRule="exact" w:before="13"/>
              <w:ind w:right="634"/>
              <w:jc w:val="right"/>
              <w:rPr>
                <w:rFonts w:ascii="Arial"/>
                <w:sz w:val="18"/>
              </w:rPr>
            </w:pPr>
            <w:r>
              <w:rPr>
                <w:rFonts w:ascii="Arial"/>
                <w:w w:val="95"/>
                <w:sz w:val="18"/>
              </w:rPr>
              <w:t>8,658</w:t>
            </w:r>
          </w:p>
        </w:tc>
        <w:tc>
          <w:tcPr>
            <w:tcW w:w="2469" w:type="dxa"/>
          </w:tcPr>
          <w:p>
            <w:pPr>
              <w:pStyle w:val="TableParagraph"/>
              <w:spacing w:line="204" w:lineRule="exact" w:before="13"/>
              <w:ind w:right="878"/>
              <w:jc w:val="right"/>
              <w:rPr>
                <w:rFonts w:ascii="Arial"/>
                <w:sz w:val="18"/>
              </w:rPr>
            </w:pPr>
            <w:r>
              <w:rPr>
                <w:rFonts w:ascii="Arial"/>
                <w:sz w:val="18"/>
              </w:rPr>
              <w:t>10,473</w:t>
            </w:r>
          </w:p>
        </w:tc>
      </w:tr>
      <w:tr>
        <w:trPr>
          <w:trHeight w:val="832" w:hRule="atLeast"/>
        </w:trPr>
        <w:tc>
          <w:tcPr>
            <w:tcW w:w="3664" w:type="dxa"/>
          </w:tcPr>
          <w:p>
            <w:pPr>
              <w:pStyle w:val="TableParagraph"/>
              <w:spacing w:line="276" w:lineRule="auto" w:before="11"/>
              <w:ind w:left="200" w:right="692"/>
              <w:rPr>
                <w:rFonts w:ascii="Arial"/>
                <w:i/>
                <w:sz w:val="18"/>
              </w:rPr>
            </w:pPr>
            <w:r>
              <w:rPr>
                <w:rFonts w:ascii="Arial"/>
                <w:i/>
                <w:color w:val="006FC0"/>
                <w:sz w:val="18"/>
              </w:rPr>
              <w:t>Reduced probability of </w:t>
            </w:r>
            <w:r>
              <w:rPr>
                <w:rFonts w:ascii="Arial"/>
                <w:i/>
                <w:color w:val="006FC0"/>
                <w:sz w:val="18"/>
              </w:rPr>
              <w:t>unemployment (income-equivalent effect on well-being)</w:t>
            </w:r>
          </w:p>
        </w:tc>
        <w:tc>
          <w:tcPr>
            <w:tcW w:w="2041" w:type="dxa"/>
          </w:tcPr>
          <w:p>
            <w:pPr>
              <w:pStyle w:val="TableParagraph"/>
              <w:spacing w:before="7"/>
              <w:rPr>
                <w:sz w:val="20"/>
              </w:rPr>
            </w:pPr>
          </w:p>
          <w:p>
            <w:pPr>
              <w:pStyle w:val="TableParagraph"/>
              <w:ind w:left="446" w:right="1001"/>
              <w:jc w:val="center"/>
              <w:rPr>
                <w:rFonts w:ascii="Arial"/>
                <w:sz w:val="18"/>
              </w:rPr>
            </w:pPr>
            <w:r>
              <w:rPr>
                <w:rFonts w:ascii="Arial"/>
                <w:sz w:val="18"/>
              </w:rPr>
              <w:t>7,480</w:t>
            </w:r>
          </w:p>
        </w:tc>
        <w:tc>
          <w:tcPr>
            <w:tcW w:w="1736" w:type="dxa"/>
          </w:tcPr>
          <w:p>
            <w:pPr>
              <w:pStyle w:val="TableParagraph"/>
              <w:spacing w:before="7"/>
              <w:rPr>
                <w:sz w:val="20"/>
              </w:rPr>
            </w:pPr>
          </w:p>
          <w:p>
            <w:pPr>
              <w:pStyle w:val="TableParagraph"/>
              <w:ind w:right="584"/>
              <w:jc w:val="right"/>
              <w:rPr>
                <w:rFonts w:ascii="Arial"/>
                <w:sz w:val="18"/>
              </w:rPr>
            </w:pPr>
            <w:r>
              <w:rPr>
                <w:rFonts w:ascii="Arial"/>
                <w:sz w:val="18"/>
              </w:rPr>
              <w:t>14,870</w:t>
            </w:r>
          </w:p>
        </w:tc>
        <w:tc>
          <w:tcPr>
            <w:tcW w:w="2469" w:type="dxa"/>
          </w:tcPr>
          <w:p>
            <w:pPr>
              <w:pStyle w:val="TableParagraph"/>
              <w:spacing w:before="7"/>
              <w:rPr>
                <w:sz w:val="20"/>
              </w:rPr>
            </w:pPr>
          </w:p>
          <w:p>
            <w:pPr>
              <w:pStyle w:val="TableParagraph"/>
              <w:ind w:left="336" w:right="176"/>
              <w:jc w:val="center"/>
              <w:rPr>
                <w:rFonts w:ascii="Arial"/>
                <w:sz w:val="18"/>
              </w:rPr>
            </w:pPr>
            <w:r>
              <w:rPr>
                <w:rFonts w:ascii="Arial"/>
                <w:sz w:val="18"/>
              </w:rPr>
              <w:t>3,425</w:t>
            </w:r>
          </w:p>
        </w:tc>
      </w:tr>
      <w:tr>
        <w:trPr>
          <w:trHeight w:val="357" w:hRule="atLeast"/>
        </w:trPr>
        <w:tc>
          <w:tcPr>
            <w:tcW w:w="3664" w:type="dxa"/>
          </w:tcPr>
          <w:p>
            <w:pPr>
              <w:pStyle w:val="TableParagraph"/>
              <w:spacing w:line="204" w:lineRule="exact" w:before="133"/>
              <w:ind w:left="200"/>
              <w:rPr>
                <w:rFonts w:ascii="Arial"/>
                <w:sz w:val="18"/>
              </w:rPr>
            </w:pPr>
            <w:r>
              <w:rPr>
                <w:rFonts w:ascii="Arial"/>
                <w:sz w:val="18"/>
                <w:u w:val="single"/>
              </w:rPr>
              <w:t>Memo items:</w:t>
            </w:r>
          </w:p>
        </w:tc>
        <w:tc>
          <w:tcPr>
            <w:tcW w:w="2041" w:type="dxa"/>
          </w:tcPr>
          <w:p>
            <w:pPr>
              <w:pStyle w:val="TableParagraph"/>
              <w:rPr>
                <w:rFonts w:ascii="Times New Roman"/>
                <w:sz w:val="18"/>
              </w:rPr>
            </w:pPr>
          </w:p>
        </w:tc>
        <w:tc>
          <w:tcPr>
            <w:tcW w:w="1736" w:type="dxa"/>
          </w:tcPr>
          <w:p>
            <w:pPr>
              <w:pStyle w:val="TableParagraph"/>
              <w:rPr>
                <w:rFonts w:ascii="Times New Roman"/>
                <w:sz w:val="18"/>
              </w:rPr>
            </w:pPr>
          </w:p>
        </w:tc>
        <w:tc>
          <w:tcPr>
            <w:tcW w:w="2469" w:type="dxa"/>
          </w:tcPr>
          <w:p>
            <w:pPr>
              <w:pStyle w:val="TableParagraph"/>
              <w:rPr>
                <w:rFonts w:ascii="Times New Roman"/>
                <w:sz w:val="18"/>
              </w:rPr>
            </w:pPr>
          </w:p>
        </w:tc>
      </w:tr>
      <w:tr>
        <w:trPr>
          <w:trHeight w:val="237" w:hRule="atLeast"/>
        </w:trPr>
        <w:tc>
          <w:tcPr>
            <w:tcW w:w="3664" w:type="dxa"/>
          </w:tcPr>
          <w:p>
            <w:pPr>
              <w:pStyle w:val="TableParagraph"/>
              <w:spacing w:line="207" w:lineRule="exact" w:before="11"/>
              <w:ind w:left="200"/>
              <w:rPr>
                <w:rFonts w:ascii="Arial"/>
                <w:i/>
                <w:sz w:val="18"/>
              </w:rPr>
            </w:pPr>
            <w:r>
              <w:rPr>
                <w:rFonts w:ascii="Arial"/>
                <w:i/>
                <w:sz w:val="18"/>
              </w:rPr>
              <w:t>Average annual income (2012-14)</w:t>
            </w:r>
          </w:p>
        </w:tc>
        <w:tc>
          <w:tcPr>
            <w:tcW w:w="2041" w:type="dxa"/>
          </w:tcPr>
          <w:p>
            <w:pPr>
              <w:pStyle w:val="TableParagraph"/>
              <w:spacing w:line="204" w:lineRule="exact" w:before="13"/>
              <w:ind w:left="449" w:right="1001"/>
              <w:jc w:val="center"/>
              <w:rPr>
                <w:rFonts w:ascii="Arial"/>
                <w:sz w:val="18"/>
              </w:rPr>
            </w:pPr>
            <w:r>
              <w:rPr>
                <w:rFonts w:ascii="Arial"/>
                <w:sz w:val="18"/>
              </w:rPr>
              <w:t>22,935</w:t>
            </w:r>
          </w:p>
        </w:tc>
        <w:tc>
          <w:tcPr>
            <w:tcW w:w="1736" w:type="dxa"/>
          </w:tcPr>
          <w:p>
            <w:pPr>
              <w:pStyle w:val="TableParagraph"/>
              <w:spacing w:line="204" w:lineRule="exact" w:before="13"/>
              <w:ind w:right="584"/>
              <w:jc w:val="right"/>
              <w:rPr>
                <w:rFonts w:ascii="Arial"/>
                <w:sz w:val="18"/>
              </w:rPr>
            </w:pPr>
            <w:r>
              <w:rPr>
                <w:rFonts w:ascii="Arial"/>
                <w:sz w:val="18"/>
              </w:rPr>
              <w:t>43,072</w:t>
            </w:r>
          </w:p>
        </w:tc>
        <w:tc>
          <w:tcPr>
            <w:tcW w:w="2469" w:type="dxa"/>
          </w:tcPr>
          <w:p>
            <w:pPr>
              <w:pStyle w:val="TableParagraph"/>
              <w:spacing w:line="204" w:lineRule="exact" w:before="13"/>
              <w:ind w:right="878"/>
              <w:jc w:val="right"/>
              <w:rPr>
                <w:rFonts w:ascii="Arial"/>
                <w:sz w:val="18"/>
              </w:rPr>
            </w:pPr>
            <w:r>
              <w:rPr>
                <w:rFonts w:ascii="Arial"/>
                <w:sz w:val="18"/>
              </w:rPr>
              <w:t>31,250</w:t>
            </w:r>
          </w:p>
        </w:tc>
      </w:tr>
      <w:tr>
        <w:trPr>
          <w:trHeight w:val="237" w:hRule="atLeast"/>
        </w:trPr>
        <w:tc>
          <w:tcPr>
            <w:tcW w:w="3664" w:type="dxa"/>
          </w:tcPr>
          <w:p>
            <w:pPr>
              <w:pStyle w:val="TableParagraph"/>
              <w:spacing w:line="206" w:lineRule="exact" w:before="11"/>
              <w:ind w:left="200"/>
              <w:rPr>
                <w:rFonts w:ascii="Arial"/>
                <w:i/>
                <w:sz w:val="18"/>
              </w:rPr>
            </w:pPr>
            <w:r>
              <w:rPr>
                <w:rFonts w:ascii="Arial"/>
                <w:i/>
                <w:sz w:val="18"/>
              </w:rPr>
              <w:t>Average level of net wealth (2012-14)</w:t>
            </w:r>
          </w:p>
        </w:tc>
        <w:tc>
          <w:tcPr>
            <w:tcW w:w="2041" w:type="dxa"/>
          </w:tcPr>
          <w:p>
            <w:pPr>
              <w:pStyle w:val="TableParagraph"/>
              <w:spacing w:line="204" w:lineRule="exact" w:before="13"/>
              <w:ind w:left="449" w:right="1001"/>
              <w:jc w:val="center"/>
              <w:rPr>
                <w:rFonts w:ascii="Arial"/>
                <w:sz w:val="18"/>
              </w:rPr>
            </w:pPr>
            <w:r>
              <w:rPr>
                <w:rFonts w:ascii="Arial"/>
                <w:sz w:val="18"/>
              </w:rPr>
              <w:t>20,701</w:t>
            </w:r>
          </w:p>
        </w:tc>
        <w:tc>
          <w:tcPr>
            <w:tcW w:w="1736" w:type="dxa"/>
          </w:tcPr>
          <w:p>
            <w:pPr>
              <w:pStyle w:val="TableParagraph"/>
              <w:spacing w:line="204" w:lineRule="exact" w:before="13"/>
              <w:ind w:right="533"/>
              <w:jc w:val="right"/>
              <w:rPr>
                <w:rFonts w:ascii="Arial"/>
                <w:sz w:val="18"/>
              </w:rPr>
            </w:pPr>
            <w:r>
              <w:rPr>
                <w:rFonts w:ascii="Arial"/>
                <w:sz w:val="18"/>
              </w:rPr>
              <w:t>348,420</w:t>
            </w:r>
          </w:p>
        </w:tc>
        <w:tc>
          <w:tcPr>
            <w:tcW w:w="2469" w:type="dxa"/>
          </w:tcPr>
          <w:p>
            <w:pPr>
              <w:pStyle w:val="TableParagraph"/>
              <w:spacing w:line="204" w:lineRule="exact" w:before="13"/>
              <w:ind w:right="827"/>
              <w:jc w:val="right"/>
              <w:rPr>
                <w:rFonts w:ascii="Arial"/>
                <w:sz w:val="18"/>
              </w:rPr>
            </w:pPr>
            <w:r>
              <w:rPr>
                <w:rFonts w:ascii="Arial"/>
                <w:sz w:val="18"/>
              </w:rPr>
              <w:t>794,642</w:t>
            </w:r>
          </w:p>
        </w:tc>
      </w:tr>
      <w:tr>
        <w:trPr>
          <w:trHeight w:val="455" w:hRule="atLeast"/>
        </w:trPr>
        <w:tc>
          <w:tcPr>
            <w:tcW w:w="3664" w:type="dxa"/>
          </w:tcPr>
          <w:p>
            <w:pPr>
              <w:pStyle w:val="TableParagraph"/>
              <w:spacing w:before="11"/>
              <w:ind w:left="200"/>
              <w:rPr>
                <w:rFonts w:ascii="Arial"/>
                <w:i/>
                <w:sz w:val="18"/>
              </w:rPr>
            </w:pPr>
            <w:r>
              <w:rPr>
                <w:rFonts w:ascii="Arial"/>
                <w:i/>
                <w:sz w:val="18"/>
              </w:rPr>
              <w:t>Cost of monetary policy per</w:t>
            </w:r>
          </w:p>
          <w:p>
            <w:pPr>
              <w:pStyle w:val="TableParagraph"/>
              <w:spacing w:line="187" w:lineRule="exact" w:before="30"/>
              <w:ind w:left="200"/>
              <w:rPr>
                <w:rFonts w:ascii="Arial"/>
                <w:i/>
                <w:sz w:val="18"/>
              </w:rPr>
            </w:pPr>
            <w:r>
              <w:rPr>
                <w:rFonts w:ascii="Arial"/>
                <w:i/>
                <w:sz w:val="18"/>
              </w:rPr>
              <w:t>household (2017)</w:t>
            </w:r>
          </w:p>
        </w:tc>
        <w:tc>
          <w:tcPr>
            <w:tcW w:w="2041" w:type="dxa"/>
          </w:tcPr>
          <w:p>
            <w:pPr>
              <w:pStyle w:val="TableParagraph"/>
              <w:spacing w:before="133"/>
              <w:ind w:right="557"/>
              <w:jc w:val="center"/>
              <w:rPr>
                <w:rFonts w:ascii="Arial"/>
                <w:sz w:val="18"/>
              </w:rPr>
            </w:pPr>
            <w:r>
              <w:rPr>
                <w:rFonts w:ascii="Arial"/>
                <w:w w:val="99"/>
                <w:sz w:val="18"/>
              </w:rPr>
              <w:t>3</w:t>
            </w:r>
          </w:p>
        </w:tc>
        <w:tc>
          <w:tcPr>
            <w:tcW w:w="1736" w:type="dxa"/>
          </w:tcPr>
          <w:p>
            <w:pPr>
              <w:pStyle w:val="TableParagraph"/>
              <w:spacing w:before="133"/>
              <w:ind w:left="8"/>
              <w:jc w:val="center"/>
              <w:rPr>
                <w:rFonts w:ascii="Arial"/>
                <w:sz w:val="18"/>
              </w:rPr>
            </w:pPr>
            <w:r>
              <w:rPr>
                <w:rFonts w:ascii="Arial"/>
                <w:w w:val="99"/>
                <w:sz w:val="18"/>
              </w:rPr>
              <w:t>3</w:t>
            </w:r>
          </w:p>
        </w:tc>
        <w:tc>
          <w:tcPr>
            <w:tcW w:w="2469" w:type="dxa"/>
          </w:tcPr>
          <w:p>
            <w:pPr>
              <w:pStyle w:val="TableParagraph"/>
              <w:spacing w:before="133"/>
              <w:ind w:left="158"/>
              <w:jc w:val="center"/>
              <w:rPr>
                <w:rFonts w:ascii="Arial"/>
                <w:sz w:val="18"/>
              </w:rPr>
            </w:pPr>
            <w:r>
              <w:rPr>
                <w:rFonts w:ascii="Arial"/>
                <w:w w:val="99"/>
                <w:sz w:val="18"/>
              </w:rPr>
              <w:t>3</w:t>
            </w:r>
          </w:p>
        </w:tc>
      </w:tr>
    </w:tbl>
    <w:p>
      <w:pPr>
        <w:pStyle w:val="BodyText"/>
        <w:spacing w:before="11"/>
        <w:rPr>
          <w:rFonts w:ascii="Calibri"/>
          <w:sz w:val="24"/>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51"/>
        <w:gridCol w:w="5111"/>
      </w:tblGrid>
      <w:tr>
        <w:trPr>
          <w:trHeight w:val="244" w:hRule="atLeast"/>
        </w:trPr>
        <w:tc>
          <w:tcPr>
            <w:tcW w:w="9862" w:type="dxa"/>
            <w:gridSpan w:val="2"/>
          </w:tcPr>
          <w:p>
            <w:pPr>
              <w:pStyle w:val="TableParagraph"/>
              <w:spacing w:line="223" w:lineRule="exact"/>
              <w:ind w:left="200"/>
              <w:rPr>
                <w:rFonts w:ascii="Arial" w:hAnsi="Arial"/>
                <w:b/>
                <w:sz w:val="20"/>
              </w:rPr>
            </w:pPr>
            <w:r>
              <w:rPr>
                <w:rFonts w:ascii="Arial" w:hAnsi="Arial"/>
                <w:b/>
                <w:sz w:val="20"/>
              </w:rPr>
              <w:t>Figure 5: Monetary policy scorecard – negatively-affected cohort</w:t>
            </w:r>
          </w:p>
        </w:tc>
      </w:tr>
      <w:tr>
        <w:trPr>
          <w:trHeight w:val="261" w:hRule="atLeast"/>
        </w:trPr>
        <w:tc>
          <w:tcPr>
            <w:tcW w:w="9862" w:type="dxa"/>
            <w:gridSpan w:val="2"/>
          </w:tcPr>
          <w:p>
            <w:pPr>
              <w:pStyle w:val="TableParagraph"/>
              <w:spacing w:line="227" w:lineRule="exact" w:before="14"/>
              <w:ind w:left="200"/>
              <w:rPr>
                <w:rFonts w:ascii="Arial" w:hAnsi="Arial"/>
                <w:sz w:val="20"/>
              </w:rPr>
            </w:pPr>
            <w:r>
              <w:rPr>
                <w:rFonts w:ascii="Arial" w:hAnsi="Arial"/>
                <w:sz w:val="20"/>
                <w:u w:val="single"/>
              </w:rPr>
              <w:t>Average annual contribution of monetary policy to income and wealth over 2008-14 (£):</w:t>
            </w:r>
          </w:p>
        </w:tc>
      </w:tr>
      <w:tr>
        <w:trPr>
          <w:trHeight w:val="476" w:hRule="atLeast"/>
        </w:trPr>
        <w:tc>
          <w:tcPr>
            <w:tcW w:w="9862" w:type="dxa"/>
            <w:gridSpan w:val="2"/>
          </w:tcPr>
          <w:p>
            <w:pPr>
              <w:pStyle w:val="TableParagraph"/>
              <w:spacing w:before="11"/>
              <w:ind w:left="3479" w:right="181"/>
              <w:jc w:val="center"/>
              <w:rPr>
                <w:rFonts w:ascii="Arial" w:hAnsi="Arial"/>
                <w:b/>
                <w:sz w:val="18"/>
              </w:rPr>
            </w:pPr>
            <w:r>
              <w:rPr>
                <w:rFonts w:ascii="Arial" w:hAnsi="Arial"/>
                <w:b/>
                <w:sz w:val="18"/>
              </w:rPr>
              <w:t>Retired, with more than £5k in deposits, but less than £5k in other gross</w:t>
            </w:r>
          </w:p>
          <w:p>
            <w:pPr>
              <w:pStyle w:val="TableParagraph"/>
              <w:spacing w:before="31"/>
              <w:ind w:left="3479" w:right="181"/>
              <w:jc w:val="center"/>
              <w:rPr>
                <w:rFonts w:ascii="Arial"/>
                <w:b/>
                <w:sz w:val="18"/>
              </w:rPr>
            </w:pPr>
            <w:r>
              <w:rPr>
                <w:rFonts w:ascii="Arial"/>
                <w:b/>
                <w:sz w:val="18"/>
              </w:rPr>
              <w:t>wealth (excl. deposits)</w:t>
            </w:r>
          </w:p>
        </w:tc>
      </w:tr>
      <w:tr>
        <w:trPr>
          <w:trHeight w:val="241" w:hRule="atLeast"/>
        </w:trPr>
        <w:tc>
          <w:tcPr>
            <w:tcW w:w="4751" w:type="dxa"/>
          </w:tcPr>
          <w:p>
            <w:pPr>
              <w:pStyle w:val="TableParagraph"/>
              <w:spacing w:line="206" w:lineRule="exact" w:before="14"/>
              <w:ind w:left="200"/>
              <w:rPr>
                <w:rFonts w:ascii="Arial"/>
                <w:i/>
                <w:sz w:val="18"/>
              </w:rPr>
            </w:pPr>
            <w:r>
              <w:rPr>
                <w:rFonts w:ascii="Arial"/>
                <w:i/>
                <w:color w:val="FF0000"/>
                <w:sz w:val="18"/>
              </w:rPr>
              <w:t>Net interest income</w:t>
            </w:r>
          </w:p>
        </w:tc>
        <w:tc>
          <w:tcPr>
            <w:tcW w:w="5111" w:type="dxa"/>
          </w:tcPr>
          <w:p>
            <w:pPr>
              <w:pStyle w:val="TableParagraph"/>
              <w:spacing w:line="204" w:lineRule="exact" w:before="17"/>
              <w:ind w:left="1535" w:right="2983"/>
              <w:jc w:val="center"/>
              <w:rPr>
                <w:rFonts w:ascii="Arial"/>
                <w:sz w:val="18"/>
              </w:rPr>
            </w:pPr>
            <w:r>
              <w:rPr>
                <w:rFonts w:ascii="Arial"/>
                <w:sz w:val="18"/>
              </w:rPr>
              <w:t>-192</w:t>
            </w:r>
          </w:p>
        </w:tc>
      </w:tr>
      <w:tr>
        <w:trPr>
          <w:trHeight w:val="237" w:hRule="atLeast"/>
        </w:trPr>
        <w:tc>
          <w:tcPr>
            <w:tcW w:w="4751" w:type="dxa"/>
          </w:tcPr>
          <w:p>
            <w:pPr>
              <w:pStyle w:val="TableParagraph"/>
              <w:spacing w:line="206" w:lineRule="exact" w:before="11"/>
              <w:ind w:left="200"/>
              <w:rPr>
                <w:rFonts w:ascii="Arial"/>
                <w:i/>
                <w:sz w:val="18"/>
              </w:rPr>
            </w:pPr>
            <w:r>
              <w:rPr>
                <w:rFonts w:ascii="Arial"/>
                <w:i/>
                <w:color w:val="FF0000"/>
                <w:sz w:val="18"/>
              </w:rPr>
              <w:t>Labour income</w:t>
            </w:r>
          </w:p>
        </w:tc>
        <w:tc>
          <w:tcPr>
            <w:tcW w:w="5111" w:type="dxa"/>
          </w:tcPr>
          <w:p>
            <w:pPr>
              <w:pStyle w:val="TableParagraph"/>
              <w:spacing w:line="204" w:lineRule="exact" w:before="13"/>
              <w:ind w:right="1451"/>
              <w:jc w:val="center"/>
              <w:rPr>
                <w:rFonts w:ascii="Arial"/>
                <w:sz w:val="18"/>
              </w:rPr>
            </w:pPr>
            <w:r>
              <w:rPr>
                <w:rFonts w:ascii="Arial"/>
                <w:w w:val="99"/>
                <w:sz w:val="18"/>
              </w:rPr>
              <w:t>0</w:t>
            </w:r>
          </w:p>
        </w:tc>
      </w:tr>
      <w:tr>
        <w:trPr>
          <w:trHeight w:val="237" w:hRule="atLeast"/>
        </w:trPr>
        <w:tc>
          <w:tcPr>
            <w:tcW w:w="4751" w:type="dxa"/>
          </w:tcPr>
          <w:p>
            <w:pPr>
              <w:pStyle w:val="TableParagraph"/>
              <w:spacing w:line="206" w:lineRule="exact" w:before="11"/>
              <w:ind w:left="200"/>
              <w:rPr>
                <w:rFonts w:ascii="Arial"/>
                <w:i/>
                <w:sz w:val="18"/>
              </w:rPr>
            </w:pPr>
            <w:r>
              <w:rPr>
                <w:rFonts w:ascii="Arial"/>
                <w:i/>
                <w:color w:val="00AF50"/>
                <w:sz w:val="18"/>
              </w:rPr>
              <w:t>Financial wealth</w:t>
            </w:r>
          </w:p>
        </w:tc>
        <w:tc>
          <w:tcPr>
            <w:tcW w:w="5111" w:type="dxa"/>
          </w:tcPr>
          <w:p>
            <w:pPr>
              <w:pStyle w:val="TableParagraph"/>
              <w:spacing w:line="204" w:lineRule="exact" w:before="13"/>
              <w:ind w:right="1451"/>
              <w:jc w:val="center"/>
              <w:rPr>
                <w:rFonts w:ascii="Arial"/>
                <w:sz w:val="18"/>
              </w:rPr>
            </w:pPr>
            <w:r>
              <w:rPr>
                <w:rFonts w:ascii="Arial"/>
                <w:w w:val="99"/>
                <w:sz w:val="18"/>
              </w:rPr>
              <w:t>0</w:t>
            </w:r>
          </w:p>
        </w:tc>
      </w:tr>
      <w:tr>
        <w:trPr>
          <w:trHeight w:val="237" w:hRule="atLeast"/>
        </w:trPr>
        <w:tc>
          <w:tcPr>
            <w:tcW w:w="4751" w:type="dxa"/>
          </w:tcPr>
          <w:p>
            <w:pPr>
              <w:pStyle w:val="TableParagraph"/>
              <w:spacing w:line="206" w:lineRule="exact" w:before="11"/>
              <w:ind w:left="200"/>
              <w:rPr>
                <w:rFonts w:ascii="Arial"/>
                <w:i/>
                <w:sz w:val="18"/>
              </w:rPr>
            </w:pPr>
            <w:r>
              <w:rPr>
                <w:rFonts w:ascii="Arial"/>
                <w:i/>
                <w:color w:val="00AF50"/>
                <w:sz w:val="18"/>
              </w:rPr>
              <w:t>Pension wealth</w:t>
            </w:r>
          </w:p>
        </w:tc>
        <w:tc>
          <w:tcPr>
            <w:tcW w:w="5111" w:type="dxa"/>
          </w:tcPr>
          <w:p>
            <w:pPr>
              <w:pStyle w:val="TableParagraph"/>
              <w:spacing w:line="204" w:lineRule="exact" w:before="13"/>
              <w:ind w:right="1451"/>
              <w:jc w:val="center"/>
              <w:rPr>
                <w:rFonts w:ascii="Arial"/>
                <w:sz w:val="18"/>
              </w:rPr>
            </w:pPr>
            <w:r>
              <w:rPr>
                <w:rFonts w:ascii="Arial"/>
                <w:w w:val="99"/>
                <w:sz w:val="18"/>
              </w:rPr>
              <w:t>0</w:t>
            </w:r>
          </w:p>
        </w:tc>
      </w:tr>
      <w:tr>
        <w:trPr>
          <w:trHeight w:val="237" w:hRule="atLeast"/>
        </w:trPr>
        <w:tc>
          <w:tcPr>
            <w:tcW w:w="4751" w:type="dxa"/>
          </w:tcPr>
          <w:p>
            <w:pPr>
              <w:pStyle w:val="TableParagraph"/>
              <w:spacing w:line="206" w:lineRule="exact" w:before="11"/>
              <w:ind w:left="200"/>
              <w:rPr>
                <w:rFonts w:ascii="Arial"/>
                <w:i/>
                <w:sz w:val="18"/>
              </w:rPr>
            </w:pPr>
            <w:r>
              <w:rPr>
                <w:rFonts w:ascii="Arial"/>
                <w:i/>
                <w:color w:val="00AF50"/>
                <w:sz w:val="18"/>
              </w:rPr>
              <w:t>Housing wealth</w:t>
            </w:r>
          </w:p>
        </w:tc>
        <w:tc>
          <w:tcPr>
            <w:tcW w:w="5111" w:type="dxa"/>
          </w:tcPr>
          <w:p>
            <w:pPr>
              <w:pStyle w:val="TableParagraph"/>
              <w:spacing w:line="204" w:lineRule="exact" w:before="13"/>
              <w:ind w:right="1451"/>
              <w:jc w:val="center"/>
              <w:rPr>
                <w:rFonts w:ascii="Arial"/>
                <w:sz w:val="18"/>
              </w:rPr>
            </w:pPr>
            <w:r>
              <w:rPr>
                <w:rFonts w:ascii="Arial"/>
                <w:w w:val="99"/>
                <w:sz w:val="18"/>
              </w:rPr>
              <w:t>0</w:t>
            </w:r>
          </w:p>
        </w:tc>
      </w:tr>
      <w:tr>
        <w:trPr>
          <w:trHeight w:val="834" w:hRule="atLeast"/>
        </w:trPr>
        <w:tc>
          <w:tcPr>
            <w:tcW w:w="4751" w:type="dxa"/>
          </w:tcPr>
          <w:p>
            <w:pPr>
              <w:pStyle w:val="TableParagraph"/>
              <w:spacing w:line="278" w:lineRule="auto" w:before="11"/>
              <w:ind w:left="200" w:right="1779"/>
              <w:rPr>
                <w:rFonts w:ascii="Arial"/>
                <w:i/>
                <w:sz w:val="18"/>
              </w:rPr>
            </w:pPr>
            <w:r>
              <w:rPr>
                <w:rFonts w:ascii="Arial"/>
                <w:i/>
                <w:color w:val="006FC0"/>
                <w:sz w:val="18"/>
              </w:rPr>
              <w:t>Reduced probability of </w:t>
            </w:r>
            <w:r>
              <w:rPr>
                <w:rFonts w:ascii="Arial"/>
                <w:i/>
                <w:color w:val="006FC0"/>
                <w:sz w:val="18"/>
              </w:rPr>
              <w:t>unemployment (income-equivalent effect on well-being)</w:t>
            </w:r>
          </w:p>
        </w:tc>
        <w:tc>
          <w:tcPr>
            <w:tcW w:w="5111" w:type="dxa"/>
          </w:tcPr>
          <w:p>
            <w:pPr>
              <w:pStyle w:val="TableParagraph"/>
              <w:spacing w:before="9"/>
              <w:rPr>
                <w:sz w:val="20"/>
              </w:rPr>
            </w:pPr>
          </w:p>
          <w:p>
            <w:pPr>
              <w:pStyle w:val="TableParagraph"/>
              <w:ind w:right="1451"/>
              <w:jc w:val="center"/>
              <w:rPr>
                <w:rFonts w:ascii="Arial"/>
                <w:sz w:val="18"/>
              </w:rPr>
            </w:pPr>
            <w:r>
              <w:rPr>
                <w:rFonts w:ascii="Arial"/>
                <w:w w:val="99"/>
                <w:sz w:val="18"/>
              </w:rPr>
              <w:t>0</w:t>
            </w:r>
          </w:p>
        </w:tc>
      </w:tr>
      <w:tr>
        <w:trPr>
          <w:trHeight w:val="356" w:hRule="atLeast"/>
        </w:trPr>
        <w:tc>
          <w:tcPr>
            <w:tcW w:w="4751" w:type="dxa"/>
          </w:tcPr>
          <w:p>
            <w:pPr>
              <w:pStyle w:val="TableParagraph"/>
              <w:spacing w:line="204" w:lineRule="exact" w:before="132"/>
              <w:ind w:left="200"/>
              <w:rPr>
                <w:rFonts w:ascii="Arial"/>
                <w:sz w:val="18"/>
              </w:rPr>
            </w:pPr>
            <w:r>
              <w:rPr>
                <w:rFonts w:ascii="Arial"/>
                <w:sz w:val="18"/>
                <w:u w:val="single"/>
              </w:rPr>
              <w:t>Memo items:</w:t>
            </w:r>
          </w:p>
        </w:tc>
        <w:tc>
          <w:tcPr>
            <w:tcW w:w="5111" w:type="dxa"/>
          </w:tcPr>
          <w:p>
            <w:pPr>
              <w:pStyle w:val="TableParagraph"/>
              <w:rPr>
                <w:rFonts w:ascii="Times New Roman"/>
                <w:sz w:val="18"/>
              </w:rPr>
            </w:pPr>
          </w:p>
        </w:tc>
      </w:tr>
      <w:tr>
        <w:trPr>
          <w:trHeight w:val="238" w:hRule="atLeast"/>
        </w:trPr>
        <w:tc>
          <w:tcPr>
            <w:tcW w:w="4751" w:type="dxa"/>
          </w:tcPr>
          <w:p>
            <w:pPr>
              <w:pStyle w:val="TableParagraph"/>
              <w:spacing w:before="11"/>
              <w:ind w:left="200"/>
              <w:rPr>
                <w:rFonts w:ascii="Arial"/>
                <w:i/>
                <w:sz w:val="18"/>
              </w:rPr>
            </w:pPr>
            <w:r>
              <w:rPr>
                <w:rFonts w:ascii="Arial"/>
                <w:i/>
                <w:sz w:val="18"/>
              </w:rPr>
              <w:t>Average annual income (2012-14)</w:t>
            </w:r>
          </w:p>
        </w:tc>
        <w:tc>
          <w:tcPr>
            <w:tcW w:w="5111" w:type="dxa"/>
          </w:tcPr>
          <w:p>
            <w:pPr>
              <w:pStyle w:val="TableParagraph"/>
              <w:spacing w:line="205" w:lineRule="exact" w:before="13"/>
              <w:ind w:left="1536" w:right="2983"/>
              <w:jc w:val="center"/>
              <w:rPr>
                <w:rFonts w:ascii="Arial"/>
                <w:sz w:val="18"/>
              </w:rPr>
            </w:pPr>
            <w:r>
              <w:rPr>
                <w:rFonts w:ascii="Arial"/>
                <w:sz w:val="18"/>
              </w:rPr>
              <w:t>10,253</w:t>
            </w:r>
          </w:p>
        </w:tc>
      </w:tr>
      <w:tr>
        <w:trPr>
          <w:trHeight w:val="238" w:hRule="atLeast"/>
        </w:trPr>
        <w:tc>
          <w:tcPr>
            <w:tcW w:w="4751" w:type="dxa"/>
          </w:tcPr>
          <w:p>
            <w:pPr>
              <w:pStyle w:val="TableParagraph"/>
              <w:spacing w:line="206" w:lineRule="exact" w:before="12"/>
              <w:ind w:left="200"/>
              <w:rPr>
                <w:rFonts w:ascii="Arial"/>
                <w:i/>
                <w:sz w:val="18"/>
              </w:rPr>
            </w:pPr>
            <w:r>
              <w:rPr>
                <w:rFonts w:ascii="Arial"/>
                <w:i/>
                <w:sz w:val="18"/>
              </w:rPr>
              <w:t>Average level of net wealth (2012-14)</w:t>
            </w:r>
          </w:p>
        </w:tc>
        <w:tc>
          <w:tcPr>
            <w:tcW w:w="5111" w:type="dxa"/>
          </w:tcPr>
          <w:p>
            <w:pPr>
              <w:pStyle w:val="TableParagraph"/>
              <w:spacing w:line="204" w:lineRule="exact" w:before="14"/>
              <w:ind w:left="1536" w:right="2983"/>
              <w:jc w:val="center"/>
              <w:rPr>
                <w:rFonts w:ascii="Arial"/>
                <w:sz w:val="18"/>
              </w:rPr>
            </w:pPr>
            <w:r>
              <w:rPr>
                <w:rFonts w:ascii="Arial"/>
                <w:sz w:val="18"/>
              </w:rPr>
              <w:t>13,058</w:t>
            </w:r>
          </w:p>
        </w:tc>
      </w:tr>
      <w:tr>
        <w:trPr>
          <w:trHeight w:val="455" w:hRule="atLeast"/>
        </w:trPr>
        <w:tc>
          <w:tcPr>
            <w:tcW w:w="4751" w:type="dxa"/>
          </w:tcPr>
          <w:p>
            <w:pPr>
              <w:pStyle w:val="TableParagraph"/>
              <w:spacing w:before="11"/>
              <w:ind w:left="200"/>
              <w:rPr>
                <w:rFonts w:ascii="Arial"/>
                <w:i/>
                <w:sz w:val="18"/>
              </w:rPr>
            </w:pPr>
            <w:r>
              <w:rPr>
                <w:rFonts w:ascii="Arial"/>
                <w:i/>
                <w:sz w:val="18"/>
              </w:rPr>
              <w:t>Cost of monetary policy per</w:t>
            </w:r>
          </w:p>
          <w:p>
            <w:pPr>
              <w:pStyle w:val="TableParagraph"/>
              <w:spacing w:line="187" w:lineRule="exact" w:before="30"/>
              <w:ind w:left="200"/>
              <w:rPr>
                <w:rFonts w:ascii="Arial"/>
                <w:i/>
                <w:sz w:val="18"/>
              </w:rPr>
            </w:pPr>
            <w:r>
              <w:rPr>
                <w:rFonts w:ascii="Arial"/>
                <w:i/>
                <w:sz w:val="18"/>
              </w:rPr>
              <w:t>household (2017)</w:t>
            </w:r>
          </w:p>
        </w:tc>
        <w:tc>
          <w:tcPr>
            <w:tcW w:w="5111" w:type="dxa"/>
          </w:tcPr>
          <w:p>
            <w:pPr>
              <w:pStyle w:val="TableParagraph"/>
              <w:spacing w:before="131"/>
              <w:ind w:right="1451"/>
              <w:jc w:val="center"/>
              <w:rPr>
                <w:rFonts w:ascii="Arial"/>
                <w:sz w:val="18"/>
              </w:rPr>
            </w:pPr>
            <w:r>
              <w:rPr>
                <w:rFonts w:ascii="Arial"/>
                <w:w w:val="99"/>
                <w:sz w:val="18"/>
              </w:rPr>
              <w:t>3</w:t>
            </w:r>
          </w:p>
        </w:tc>
      </w:tr>
    </w:tbl>
    <w:sectPr>
      <w:pgSz w:w="11910" w:h="16840"/>
      <w:pgMar w:header="0" w:footer="1334" w:top="1420" w:bottom="1520" w:left="82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Math">
    <w:altName w:val="Cambria Math"/>
    <w:charset w:val="0"/>
    <w:family w:val="roman"/>
    <w:pitch w:val="variable"/>
  </w:font>
  <w:font w:name="Symbol">
    <w:altName w:val="Symbol"/>
    <w:charset w:val="2"/>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509785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26929pt;width:2.550pt;height:3.1pt;mso-position-horizontal-relative:page;mso-position-vertical-relative:page;z-index:-255096832"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99451pt;width:323.6pt;height:13.15pt;mso-position-horizontal-relative:page;mso-position-vertical-relative:page;z-index:-25509580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506201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5060992" type="#_x0000_t202" filled="false" stroked="false">
          <v:textbox inset="0,0,0,0">
            <w:txbxContent>
              <w:p>
                <w:pPr>
                  <w:pStyle w:val="BodyText"/>
                  <w:rPr>
                    <w:sz w:val="2"/>
                  </w:rPr>
                </w:pPr>
              </w:p>
              <w:p>
                <w:pPr>
                  <w:spacing w:before="0"/>
                  <w:ind w:left="0" w:right="0" w:firstLine="0"/>
                  <w:jc w:val="center"/>
                  <w:rPr>
                    <w:sz w:val="2"/>
                  </w:rPr>
                </w:pPr>
                <w:r>
                  <w:rPr>
                    <w:sz w:val="2"/>
                  </w:rPr>
                  <w:t>10</w:t>
                </w:r>
              </w:p>
            </w:txbxContent>
          </v:textbox>
          <w10:wrap type="none"/>
        </v:shape>
      </w:pict>
    </w:r>
    <w:r>
      <w:rPr/>
      <w:pict>
        <v:shape style="position:absolute;margin-left:43.400002pt;margin-top:771.999451pt;width:323.4pt;height:13.15pt;mso-position-horizontal-relative:page;mso-position-vertical-relative:page;z-index:-25505996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5058944" type="#_x0000_t202" filled="false" stroked="false">
          <v:textbox inset="0,0,0,0">
            <w:txbxContent>
              <w:p>
                <w:pPr>
                  <w:pStyle w:val="BodyText"/>
                  <w:spacing w:before="12"/>
                  <w:ind w:left="20"/>
                </w:pPr>
                <w:r>
                  <w:rPr/>
                  <w:t>10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505792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5056896" type="#_x0000_t202" filled="false" stroked="false">
          <v:textbox inset="0,0,0,0">
            <w:txbxContent>
              <w:p>
                <w:pPr>
                  <w:pStyle w:val="BodyText"/>
                  <w:rPr>
                    <w:sz w:val="2"/>
                  </w:rPr>
                </w:pPr>
              </w:p>
              <w:p>
                <w:pPr>
                  <w:spacing w:before="0"/>
                  <w:ind w:left="0" w:right="0" w:firstLine="0"/>
                  <w:jc w:val="center"/>
                  <w:rPr>
                    <w:sz w:val="2"/>
                  </w:rPr>
                </w:pPr>
                <w:r>
                  <w:rPr>
                    <w:sz w:val="2"/>
                  </w:rPr>
                  <w:t>11</w:t>
                </w:r>
              </w:p>
            </w:txbxContent>
          </v:textbox>
          <w10:wrap type="none"/>
        </v:shape>
      </w:pict>
    </w:r>
    <w:r>
      <w:rPr/>
      <w:pict>
        <v:shape style="position:absolute;margin-left:43.400002pt;margin-top:771.999451pt;width:323.4pt;height:13.15pt;mso-position-horizontal-relative:page;mso-position-vertical-relative:page;z-index:-25505587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5054848" type="#_x0000_t202" filled="false" stroked="false">
          <v:textbox inset="0,0,0,0">
            <w:txbxContent>
              <w:p>
                <w:pPr>
                  <w:pStyle w:val="BodyText"/>
                  <w:spacing w:before="12"/>
                  <w:ind w:left="20"/>
                </w:pPr>
                <w:r>
                  <w:rPr/>
                  <w:t>11</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505382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5052800"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43.400002pt;margin-top:771.999451pt;width:323.4pt;height:13.15pt;mso-position-horizontal-relative:page;mso-position-vertical-relative:page;z-index:-25505177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5050752" type="#_x0000_t202" filled="false" stroked="false">
          <v:textbox inset="0,0,0,0">
            <w:txbxContent>
              <w:p>
                <w:pPr>
                  <w:pStyle w:val="BodyText"/>
                  <w:spacing w:before="12"/>
                  <w:ind w:left="20"/>
                </w:pPr>
                <w:r>
                  <w:rPr/>
                  <w:t>12</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504972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504870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13</w:t>
                </w:r>
                <w:r>
                  <w:rPr/>
                  <w:fldChar w:fldCharType="end"/>
                </w:r>
              </w:p>
            </w:txbxContent>
          </v:textbox>
          <w10:wrap type="none"/>
        </v:shape>
      </w:pict>
    </w:r>
    <w:r>
      <w:rPr/>
      <w:pict>
        <v:shape style="position:absolute;margin-left:43.400002pt;margin-top:771.999451pt;width:323.4pt;height:13.15pt;mso-position-horizontal-relative:page;mso-position-vertical-relative:page;z-index:-25504768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5046656" type="#_x0000_t202" filled="false" stroked="false">
          <v:textbox inset="0,0,0,0">
            <w:txbxContent>
              <w:p>
                <w:pPr>
                  <w:pStyle w:val="BodyText"/>
                  <w:spacing w:before="12"/>
                  <w:ind w:left="20"/>
                </w:pPr>
                <w:r>
                  <w:rPr/>
                  <w:t>13</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504563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504460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16</w:t>
                </w:r>
                <w:r>
                  <w:rPr/>
                  <w:fldChar w:fldCharType="end"/>
                </w:r>
              </w:p>
            </w:txbxContent>
          </v:textbox>
          <w10:wrap type="none"/>
        </v:shape>
      </w:pict>
    </w:r>
    <w:r>
      <w:rPr/>
      <w:pict>
        <v:shape style="position:absolute;margin-left:43.400002pt;margin-top:771.999451pt;width:323.4pt;height:13.15pt;mso-position-horizontal-relative:page;mso-position-vertical-relative:page;z-index:-25504358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5042560" type="#_x0000_t202" filled="false" stroked="false">
          <v:textbox inset="0,0,0,0">
            <w:txbxContent>
              <w:p>
                <w:pPr>
                  <w:pStyle w:val="BodyText"/>
                  <w:spacing w:before="12"/>
                  <w:ind w:left="20"/>
                </w:pPr>
                <w:r>
                  <w:rPr/>
                  <w:t>16</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504153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504051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29</w:t>
                </w:r>
                <w:r>
                  <w:rPr/>
                  <w:fldChar w:fldCharType="end"/>
                </w:r>
              </w:p>
            </w:txbxContent>
          </v:textbox>
          <w10:wrap type="none"/>
        </v:shape>
      </w:pict>
    </w:r>
    <w:r>
      <w:rPr/>
      <w:pict>
        <v:shape style="position:absolute;margin-left:43.400002pt;margin-top:771.999451pt;width:323.4pt;height:13.15pt;mso-position-horizontal-relative:page;mso-position-vertical-relative:page;z-index:-25503948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5038464" type="#_x0000_t202" filled="false" stroked="false">
          <v:textbox inset="0,0,0,0">
            <w:txbxContent>
              <w:p>
                <w:pPr>
                  <w:pStyle w:val="BodyText"/>
                  <w:spacing w:before="12"/>
                  <w:ind w:left="20"/>
                </w:pPr>
                <w:r>
                  <w:rPr/>
                  <w:t>29</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509478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5093760"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1.999451pt;width:323.4pt;height:13.15pt;mso-position-horizontal-relative:page;mso-position-vertical-relative:page;z-index:-25509273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5091712"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509068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5089664"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43.400002pt;margin-top:771.999451pt;width:323.4pt;height:13.15pt;mso-position-horizontal-relative:page;mso-position-vertical-relative:page;z-index:-25508864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5087616"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508659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5085568" type="#_x0000_t202" filled="false" stroked="false">
          <v:textbox inset="0,0,0,0">
            <w:txbxContent>
              <w:p>
                <w:pPr>
                  <w:pStyle w:val="BodyText"/>
                  <w:rPr>
                    <w:sz w:val="2"/>
                  </w:rPr>
                </w:pPr>
              </w:p>
              <w:p>
                <w:pPr>
                  <w:spacing w:before="0"/>
                  <w:ind w:left="0" w:right="0" w:firstLine="0"/>
                  <w:jc w:val="center"/>
                  <w:rPr>
                    <w:sz w:val="2"/>
                  </w:rPr>
                </w:pPr>
                <w:r>
                  <w:rPr>
                    <w:w w:val="95"/>
                    <w:sz w:val="2"/>
                  </w:rPr>
                  <w:t>4</w:t>
                </w:r>
              </w:p>
            </w:txbxContent>
          </v:textbox>
          <w10:wrap type="none"/>
        </v:shape>
      </w:pict>
    </w:r>
    <w:r>
      <w:rPr/>
      <w:pict>
        <v:shape style="position:absolute;margin-left:43.400002pt;margin-top:771.999451pt;width:323.4pt;height:13.15pt;mso-position-horizontal-relative:page;mso-position-vertical-relative:page;z-index:-25508454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5083520"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508249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5081472" type="#_x0000_t202" filled="false" stroked="false">
          <v:textbox inset="0,0,0,0">
            <w:txbxContent>
              <w:p>
                <w:pPr>
                  <w:pStyle w:val="BodyText"/>
                  <w:rPr>
                    <w:sz w:val="2"/>
                  </w:rPr>
                </w:pPr>
              </w:p>
              <w:p>
                <w:pPr>
                  <w:spacing w:before="0"/>
                  <w:ind w:left="0" w:right="0" w:firstLine="0"/>
                  <w:jc w:val="center"/>
                  <w:rPr>
                    <w:sz w:val="2"/>
                  </w:rPr>
                </w:pPr>
                <w:r>
                  <w:rPr>
                    <w:w w:val="95"/>
                    <w:sz w:val="2"/>
                  </w:rPr>
                  <w:t>5</w:t>
                </w:r>
              </w:p>
            </w:txbxContent>
          </v:textbox>
          <w10:wrap type="none"/>
        </v:shape>
      </w:pict>
    </w:r>
    <w:r>
      <w:rPr/>
      <w:pict>
        <v:shape style="position:absolute;margin-left:43.400002pt;margin-top:771.999451pt;width:323.4pt;height:13.15pt;mso-position-horizontal-relative:page;mso-position-vertical-relative:page;z-index:-25508044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5079424"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507840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5077376" type="#_x0000_t202" filled="false" stroked="false">
          <v:textbox inset="0,0,0,0">
            <w:txbxContent>
              <w:p>
                <w:pPr>
                  <w:pStyle w:val="BodyText"/>
                  <w:rPr>
                    <w:sz w:val="2"/>
                  </w:rPr>
                </w:pPr>
              </w:p>
              <w:p>
                <w:pPr>
                  <w:spacing w:before="0"/>
                  <w:ind w:left="0" w:right="0" w:firstLine="0"/>
                  <w:jc w:val="center"/>
                  <w:rPr>
                    <w:sz w:val="2"/>
                  </w:rPr>
                </w:pPr>
                <w:r>
                  <w:rPr>
                    <w:w w:val="95"/>
                    <w:sz w:val="2"/>
                  </w:rPr>
                  <w:t>6</w:t>
                </w:r>
              </w:p>
            </w:txbxContent>
          </v:textbox>
          <w10:wrap type="none"/>
        </v:shape>
      </w:pict>
    </w:r>
    <w:r>
      <w:rPr/>
      <w:pict>
        <v:shape style="position:absolute;margin-left:43.400002pt;margin-top:771.999451pt;width:323.4pt;height:13.15pt;mso-position-horizontal-relative:page;mso-position-vertical-relative:page;z-index:-25507635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5075328" type="#_x0000_t202" filled="false" stroked="false">
          <v:textbox inset="0,0,0,0">
            <w:txbxContent>
              <w:p>
                <w:pPr>
                  <w:pStyle w:val="BodyText"/>
                  <w:spacing w:before="12"/>
                  <w:ind w:left="20"/>
                </w:pPr>
                <w:r>
                  <w:rPr>
                    <w:w w:val="99"/>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507430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5073280" type="#_x0000_t202" filled="false" stroked="false">
          <v:textbox inset="0,0,0,0">
            <w:txbxContent>
              <w:p>
                <w:pPr>
                  <w:pStyle w:val="BodyText"/>
                  <w:rPr>
                    <w:sz w:val="2"/>
                  </w:rPr>
                </w:pPr>
              </w:p>
              <w:p>
                <w:pPr>
                  <w:spacing w:before="0"/>
                  <w:ind w:left="0" w:right="0" w:firstLine="0"/>
                  <w:jc w:val="center"/>
                  <w:rPr>
                    <w:sz w:val="2"/>
                  </w:rPr>
                </w:pPr>
                <w:r>
                  <w:rPr>
                    <w:w w:val="95"/>
                    <w:sz w:val="2"/>
                  </w:rPr>
                  <w:t>7</w:t>
                </w:r>
              </w:p>
            </w:txbxContent>
          </v:textbox>
          <w10:wrap type="none"/>
        </v:shape>
      </w:pict>
    </w:r>
    <w:r>
      <w:rPr/>
      <w:pict>
        <v:shape style="position:absolute;margin-left:43.400002pt;margin-top:771.999451pt;width:323.4pt;height:13.15pt;mso-position-horizontal-relative:page;mso-position-vertical-relative:page;z-index:-25507225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5071232" type="#_x0000_t202" filled="false" stroked="false">
          <v:textbox inset="0,0,0,0">
            <w:txbxContent>
              <w:p>
                <w:pPr>
                  <w:pStyle w:val="BodyText"/>
                  <w:spacing w:before="12"/>
                  <w:ind w:left="20"/>
                </w:pPr>
                <w:r>
                  <w:rPr>
                    <w:w w:val="99"/>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507020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5069184" type="#_x0000_t202" filled="false" stroked="false">
          <v:textbox inset="0,0,0,0">
            <w:txbxContent>
              <w:p>
                <w:pPr>
                  <w:pStyle w:val="BodyText"/>
                  <w:rPr>
                    <w:sz w:val="2"/>
                  </w:rPr>
                </w:pPr>
              </w:p>
              <w:p>
                <w:pPr>
                  <w:spacing w:before="0"/>
                  <w:ind w:left="0" w:right="0" w:firstLine="0"/>
                  <w:jc w:val="center"/>
                  <w:rPr>
                    <w:sz w:val="2"/>
                  </w:rPr>
                </w:pPr>
                <w:r>
                  <w:rPr>
                    <w:w w:val="95"/>
                    <w:sz w:val="2"/>
                  </w:rPr>
                  <w:t>8</w:t>
                </w:r>
              </w:p>
            </w:txbxContent>
          </v:textbox>
          <w10:wrap type="none"/>
        </v:shape>
      </w:pict>
    </w:r>
    <w:r>
      <w:rPr/>
      <w:pict>
        <v:shape style="position:absolute;margin-left:43.400002pt;margin-top:771.999451pt;width:323.4pt;height:13.15pt;mso-position-horizontal-relative:page;mso-position-vertical-relative:page;z-index:-25506816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5067136" type="#_x0000_t202" filled="false" stroked="false">
          <v:textbox inset="0,0,0,0">
            <w:txbxContent>
              <w:p>
                <w:pPr>
                  <w:pStyle w:val="BodyText"/>
                  <w:spacing w:before="12"/>
                  <w:ind w:left="20"/>
                </w:pPr>
                <w:r>
                  <w:rPr>
                    <w:w w:val="99"/>
                  </w:rPr>
                  <w:t>8</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506611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5065088" type="#_x0000_t202" filled="false" stroked="false">
          <v:textbox inset="0,0,0,0">
            <w:txbxContent>
              <w:p>
                <w:pPr>
                  <w:pStyle w:val="BodyText"/>
                  <w:rPr>
                    <w:sz w:val="2"/>
                  </w:rPr>
                </w:pPr>
              </w:p>
              <w:p>
                <w:pPr>
                  <w:spacing w:before="0"/>
                  <w:ind w:left="0" w:right="0" w:firstLine="0"/>
                  <w:jc w:val="center"/>
                  <w:rPr>
                    <w:sz w:val="2"/>
                  </w:rPr>
                </w:pPr>
                <w:r>
                  <w:rPr>
                    <w:w w:val="95"/>
                    <w:sz w:val="2"/>
                  </w:rPr>
                  <w:t>9</w:t>
                </w:r>
              </w:p>
            </w:txbxContent>
          </v:textbox>
          <w10:wrap type="none"/>
        </v:shape>
      </w:pict>
    </w:r>
    <w:r>
      <w:rPr/>
      <w:pict>
        <v:shape style="position:absolute;margin-left:43.400002pt;margin-top:771.999451pt;width:323.4pt;height:13.15pt;mso-position-horizontal-relative:page;mso-position-vertical-relative:page;z-index:-25506406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5063040" type="#_x0000_t202" filled="false" stroked="false">
          <v:textbox inset="0,0,0,0">
            <w:txbxContent>
              <w:p>
                <w:pPr>
                  <w:pStyle w:val="BodyText"/>
                  <w:spacing w:before="12"/>
                  <w:ind w:left="20"/>
                </w:pPr>
                <w:r>
                  <w:rPr>
                    <w:w w:val="99"/>
                  </w:rPr>
                  <w:t>9</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33" w:hanging="360"/>
      </w:pPr>
      <w:rPr>
        <w:rFonts w:hint="default" w:ascii="Symbol" w:hAnsi="Symbol" w:eastAsia="Symbol" w:cs="Symbol"/>
        <w:w w:val="99"/>
        <w:sz w:val="20"/>
        <w:szCs w:val="20"/>
        <w:lang w:val="en-gb" w:eastAsia="en-gb" w:bidi="en-gb"/>
      </w:rPr>
    </w:lvl>
    <w:lvl w:ilvl="1">
      <w:start w:val="0"/>
      <w:numFmt w:val="bullet"/>
      <w:lvlText w:val="•"/>
      <w:lvlJc w:val="left"/>
      <w:pPr>
        <w:ind w:left="1948" w:hanging="360"/>
      </w:pPr>
      <w:rPr>
        <w:rFonts w:hint="default"/>
        <w:lang w:val="en-gb" w:eastAsia="en-gb" w:bidi="en-gb"/>
      </w:rPr>
    </w:lvl>
    <w:lvl w:ilvl="2">
      <w:start w:val="0"/>
      <w:numFmt w:val="bullet"/>
      <w:lvlText w:val="•"/>
      <w:lvlJc w:val="left"/>
      <w:pPr>
        <w:ind w:left="2857" w:hanging="360"/>
      </w:pPr>
      <w:rPr>
        <w:rFonts w:hint="default"/>
        <w:lang w:val="en-gb" w:eastAsia="en-gb" w:bidi="en-gb"/>
      </w:rPr>
    </w:lvl>
    <w:lvl w:ilvl="3">
      <w:start w:val="0"/>
      <w:numFmt w:val="bullet"/>
      <w:lvlText w:val="•"/>
      <w:lvlJc w:val="left"/>
      <w:pPr>
        <w:ind w:left="3765" w:hanging="360"/>
      </w:pPr>
      <w:rPr>
        <w:rFonts w:hint="default"/>
        <w:lang w:val="en-gb" w:eastAsia="en-gb" w:bidi="en-gb"/>
      </w:rPr>
    </w:lvl>
    <w:lvl w:ilvl="4">
      <w:start w:val="0"/>
      <w:numFmt w:val="bullet"/>
      <w:lvlText w:val="•"/>
      <w:lvlJc w:val="left"/>
      <w:pPr>
        <w:ind w:left="4674" w:hanging="360"/>
      </w:pPr>
      <w:rPr>
        <w:rFonts w:hint="default"/>
        <w:lang w:val="en-gb" w:eastAsia="en-gb" w:bidi="en-gb"/>
      </w:rPr>
    </w:lvl>
    <w:lvl w:ilvl="5">
      <w:start w:val="0"/>
      <w:numFmt w:val="bullet"/>
      <w:lvlText w:val="•"/>
      <w:lvlJc w:val="left"/>
      <w:pPr>
        <w:ind w:left="5583" w:hanging="360"/>
      </w:pPr>
      <w:rPr>
        <w:rFonts w:hint="default"/>
        <w:lang w:val="en-gb" w:eastAsia="en-gb" w:bidi="en-gb"/>
      </w:rPr>
    </w:lvl>
    <w:lvl w:ilvl="6">
      <w:start w:val="0"/>
      <w:numFmt w:val="bullet"/>
      <w:lvlText w:val="•"/>
      <w:lvlJc w:val="left"/>
      <w:pPr>
        <w:ind w:left="6491" w:hanging="360"/>
      </w:pPr>
      <w:rPr>
        <w:rFonts w:hint="default"/>
        <w:lang w:val="en-gb" w:eastAsia="en-gb" w:bidi="en-gb"/>
      </w:rPr>
    </w:lvl>
    <w:lvl w:ilvl="7">
      <w:start w:val="0"/>
      <w:numFmt w:val="bullet"/>
      <w:lvlText w:val="•"/>
      <w:lvlJc w:val="left"/>
      <w:pPr>
        <w:ind w:left="7400" w:hanging="360"/>
      </w:pPr>
      <w:rPr>
        <w:rFonts w:hint="default"/>
        <w:lang w:val="en-gb" w:eastAsia="en-gb" w:bidi="en-gb"/>
      </w:rPr>
    </w:lvl>
    <w:lvl w:ilvl="8">
      <w:start w:val="0"/>
      <w:numFmt w:val="bullet"/>
      <w:lvlText w:val="•"/>
      <w:lvlJc w:val="left"/>
      <w:pPr>
        <w:ind w:left="8309" w:hanging="360"/>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79"/>
      <w:ind w:left="313"/>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033" w:right="189" w:hanging="360"/>
    </w:pPr>
    <w:rPr>
      <w:rFonts w:ascii="Arial" w:hAnsi="Arial" w:eastAsia="Arial" w:cs="Arial"/>
      <w:lang w:val="en-gb" w:eastAsia="en-gb" w:bidi="en-gb"/>
    </w:rPr>
  </w:style>
  <w:style w:styleId="TableParagraph" w:type="paragraph">
    <w:name w:val="Table Paragraph"/>
    <w:basedOn w:val="Normal"/>
    <w:uiPriority w:val="1"/>
    <w:qFormat/>
    <w:pPr/>
    <w:rPr>
      <w:rFonts w:ascii="Calibri" w:hAnsi="Calibri" w:eastAsia="Calibri" w:cs="Calibri"/>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yperlink" Target="https://www.bankofengland.co.uk/events/2017/september/20-years-on" TargetMode="Externa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hyperlink" Target="https://www.ons.gov.uk/peoplepopulationandcommunity/personalandhouseholdfinances/debt/methodologies/wealthandassetssurveyqmi" TargetMode="External"/><Relationship Id="rId15" Type="http://schemas.openxmlformats.org/officeDocument/2006/relationships/footer" Target="footer8.xml"/><Relationship Id="rId16" Type="http://schemas.openxmlformats.org/officeDocument/2006/relationships/footer" Target="footer9.xml"/><Relationship Id="rId17" Type="http://schemas.openxmlformats.org/officeDocument/2006/relationships/footer" Target="footer10.xml"/><Relationship Id="rId18" Type="http://schemas.openxmlformats.org/officeDocument/2006/relationships/footer" Target="footer11.xml"/><Relationship Id="rId19" Type="http://schemas.openxmlformats.org/officeDocument/2006/relationships/footer" Target="footer12.xml"/><Relationship Id="rId20" Type="http://schemas.openxmlformats.org/officeDocument/2006/relationships/footer" Target="footer13.xml"/><Relationship Id="rId21" Type="http://schemas.openxmlformats.org/officeDocument/2006/relationships/footer" Target="footer14.xml"/><Relationship Id="rId22" Type="http://schemas.openxmlformats.org/officeDocument/2006/relationships/footer" Target="footer15.xml"/><Relationship Id="rId23" Type="http://schemas.openxmlformats.org/officeDocument/2006/relationships/hyperlink" Target="https://www.bankofengland.co.uk/speech/2016/the-spectre-of-monetarism" TargetMode="External"/><Relationship Id="rId24" Type="http://schemas.openxmlformats.org/officeDocument/2006/relationships/hyperlink" Target="https://www.bankofengland.co.uk/speech/2016/whose-recovery" TargetMode="External"/><Relationship Id="rId25" Type="http://schemas.openxmlformats.org/officeDocument/2006/relationships/hyperlink" Target="https://www.bankofengland.co.uk/speech/2017/andy-haldane-speech-during-regional-visit" TargetMode="External"/><Relationship Id="rId2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Speech by Andy Haldane at the David Finch Public Lecture, Melbourne</dc:title>
  <dcterms:created xsi:type="dcterms:W3CDTF">2020-06-02T17:42:45Z</dcterms:created>
  <dcterms:modified xsi:type="dcterms:W3CDTF">2020-06-02T17:42:45Z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2018-04-10T00:00:00Z</vt:filetime>
  </property>
  <property fmtid="{D5CDD505-2E9C-101B-9397-08002B2CF9AE}" pid="3" name="LastSaved">
    <vt:filetime>2020-06-02T00:00:00Z</vt:filetime>
  </property>
</Properties>
</file>