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0" w:firstLine="0"/>
        <w:jc w:val="left"/>
        <w:rPr>
          <w:rFonts w:ascii="Arial"/>
          <w:b/>
          <w:sz w:val="32"/>
        </w:rPr>
      </w:pPr>
      <w:r>
        <w:rPr>
          <w:rFonts w:ascii="Arial"/>
          <w:b/>
          <w:color w:val="6A719F"/>
          <w:sz w:val="32"/>
        </w:rPr>
        <w:t>Inflation Targeting In Practice: Models, Forecasts and Hunches</w:t>
      </w:r>
    </w:p>
    <w:p>
      <w:pPr>
        <w:pStyle w:val="BodyText"/>
        <w:spacing w:before="281"/>
        <w:ind w:left="352"/>
        <w:rPr>
          <w:rFonts w:ascii="Arial"/>
        </w:rPr>
      </w:pPr>
      <w:r>
        <w:rPr>
          <w:rFonts w:ascii="Arial"/>
        </w:rPr>
        <w:t>Speech given by</w:t>
      </w:r>
    </w:p>
    <w:p>
      <w:pPr>
        <w:pStyle w:val="BodyText"/>
        <w:spacing w:before="137"/>
        <w:ind w:left="352"/>
        <w:rPr>
          <w:rFonts w:ascii="Arial"/>
        </w:rPr>
      </w:pPr>
      <w:r>
        <w:rPr>
          <w:rFonts w:ascii="Arial"/>
        </w:rPr>
        <w:t>Rachel Lomax, Deputy Governor of the Bank of England</w:t>
      </w:r>
    </w:p>
    <w:p>
      <w:pPr>
        <w:pStyle w:val="BodyText"/>
        <w:rPr>
          <w:rFonts w:ascii="Arial"/>
          <w:sz w:val="26"/>
        </w:rPr>
      </w:pPr>
    </w:p>
    <w:p>
      <w:pPr>
        <w:pStyle w:val="BodyText"/>
        <w:rPr>
          <w:rFonts w:ascii="Arial"/>
          <w:sz w:val="22"/>
        </w:rPr>
      </w:pPr>
    </w:p>
    <w:p>
      <w:pPr>
        <w:pStyle w:val="BodyText"/>
        <w:spacing w:line="360" w:lineRule="auto"/>
        <w:ind w:left="352" w:right="2803"/>
        <w:rPr>
          <w:rFonts w:ascii="Arial"/>
        </w:rPr>
      </w:pPr>
      <w:r>
        <w:rPr>
          <w:rFonts w:ascii="Arial"/>
        </w:rPr>
        <w:t>To the 59</w:t>
      </w:r>
      <w:r>
        <w:rPr>
          <w:rFonts w:ascii="Arial"/>
          <w:vertAlign w:val="superscript"/>
        </w:rPr>
        <w:t>th</w:t>
      </w:r>
      <w:r>
        <w:rPr>
          <w:rFonts w:ascii="Arial"/>
          <w:vertAlign w:val="baseline"/>
        </w:rPr>
        <w:t> International Atlantic Economic Conference in London 12 March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1088" w:firstLine="0"/>
        <w:jc w:val="left"/>
        <w:rPr>
          <w:rFonts w:ascii="Arial"/>
          <w:sz w:val="20"/>
        </w:rPr>
      </w:pPr>
      <w:r>
        <w:rPr>
          <w:rFonts w:ascii="Arial"/>
          <w:sz w:val="20"/>
        </w:rPr>
        <w:t>I am most grateful to Jens Larsen, James Bell, Fabrizio Zampolli and Robin Windle for research support; and to Charlie Bean, Peter Andrews, Spencer Dale, Phil Evans, Laura Piscitelli and other colleagues at the Bank of England for helpful comments.</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3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020"/>
        </w:sectPr>
      </w:pPr>
    </w:p>
    <w:p>
      <w:pPr>
        <w:pStyle w:val="Heading1"/>
        <w:spacing w:before="121"/>
      </w:pPr>
      <w:r>
        <w:rPr/>
        <w:t>Introduction</w:t>
      </w:r>
    </w:p>
    <w:p>
      <w:pPr>
        <w:pStyle w:val="BodyText"/>
        <w:spacing w:before="9"/>
        <w:rPr>
          <w:b/>
          <w:sz w:val="27"/>
        </w:rPr>
      </w:pPr>
    </w:p>
    <w:p>
      <w:pPr>
        <w:pStyle w:val="BodyText"/>
        <w:spacing w:line="312" w:lineRule="auto" w:before="1"/>
        <w:ind w:left="1279" w:right="1529"/>
      </w:pPr>
      <w:r>
        <w:rPr/>
        <w:t>Five and a half years ago in his Monnet lecture Charles Goodhart</w:t>
      </w:r>
      <w:r>
        <w:rPr>
          <w:vertAlign w:val="superscript"/>
        </w:rPr>
        <w:t>1</w:t>
      </w:r>
      <w:r>
        <w:rPr>
          <w:vertAlign w:val="baseline"/>
        </w:rPr>
        <w:t> was able to talk with some confidence of the features that particularly distinguished the UK’s approach to inflation targeting. Today with over 20 countries, in every habitable continent, formally operating some variant of inflation targeting and many more adopting some parts of the framework, all actively sharing experience and best practice, I suspect that most aspects of our approach would find a counterpart somewhere else in the world. But Charles’s focus on the Monetary Policy Committee’s (MPC) personal engagement in producing a published inflation forecast still seems to me to capture the essence of the UK’s approach.</w:t>
      </w:r>
    </w:p>
    <w:p>
      <w:pPr>
        <w:pStyle w:val="BodyText"/>
        <w:spacing w:before="10"/>
        <w:rPr>
          <w:sz w:val="20"/>
        </w:rPr>
      </w:pPr>
    </w:p>
    <w:p>
      <w:pPr>
        <w:pStyle w:val="BodyText"/>
        <w:spacing w:line="312" w:lineRule="auto"/>
        <w:ind w:left="1280" w:right="1495"/>
      </w:pPr>
      <w:r>
        <w:rPr/>
        <w:t>Today I want to talk about the role that forecasting has come to play in helping the MPC to take and communicate its decisions. In what sense does the Committee really ‘own’ the published forecasts that go out under its name? How much use do we make of models, and what models do we use? How far do our forecasts appear to drive interest rate decisions? And is there any evidence that this has helped to make policy more or less predictable? Finally I want to end by commenting on some of the issues raised by forecasts as a means of communication.</w:t>
      </w:r>
    </w:p>
    <w:p>
      <w:pPr>
        <w:pStyle w:val="BodyText"/>
        <w:spacing w:before="1"/>
        <w:rPr>
          <w:sz w:val="21"/>
        </w:rPr>
      </w:pPr>
    </w:p>
    <w:p>
      <w:pPr>
        <w:pStyle w:val="Heading1"/>
      </w:pPr>
      <w:r>
        <w:rPr/>
        <w:t>Why the MPC has always been involved in forecasting</w:t>
      </w:r>
    </w:p>
    <w:p>
      <w:pPr>
        <w:pStyle w:val="BodyText"/>
        <w:spacing w:before="10"/>
        <w:rPr>
          <w:b/>
          <w:sz w:val="27"/>
        </w:rPr>
      </w:pPr>
    </w:p>
    <w:p>
      <w:pPr>
        <w:pStyle w:val="BodyText"/>
        <w:spacing w:line="312" w:lineRule="auto"/>
        <w:ind w:left="1280" w:right="1708"/>
      </w:pPr>
      <w:r>
        <w:rPr/>
        <w:t>The MPC’s early involvement in the forecast process is firmly rooted in the kind of committee it is, as well as the nature of the remit it has been given.</w:t>
      </w:r>
    </w:p>
    <w:p>
      <w:pPr>
        <w:pStyle w:val="BodyText"/>
        <w:spacing w:before="9"/>
        <w:rPr>
          <w:sz w:val="20"/>
        </w:rPr>
      </w:pPr>
    </w:p>
    <w:p>
      <w:pPr>
        <w:pStyle w:val="BodyText"/>
        <w:spacing w:line="312" w:lineRule="auto"/>
        <w:ind w:left="1280" w:right="1435"/>
      </w:pPr>
      <w:r>
        <w:rPr/>
        <w:t>The objectives of UK monetary policy have been expressed in terms of an annual inflation target since 1992, but responsibility for achieving the target initially lay with the Treasury, acting on the Bank’s advice. In 1997, as part of a wide ranging restructuring of the Bank of England’s role, decisions about interest rates were delegated to the Bank’s new MPC. Its nine members – five internal Bank officials and four external members chosen for their relevant knowledge and experience – are individually, and publicly, accountable for meeting the inflation target.</w:t>
      </w:r>
    </w:p>
    <w:p>
      <w:pPr>
        <w:pStyle w:val="BodyText"/>
        <w:spacing w:before="10"/>
        <w:rPr>
          <w:sz w:val="20"/>
        </w:rPr>
      </w:pPr>
    </w:p>
    <w:p>
      <w:pPr>
        <w:pStyle w:val="BodyText"/>
        <w:spacing w:line="312" w:lineRule="auto"/>
        <w:ind w:left="1280" w:right="1472"/>
        <w:jc w:val="both"/>
      </w:pPr>
      <w:r>
        <w:rPr/>
        <w:t>The Government remains responsible for setting the annual inflation target, within the context of legislation that requires the Bank of England to achieve ‘price stability and subject to that to support the government’s objectives for output and employment’.</w:t>
      </w:r>
    </w:p>
    <w:p>
      <w:pPr>
        <w:pStyle w:val="BodyText"/>
        <w:spacing w:line="312" w:lineRule="auto"/>
        <w:ind w:left="1280" w:right="1656"/>
        <w:jc w:val="both"/>
      </w:pPr>
      <w:r>
        <w:rPr/>
        <w:t>Under its current remit, the MPC is required to achieve 2% consumer price inflation ‘at all times’. If inflation deviates from target by more than 1 percentage point, the</w:t>
      </w:r>
    </w:p>
    <w:p>
      <w:pPr>
        <w:pStyle w:val="BodyText"/>
        <w:rPr>
          <w:sz w:val="20"/>
        </w:rPr>
      </w:pPr>
    </w:p>
    <w:p>
      <w:pPr>
        <w:pStyle w:val="BodyText"/>
        <w:rPr>
          <w:sz w:val="20"/>
        </w:rPr>
      </w:pPr>
    </w:p>
    <w:p>
      <w:pPr>
        <w:pStyle w:val="BodyText"/>
        <w:spacing w:before="7"/>
        <w:rPr>
          <w:sz w:val="16"/>
        </w:rPr>
      </w:pPr>
      <w:r>
        <w:rPr/>
        <w:pict>
          <v:shape style="position:absolute;margin-left:90pt;margin-top:11.812976pt;width:144pt;height:.1pt;mso-position-horizontal-relative:page;mso-position-vertical-relative:paragraph;z-index:-251656192;mso-wrap-distance-left:0;mso-wrap-distance-right:0" coordorigin="1800,236" coordsize="2880,0" path="m1800,236l4680,236e" filled="false" stroked="true" strokeweight=".6pt" strokecolor="#000000">
            <v:path arrowok="t"/>
            <v:stroke dashstyle="solid"/>
            <w10:wrap type="topAndBottom"/>
          </v:shape>
        </w:pict>
      </w:r>
    </w:p>
    <w:p>
      <w:pPr>
        <w:spacing w:before="49"/>
        <w:ind w:left="1280" w:right="1480" w:hanging="1"/>
        <w:jc w:val="left"/>
        <w:rPr>
          <w:sz w:val="20"/>
        </w:rPr>
      </w:pPr>
      <w:r>
        <w:rPr>
          <w:position w:val="9"/>
          <w:sz w:val="13"/>
        </w:rPr>
        <w:t>1 </w:t>
      </w:r>
      <w:r>
        <w:rPr>
          <w:b/>
          <w:sz w:val="20"/>
        </w:rPr>
        <w:t>Goodhart, C </w:t>
      </w:r>
      <w:r>
        <w:rPr>
          <w:sz w:val="20"/>
        </w:rPr>
        <w:t>(1999) ‘Recent developments in central banking: some special features of the Monetary Policy Committee and of the European system of central Banks’ Jean Monnet Lecture, Dublin European Institute, 1999.</w:t>
      </w:r>
    </w:p>
    <w:p>
      <w:pPr>
        <w:spacing w:after="0"/>
        <w:jc w:val="left"/>
        <w:rPr>
          <w:sz w:val="20"/>
        </w:rPr>
        <w:sectPr>
          <w:headerReference w:type="default" r:id="rId7"/>
          <w:pgSz w:w="11900" w:h="16840"/>
          <w:pgMar w:header="716" w:footer="0" w:top="1300" w:bottom="280" w:left="520" w:right="360"/>
          <w:pgNumType w:start="2"/>
        </w:sectPr>
      </w:pPr>
    </w:p>
    <w:p>
      <w:pPr>
        <w:pStyle w:val="BodyText"/>
        <w:spacing w:line="312" w:lineRule="auto" w:before="118"/>
        <w:ind w:left="1280" w:right="1441"/>
      </w:pPr>
      <w:r>
        <w:rPr/>
        <w:t>MPC has to write a public letter to the Chancellor to explain why, and what it is doing to bring it back.</w:t>
      </w:r>
    </w:p>
    <w:p>
      <w:pPr>
        <w:pStyle w:val="BodyText"/>
        <w:spacing w:before="10"/>
        <w:rPr>
          <w:sz w:val="20"/>
        </w:rPr>
      </w:pPr>
    </w:p>
    <w:p>
      <w:pPr>
        <w:pStyle w:val="BodyText"/>
        <w:spacing w:line="312" w:lineRule="auto"/>
        <w:ind w:left="1279" w:right="1480"/>
      </w:pPr>
      <w:r>
        <w:rPr/>
        <w:t>These arrangements remain relatively novel and unusual in UK constitutional terms. Prior to 1997, a longstanding objection to Bank of England independence was concern that such arrangements would be inconsistent with Ministerial duty to answer to the House of Commons on major matters of policy. A high level of transparency and openness about MPC decisions has been a critical aspect of meeting expectations of parliamentary and public accountability as well as an effective way of enhancing the credibility of monetary</w:t>
      </w:r>
      <w:r>
        <w:rPr>
          <w:spacing w:val="-1"/>
        </w:rPr>
        <w:t> </w:t>
      </w:r>
      <w:r>
        <w:rPr/>
        <w:t>policy.</w:t>
      </w:r>
    </w:p>
    <w:p>
      <w:pPr>
        <w:pStyle w:val="BodyText"/>
        <w:spacing w:before="10"/>
        <w:rPr>
          <w:sz w:val="20"/>
        </w:rPr>
      </w:pPr>
    </w:p>
    <w:p>
      <w:pPr>
        <w:pStyle w:val="BodyText"/>
        <w:spacing w:line="312" w:lineRule="auto" w:before="1"/>
        <w:ind w:left="1280" w:right="1456"/>
      </w:pPr>
      <w:r>
        <w:rPr/>
        <w:t>In fact greater openness about monetary policy was part of the package of changes that were made to restore credibility after the UK’s exit from the ERM in 1992. The Bank played its part by introducing a new quarterly </w:t>
      </w:r>
      <w:r>
        <w:rPr>
          <w:i/>
        </w:rPr>
        <w:t>Inflation Report</w:t>
      </w:r>
      <w:r>
        <w:rPr/>
        <w:t>, which by 1997 had won widespread respect for its objectivity and professionalism. Against this background, the 1998 Bank of England Act required the new Monetary Policy Committee to sign off the Bank’s </w:t>
      </w:r>
      <w:r>
        <w:rPr>
          <w:i/>
        </w:rPr>
        <w:t>Inflation Report</w:t>
      </w:r>
      <w:r>
        <w:rPr/>
        <w:t>. In practice, the MPC’s sign off has been far from a formality, though the </w:t>
      </w:r>
      <w:r>
        <w:rPr>
          <w:i/>
        </w:rPr>
        <w:t>Inflation Report </w:t>
      </w:r>
      <w:r>
        <w:rPr/>
        <w:t>formally remains the Bank’s report.</w:t>
      </w:r>
    </w:p>
    <w:p>
      <w:pPr>
        <w:pStyle w:val="BodyText"/>
        <w:spacing w:before="10"/>
        <w:rPr>
          <w:sz w:val="20"/>
        </w:rPr>
      </w:pPr>
    </w:p>
    <w:p>
      <w:pPr>
        <w:pStyle w:val="BodyText"/>
        <w:spacing w:line="312" w:lineRule="auto"/>
        <w:ind w:left="1280" w:right="1475"/>
      </w:pPr>
      <w:r>
        <w:rPr/>
        <w:t>It is not that surprising that a committee of experts whose external members are based in the Bank and who devote at least 60% of their time to monetary policy should get deeply involved in preparing and debating the forecasts that they sign off. It may be more remarkable that nine economists, labouring under the burden of individual accountability, have so far succeeded in signing off 31 editions of the </w:t>
      </w:r>
      <w:r>
        <w:rPr>
          <w:i/>
        </w:rPr>
        <w:t>Inflation </w:t>
      </w:r>
      <w:r>
        <w:rPr>
          <w:i/>
        </w:rPr>
        <w:t>Report</w:t>
      </w:r>
      <w:r>
        <w:rPr/>
        <w:t>, and found ways of dealing with the inevitable range of views.</w:t>
      </w:r>
    </w:p>
    <w:p>
      <w:pPr>
        <w:pStyle w:val="BodyText"/>
        <w:rPr>
          <w:sz w:val="21"/>
        </w:rPr>
      </w:pPr>
    </w:p>
    <w:p>
      <w:pPr>
        <w:pStyle w:val="Heading1"/>
      </w:pPr>
      <w:r>
        <w:rPr/>
        <w:t>The nature and role of the forecast</w:t>
      </w:r>
    </w:p>
    <w:p>
      <w:pPr>
        <w:pStyle w:val="BodyText"/>
        <w:spacing w:before="9"/>
        <w:rPr>
          <w:b/>
          <w:sz w:val="27"/>
        </w:rPr>
      </w:pPr>
    </w:p>
    <w:p>
      <w:pPr>
        <w:pStyle w:val="BodyText"/>
        <w:spacing w:line="312" w:lineRule="auto" w:before="1"/>
        <w:ind w:left="1280" w:right="1508"/>
      </w:pPr>
      <w:r>
        <w:rPr/>
        <w:t>Nowadays the forecast has two related roles in the monetary policy process. First, it helps the Committee to set monetary policy by organising, informing and focusing its discussions. And second, it provides transparency about the Committee’s thinking and plays a key part of its public communication strategy.</w:t>
      </w:r>
      <w:r>
        <w:rPr>
          <w:vertAlign w:val="superscript"/>
        </w:rPr>
        <w:t>2</w:t>
      </w:r>
    </w:p>
    <w:p>
      <w:pPr>
        <w:pStyle w:val="Heading1"/>
        <w:spacing w:before="242"/>
      </w:pPr>
      <w:r>
        <w:rPr/>
        <w:t>Helping the MPC make decisions</w:t>
      </w:r>
    </w:p>
    <w:p>
      <w:pPr>
        <w:pStyle w:val="BodyText"/>
        <w:spacing w:before="10"/>
        <w:rPr>
          <w:b/>
          <w:sz w:val="27"/>
        </w:rPr>
      </w:pPr>
    </w:p>
    <w:p>
      <w:pPr>
        <w:pStyle w:val="BodyText"/>
        <w:spacing w:line="312" w:lineRule="auto"/>
        <w:ind w:left="1280" w:right="1577"/>
      </w:pPr>
      <w:r>
        <w:rPr/>
        <w:t>Monetary policy needs to be forward looking, because interest rates act with a lag. No monetary policymaker can avoid taking a view on the future. That view needs to be coherent and disciplined, and informed by the best information available. But it</w:t>
      </w:r>
    </w:p>
    <w:p>
      <w:pPr>
        <w:pStyle w:val="BodyText"/>
        <w:rPr>
          <w:sz w:val="20"/>
        </w:rPr>
      </w:pPr>
    </w:p>
    <w:p>
      <w:pPr>
        <w:pStyle w:val="BodyText"/>
        <w:spacing w:before="8"/>
        <w:rPr>
          <w:sz w:val="15"/>
        </w:rPr>
      </w:pPr>
      <w:r>
        <w:rPr/>
        <w:pict>
          <v:shape style="position:absolute;margin-left:90pt;margin-top:11.311999pt;width:144pt;height:.1pt;mso-position-horizontal-relative:page;mso-position-vertical-relative:paragraph;z-index:-251655168;mso-wrap-distance-left:0;mso-wrap-distance-right:0" coordorigin="1800,226" coordsize="2880,0" path="m1800,226l4680,226e" filled="false" stroked="true" strokeweight=".6pt" strokecolor="#000000">
            <v:path arrowok="t"/>
            <v:stroke dashstyle="solid"/>
            <w10:wrap type="topAndBottom"/>
          </v:shape>
        </w:pict>
      </w:r>
    </w:p>
    <w:p>
      <w:pPr>
        <w:spacing w:before="49"/>
        <w:ind w:left="1279" w:right="1707" w:firstLine="0"/>
        <w:jc w:val="left"/>
        <w:rPr>
          <w:sz w:val="20"/>
        </w:rPr>
      </w:pPr>
      <w:r>
        <w:rPr>
          <w:position w:val="9"/>
          <w:sz w:val="13"/>
        </w:rPr>
        <w:t>2 </w:t>
      </w:r>
      <w:r>
        <w:rPr>
          <w:sz w:val="20"/>
        </w:rPr>
        <w:t>Charles gives five arguments for having an IR that is the responsibility of the MPC itself: transparency, discipline, a better informed MPC, better forecasts and accountability (in that order). I think they fit within my taxonomy.</w:t>
      </w:r>
    </w:p>
    <w:p>
      <w:pPr>
        <w:spacing w:after="0"/>
        <w:jc w:val="left"/>
        <w:rPr>
          <w:sz w:val="20"/>
        </w:rPr>
        <w:sectPr>
          <w:pgSz w:w="11900" w:h="16840"/>
          <w:pgMar w:header="716" w:footer="0" w:top="1300" w:bottom="280" w:left="520" w:right="360"/>
        </w:sectPr>
      </w:pPr>
    </w:p>
    <w:p>
      <w:pPr>
        <w:pStyle w:val="BodyText"/>
        <w:spacing w:line="312" w:lineRule="auto" w:before="118"/>
        <w:ind w:left="1279" w:right="1750"/>
      </w:pPr>
      <w:r>
        <w:rPr/>
        <w:t>also needs to reflect a realistic appreciation of the massive uncertainties inherent in any forecast.</w:t>
      </w:r>
    </w:p>
    <w:p>
      <w:pPr>
        <w:pStyle w:val="BodyText"/>
        <w:spacing w:before="10"/>
        <w:rPr>
          <w:sz w:val="20"/>
        </w:rPr>
      </w:pPr>
    </w:p>
    <w:p>
      <w:pPr>
        <w:pStyle w:val="BodyText"/>
        <w:spacing w:line="312" w:lineRule="auto"/>
        <w:ind w:left="1280" w:right="1482"/>
      </w:pPr>
      <w:r>
        <w:rPr/>
        <w:t>The MPC spends many hours discussing the projections that go into the </w:t>
      </w:r>
      <w:r>
        <w:rPr>
          <w:i/>
        </w:rPr>
        <w:t>Inflation </w:t>
      </w:r>
      <w:r>
        <w:rPr>
          <w:i/>
        </w:rPr>
        <w:t>Report </w:t>
      </w:r>
      <w:r>
        <w:rPr/>
        <w:t>and the text that accompanies them. Although the process has been somewhat streamlined since Charles’s day (when the committee spent a gruelling ten meetings a quarter on the forecast on top of the usual monthly decision meetings) the forecast round is probably still the largest single commitment of the Committee’s time.</w:t>
      </w:r>
    </w:p>
    <w:p>
      <w:pPr>
        <w:pStyle w:val="BodyText"/>
        <w:spacing w:before="10"/>
        <w:rPr>
          <w:sz w:val="20"/>
        </w:rPr>
      </w:pPr>
    </w:p>
    <w:p>
      <w:pPr>
        <w:pStyle w:val="BodyText"/>
        <w:spacing w:line="312" w:lineRule="auto" w:before="1"/>
        <w:ind w:left="1279" w:right="1441"/>
      </w:pPr>
      <w:r>
        <w:rPr/>
        <w:t>Why? An important reason is that the forecast is not just an occasion for agreeing a set of projections for the inflation outlook. It has come to provide an organising framework for assessing all the relevant information, and an opportunity for a deeper discussion of economic developments. Since I have been on the Committee, we have spent at least half our allotted forecasting time debating longer term issues, such as the effect of structural change in the labour market and the relationship between house price inflation and consumption. Sometimes the outcome of those discussions has had a material influence on our thinking about risks, even when the direct impact on the central projections has been relatively</w:t>
      </w:r>
      <w:r>
        <w:rPr>
          <w:spacing w:val="-1"/>
        </w:rPr>
        <w:t> </w:t>
      </w:r>
      <w:r>
        <w:rPr/>
        <w:t>minor.</w:t>
      </w:r>
    </w:p>
    <w:p>
      <w:pPr>
        <w:pStyle w:val="BodyText"/>
        <w:spacing w:before="10"/>
        <w:rPr>
          <w:sz w:val="20"/>
        </w:rPr>
      </w:pPr>
    </w:p>
    <w:p>
      <w:pPr>
        <w:pStyle w:val="BodyText"/>
        <w:spacing w:line="312" w:lineRule="auto"/>
        <w:ind w:left="1279" w:right="1450"/>
      </w:pPr>
      <w:r>
        <w:rPr/>
        <w:t>What role do formal economic models play in the forecast? No set of economic projections – least of all one owned by a committee of nine experts – can ever be the outcome of a purely model-based operation. Judgement always plays a large role – although different people frame their judgements in more or less model-based ways. But it is difficult to make a forecast without using models: they provide an organising framework for ensuring intellectual and accounting consistency in generating baseline projections, and for considering alternative scenarios and risks.</w:t>
      </w:r>
    </w:p>
    <w:p>
      <w:pPr>
        <w:pStyle w:val="BodyText"/>
        <w:spacing w:before="9"/>
        <w:rPr>
          <w:sz w:val="20"/>
        </w:rPr>
      </w:pPr>
    </w:p>
    <w:p>
      <w:pPr>
        <w:pStyle w:val="BodyText"/>
        <w:ind w:left="1279"/>
      </w:pPr>
      <w:r>
        <w:rPr/>
        <w:t>What sorts of models does the Committee find useful?</w:t>
      </w:r>
    </w:p>
    <w:p>
      <w:pPr>
        <w:pStyle w:val="BodyText"/>
        <w:rPr>
          <w:sz w:val="28"/>
        </w:rPr>
      </w:pPr>
    </w:p>
    <w:p>
      <w:pPr>
        <w:pStyle w:val="BodyText"/>
        <w:spacing w:line="312" w:lineRule="auto" w:before="1"/>
        <w:ind w:left="1280" w:right="1696"/>
      </w:pPr>
      <w:r>
        <w:rPr/>
        <w:t>In his peer review of the Bank’s use of economic models</w:t>
      </w:r>
      <w:r>
        <w:rPr>
          <w:vertAlign w:val="superscript"/>
        </w:rPr>
        <w:t>3</w:t>
      </w:r>
      <w:r>
        <w:rPr>
          <w:vertAlign w:val="baseline"/>
        </w:rPr>
        <w:t>, Adrian Pagan suggested that economic modelling may involve a trade off between theoretical consistency (good economics) and data coherence (a good fit); our goal should be to ensure that we are positioned on the efficient frontier between the two.</w:t>
      </w:r>
    </w:p>
    <w:p>
      <w:pPr>
        <w:pStyle w:val="BodyText"/>
        <w:spacing w:before="10"/>
        <w:rPr>
          <w:sz w:val="20"/>
        </w:rPr>
      </w:pPr>
    </w:p>
    <w:p>
      <w:pPr>
        <w:pStyle w:val="BodyText"/>
        <w:spacing w:line="312" w:lineRule="auto"/>
        <w:ind w:left="1280" w:right="1641"/>
      </w:pPr>
      <w:r>
        <w:rPr/>
        <w:t>Any model we use should in principle be on this frontier – but we want to be able to move along the frontier and use different sorts of models for different purposes.</w:t>
      </w:r>
    </w:p>
    <w:p>
      <w:pPr>
        <w:pStyle w:val="BodyText"/>
        <w:spacing w:before="10"/>
        <w:rPr>
          <w:sz w:val="20"/>
        </w:rPr>
      </w:pPr>
    </w:p>
    <w:p>
      <w:pPr>
        <w:pStyle w:val="BodyText"/>
        <w:spacing w:line="312" w:lineRule="auto"/>
        <w:ind w:left="1280" w:right="1661"/>
      </w:pPr>
      <w:r>
        <w:rPr/>
        <w:pict>
          <v:shape style="position:absolute;margin-left:90pt;margin-top:58.663422pt;width:144pt;height:.1pt;mso-position-horizontal-relative:page;mso-position-vertical-relative:paragraph;z-index:-251654144;mso-wrap-distance-left:0;mso-wrap-distance-right:0" coordorigin="1800,1173" coordsize="2880,0" path="m1800,1173l4680,1173e" filled="false" stroked="true" strokeweight=".6pt" strokecolor="#000000">
            <v:path arrowok="t"/>
            <v:stroke dashstyle="solid"/>
            <w10:wrap type="topAndBottom"/>
          </v:shape>
        </w:pict>
      </w:r>
      <w:r>
        <w:rPr/>
        <w:t>For example, if, as I have suggested, we want to use models to facilitate discussions about fundamental economic issues, we clearly need models with rich economic structures – structures that reflect the Committee’s views on the way the economy</w:t>
      </w:r>
    </w:p>
    <w:p>
      <w:pPr>
        <w:spacing w:before="49"/>
        <w:ind w:left="1279" w:right="1787" w:firstLine="0"/>
        <w:jc w:val="both"/>
        <w:rPr>
          <w:sz w:val="20"/>
        </w:rPr>
      </w:pPr>
      <w:r>
        <w:rPr>
          <w:position w:val="9"/>
          <w:sz w:val="13"/>
        </w:rPr>
        <w:t>3 </w:t>
      </w:r>
      <w:r>
        <w:rPr>
          <w:b/>
          <w:sz w:val="20"/>
        </w:rPr>
        <w:t>Pagan, A (2003) </w:t>
      </w:r>
      <w:r>
        <w:rPr>
          <w:sz w:val="20"/>
        </w:rPr>
        <w:t>‘Modelling and forecasting at the Bank of England’, </w:t>
      </w:r>
      <w:r>
        <w:rPr>
          <w:i/>
          <w:sz w:val="20"/>
        </w:rPr>
        <w:t>Bank of England Quarterly </w:t>
      </w:r>
      <w:r>
        <w:rPr>
          <w:i/>
          <w:sz w:val="20"/>
        </w:rPr>
        <w:t>Bulletin </w:t>
      </w:r>
      <w:r>
        <w:rPr>
          <w:sz w:val="20"/>
        </w:rPr>
        <w:t>Spring 2003. Adrian Pagan has been commissioned to produce a postscript, following the introduction of the new Bank of England Quarterly Model. This will be published later this year.</w:t>
      </w:r>
    </w:p>
    <w:p>
      <w:pPr>
        <w:spacing w:after="0"/>
        <w:jc w:val="both"/>
        <w:rPr>
          <w:sz w:val="20"/>
        </w:rPr>
        <w:sectPr>
          <w:pgSz w:w="11900" w:h="16840"/>
          <w:pgMar w:header="716" w:footer="0" w:top="1300" w:bottom="280" w:left="520" w:right="360"/>
        </w:sectPr>
      </w:pPr>
    </w:p>
    <w:p>
      <w:pPr>
        <w:pStyle w:val="BodyText"/>
        <w:spacing w:line="312" w:lineRule="auto" w:before="118"/>
        <w:ind w:left="1280" w:right="1529"/>
      </w:pPr>
      <w:r>
        <w:rPr/>
        <w:t>works. The Bank’s new Quarterly Model (BEQM)</w:t>
      </w:r>
      <w:r>
        <w:rPr>
          <w:vertAlign w:val="superscript"/>
        </w:rPr>
        <w:t>4</w:t>
      </w:r>
      <w:r>
        <w:rPr>
          <w:vertAlign w:val="baseline"/>
        </w:rPr>
        <w:t> has been developed with this function very much in mind. But we also use other and smaller models with rich economic structures to look at specific issues as part of our suite of models.</w:t>
      </w:r>
    </w:p>
    <w:p>
      <w:pPr>
        <w:pStyle w:val="BodyText"/>
        <w:spacing w:before="10"/>
        <w:rPr>
          <w:sz w:val="20"/>
        </w:rPr>
      </w:pPr>
    </w:p>
    <w:p>
      <w:pPr>
        <w:pStyle w:val="BodyText"/>
        <w:spacing w:line="312" w:lineRule="auto"/>
        <w:ind w:left="1280" w:right="1529"/>
      </w:pPr>
      <w:r>
        <w:rPr/>
        <w:t>We also want to quantify the likely impacts on inflation and output of a range of pieces of data news as accurately as possible. The numbers matter, so empirical performance is important, too. We have worked hard at ensuring that BEQM does well in this dimension, but we have also, within our suite, been developing more statistically based models. We may use these models on their own – as stand alone forecasting tools – or to inform the judgements that we make in using BEQM.</w:t>
      </w:r>
    </w:p>
    <w:p>
      <w:pPr>
        <w:pStyle w:val="BodyText"/>
        <w:spacing w:before="10"/>
        <w:rPr>
          <w:sz w:val="20"/>
        </w:rPr>
      </w:pPr>
    </w:p>
    <w:p>
      <w:pPr>
        <w:pStyle w:val="BodyText"/>
        <w:spacing w:before="1"/>
        <w:ind w:left="1280"/>
      </w:pPr>
      <w:r>
        <w:rPr/>
        <w:t>Let me say a few words about both the main model and the suite.</w:t>
      </w:r>
    </w:p>
    <w:p>
      <w:pPr>
        <w:pStyle w:val="BodyText"/>
        <w:rPr>
          <w:sz w:val="28"/>
        </w:rPr>
      </w:pPr>
    </w:p>
    <w:p>
      <w:pPr>
        <w:pStyle w:val="BodyText"/>
        <w:spacing w:line="312" w:lineRule="auto"/>
        <w:ind w:left="1279" w:right="1476"/>
      </w:pPr>
      <w:r>
        <w:rPr/>
        <w:t>The motivation for the BEQM project was to help with the ‘intellectual framework’ role of the forecast. Without losing empirical performance, we wanted to improve upon the previous main model’s articulation of the underlying structure of the economy, to make it more explicitly consistent with the Committee’s beliefs.</w:t>
      </w:r>
      <w:r>
        <w:rPr>
          <w:vertAlign w:val="superscript"/>
        </w:rPr>
        <w:t>5</w:t>
      </w:r>
      <w:r>
        <w:rPr>
          <w:vertAlign w:val="baseline"/>
        </w:rPr>
        <w:t> This was made possible in the light of recent advances both in economic understanding – particularly the emphasis on providing coherent micro foundations in macroeconomic models – and in sheer computational power (both in terms of computing power and the techniques applied).</w:t>
      </w:r>
    </w:p>
    <w:p>
      <w:pPr>
        <w:pStyle w:val="BodyText"/>
        <w:spacing w:before="10"/>
        <w:rPr>
          <w:sz w:val="20"/>
        </w:rPr>
      </w:pPr>
    </w:p>
    <w:p>
      <w:pPr>
        <w:pStyle w:val="BodyText"/>
        <w:spacing w:line="312" w:lineRule="auto" w:before="1"/>
        <w:ind w:left="1279" w:right="1451"/>
      </w:pPr>
      <w:r>
        <w:rPr/>
        <w:t>BEQM is a large scale model by the standards of most academic research, but it is small scale compared with traditional macro-econometric models. Compared with the latter, it is also more of a general equilibrium model with an emphasis on internal consistency. Households and firms optimise – they are forward-looking and they use available information efficiently. Unlike our previous model, things add up: flows add to stocks, profits are allocated, and so on.  There is a high degree of simultaneity in the way the model is solved. It no longer makes sense, nor is it at all easy, to consider the model equation by</w:t>
      </w:r>
      <w:r>
        <w:rPr>
          <w:spacing w:val="-1"/>
        </w:rPr>
        <w:t> </w:t>
      </w:r>
      <w:r>
        <w:rPr/>
        <w:t>equation.</w:t>
      </w:r>
    </w:p>
    <w:p>
      <w:pPr>
        <w:pStyle w:val="BodyText"/>
        <w:spacing w:before="9"/>
        <w:rPr>
          <w:sz w:val="20"/>
        </w:rPr>
      </w:pPr>
    </w:p>
    <w:p>
      <w:pPr>
        <w:pStyle w:val="BodyText"/>
        <w:spacing w:line="312" w:lineRule="auto"/>
        <w:ind w:left="1279" w:right="1429"/>
      </w:pPr>
      <w:r>
        <w:rPr/>
        <w:t>This provides a greater degree of discipline on Committee members and staff, who are now forced to confront the full implications of their judgements more explicitly. If someone wants to change one of the economic relationships, they need to say why, and acknowledge the possible implications for other behavioural relationships. If, for example, we want to assume that the trend rate of labour productivity growth has changed, the model requires us to recognise that there are implications for both demand and supply. Faster productivity growth will increase productive capacity, but income will also grow faster. So what might that mean for demand now?</w:t>
      </w:r>
    </w:p>
    <w:p>
      <w:pPr>
        <w:pStyle w:val="BodyText"/>
        <w:rPr>
          <w:sz w:val="15"/>
        </w:rPr>
      </w:pPr>
      <w:r>
        <w:rPr/>
        <w:pict>
          <v:shape style="position:absolute;margin-left:90pt;margin-top:10.918103pt;width:144pt;height:.1pt;mso-position-horizontal-relative:page;mso-position-vertical-relative:paragraph;z-index:-251653120;mso-wrap-distance-left:0;mso-wrap-distance-right:0" coordorigin="1800,218" coordsize="2880,0" path="m1800,218l4680,218e" filled="false" stroked="true" strokeweight=".6pt" strokecolor="#000000">
            <v:path arrowok="t"/>
            <v:stroke dashstyle="solid"/>
            <w10:wrap type="topAndBottom"/>
          </v:shape>
        </w:pict>
      </w:r>
    </w:p>
    <w:p>
      <w:pPr>
        <w:spacing w:before="49"/>
        <w:ind w:left="1279" w:right="1529" w:firstLine="0"/>
        <w:jc w:val="left"/>
        <w:rPr>
          <w:i/>
          <w:sz w:val="20"/>
        </w:rPr>
      </w:pPr>
      <w:r>
        <w:rPr>
          <w:position w:val="9"/>
          <w:sz w:val="13"/>
        </w:rPr>
        <w:t>4 </w:t>
      </w:r>
      <w:r>
        <w:rPr>
          <w:b/>
          <w:sz w:val="20"/>
        </w:rPr>
        <w:t>Harrison, R, Nikolov, K, Quinn, M, Ramsay, G, Scott, A and Thomas, R (2005) </w:t>
      </w:r>
      <w:r>
        <w:rPr>
          <w:i/>
          <w:sz w:val="20"/>
        </w:rPr>
        <w:t>The Bank of </w:t>
      </w:r>
      <w:r>
        <w:rPr>
          <w:i/>
          <w:sz w:val="20"/>
        </w:rPr>
        <w:t>England Quarterly Model.</w:t>
      </w:r>
    </w:p>
    <w:p>
      <w:pPr>
        <w:spacing w:line="230" w:lineRule="exact" w:before="0"/>
        <w:ind w:left="1280" w:right="0" w:firstLine="0"/>
        <w:jc w:val="left"/>
        <w:rPr>
          <w:i/>
          <w:sz w:val="20"/>
        </w:rPr>
      </w:pPr>
      <w:r>
        <w:rPr>
          <w:position w:val="9"/>
          <w:sz w:val="13"/>
        </w:rPr>
        <w:t>5 </w:t>
      </w:r>
      <w:r>
        <w:rPr>
          <w:sz w:val="20"/>
        </w:rPr>
        <w:t>For a description of the previous model, see </w:t>
      </w:r>
      <w:r>
        <w:rPr>
          <w:i/>
          <w:sz w:val="20"/>
        </w:rPr>
        <w:t>Economic Models at the Bank of England (1999).</w:t>
      </w:r>
    </w:p>
    <w:p>
      <w:pPr>
        <w:spacing w:after="0" w:line="230" w:lineRule="exact"/>
        <w:jc w:val="left"/>
        <w:rPr>
          <w:sz w:val="20"/>
        </w:rPr>
        <w:sectPr>
          <w:pgSz w:w="11900" w:h="16840"/>
          <w:pgMar w:header="716" w:footer="0" w:top="1300" w:bottom="280" w:left="520" w:right="360"/>
        </w:sectPr>
      </w:pPr>
    </w:p>
    <w:p>
      <w:pPr>
        <w:pStyle w:val="BodyText"/>
        <w:spacing w:line="312" w:lineRule="auto" w:before="118"/>
        <w:ind w:left="1279" w:right="1433"/>
      </w:pPr>
      <w:r>
        <w:rPr/>
        <w:t>This is a definite advance – providing the general equilibrium mechanisms in the new model do in fact reflect our ideas about how the world works. But it also makes for a more demanding discussion. There are no easy fixes, and it can be difficult to accommodate views that differ from the model’s paradigm.  As an example, the model is firmly rooted in the rational expectations tradition. And we have assumed that monetary policy is credible. Both are perfectly reasonable, arguably essential, modelling assumptions. The fact that the new model makes them explicit can be intellectually helpful. But it doesn’t make it any easier to provide answers to questions about expectations and credibility.  What if some agents base their decisions on simple rules of thumb? BEQM has features that allow us to accommodate such questions when we are forecasting – but in a more ad-hoc way that requires a substantial degree of</w:t>
      </w:r>
      <w:r>
        <w:rPr>
          <w:spacing w:val="-2"/>
        </w:rPr>
        <w:t> </w:t>
      </w:r>
      <w:r>
        <w:rPr/>
        <w:t>judgement.</w:t>
      </w:r>
    </w:p>
    <w:p>
      <w:pPr>
        <w:pStyle w:val="BodyText"/>
        <w:spacing w:before="10"/>
        <w:rPr>
          <w:sz w:val="20"/>
        </w:rPr>
      </w:pPr>
    </w:p>
    <w:p>
      <w:pPr>
        <w:pStyle w:val="BodyText"/>
        <w:spacing w:line="312" w:lineRule="auto" w:before="1"/>
        <w:ind w:left="1279" w:right="1478"/>
      </w:pPr>
      <w:r>
        <w:rPr/>
        <w:t>We are still learning how to exploit all BEQM’s possibilities. But it clearly represents a move towards the ‘Pagan frontier’, offering a higher degree of theoretical coherence without losing empirical performance. A number of other central banks are working on similar models – the ECB, Bank of Canada, FRB, Norges Bank and Bank of Finland – as well as the IMF. The international modelling community is an exemplary forum for the exchange of ideas and experiences, and we have learnt – and will continue to learn – a lot from the experience of</w:t>
      </w:r>
      <w:r>
        <w:rPr>
          <w:spacing w:val="-6"/>
        </w:rPr>
        <w:t> </w:t>
      </w:r>
      <w:r>
        <w:rPr/>
        <w:t>others.</w:t>
      </w:r>
    </w:p>
    <w:p>
      <w:pPr>
        <w:pStyle w:val="BodyText"/>
        <w:spacing w:before="10"/>
        <w:rPr>
          <w:sz w:val="20"/>
        </w:rPr>
      </w:pPr>
    </w:p>
    <w:p>
      <w:pPr>
        <w:pStyle w:val="BodyText"/>
        <w:spacing w:line="312" w:lineRule="auto"/>
        <w:ind w:left="1280" w:right="1415"/>
      </w:pPr>
      <w:r>
        <w:rPr/>
        <w:t>No model can do everything. All models oversimplify drastically. The trick is to identify an appropriate degree of simplification for the task in hand. So the Committee has never been prepared to rely on one model. This has led to attempts to develop a suite of models.</w:t>
      </w:r>
    </w:p>
    <w:p>
      <w:pPr>
        <w:pStyle w:val="BodyText"/>
        <w:spacing w:before="9"/>
        <w:rPr>
          <w:sz w:val="20"/>
        </w:rPr>
      </w:pPr>
    </w:p>
    <w:p>
      <w:pPr>
        <w:pStyle w:val="BodyText"/>
        <w:ind w:left="1280"/>
      </w:pPr>
      <w:r>
        <w:rPr/>
        <w:t>The suite takes two forms.</w:t>
      </w:r>
    </w:p>
    <w:p>
      <w:pPr>
        <w:pStyle w:val="BodyText"/>
        <w:rPr>
          <w:sz w:val="28"/>
        </w:rPr>
      </w:pPr>
    </w:p>
    <w:p>
      <w:pPr>
        <w:pStyle w:val="BodyText"/>
        <w:spacing w:line="312" w:lineRule="auto" w:before="1"/>
        <w:ind w:left="1279" w:right="1529"/>
      </w:pPr>
      <w:r>
        <w:rPr/>
        <w:t>One is a range of models that are </w:t>
      </w:r>
      <w:r>
        <w:rPr>
          <w:b/>
        </w:rPr>
        <w:t>complementary </w:t>
      </w:r>
      <w:r>
        <w:rPr/>
        <w:t>to the core forecasting model. These hold up a magnifying glass to particular parts of the economy, and allow us to take account of the influence of a wider range of factors in more detail than could be accommodated in the main model. These (sub-) models might be geared towards analysing particular policy issues (e.g., supply chain pricing models, the future development of household and corporate gearing, productivity growth in the distribution sector). Or they might also provide the interface between our very short- term conjunctural analysis, and the 2-3 year forecast.</w:t>
      </w:r>
    </w:p>
    <w:p>
      <w:pPr>
        <w:pStyle w:val="BodyText"/>
        <w:spacing w:before="10"/>
        <w:rPr>
          <w:sz w:val="20"/>
        </w:rPr>
      </w:pPr>
    </w:p>
    <w:p>
      <w:pPr>
        <w:pStyle w:val="BodyText"/>
        <w:spacing w:line="312" w:lineRule="auto"/>
        <w:ind w:left="1279" w:right="1796"/>
      </w:pPr>
      <w:r>
        <w:rPr/>
        <w:t>Second, we have a set of </w:t>
      </w:r>
      <w:r>
        <w:rPr>
          <w:b/>
        </w:rPr>
        <w:t>statistical </w:t>
      </w:r>
      <w:r>
        <w:rPr/>
        <w:t>models. The MPC attempts to process a huge amount of information before each monthly decision. The Committee already uses some data-driven forecasts (for example, forecasts that uses many variables to forecast in an a-theoretic way, statistical models to produce near term forecasts for key data such as CPI, and small models that filter ONS first releases, to handle the</w:t>
      </w:r>
    </w:p>
    <w:p>
      <w:pPr>
        <w:spacing w:after="0" w:line="312" w:lineRule="auto"/>
        <w:sectPr>
          <w:pgSz w:w="11900" w:h="16840"/>
          <w:pgMar w:header="716" w:footer="0" w:top="1300" w:bottom="280" w:left="520" w:right="360"/>
        </w:sectPr>
      </w:pPr>
    </w:p>
    <w:p>
      <w:pPr>
        <w:pStyle w:val="BodyText"/>
        <w:spacing w:line="312" w:lineRule="auto" w:before="118"/>
        <w:ind w:left="1280" w:right="1458"/>
      </w:pPr>
      <w:r>
        <w:rPr/>
        <w:t>inevitable data uncertainty associated with early releases</w:t>
      </w:r>
      <w:r>
        <w:rPr>
          <w:vertAlign w:val="superscript"/>
        </w:rPr>
        <w:t>6</w:t>
      </w:r>
      <w:r>
        <w:rPr>
          <w:vertAlign w:val="baseline"/>
        </w:rPr>
        <w:t>). But it is a herculean task to absorb and analyse all the data. So, responding to the needs of the MPC, but also to suggestions by Pagan, the staff is in the process of developing and evaluating more models geared towards empirical forecasting accuracy and finding ways of combining these forecasts in a statistically efficient way. This is very much work in progress, with the aim of helping the MPC to form judgements both about the most likely outturns and the uncertainty surrounding</w:t>
      </w:r>
      <w:r>
        <w:rPr>
          <w:spacing w:val="-6"/>
          <w:vertAlign w:val="baseline"/>
        </w:rPr>
        <w:t> </w:t>
      </w:r>
      <w:r>
        <w:rPr>
          <w:vertAlign w:val="baseline"/>
        </w:rPr>
        <w:t>them.</w:t>
      </w:r>
    </w:p>
    <w:p>
      <w:pPr>
        <w:pStyle w:val="BodyText"/>
        <w:spacing w:before="1"/>
        <w:rPr>
          <w:sz w:val="21"/>
        </w:rPr>
      </w:pPr>
    </w:p>
    <w:p>
      <w:pPr>
        <w:pStyle w:val="Heading1"/>
      </w:pPr>
      <w:r>
        <w:rPr/>
        <w:t>Handling uncertainty and disagreement</w:t>
      </w:r>
    </w:p>
    <w:p>
      <w:pPr>
        <w:pStyle w:val="BodyText"/>
        <w:spacing w:before="10"/>
        <w:rPr>
          <w:b/>
          <w:sz w:val="27"/>
        </w:rPr>
      </w:pPr>
    </w:p>
    <w:p>
      <w:pPr>
        <w:pStyle w:val="BodyText"/>
        <w:spacing w:line="312" w:lineRule="auto"/>
        <w:ind w:left="1280" w:right="1449"/>
      </w:pPr>
      <w:r>
        <w:rPr/>
        <w:t>Even armed with a range of economic models to aid structured discussion and enforce a degree of intellectual discipline, how is it possible for a group of nine individually accountable economists to reach sufficient agreement to publish a forecast which is described as reflecting their best collective judgement?</w:t>
      </w:r>
    </w:p>
    <w:p>
      <w:pPr>
        <w:pStyle w:val="BodyText"/>
        <w:spacing w:before="10"/>
        <w:rPr>
          <w:sz w:val="20"/>
        </w:rPr>
      </w:pPr>
    </w:p>
    <w:p>
      <w:pPr>
        <w:pStyle w:val="BodyText"/>
        <w:spacing w:line="312" w:lineRule="auto"/>
        <w:ind w:left="1279" w:right="1477"/>
      </w:pPr>
      <w:r>
        <w:rPr/>
        <w:t>An important part of the answer lies in the use of formal techniques to capture uncertainty and risk. These antedate the MPC. The Bank of England started publishing fan charts for its inflation projections in February 1996, following an early experiment with what might be called ‘trumpet charts’.</w:t>
      </w:r>
      <w:r>
        <w:rPr>
          <w:vertAlign w:val="superscript"/>
        </w:rPr>
        <w:t>7</w:t>
      </w:r>
      <w:r>
        <w:rPr>
          <w:vertAlign w:val="baseline"/>
        </w:rPr>
        <w:t> The motivation was purely to illustrate the uncertainty inherent in all economic projections. While trumpets consisted of a single shaded area around a central projection, corresponding to average absolute forecast errors (see Chart 1), fan charts (see Chart 2) were graduated to show the full distribution of possible outcomes.</w:t>
      </w:r>
      <w:r>
        <w:rPr>
          <w:vertAlign w:val="superscript"/>
        </w:rPr>
        <w:t>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3"/>
        </w:rPr>
      </w:pPr>
      <w:r>
        <w:rPr/>
        <w:pict>
          <v:shape style="position:absolute;margin-left:90pt;margin-top:10.075330pt;width:144pt;height:.1pt;mso-position-horizontal-relative:page;mso-position-vertical-relative:paragraph;z-index:-251652096;mso-wrap-distance-left:0;mso-wrap-distance-right:0" coordorigin="1800,202" coordsize="2880,0" path="m1800,202l4680,202e" filled="false" stroked="true" strokeweight=".6pt" strokecolor="#000000">
            <v:path arrowok="t"/>
            <v:stroke dashstyle="solid"/>
            <w10:wrap type="topAndBottom"/>
          </v:shape>
        </w:pict>
      </w:r>
    </w:p>
    <w:p>
      <w:pPr>
        <w:spacing w:before="49"/>
        <w:ind w:left="1280" w:right="1529" w:hanging="1"/>
        <w:jc w:val="left"/>
        <w:rPr>
          <w:sz w:val="20"/>
        </w:rPr>
      </w:pPr>
      <w:r>
        <w:rPr>
          <w:position w:val="9"/>
          <w:sz w:val="13"/>
        </w:rPr>
        <w:t>6 </w:t>
      </w:r>
      <w:r>
        <w:rPr>
          <w:b/>
          <w:sz w:val="20"/>
        </w:rPr>
        <w:t>Ashley, J, Driver, R, Hayes S and Jeffrey, C (2005) </w:t>
      </w:r>
      <w:r>
        <w:rPr>
          <w:sz w:val="20"/>
        </w:rPr>
        <w:t>‘Dealing with data uncertainty’ </w:t>
      </w:r>
      <w:r>
        <w:rPr>
          <w:i/>
          <w:sz w:val="20"/>
        </w:rPr>
        <w:t>Bank of </w:t>
      </w:r>
      <w:r>
        <w:rPr>
          <w:i/>
          <w:sz w:val="20"/>
        </w:rPr>
        <w:t>England Quarterly Bulletin </w:t>
      </w:r>
      <w:r>
        <w:rPr>
          <w:sz w:val="20"/>
        </w:rPr>
        <w:t>Winter 2005, published on 14 March 2005.</w:t>
      </w:r>
    </w:p>
    <w:p>
      <w:pPr>
        <w:spacing w:line="218" w:lineRule="exact" w:before="0"/>
        <w:ind w:left="1280" w:right="0" w:firstLine="0"/>
        <w:jc w:val="left"/>
        <w:rPr>
          <w:sz w:val="20"/>
        </w:rPr>
      </w:pPr>
      <w:r>
        <w:rPr>
          <w:position w:val="9"/>
          <w:sz w:val="13"/>
        </w:rPr>
        <w:t>7 </w:t>
      </w:r>
      <w:r>
        <w:rPr>
          <w:sz w:val="20"/>
        </w:rPr>
        <w:t>I am indebted to Mark Allan and James Bell for this nice descriptor.</w:t>
      </w:r>
    </w:p>
    <w:p>
      <w:pPr>
        <w:spacing w:line="242" w:lineRule="exact" w:before="0"/>
        <w:ind w:left="1280" w:right="0" w:firstLine="0"/>
        <w:jc w:val="left"/>
        <w:rPr>
          <w:sz w:val="20"/>
        </w:rPr>
      </w:pPr>
      <w:r>
        <w:rPr>
          <w:position w:val="9"/>
          <w:sz w:val="13"/>
        </w:rPr>
        <w:t>8 </w:t>
      </w:r>
      <w:r>
        <w:rPr>
          <w:sz w:val="20"/>
        </w:rPr>
        <w:t>For a further description of the fan chart methodology, see </w:t>
      </w:r>
      <w:r>
        <w:rPr>
          <w:i/>
          <w:sz w:val="20"/>
        </w:rPr>
        <w:t>Inflation Report </w:t>
      </w:r>
      <w:r>
        <w:rPr>
          <w:sz w:val="20"/>
        </w:rPr>
        <w:t>May 2002 p 48-49 and</w:t>
      </w:r>
    </w:p>
    <w:p>
      <w:pPr>
        <w:spacing w:before="0"/>
        <w:ind w:left="1279" w:right="1577" w:firstLine="0"/>
        <w:jc w:val="left"/>
        <w:rPr>
          <w:sz w:val="20"/>
        </w:rPr>
      </w:pPr>
      <w:r>
        <w:rPr>
          <w:b/>
          <w:sz w:val="20"/>
        </w:rPr>
        <w:t>Britton, E, Fisher, P and Whitley, J (1998) </w:t>
      </w:r>
      <w:r>
        <w:rPr>
          <w:sz w:val="20"/>
        </w:rPr>
        <w:t>‘The Inflation Report projections: understanding the fan chart’ </w:t>
      </w:r>
      <w:r>
        <w:rPr>
          <w:i/>
          <w:sz w:val="20"/>
        </w:rPr>
        <w:t>Bank of England Quarterly Bulletin </w:t>
      </w:r>
      <w:r>
        <w:rPr>
          <w:sz w:val="20"/>
        </w:rPr>
        <w:t>February 1998.</w:t>
      </w:r>
    </w:p>
    <w:p>
      <w:pPr>
        <w:spacing w:after="0"/>
        <w:jc w:val="left"/>
        <w:rPr>
          <w:sz w:val="20"/>
        </w:rPr>
        <w:sectPr>
          <w:pgSz w:w="11900" w:h="16840"/>
          <w:pgMar w:header="716" w:footer="0" w:top="1300" w:bottom="280" w:left="520" w:right="360"/>
        </w:sectPr>
      </w:pPr>
    </w:p>
    <w:p>
      <w:pPr>
        <w:pStyle w:val="BodyText"/>
        <w:spacing w:before="8"/>
        <w:rPr>
          <w:sz w:val="26"/>
        </w:rPr>
      </w:pPr>
    </w:p>
    <w:p>
      <w:pPr>
        <w:spacing w:after="0"/>
        <w:rPr>
          <w:sz w:val="26"/>
        </w:rPr>
        <w:sectPr>
          <w:pgSz w:w="11900" w:h="16840"/>
          <w:pgMar w:header="716" w:footer="0" w:top="1300" w:bottom="280" w:left="520" w:right="360"/>
        </w:sectPr>
      </w:pPr>
    </w:p>
    <w:p>
      <w:pPr>
        <w:pStyle w:val="Heading1"/>
        <w:spacing w:line="312" w:lineRule="auto" w:before="90"/>
      </w:pPr>
      <w:r>
        <w:rPr>
          <w:color w:val="0000FF"/>
        </w:rPr>
        <w:t>Chart 1. November 1995 RPIX inflation projection – symmetric error bands</w:t>
      </w:r>
    </w:p>
    <w:p>
      <w:pPr>
        <w:spacing w:line="312" w:lineRule="auto" w:before="90"/>
        <w:ind w:left="526" w:right="1000" w:firstLine="0"/>
        <w:jc w:val="left"/>
        <w:rPr>
          <w:b/>
          <w:sz w:val="24"/>
        </w:rPr>
      </w:pPr>
      <w:r>
        <w:rPr/>
        <w:br w:type="column"/>
      </w:r>
      <w:r>
        <w:rPr>
          <w:b/>
          <w:color w:val="0000FF"/>
          <w:sz w:val="24"/>
        </w:rPr>
        <w:t>Chart 2. February 1996 RPIX inflation projection – fan chart</w:t>
      </w:r>
    </w:p>
    <w:p>
      <w:pPr>
        <w:spacing w:after="0" w:line="312" w:lineRule="auto"/>
        <w:jc w:val="left"/>
        <w:rPr>
          <w:sz w:val="24"/>
        </w:rPr>
        <w:sectPr>
          <w:type w:val="continuous"/>
          <w:pgSz w:w="11900" w:h="16840"/>
          <w:pgMar w:top="1180" w:bottom="280" w:left="520" w:right="360"/>
          <w:cols w:num="2" w:equalWidth="0">
            <w:col w:w="5434" w:space="40"/>
            <w:col w:w="5546"/>
          </w:cols>
        </w:sectPr>
      </w:pPr>
    </w:p>
    <w:p>
      <w:pPr>
        <w:pStyle w:val="BodyText"/>
        <w:spacing w:before="10" w:after="1"/>
        <w:rPr>
          <w:b/>
          <w:sz w:val="20"/>
        </w:rPr>
      </w:pPr>
    </w:p>
    <w:p>
      <w:pPr>
        <w:tabs>
          <w:tab w:pos="6100" w:val="left" w:leader="none"/>
        </w:tabs>
        <w:spacing w:line="240" w:lineRule="auto"/>
        <w:ind w:left="1424" w:right="0" w:firstLine="0"/>
        <w:rPr>
          <w:sz w:val="20"/>
        </w:rPr>
      </w:pPr>
      <w:r>
        <w:rPr>
          <w:sz w:val="20"/>
        </w:rPr>
        <w:drawing>
          <wp:inline distT="0" distB="0" distL="0" distR="0">
            <wp:extent cx="2780699" cy="215569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780699" cy="2155698"/>
                    </a:xfrm>
                    <a:prstGeom prst="rect">
                      <a:avLst/>
                    </a:prstGeom>
                  </pic:spPr>
                </pic:pic>
              </a:graphicData>
            </a:graphic>
          </wp:inline>
        </w:drawing>
      </w:r>
      <w:r>
        <w:rPr>
          <w:sz w:val="20"/>
        </w:rPr>
      </w:r>
      <w:r>
        <w:rPr>
          <w:sz w:val="20"/>
        </w:rPr>
        <w:tab/>
      </w:r>
      <w:r>
        <w:rPr>
          <w:position w:val="12"/>
          <w:sz w:val="20"/>
        </w:rPr>
        <w:drawing>
          <wp:inline distT="0" distB="0" distL="0" distR="0">
            <wp:extent cx="2664759" cy="20804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664759" cy="2080450"/>
                    </a:xfrm>
                    <a:prstGeom prst="rect">
                      <a:avLst/>
                    </a:prstGeom>
                  </pic:spPr>
                </pic:pic>
              </a:graphicData>
            </a:graphic>
          </wp:inline>
        </w:drawing>
      </w:r>
      <w:r>
        <w:rPr>
          <w:position w:val="12"/>
          <w:sz w:val="20"/>
        </w:rPr>
      </w:r>
    </w:p>
    <w:p>
      <w:pPr>
        <w:pStyle w:val="BodyText"/>
        <w:rPr>
          <w:b/>
          <w:sz w:val="20"/>
        </w:rPr>
      </w:pPr>
    </w:p>
    <w:p>
      <w:pPr>
        <w:pStyle w:val="BodyText"/>
        <w:rPr>
          <w:b/>
          <w:sz w:val="20"/>
        </w:rPr>
      </w:pPr>
    </w:p>
    <w:p>
      <w:pPr>
        <w:pStyle w:val="BodyText"/>
        <w:rPr>
          <w:b/>
          <w:sz w:val="20"/>
        </w:rPr>
      </w:pPr>
    </w:p>
    <w:p>
      <w:pPr>
        <w:pStyle w:val="BodyText"/>
        <w:spacing w:line="312" w:lineRule="auto" w:before="212"/>
        <w:ind w:left="1280" w:right="1442"/>
      </w:pPr>
      <w:r>
        <w:rPr/>
        <w:t>Nowadays, each </w:t>
      </w:r>
      <w:r>
        <w:rPr>
          <w:i/>
        </w:rPr>
        <w:t>Inflation Report </w:t>
      </w:r>
      <w:r>
        <w:rPr/>
        <w:t>includes fan charts for inflation and output which reflect the Committee’s views on the full distribution of possible outcomes. While the width of the fan bears some relation to the size of forecast errors over the past decade (the distribution of past forecast errors provide a benchmark calibration), its main features – the moments of the underlying distribution – change with each forecast to reflect the Committee’s best judgement about the balance of risks around the outlook for inflation and output and the degree of uncertainty. While many other central banks now publish fan charts, the MPC is still relatively unusual in basing them on the policymakers’ subjective view about the distribution of risks, rather than staff views or historical/statistical measures of past</w:t>
      </w:r>
      <w:r>
        <w:rPr>
          <w:spacing w:val="-1"/>
        </w:rPr>
        <w:t> </w:t>
      </w:r>
      <w:r>
        <w:rPr/>
        <w:t>errors.</w:t>
      </w:r>
    </w:p>
    <w:p>
      <w:pPr>
        <w:pStyle w:val="BodyText"/>
        <w:spacing w:before="10"/>
        <w:rPr>
          <w:sz w:val="20"/>
        </w:rPr>
      </w:pPr>
    </w:p>
    <w:p>
      <w:pPr>
        <w:pStyle w:val="BodyText"/>
        <w:spacing w:line="312" w:lineRule="auto" w:before="1"/>
        <w:ind w:left="1280" w:right="1459"/>
      </w:pPr>
      <w:r>
        <w:rPr/>
        <w:t>The MPC’s approach to constructing fan charts can help the members come to an agreement on the substantive issues, while retaining their individual views. This is because the risks are often where the major differences of opinion amongst members lie. And while the members may be able to agree on a collective view of the overall outlook including the degree of uncertainty and balance of risks, it might be for slightly different reasons. To be sure, there have been times when differences of view about the central projection have been too significant to be handled within the ambit of the fan chart and on those (few) occasions the </w:t>
      </w:r>
      <w:r>
        <w:rPr>
          <w:i/>
        </w:rPr>
        <w:t>Inflation Report </w:t>
      </w:r>
      <w:r>
        <w:rPr/>
        <w:t>has included material illustrating the minority view. But, as the MPC’s preface to the </w:t>
      </w:r>
      <w:r>
        <w:rPr>
          <w:i/>
        </w:rPr>
        <w:t>Inflation </w:t>
      </w:r>
      <w:r>
        <w:rPr>
          <w:i/>
        </w:rPr>
        <w:t>Report </w:t>
      </w:r>
      <w:r>
        <w:rPr/>
        <w:t>notes, the fan charts reflect the Committee’s best collective judgement about the most likely paths for output and inflation and the uncertainties surrounding the central projections, while recognising that members may have slightly different views about the underlying assumptions.</w:t>
      </w:r>
    </w:p>
    <w:p>
      <w:pPr>
        <w:spacing w:after="0" w:line="312" w:lineRule="auto"/>
        <w:sectPr>
          <w:type w:val="continuous"/>
          <w:pgSz w:w="11900" w:h="16840"/>
          <w:pgMar w:top="1180" w:bottom="280" w:left="520" w:right="360"/>
        </w:sectPr>
      </w:pPr>
    </w:p>
    <w:p>
      <w:pPr>
        <w:pStyle w:val="Heading1"/>
        <w:spacing w:before="121"/>
      </w:pPr>
      <w:r>
        <w:rPr/>
        <w:t>Forecasts and interest rate decisions</w:t>
      </w:r>
    </w:p>
    <w:p>
      <w:pPr>
        <w:pStyle w:val="BodyText"/>
        <w:spacing w:before="9"/>
        <w:rPr>
          <w:b/>
          <w:sz w:val="27"/>
        </w:rPr>
      </w:pPr>
    </w:p>
    <w:p>
      <w:pPr>
        <w:pStyle w:val="BodyText"/>
        <w:spacing w:line="312" w:lineRule="auto" w:before="1"/>
        <w:ind w:left="1280" w:right="1915"/>
      </w:pPr>
      <w:r>
        <w:rPr/>
        <w:t>How influential is the forecasting process when it comes to the actual business of taking decisions about interest rates?</w:t>
      </w:r>
    </w:p>
    <w:p>
      <w:pPr>
        <w:pStyle w:val="BodyText"/>
        <w:spacing w:before="9"/>
        <w:rPr>
          <w:sz w:val="20"/>
        </w:rPr>
      </w:pPr>
    </w:p>
    <w:p>
      <w:pPr>
        <w:pStyle w:val="BodyText"/>
        <w:spacing w:line="312" w:lineRule="auto" w:before="1"/>
        <w:ind w:left="1280" w:right="1462"/>
      </w:pPr>
      <w:r>
        <w:rPr/>
        <w:t>One yardstick might be whether the MPC is more likely to change rates in </w:t>
      </w:r>
      <w:r>
        <w:rPr>
          <w:i/>
        </w:rPr>
        <w:t>Inflation </w:t>
      </w:r>
      <w:r>
        <w:rPr>
          <w:i/>
        </w:rPr>
        <w:t>Report </w:t>
      </w:r>
      <w:r>
        <w:rPr/>
        <w:t>months. There is no necessary reason why this should be so: information accrues relatively evenly over the year, and the Committee goes through the same decision taking process every month. On the other hand, the MPC might be more likely to change rates after a systematic and full review of the inflation outlook, rather than in response to the news on the month. On this argument, ready-reckoners may give a rough indication of what the impact of new data may be, but they are no substitute for a full analysis. So in non-</w:t>
      </w:r>
      <w:r>
        <w:rPr>
          <w:i/>
        </w:rPr>
        <w:t>Inflation Report </w:t>
      </w:r>
      <w:r>
        <w:rPr/>
        <w:t>months the MPC may sometimes decide to ‘wait-and-see’ – to postpone a possible interest rate change until more evidence has accumulated.</w:t>
      </w:r>
    </w:p>
    <w:p>
      <w:pPr>
        <w:pStyle w:val="BodyText"/>
        <w:spacing w:before="10"/>
        <w:rPr>
          <w:sz w:val="20"/>
        </w:rPr>
      </w:pPr>
    </w:p>
    <w:p>
      <w:pPr>
        <w:pStyle w:val="BodyText"/>
        <w:spacing w:line="312" w:lineRule="auto"/>
        <w:ind w:left="1280" w:right="1509"/>
      </w:pPr>
      <w:r>
        <w:rPr/>
        <w:t>As it happens, market economists have tended to think that interest rate changes were more likely in </w:t>
      </w:r>
      <w:r>
        <w:rPr>
          <w:i/>
        </w:rPr>
        <w:t>Inflation Report </w:t>
      </w:r>
      <w:r>
        <w:rPr/>
        <w:t>months. Since 1998, Reuters have asked a group of economists (initially around 20-30, now 40 or more) to attach probabilities to a range of different outcomes for interest rates, so we can calculate a mean and a mode expected interest rate change across individuals. Panel B in Chart 3 split the months in which the mode is for a (25bp) change into </w:t>
      </w:r>
      <w:r>
        <w:rPr>
          <w:i/>
        </w:rPr>
        <w:t>Inflation Report </w:t>
      </w:r>
      <w:r>
        <w:rPr/>
        <w:t>and non-</w:t>
      </w:r>
      <w:r>
        <w:rPr>
          <w:i/>
        </w:rPr>
        <w:t>Inflation </w:t>
      </w:r>
      <w:r>
        <w:rPr>
          <w:i/>
        </w:rPr>
        <w:t>Report </w:t>
      </w:r>
      <w:r>
        <w:rPr/>
        <w:t>months. According to this measure, markets have consistently thought that changes were more likely in </w:t>
      </w:r>
      <w:r>
        <w:rPr>
          <w:i/>
        </w:rPr>
        <w:t>Inflation Report </w:t>
      </w:r>
      <w:r>
        <w:rPr/>
        <w:t>months.</w:t>
      </w:r>
    </w:p>
    <w:p>
      <w:pPr>
        <w:pStyle w:val="BodyText"/>
        <w:spacing w:before="9"/>
        <w:rPr>
          <w:sz w:val="20"/>
        </w:rPr>
      </w:pPr>
    </w:p>
    <w:p>
      <w:pPr>
        <w:pStyle w:val="BodyText"/>
        <w:spacing w:line="312" w:lineRule="auto"/>
        <w:ind w:left="1280" w:right="1488"/>
      </w:pPr>
      <w:r>
        <w:rPr/>
        <w:t>The data on interest rate changes provide mixed evidence. Over the period since 1997 as a whole, the Committee has displayed a preference for changing rates in </w:t>
      </w:r>
      <w:r>
        <w:rPr>
          <w:i/>
        </w:rPr>
        <w:t>Inflation </w:t>
      </w:r>
      <w:r>
        <w:rPr>
          <w:i/>
        </w:rPr>
        <w:t>Report </w:t>
      </w:r>
      <w:r>
        <w:rPr/>
        <w:t>months. But it showed no such tendency in its early years. The picture since 2001 is very different, with almost two thirds of rates changes taking place in </w:t>
      </w:r>
      <w:r>
        <w:rPr>
          <w:i/>
        </w:rPr>
        <w:t>Inflation Report </w:t>
      </w:r>
      <w:r>
        <w:rPr/>
        <w:t>months, compared with the one third that would be expected if rate changes were evenly spread over the year. And no fewer than six of the last eight rate changes have coincided with the publication of an </w:t>
      </w:r>
      <w:r>
        <w:rPr>
          <w:i/>
        </w:rPr>
        <w:t>Inflation Report</w:t>
      </w:r>
      <w:r>
        <w:rPr/>
        <w:t>. (See Chart 3 and Table 2 for details).</w:t>
      </w:r>
    </w:p>
    <w:p>
      <w:pPr>
        <w:spacing w:after="0" w:line="312" w:lineRule="auto"/>
        <w:sectPr>
          <w:pgSz w:w="11900" w:h="16840"/>
          <w:pgMar w:header="716" w:footer="0" w:top="1300" w:bottom="280" w:left="520" w:right="360"/>
        </w:sectPr>
      </w:pPr>
    </w:p>
    <w:p>
      <w:pPr>
        <w:pStyle w:val="BodyText"/>
        <w:rPr>
          <w:sz w:val="20"/>
        </w:rPr>
      </w:pPr>
    </w:p>
    <w:p>
      <w:pPr>
        <w:pStyle w:val="BodyText"/>
        <w:rPr>
          <w:sz w:val="20"/>
        </w:rPr>
      </w:pPr>
    </w:p>
    <w:p>
      <w:pPr>
        <w:pStyle w:val="BodyText"/>
        <w:spacing w:before="6"/>
        <w:rPr>
          <w:sz w:val="22"/>
        </w:rPr>
      </w:pPr>
    </w:p>
    <w:p>
      <w:pPr>
        <w:pStyle w:val="Heading1"/>
        <w:spacing w:before="1"/>
        <w:ind w:right="1529"/>
      </w:pPr>
      <w:r>
        <w:rPr>
          <w:color w:val="0000FF"/>
        </w:rPr>
        <w:t>Chart 3. Proportion of actual and expected interest rate changes occurring in Inflation Report months.</w:t>
      </w:r>
    </w:p>
    <w:p>
      <w:pPr>
        <w:pStyle w:val="BodyText"/>
        <w:spacing w:before="8"/>
        <w:rPr>
          <w:b/>
          <w:sz w:val="23"/>
        </w:rPr>
      </w:pPr>
    </w:p>
    <w:p>
      <w:pPr>
        <w:pStyle w:val="ListParagraph"/>
        <w:numPr>
          <w:ilvl w:val="0"/>
          <w:numId w:val="1"/>
        </w:numPr>
        <w:tabs>
          <w:tab w:pos="3156" w:val="left" w:leader="none"/>
          <w:tab w:pos="7614" w:val="left" w:leader="none"/>
        </w:tabs>
        <w:spacing w:line="240" w:lineRule="auto" w:before="1" w:after="0"/>
        <w:ind w:left="3155" w:right="0" w:hanging="394"/>
        <w:jc w:val="left"/>
        <w:rPr>
          <w:sz w:val="24"/>
        </w:rPr>
      </w:pPr>
      <w:r>
        <w:rPr>
          <w:sz w:val="24"/>
        </w:rPr>
        <w:t>Actual</w:t>
      </w:r>
      <w:r>
        <w:rPr>
          <w:spacing w:val="-1"/>
          <w:sz w:val="24"/>
        </w:rPr>
        <w:t> </w:t>
      </w:r>
      <w:r>
        <w:rPr>
          <w:sz w:val="24"/>
        </w:rPr>
        <w:t>changes</w:t>
        <w:tab/>
        <w:t>(B) Expected</w:t>
      </w:r>
      <w:r>
        <w:rPr>
          <w:spacing w:val="-2"/>
          <w:sz w:val="24"/>
        </w:rPr>
        <w:t> </w:t>
      </w:r>
      <w:r>
        <w:rPr>
          <w:sz w:val="24"/>
        </w:rPr>
        <w:t>changes</w:t>
      </w:r>
    </w:p>
    <w:p>
      <w:pPr>
        <w:pStyle w:val="BodyText"/>
        <w:spacing w:before="6"/>
        <w:rPr>
          <w:sz w:val="22"/>
        </w:rPr>
      </w:pPr>
    </w:p>
    <w:p>
      <w:pPr>
        <w:spacing w:after="0"/>
        <w:rPr>
          <w:sz w:val="22"/>
        </w:rPr>
        <w:sectPr>
          <w:pgSz w:w="11900" w:h="16840"/>
          <w:pgMar w:header="716" w:footer="0" w:top="1300" w:bottom="280" w:left="520" w:right="360"/>
        </w:sectPr>
      </w:pPr>
    </w:p>
    <w:p>
      <w:pPr>
        <w:spacing w:before="101"/>
        <w:ind w:left="0" w:right="26" w:firstLine="0"/>
        <w:jc w:val="right"/>
        <w:rPr>
          <w:sz w:val="19"/>
        </w:rPr>
      </w:pPr>
      <w:r>
        <w:rPr>
          <w:w w:val="105"/>
          <w:sz w:val="19"/>
        </w:rPr>
        <w:t>Percentage </w:t>
      </w:r>
      <w:r>
        <w:rPr>
          <w:spacing w:val="3"/>
          <w:w w:val="105"/>
          <w:sz w:val="19"/>
        </w:rPr>
        <w:t>of </w:t>
      </w:r>
      <w:r>
        <w:rPr>
          <w:w w:val="105"/>
          <w:sz w:val="19"/>
        </w:rPr>
        <w:t>interest rate</w:t>
      </w:r>
      <w:r>
        <w:rPr>
          <w:spacing w:val="-32"/>
          <w:w w:val="105"/>
          <w:sz w:val="19"/>
        </w:rPr>
        <w:t> </w:t>
      </w:r>
      <w:r>
        <w:rPr>
          <w:spacing w:val="4"/>
          <w:w w:val="105"/>
          <w:sz w:val="19"/>
        </w:rPr>
        <w:t>changes</w:t>
      </w:r>
    </w:p>
    <w:p>
      <w:pPr>
        <w:spacing w:before="51"/>
        <w:ind w:left="0" w:right="0" w:firstLine="0"/>
        <w:jc w:val="right"/>
        <w:rPr>
          <w:sz w:val="19"/>
        </w:rPr>
      </w:pPr>
      <w:r>
        <w:rPr/>
        <w:pict>
          <v:group style="position:absolute;margin-left:94.470001pt;margin-top:7.909907pt;width:213.7pt;height:131.2pt;mso-position-horizontal-relative:page;mso-position-vertical-relative:paragraph;z-index:251666432" coordorigin="1889,158" coordsize="4274,2624">
            <v:rect style="position:absolute;left:2308;top:1763;width:570;height:959" filled="true" fillcolor="#ff0000" stroked="false">
              <v:fill type="solid"/>
            </v:rect>
            <v:rect style="position:absolute;left:2308;top:158;width:570;height:1605" filled="true" fillcolor="#0000ff" stroked="false">
              <v:fill type="solid"/>
            </v:rect>
            <v:rect style="position:absolute;left:3718;top:953;width:556;height:1769" filled="true" fillcolor="#ff0000" stroked="false">
              <v:fill type="solid"/>
            </v:rect>
            <v:rect style="position:absolute;left:3718;top:158;width:556;height:795" filled="true" fillcolor="#0000ff" stroked="false">
              <v:fill type="solid"/>
            </v:rect>
            <v:rect style="position:absolute;left:5113;top:1403;width:570;height:1319" filled="true" fillcolor="#ff0000" stroked="false">
              <v:fill type="solid"/>
            </v:rect>
            <v:rect style="position:absolute;left:5113;top:158;width:570;height:1245" filled="true" fillcolor="#0000ff" stroked="false">
              <v:fill type="solid"/>
            </v:rect>
            <v:shape style="position:absolute;left:1890;top:158;width:4274;height:2624" coordorigin="1890,159" coordsize="4274,2624" path="m6103,159l6103,2722m6103,2722l6163,2722m6103,2468l6163,2468m6103,2213l6163,2213m6103,1958l6163,1958m6103,1703l6163,1703m6103,1448l6163,1448m6103,1178l6163,1178m6103,923l6163,923m6103,669l6163,669m6103,413l6163,413m6103,159l6163,159m1890,2722l6103,2722m1890,2782l1890,2722m3299,2782l3299,2722m4693,2782l4693,2722m6103,2782l6103,2722e" filled="false" stroked="true" strokeweight=".06pt" strokecolor="#000000">
              <v:path arrowok="t"/>
              <v:stroke dashstyle="solid"/>
            </v:shape>
            <v:line style="position:absolute" from="1898,1876" to="6097,1876" stroked="true" strokeweight="1.5pt" strokecolor="#010101">
              <v:stroke dashstyle="shortdash"/>
            </v:line>
            <v:shape style="position:absolute;left:4304;top:1629;width:748;height:216" type="#_x0000_t202" filled="false" stroked="false">
              <v:textbox inset="0,0,0,0">
                <w:txbxContent>
                  <w:p>
                    <w:pPr>
                      <w:spacing w:line="215" w:lineRule="exact" w:before="0"/>
                      <w:ind w:left="0" w:right="0" w:firstLine="0"/>
                      <w:jc w:val="left"/>
                      <w:rPr>
                        <w:sz w:val="19"/>
                      </w:rPr>
                    </w:pPr>
                    <w:r>
                      <w:rPr>
                        <w:w w:val="105"/>
                        <w:sz w:val="19"/>
                      </w:rPr>
                      <w:t>one-third</w:t>
                    </w:r>
                  </w:p>
                </w:txbxContent>
              </v:textbox>
              <w10:wrap type="none"/>
            </v:shape>
            <w10:wrap type="none"/>
          </v:group>
        </w:pict>
      </w:r>
      <w:r>
        <w:rPr>
          <w:spacing w:val="-9"/>
          <w:sz w:val="19"/>
        </w:rPr>
        <w:t>100</w:t>
      </w:r>
    </w:p>
    <w:p>
      <w:pPr>
        <w:spacing w:before="36"/>
        <w:ind w:left="0" w:right="89" w:firstLine="0"/>
        <w:jc w:val="right"/>
        <w:rPr>
          <w:sz w:val="19"/>
        </w:rPr>
      </w:pPr>
      <w:r>
        <w:rPr>
          <w:spacing w:val="-8"/>
          <w:sz w:val="19"/>
        </w:rPr>
        <w:t>90</w:t>
      </w:r>
    </w:p>
    <w:p>
      <w:pPr>
        <w:spacing w:before="37"/>
        <w:ind w:left="0" w:right="89" w:firstLine="0"/>
        <w:jc w:val="right"/>
        <w:rPr>
          <w:sz w:val="19"/>
        </w:rPr>
      </w:pPr>
      <w:r>
        <w:rPr>
          <w:spacing w:val="-8"/>
          <w:sz w:val="19"/>
        </w:rPr>
        <w:t>80</w:t>
      </w:r>
    </w:p>
    <w:p>
      <w:pPr>
        <w:spacing w:before="36"/>
        <w:ind w:left="0" w:right="89" w:firstLine="0"/>
        <w:jc w:val="right"/>
        <w:rPr>
          <w:sz w:val="19"/>
        </w:rPr>
      </w:pPr>
      <w:r>
        <w:rPr>
          <w:spacing w:val="-8"/>
          <w:sz w:val="19"/>
        </w:rPr>
        <w:t>70</w:t>
      </w:r>
    </w:p>
    <w:p>
      <w:pPr>
        <w:spacing w:before="36"/>
        <w:ind w:left="0" w:right="89" w:firstLine="0"/>
        <w:jc w:val="right"/>
        <w:rPr>
          <w:sz w:val="19"/>
        </w:rPr>
      </w:pPr>
      <w:r>
        <w:rPr>
          <w:spacing w:val="-8"/>
          <w:sz w:val="19"/>
        </w:rPr>
        <w:t>60</w:t>
      </w:r>
    </w:p>
    <w:p>
      <w:pPr>
        <w:spacing w:before="52"/>
        <w:ind w:left="0" w:right="89" w:firstLine="0"/>
        <w:jc w:val="right"/>
        <w:rPr>
          <w:sz w:val="19"/>
        </w:rPr>
      </w:pPr>
      <w:r>
        <w:rPr>
          <w:spacing w:val="-8"/>
          <w:sz w:val="19"/>
        </w:rPr>
        <w:t>50</w:t>
      </w:r>
    </w:p>
    <w:p>
      <w:pPr>
        <w:spacing w:before="37"/>
        <w:ind w:left="0" w:right="89" w:firstLine="0"/>
        <w:jc w:val="right"/>
        <w:rPr>
          <w:sz w:val="19"/>
        </w:rPr>
      </w:pPr>
      <w:r>
        <w:rPr>
          <w:spacing w:val="-8"/>
          <w:sz w:val="19"/>
        </w:rPr>
        <w:t>40</w:t>
      </w:r>
    </w:p>
    <w:p>
      <w:pPr>
        <w:spacing w:before="36"/>
        <w:ind w:left="0" w:right="89" w:firstLine="0"/>
        <w:jc w:val="right"/>
        <w:rPr>
          <w:sz w:val="19"/>
        </w:rPr>
      </w:pPr>
      <w:r>
        <w:rPr>
          <w:spacing w:val="-8"/>
          <w:sz w:val="19"/>
        </w:rPr>
        <w:t>30</w:t>
      </w:r>
    </w:p>
    <w:p>
      <w:pPr>
        <w:spacing w:before="37"/>
        <w:ind w:left="0" w:right="89" w:firstLine="0"/>
        <w:jc w:val="right"/>
        <w:rPr>
          <w:sz w:val="19"/>
        </w:rPr>
      </w:pPr>
      <w:r>
        <w:rPr>
          <w:spacing w:val="-8"/>
          <w:sz w:val="19"/>
        </w:rPr>
        <w:t>20</w:t>
      </w:r>
    </w:p>
    <w:p>
      <w:pPr>
        <w:spacing w:before="36"/>
        <w:ind w:left="0" w:right="89" w:firstLine="0"/>
        <w:jc w:val="right"/>
        <w:rPr>
          <w:sz w:val="19"/>
        </w:rPr>
      </w:pPr>
      <w:r>
        <w:rPr>
          <w:spacing w:val="-8"/>
          <w:sz w:val="19"/>
        </w:rPr>
        <w:t>10</w:t>
      </w:r>
    </w:p>
    <w:p>
      <w:pPr>
        <w:spacing w:before="36"/>
        <w:ind w:left="5734" w:right="0" w:firstLine="0"/>
        <w:jc w:val="left"/>
        <w:rPr>
          <w:sz w:val="19"/>
        </w:rPr>
      </w:pPr>
      <w:r>
        <w:rPr>
          <w:w w:val="102"/>
          <w:sz w:val="19"/>
        </w:rPr>
        <w:t>0</w:t>
      </w:r>
    </w:p>
    <w:p>
      <w:pPr>
        <w:tabs>
          <w:tab w:pos="2974" w:val="left" w:leader="none"/>
          <w:tab w:pos="4218" w:val="left" w:leader="none"/>
          <w:tab w:pos="4368" w:val="left" w:leader="none"/>
        </w:tabs>
        <w:spacing w:line="312" w:lineRule="auto" w:before="67"/>
        <w:ind w:left="2104" w:right="605" w:hanging="420"/>
        <w:jc w:val="left"/>
        <w:rPr>
          <w:sz w:val="19"/>
        </w:rPr>
      </w:pPr>
      <w:r>
        <w:rPr/>
        <w:pict>
          <v:rect style="position:absolute;margin-left:122.940002pt;margin-top:20.739202pt;width:6pt;height:6pt;mso-position-horizontal-relative:page;mso-position-vertical-relative:paragraph;z-index:-252955648" filled="true" fillcolor="#ff0000" stroked="false">
            <v:fill type="solid"/>
            <w10:wrap type="none"/>
          </v:rect>
        </w:pict>
      </w:r>
      <w:r>
        <w:rPr/>
        <w:pict>
          <v:rect style="position:absolute;margin-left:228.720001pt;margin-top:20.739202pt;width:5.94pt;height:6pt;mso-position-horizontal-relative:page;mso-position-vertical-relative:paragraph;z-index:-252954624" filled="true" fillcolor="#0000ff" stroked="false">
            <v:fill type="solid"/>
            <w10:wrap type="none"/>
          </v:rect>
        </w:pict>
      </w:r>
      <w:r>
        <w:rPr>
          <w:spacing w:val="-7"/>
          <w:w w:val="105"/>
          <w:sz w:val="19"/>
        </w:rPr>
        <w:t>1997-2000</w:t>
        <w:tab/>
      </w:r>
      <w:r>
        <w:rPr>
          <w:w w:val="105"/>
          <w:sz w:val="19"/>
        </w:rPr>
        <w:t>2001-present</w:t>
        <w:tab/>
        <w:tab/>
        <w:t>whole</w:t>
      </w:r>
      <w:r>
        <w:rPr>
          <w:spacing w:val="-26"/>
          <w:w w:val="105"/>
          <w:sz w:val="19"/>
        </w:rPr>
        <w:t> </w:t>
      </w:r>
      <w:r>
        <w:rPr>
          <w:w w:val="105"/>
          <w:sz w:val="19"/>
        </w:rPr>
        <w:t>period </w:t>
      </w:r>
      <w:r>
        <w:rPr>
          <w:spacing w:val="-3"/>
          <w:w w:val="105"/>
          <w:sz w:val="19"/>
        </w:rPr>
        <w:t>IR</w:t>
      </w:r>
      <w:r>
        <w:rPr>
          <w:spacing w:val="-19"/>
          <w:w w:val="105"/>
          <w:sz w:val="19"/>
        </w:rPr>
        <w:t> </w:t>
      </w:r>
      <w:r>
        <w:rPr>
          <w:w w:val="105"/>
          <w:sz w:val="19"/>
        </w:rPr>
        <w:t>months</w:t>
        <w:tab/>
        <w:tab/>
        <w:t>Not </w:t>
      </w:r>
      <w:r>
        <w:rPr>
          <w:spacing w:val="-3"/>
          <w:w w:val="105"/>
          <w:sz w:val="19"/>
        </w:rPr>
        <w:t>IR</w:t>
      </w:r>
      <w:r>
        <w:rPr>
          <w:spacing w:val="-27"/>
          <w:w w:val="105"/>
          <w:sz w:val="19"/>
        </w:rPr>
        <w:t> </w:t>
      </w:r>
      <w:r>
        <w:rPr>
          <w:w w:val="105"/>
          <w:sz w:val="19"/>
        </w:rPr>
        <w:t>months</w:t>
      </w:r>
    </w:p>
    <w:p>
      <w:pPr>
        <w:spacing w:before="97"/>
        <w:ind w:left="0" w:right="137" w:firstLine="0"/>
        <w:jc w:val="right"/>
        <w:rPr>
          <w:sz w:val="19"/>
        </w:rPr>
      </w:pPr>
      <w:r>
        <w:rPr/>
        <w:br w:type="column"/>
      </w:r>
      <w:r>
        <w:rPr>
          <w:sz w:val="19"/>
        </w:rPr>
        <w:t>Percentage </w:t>
      </w:r>
      <w:r>
        <w:rPr>
          <w:spacing w:val="3"/>
          <w:sz w:val="19"/>
        </w:rPr>
        <w:t>of </w:t>
      </w:r>
      <w:r>
        <w:rPr>
          <w:sz w:val="19"/>
        </w:rPr>
        <w:t>interest rate</w:t>
      </w:r>
      <w:r>
        <w:rPr>
          <w:spacing w:val="-16"/>
          <w:sz w:val="19"/>
        </w:rPr>
        <w:t> </w:t>
      </w:r>
      <w:r>
        <w:rPr>
          <w:spacing w:val="4"/>
          <w:sz w:val="19"/>
        </w:rPr>
        <w:t>changes</w:t>
      </w:r>
    </w:p>
    <w:p>
      <w:pPr>
        <w:spacing w:before="52"/>
        <w:ind w:left="0" w:right="110" w:firstLine="0"/>
        <w:jc w:val="right"/>
        <w:rPr>
          <w:sz w:val="19"/>
        </w:rPr>
      </w:pPr>
      <w:r>
        <w:rPr/>
        <w:pict>
          <v:group style="position:absolute;margin-left:349.529999pt;margin-top:7.960815pt;width:204.6pt;height:131.25pt;mso-position-horizontal-relative:page;mso-position-vertical-relative:paragraph;z-index:251670528" coordorigin="6991,159" coordsize="4092,2625">
            <v:rect style="position:absolute;left:7393;top:1329;width:546;height:1395" filled="true" fillcolor="#ff0000" stroked="false">
              <v:fill type="solid"/>
            </v:rect>
            <v:rect style="position:absolute;left:7393;top:159;width:546;height:1170" filled="true" fillcolor="#0000ff" stroked="false">
              <v:fill type="solid"/>
            </v:rect>
            <v:rect style="position:absolute;left:8742;top:864;width:532;height:1860" filled="true" fillcolor="#ff0000" stroked="false">
              <v:fill type="solid"/>
            </v:rect>
            <v:rect style="position:absolute;left:8742;top:159;width:532;height:705" filled="true" fillcolor="#0000ff" stroked="false">
              <v:fill type="solid"/>
            </v:rect>
            <v:rect style="position:absolute;left:10077;top:1089;width:545;height:1635" filled="true" fillcolor="#ff0000" stroked="false">
              <v:fill type="solid"/>
            </v:rect>
            <v:rect style="position:absolute;left:10077;top:159;width:545;height:930" filled="true" fillcolor="#0000ff" stroked="false">
              <v:fill type="solid"/>
            </v:rect>
            <v:shape style="position:absolute;left:6991;top:159;width:4091;height:2625" coordorigin="6991,160" coordsize="4091,2625" path="m11024,160l11024,2724m11024,2724l11082,2724m11024,2470l11082,2470m11024,2214l11082,2214m11024,1960l11082,1960m11024,1704l11082,1704m11024,1450l11082,1450m11024,1180l11082,1180m11024,924l11082,924m11024,670l11082,670m11024,414l11082,414m11024,160l11082,160m6991,2724l11024,2724m6991,2784l6991,2724m8341,2784l8341,2724m9676,2784l9676,2724m11024,2784l11024,2724e" filled="false" stroked="true" strokeweight=".06pt" strokecolor="#000000">
              <v:path arrowok="t"/>
              <v:stroke dashstyle="solid"/>
            </v:shape>
            <v:line style="position:absolute" from="7000,1878" to="11018,1878" stroked="true" strokeweight="1.435pt" strokecolor="#010101">
              <v:stroke dashstyle="shortdash"/>
            </v:line>
            <v:shape style="position:absolute;left:9302;top:1630;width:718;height:216" type="#_x0000_t202" filled="false" stroked="false">
              <v:textbox inset="0,0,0,0">
                <w:txbxContent>
                  <w:p>
                    <w:pPr>
                      <w:spacing w:line="215" w:lineRule="exact" w:before="0"/>
                      <w:ind w:left="0" w:right="0" w:firstLine="0"/>
                      <w:jc w:val="left"/>
                      <w:rPr>
                        <w:sz w:val="19"/>
                      </w:rPr>
                    </w:pPr>
                    <w:r>
                      <w:rPr>
                        <w:sz w:val="19"/>
                      </w:rPr>
                      <w:t>one-third</w:t>
                    </w:r>
                  </w:p>
                </w:txbxContent>
              </v:textbox>
              <w10:wrap type="none"/>
            </v:shape>
            <w10:wrap type="none"/>
          </v:group>
        </w:pict>
      </w:r>
      <w:r>
        <w:rPr>
          <w:spacing w:val="-8"/>
          <w:w w:val="95"/>
          <w:sz w:val="19"/>
        </w:rPr>
        <w:t>100</w:t>
      </w:r>
    </w:p>
    <w:p>
      <w:pPr>
        <w:spacing w:before="35"/>
        <w:ind w:left="0" w:right="196" w:firstLine="0"/>
        <w:jc w:val="right"/>
        <w:rPr>
          <w:sz w:val="19"/>
        </w:rPr>
      </w:pPr>
      <w:r>
        <w:rPr>
          <w:spacing w:val="-8"/>
          <w:w w:val="95"/>
          <w:sz w:val="19"/>
        </w:rPr>
        <w:t>90</w:t>
      </w:r>
    </w:p>
    <w:p>
      <w:pPr>
        <w:spacing w:before="38"/>
        <w:ind w:left="0" w:right="196" w:firstLine="0"/>
        <w:jc w:val="right"/>
        <w:rPr>
          <w:sz w:val="19"/>
        </w:rPr>
      </w:pPr>
      <w:r>
        <w:rPr>
          <w:spacing w:val="-8"/>
          <w:w w:val="95"/>
          <w:sz w:val="19"/>
        </w:rPr>
        <w:t>80</w:t>
      </w:r>
    </w:p>
    <w:p>
      <w:pPr>
        <w:spacing w:before="35"/>
        <w:ind w:left="0" w:right="196" w:firstLine="0"/>
        <w:jc w:val="right"/>
        <w:rPr>
          <w:sz w:val="19"/>
        </w:rPr>
      </w:pPr>
      <w:r>
        <w:rPr>
          <w:spacing w:val="-8"/>
          <w:w w:val="95"/>
          <w:sz w:val="19"/>
        </w:rPr>
        <w:t>70</w:t>
      </w:r>
    </w:p>
    <w:p>
      <w:pPr>
        <w:spacing w:before="38"/>
        <w:ind w:left="0" w:right="196" w:firstLine="0"/>
        <w:jc w:val="right"/>
        <w:rPr>
          <w:sz w:val="19"/>
        </w:rPr>
      </w:pPr>
      <w:r>
        <w:rPr>
          <w:spacing w:val="-8"/>
          <w:w w:val="95"/>
          <w:sz w:val="19"/>
        </w:rPr>
        <w:t>60</w:t>
      </w:r>
    </w:p>
    <w:p>
      <w:pPr>
        <w:spacing w:before="51"/>
        <w:ind w:left="0" w:right="196" w:firstLine="0"/>
        <w:jc w:val="right"/>
        <w:rPr>
          <w:sz w:val="19"/>
        </w:rPr>
      </w:pPr>
      <w:r>
        <w:rPr>
          <w:spacing w:val="-8"/>
          <w:w w:val="95"/>
          <w:sz w:val="19"/>
        </w:rPr>
        <w:t>50</w:t>
      </w:r>
    </w:p>
    <w:p>
      <w:pPr>
        <w:spacing w:before="36"/>
        <w:ind w:left="0" w:right="196" w:firstLine="0"/>
        <w:jc w:val="right"/>
        <w:rPr>
          <w:sz w:val="19"/>
        </w:rPr>
      </w:pPr>
      <w:r>
        <w:rPr>
          <w:spacing w:val="-8"/>
          <w:w w:val="95"/>
          <w:sz w:val="19"/>
        </w:rPr>
        <w:t>40</w:t>
      </w:r>
    </w:p>
    <w:p>
      <w:pPr>
        <w:spacing w:before="37"/>
        <w:ind w:left="0" w:right="196" w:firstLine="0"/>
        <w:jc w:val="right"/>
        <w:rPr>
          <w:sz w:val="19"/>
        </w:rPr>
      </w:pPr>
      <w:r>
        <w:rPr>
          <w:spacing w:val="-8"/>
          <w:w w:val="95"/>
          <w:sz w:val="19"/>
        </w:rPr>
        <w:t>30</w:t>
      </w:r>
    </w:p>
    <w:p>
      <w:pPr>
        <w:spacing w:before="36"/>
        <w:ind w:left="0" w:right="196" w:firstLine="0"/>
        <w:jc w:val="right"/>
        <w:rPr>
          <w:sz w:val="19"/>
        </w:rPr>
      </w:pPr>
      <w:r>
        <w:rPr>
          <w:spacing w:val="-8"/>
          <w:w w:val="95"/>
          <w:sz w:val="19"/>
        </w:rPr>
        <w:t>20</w:t>
      </w:r>
    </w:p>
    <w:p>
      <w:pPr>
        <w:spacing w:before="37"/>
        <w:ind w:left="0" w:right="196" w:firstLine="0"/>
        <w:jc w:val="right"/>
        <w:rPr>
          <w:sz w:val="19"/>
        </w:rPr>
      </w:pPr>
      <w:r>
        <w:rPr>
          <w:spacing w:val="-8"/>
          <w:w w:val="95"/>
          <w:sz w:val="19"/>
        </w:rPr>
        <w:t>10</w:t>
      </w:r>
    </w:p>
    <w:p>
      <w:pPr>
        <w:spacing w:before="36"/>
        <w:ind w:left="4604" w:right="0" w:firstLine="0"/>
        <w:jc w:val="left"/>
        <w:rPr>
          <w:sz w:val="19"/>
        </w:rPr>
      </w:pPr>
      <w:r>
        <w:rPr>
          <w:w w:val="98"/>
          <w:sz w:val="19"/>
        </w:rPr>
        <w:t>0</w:t>
      </w:r>
    </w:p>
    <w:p>
      <w:pPr>
        <w:tabs>
          <w:tab w:pos="1963" w:val="left" w:leader="none"/>
          <w:tab w:pos="3154" w:val="left" w:leader="none"/>
          <w:tab w:pos="3298" w:val="left" w:leader="none"/>
        </w:tabs>
        <w:spacing w:line="312" w:lineRule="auto" w:before="67"/>
        <w:ind w:left="1131" w:right="692" w:hanging="402"/>
        <w:jc w:val="left"/>
        <w:rPr>
          <w:sz w:val="19"/>
        </w:rPr>
      </w:pPr>
      <w:r>
        <w:rPr/>
        <w:pict>
          <v:rect style="position:absolute;margin-left:376.859985pt;margin-top:20.740664pt;width:5.7pt;height:6pt;mso-position-horizontal-relative:page;mso-position-vertical-relative:paragraph;z-index:-252951552" filled="true" fillcolor="#ff0000" stroked="false">
            <v:fill type="solid"/>
            <w10:wrap type="none"/>
          </v:rect>
        </w:pict>
      </w:r>
      <w:r>
        <w:rPr/>
        <w:pict>
          <v:rect style="position:absolute;margin-left:478.019989pt;margin-top:20.740664pt;width:5.76pt;height:6pt;mso-position-horizontal-relative:page;mso-position-vertical-relative:paragraph;z-index:-252950528" filled="true" fillcolor="#0000ff" stroked="false">
            <v:fill type="solid"/>
            <w10:wrap type="none"/>
          </v:rect>
        </w:pict>
      </w:r>
      <w:r>
        <w:rPr>
          <w:spacing w:val="-7"/>
          <w:sz w:val="19"/>
        </w:rPr>
        <w:t>1997-2000</w:t>
        <w:tab/>
      </w:r>
      <w:r>
        <w:rPr>
          <w:sz w:val="19"/>
        </w:rPr>
        <w:t>2001-present</w:t>
        <w:tab/>
        <w:tab/>
        <w:t>whole </w:t>
      </w:r>
      <w:r>
        <w:rPr>
          <w:spacing w:val="-3"/>
          <w:sz w:val="19"/>
        </w:rPr>
        <w:t>period IR</w:t>
      </w:r>
      <w:r>
        <w:rPr>
          <w:spacing w:val="-17"/>
          <w:sz w:val="19"/>
        </w:rPr>
        <w:t> </w:t>
      </w:r>
      <w:r>
        <w:rPr>
          <w:sz w:val="19"/>
        </w:rPr>
        <w:t>months</w:t>
        <w:tab/>
        <w:tab/>
        <w:t>Not </w:t>
      </w:r>
      <w:r>
        <w:rPr>
          <w:spacing w:val="-3"/>
          <w:sz w:val="19"/>
        </w:rPr>
        <w:t>IR</w:t>
      </w:r>
      <w:r>
        <w:rPr>
          <w:spacing w:val="-19"/>
          <w:sz w:val="19"/>
        </w:rPr>
        <w:t> </w:t>
      </w:r>
      <w:r>
        <w:rPr>
          <w:sz w:val="19"/>
        </w:rPr>
        <w:t>months</w:t>
      </w:r>
    </w:p>
    <w:p>
      <w:pPr>
        <w:spacing w:after="0" w:line="312" w:lineRule="auto"/>
        <w:jc w:val="left"/>
        <w:rPr>
          <w:sz w:val="19"/>
        </w:rPr>
        <w:sectPr>
          <w:type w:val="continuous"/>
          <w:pgSz w:w="11900" w:h="16840"/>
          <w:pgMar w:top="1180" w:bottom="280" w:left="520" w:right="360"/>
          <w:cols w:num="2" w:equalWidth="0">
            <w:col w:w="6005" w:space="40"/>
            <w:col w:w="4975"/>
          </w:cols>
        </w:sectPr>
      </w:pPr>
    </w:p>
    <w:p>
      <w:pPr>
        <w:pStyle w:val="BodyText"/>
        <w:rPr>
          <w:sz w:val="20"/>
        </w:rPr>
      </w:pPr>
    </w:p>
    <w:p>
      <w:pPr>
        <w:pStyle w:val="BodyText"/>
        <w:rPr>
          <w:sz w:val="20"/>
        </w:rPr>
      </w:pPr>
    </w:p>
    <w:p>
      <w:pPr>
        <w:pStyle w:val="BodyText"/>
        <w:rPr>
          <w:sz w:val="20"/>
        </w:rPr>
      </w:pPr>
    </w:p>
    <w:p>
      <w:pPr>
        <w:pStyle w:val="BodyText"/>
        <w:rPr>
          <w:sz w:val="21"/>
        </w:rPr>
      </w:pPr>
    </w:p>
    <w:p>
      <w:pPr>
        <w:pStyle w:val="BodyText"/>
        <w:spacing w:line="312" w:lineRule="auto" w:before="90"/>
        <w:ind w:left="1280" w:right="1475"/>
      </w:pPr>
      <w:r>
        <w:rPr/>
        <w:t>What – if anything – should be read into the MPCs apparent change in behaviour? On the face of it, the evidence might suggest that the re-evaluation of the outlook undertaken during the quarterly forecast has become more influential. But there are a number of possible explanations.</w:t>
      </w:r>
    </w:p>
    <w:p>
      <w:pPr>
        <w:pStyle w:val="BodyText"/>
        <w:spacing w:before="10"/>
        <w:rPr>
          <w:sz w:val="20"/>
        </w:rPr>
      </w:pPr>
    </w:p>
    <w:p>
      <w:pPr>
        <w:pStyle w:val="BodyText"/>
        <w:spacing w:line="312" w:lineRule="auto"/>
        <w:ind w:left="1279" w:right="1476"/>
      </w:pPr>
      <w:r>
        <w:rPr/>
        <w:t>Most obviously, it could be a reflection of the shocks that have come along in the last 4 years. These may have required fewer changes in the policy rate than in the pre- 2001 period. Alternatively, the required adjustments in rates might have been bigger in the early days, and if the MPC had an inclination to change rates in small steps, perhaps because it had good reasons for proceeding cautiously, then larger desired adjustments might have required more frequent changes: of the 16 changes in the first period, 7 were back-to-back, while in the second period, only 4 out of the 14 changes happened in consecutive meetings.</w:t>
      </w:r>
    </w:p>
    <w:p>
      <w:pPr>
        <w:pStyle w:val="BodyText"/>
        <w:spacing w:before="9"/>
        <w:rPr>
          <w:sz w:val="20"/>
        </w:rPr>
      </w:pPr>
    </w:p>
    <w:p>
      <w:pPr>
        <w:pStyle w:val="BodyText"/>
        <w:spacing w:line="312" w:lineRule="auto"/>
        <w:ind w:left="1279" w:right="1457"/>
      </w:pPr>
      <w:r>
        <w:rPr/>
        <w:t>The turnover in the Committee’s membership since 2000 might provide a different kind of explanation. The present Committee contains only one member (the present Governor) who has been there from the outset, and some of the early members served short terms. Might the latter day tendency towards changing rates only after a forecast reflect a generally less activist approach to setting rates?</w:t>
      </w:r>
    </w:p>
    <w:p>
      <w:pPr>
        <w:pStyle w:val="BodyText"/>
        <w:spacing w:before="10"/>
        <w:rPr>
          <w:sz w:val="20"/>
        </w:rPr>
      </w:pPr>
    </w:p>
    <w:p>
      <w:pPr>
        <w:pStyle w:val="BodyText"/>
        <w:spacing w:line="312" w:lineRule="auto" w:before="1"/>
        <w:ind w:left="1280" w:right="1529"/>
      </w:pPr>
      <w:r>
        <w:rPr/>
        <w:t>Table 1 provides an unscientific guide to Committee members’ degree of activism: it is arranged with the most ‘activist members’ (identified as those voting</w:t>
      </w:r>
    </w:p>
    <w:p>
      <w:pPr>
        <w:spacing w:after="0" w:line="312" w:lineRule="auto"/>
        <w:sectPr>
          <w:type w:val="continuous"/>
          <w:pgSz w:w="11900" w:h="16840"/>
          <w:pgMar w:top="1180" w:bottom="280" w:left="520" w:right="360"/>
        </w:sectPr>
      </w:pPr>
    </w:p>
    <w:p>
      <w:pPr>
        <w:pStyle w:val="BodyText"/>
        <w:spacing w:line="312" w:lineRule="auto" w:before="118"/>
        <w:ind w:left="1279" w:right="1443"/>
      </w:pPr>
      <w:r>
        <w:rPr/>
        <w:t>proportionately most frequently for a rate change) at the top.</w:t>
      </w:r>
      <w:r>
        <w:rPr>
          <w:vertAlign w:val="superscript"/>
        </w:rPr>
        <w:t>9</w:t>
      </w:r>
      <w:r>
        <w:rPr>
          <w:vertAlign w:val="baseline"/>
        </w:rPr>
        <w:t> If personal preferences played no role, we might expect to see a relationship between activism and ‘MPC vintage’ – if MPC members responded to the same shocks, or their behaviour was affected by some other common factor, there would be clusters. Keen MPC watchers will no doubt find some support for the view that personality matters. But, in general, the members who voted for the most rate changes </w:t>
      </w:r>
      <w:r>
        <w:rPr>
          <w:i/>
          <w:vertAlign w:val="baseline"/>
        </w:rPr>
        <w:t>are </w:t>
      </w:r>
      <w:r>
        <w:rPr>
          <w:vertAlign w:val="baseline"/>
        </w:rPr>
        <w:t>associated with the earlier years of the Committee, consistent with the idea that the MPC may have </w:t>
      </w:r>
      <w:r>
        <w:rPr>
          <w:i/>
          <w:vertAlign w:val="baseline"/>
        </w:rPr>
        <w:t>needed </w:t>
      </w:r>
      <w:r>
        <w:rPr>
          <w:vertAlign w:val="baseline"/>
        </w:rPr>
        <w:t>to respond more frequently during that period.</w:t>
      </w:r>
      <w:r>
        <w:rPr>
          <w:vertAlign w:val="superscript"/>
        </w:rPr>
        <w:t>10</w:t>
      </w:r>
    </w:p>
    <w:p>
      <w:pPr>
        <w:spacing w:before="242"/>
        <w:ind w:left="1280" w:right="1501" w:firstLine="0"/>
        <w:jc w:val="left"/>
        <w:rPr>
          <w:sz w:val="24"/>
        </w:rPr>
      </w:pPr>
      <w:r>
        <w:rPr>
          <w:b/>
          <w:color w:val="0000FF"/>
          <w:sz w:val="24"/>
        </w:rPr>
        <w:t>Table 1: MPC members’ voting statistics from January 1998 </w:t>
      </w:r>
      <w:r>
        <w:rPr>
          <w:i/>
          <w:color w:val="FF0000"/>
          <w:sz w:val="24"/>
        </w:rPr>
        <w:t>(current members in </w:t>
      </w:r>
      <w:r>
        <w:rPr>
          <w:i/>
          <w:color w:val="FF0000"/>
          <w:sz w:val="24"/>
        </w:rPr>
        <w:t>red)</w:t>
      </w:r>
      <w:r>
        <w:rPr>
          <w:sz w:val="24"/>
          <w:vertAlign w:val="superscript"/>
        </w:rPr>
        <w:t>1</w:t>
      </w:r>
    </w:p>
    <w:p>
      <w:pPr>
        <w:pStyle w:val="BodyText"/>
        <w:spacing w:before="3" w:after="1"/>
      </w:pPr>
    </w:p>
    <w:tbl>
      <w:tblPr>
        <w:tblW w:w="0" w:type="auto"/>
        <w:jc w:val="left"/>
        <w:tblInd w:w="1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6"/>
        <w:gridCol w:w="1713"/>
        <w:gridCol w:w="1833"/>
        <w:gridCol w:w="1490"/>
        <w:gridCol w:w="1741"/>
      </w:tblGrid>
      <w:tr>
        <w:trPr>
          <w:trHeight w:val="348" w:hRule="atLeast"/>
        </w:trPr>
        <w:tc>
          <w:tcPr>
            <w:tcW w:w="1976" w:type="dxa"/>
            <w:vMerge w:val="restart"/>
            <w:tcBorders>
              <w:top w:val="single" w:sz="12" w:space="0" w:color="0000FF"/>
              <w:bottom w:val="single" w:sz="12" w:space="0" w:color="0000FF"/>
            </w:tcBorders>
          </w:tcPr>
          <w:p>
            <w:pPr>
              <w:pStyle w:val="TableParagraph"/>
              <w:rPr>
                <w:sz w:val="20"/>
              </w:rPr>
            </w:pPr>
          </w:p>
        </w:tc>
        <w:tc>
          <w:tcPr>
            <w:tcW w:w="1713" w:type="dxa"/>
            <w:tcBorders>
              <w:top w:val="single" w:sz="12" w:space="0" w:color="0000FF"/>
            </w:tcBorders>
          </w:tcPr>
          <w:p>
            <w:pPr>
              <w:pStyle w:val="TableParagraph"/>
              <w:spacing w:line="184" w:lineRule="exact" w:before="11"/>
              <w:ind w:left="557" w:right="163" w:firstLine="76"/>
              <w:rPr>
                <w:sz w:val="16"/>
              </w:rPr>
            </w:pPr>
            <w:r>
              <w:rPr>
                <w:sz w:val="16"/>
              </w:rPr>
              <w:t>% of months voted for a rate</w:t>
            </w:r>
          </w:p>
        </w:tc>
        <w:tc>
          <w:tcPr>
            <w:tcW w:w="1833" w:type="dxa"/>
            <w:tcBorders>
              <w:top w:val="single" w:sz="12" w:space="0" w:color="0000FF"/>
            </w:tcBorders>
          </w:tcPr>
          <w:p>
            <w:pPr>
              <w:pStyle w:val="TableParagraph"/>
              <w:spacing w:before="8"/>
              <w:rPr>
                <w:sz w:val="16"/>
              </w:rPr>
            </w:pPr>
          </w:p>
          <w:p>
            <w:pPr>
              <w:pStyle w:val="TableParagraph"/>
              <w:spacing w:line="136" w:lineRule="exact"/>
              <w:ind w:left="164" w:right="145"/>
              <w:jc w:val="center"/>
              <w:rPr>
                <w:sz w:val="16"/>
              </w:rPr>
            </w:pPr>
            <w:r>
              <w:rPr>
                <w:sz w:val="16"/>
              </w:rPr>
              <w:t>% of changes voted for</w:t>
            </w:r>
          </w:p>
        </w:tc>
        <w:tc>
          <w:tcPr>
            <w:tcW w:w="3231" w:type="dxa"/>
            <w:gridSpan w:val="2"/>
            <w:tcBorders>
              <w:top w:val="single" w:sz="12" w:space="0" w:color="0000FF"/>
            </w:tcBorders>
          </w:tcPr>
          <w:p>
            <w:pPr>
              <w:pStyle w:val="TableParagraph"/>
              <w:spacing w:before="9"/>
              <w:ind w:left="282"/>
              <w:rPr>
                <w:i/>
                <w:sz w:val="16"/>
              </w:rPr>
            </w:pPr>
            <w:r>
              <w:rPr>
                <w:i/>
                <w:color w:val="808080"/>
                <w:sz w:val="16"/>
              </w:rPr>
              <w:t>Number of</w:t>
            </w:r>
          </w:p>
          <w:p>
            <w:pPr>
              <w:pStyle w:val="TableParagraph"/>
              <w:tabs>
                <w:tab w:pos="1589" w:val="left" w:leader="none"/>
              </w:tabs>
              <w:spacing w:line="133" w:lineRule="exact" w:before="2"/>
              <w:ind w:left="338"/>
              <w:rPr>
                <w:i/>
                <w:sz w:val="16"/>
              </w:rPr>
            </w:pPr>
            <w:r>
              <w:rPr>
                <w:i/>
                <w:color w:val="808080"/>
                <w:position w:val="9"/>
                <w:sz w:val="16"/>
              </w:rPr>
              <w:t>meetings</w:t>
              <w:tab/>
            </w:r>
            <w:r>
              <w:rPr>
                <w:i/>
                <w:color w:val="808080"/>
                <w:sz w:val="16"/>
              </w:rPr>
              <w:t>Time of</w:t>
            </w:r>
            <w:r>
              <w:rPr>
                <w:i/>
                <w:color w:val="808080"/>
                <w:spacing w:val="-3"/>
                <w:sz w:val="16"/>
              </w:rPr>
              <w:t> </w:t>
            </w:r>
            <w:r>
              <w:rPr>
                <w:i/>
                <w:color w:val="808080"/>
                <w:sz w:val="16"/>
              </w:rPr>
              <w:t>membership</w:t>
            </w:r>
          </w:p>
        </w:tc>
      </w:tr>
      <w:tr>
        <w:trPr>
          <w:trHeight w:val="326" w:hRule="atLeast"/>
        </w:trPr>
        <w:tc>
          <w:tcPr>
            <w:tcW w:w="1976" w:type="dxa"/>
            <w:vMerge/>
            <w:tcBorders>
              <w:top w:val="nil"/>
              <w:bottom w:val="single" w:sz="12" w:space="0" w:color="0000FF"/>
            </w:tcBorders>
          </w:tcPr>
          <w:p>
            <w:pPr>
              <w:rPr>
                <w:sz w:val="2"/>
                <w:szCs w:val="2"/>
              </w:rPr>
            </w:pPr>
          </w:p>
        </w:tc>
        <w:tc>
          <w:tcPr>
            <w:tcW w:w="1713" w:type="dxa"/>
            <w:tcBorders>
              <w:bottom w:val="single" w:sz="12" w:space="0" w:color="0000FF"/>
            </w:tcBorders>
          </w:tcPr>
          <w:p>
            <w:pPr>
              <w:pStyle w:val="TableParagraph"/>
              <w:spacing w:line="144" w:lineRule="exact"/>
              <w:ind w:left="796" w:right="423"/>
              <w:jc w:val="center"/>
              <w:rPr>
                <w:sz w:val="16"/>
              </w:rPr>
            </w:pPr>
            <w:r>
              <w:rPr>
                <w:sz w:val="16"/>
              </w:rPr>
              <w:t>change</w:t>
            </w:r>
          </w:p>
        </w:tc>
        <w:tc>
          <w:tcPr>
            <w:tcW w:w="1833" w:type="dxa"/>
            <w:tcBorders>
              <w:bottom w:val="single" w:sz="12" w:space="0" w:color="0000FF"/>
            </w:tcBorders>
          </w:tcPr>
          <w:p>
            <w:pPr>
              <w:pStyle w:val="TableParagraph"/>
              <w:spacing w:line="144" w:lineRule="exact"/>
              <w:ind w:left="161" w:right="145"/>
              <w:jc w:val="center"/>
              <w:rPr>
                <w:sz w:val="16"/>
              </w:rPr>
            </w:pPr>
            <w:r>
              <w:rPr>
                <w:sz w:val="16"/>
              </w:rPr>
              <w:t>that were in IR months</w:t>
            </w:r>
          </w:p>
        </w:tc>
        <w:tc>
          <w:tcPr>
            <w:tcW w:w="1490" w:type="dxa"/>
            <w:tcBorders>
              <w:bottom w:val="single" w:sz="12" w:space="0" w:color="0000FF"/>
            </w:tcBorders>
          </w:tcPr>
          <w:p>
            <w:pPr>
              <w:pStyle w:val="TableParagraph"/>
              <w:spacing w:line="144" w:lineRule="exact"/>
              <w:ind w:left="144" w:right="386"/>
              <w:jc w:val="center"/>
              <w:rPr>
                <w:i/>
                <w:sz w:val="16"/>
              </w:rPr>
            </w:pPr>
            <w:r>
              <w:rPr>
                <w:i/>
                <w:color w:val="808080"/>
                <w:sz w:val="16"/>
              </w:rPr>
              <w:t>attended since</w:t>
            </w:r>
          </w:p>
          <w:p>
            <w:pPr>
              <w:pStyle w:val="TableParagraph"/>
              <w:spacing w:line="155" w:lineRule="exact" w:before="1"/>
              <w:ind w:left="144" w:right="386"/>
              <w:jc w:val="center"/>
              <w:rPr>
                <w:i/>
                <w:sz w:val="16"/>
              </w:rPr>
            </w:pPr>
            <w:r>
              <w:rPr>
                <w:i/>
                <w:color w:val="808080"/>
                <w:sz w:val="16"/>
              </w:rPr>
              <w:t>Jan 1998</w:t>
            </w:r>
          </w:p>
        </w:tc>
        <w:tc>
          <w:tcPr>
            <w:tcW w:w="1741" w:type="dxa"/>
            <w:tcBorders>
              <w:bottom w:val="single" w:sz="12" w:space="0" w:color="0000FF"/>
            </w:tcBorders>
          </w:tcPr>
          <w:p>
            <w:pPr>
              <w:pStyle w:val="TableParagraph"/>
              <w:rPr>
                <w:sz w:val="20"/>
              </w:rPr>
            </w:pPr>
          </w:p>
        </w:tc>
      </w:tr>
      <w:tr>
        <w:trPr>
          <w:trHeight w:val="507" w:hRule="atLeast"/>
        </w:trPr>
        <w:tc>
          <w:tcPr>
            <w:tcW w:w="1976" w:type="dxa"/>
            <w:tcBorders>
              <w:top w:val="single" w:sz="12" w:space="0" w:color="0000FF"/>
            </w:tcBorders>
          </w:tcPr>
          <w:p>
            <w:pPr>
              <w:pStyle w:val="TableParagraph"/>
              <w:spacing w:before="8"/>
              <w:rPr>
                <w:sz w:val="23"/>
              </w:rPr>
            </w:pPr>
          </w:p>
          <w:p>
            <w:pPr>
              <w:pStyle w:val="TableParagraph"/>
              <w:ind w:left="115"/>
              <w:rPr>
                <w:sz w:val="16"/>
              </w:rPr>
            </w:pPr>
            <w:r>
              <w:rPr>
                <w:sz w:val="16"/>
              </w:rPr>
              <w:t>Willem Buiter</w:t>
            </w:r>
          </w:p>
        </w:tc>
        <w:tc>
          <w:tcPr>
            <w:tcW w:w="1713" w:type="dxa"/>
            <w:tcBorders>
              <w:top w:val="single" w:sz="12" w:space="0" w:color="0000FF"/>
            </w:tcBorders>
          </w:tcPr>
          <w:p>
            <w:pPr>
              <w:pStyle w:val="TableParagraph"/>
              <w:spacing w:before="8"/>
              <w:rPr>
                <w:sz w:val="23"/>
              </w:rPr>
            </w:pPr>
          </w:p>
          <w:p>
            <w:pPr>
              <w:pStyle w:val="TableParagraph"/>
              <w:ind w:left="796" w:right="420"/>
              <w:jc w:val="center"/>
              <w:rPr>
                <w:sz w:val="16"/>
              </w:rPr>
            </w:pPr>
            <w:r>
              <w:rPr>
                <w:sz w:val="16"/>
              </w:rPr>
              <w:t>79</w:t>
            </w:r>
          </w:p>
        </w:tc>
        <w:tc>
          <w:tcPr>
            <w:tcW w:w="1833" w:type="dxa"/>
            <w:tcBorders>
              <w:top w:val="single" w:sz="12" w:space="0" w:color="0000FF"/>
            </w:tcBorders>
          </w:tcPr>
          <w:p>
            <w:pPr>
              <w:pStyle w:val="TableParagraph"/>
              <w:spacing w:before="8"/>
              <w:rPr>
                <w:sz w:val="23"/>
              </w:rPr>
            </w:pPr>
          </w:p>
          <w:p>
            <w:pPr>
              <w:pStyle w:val="TableParagraph"/>
              <w:ind w:left="164" w:right="143"/>
              <w:jc w:val="center"/>
              <w:rPr>
                <w:sz w:val="16"/>
              </w:rPr>
            </w:pPr>
            <w:r>
              <w:rPr>
                <w:sz w:val="16"/>
              </w:rPr>
              <w:t>36</w:t>
            </w:r>
          </w:p>
        </w:tc>
        <w:tc>
          <w:tcPr>
            <w:tcW w:w="1490" w:type="dxa"/>
            <w:tcBorders>
              <w:top w:val="single" w:sz="12" w:space="0" w:color="0000FF"/>
            </w:tcBorders>
          </w:tcPr>
          <w:p>
            <w:pPr>
              <w:pStyle w:val="TableParagraph"/>
              <w:spacing w:before="8"/>
              <w:rPr>
                <w:sz w:val="23"/>
              </w:rPr>
            </w:pPr>
          </w:p>
          <w:p>
            <w:pPr>
              <w:pStyle w:val="TableParagraph"/>
              <w:ind w:left="542"/>
              <w:rPr>
                <w:i/>
                <w:sz w:val="16"/>
              </w:rPr>
            </w:pPr>
            <w:r>
              <w:rPr>
                <w:i/>
                <w:color w:val="808080"/>
                <w:sz w:val="16"/>
              </w:rPr>
              <w:t>29</w:t>
            </w:r>
          </w:p>
        </w:tc>
        <w:tc>
          <w:tcPr>
            <w:tcW w:w="1741" w:type="dxa"/>
            <w:tcBorders>
              <w:top w:val="single" w:sz="12" w:space="0" w:color="0000FF"/>
            </w:tcBorders>
          </w:tcPr>
          <w:p>
            <w:pPr>
              <w:pStyle w:val="TableParagraph"/>
              <w:spacing w:before="8"/>
              <w:rPr>
                <w:sz w:val="23"/>
              </w:rPr>
            </w:pPr>
          </w:p>
          <w:p>
            <w:pPr>
              <w:pStyle w:val="TableParagraph"/>
              <w:ind w:left="405"/>
              <w:rPr>
                <w:i/>
                <w:sz w:val="16"/>
              </w:rPr>
            </w:pPr>
            <w:r>
              <w:rPr>
                <w:i/>
                <w:color w:val="808080"/>
                <w:sz w:val="16"/>
              </w:rPr>
              <w:t>1997-2000</w:t>
            </w:r>
          </w:p>
        </w:tc>
      </w:tr>
      <w:tr>
        <w:trPr>
          <w:trHeight w:val="304" w:hRule="atLeast"/>
        </w:trPr>
        <w:tc>
          <w:tcPr>
            <w:tcW w:w="1976" w:type="dxa"/>
          </w:tcPr>
          <w:p>
            <w:pPr>
              <w:pStyle w:val="TableParagraph"/>
              <w:spacing w:before="69"/>
              <w:ind w:left="115"/>
              <w:rPr>
                <w:sz w:val="16"/>
              </w:rPr>
            </w:pPr>
            <w:r>
              <w:rPr>
                <w:sz w:val="16"/>
              </w:rPr>
              <w:t>Sir Alan Budd</w:t>
            </w:r>
          </w:p>
        </w:tc>
        <w:tc>
          <w:tcPr>
            <w:tcW w:w="1713" w:type="dxa"/>
          </w:tcPr>
          <w:p>
            <w:pPr>
              <w:pStyle w:val="TableParagraph"/>
              <w:spacing w:before="69"/>
              <w:ind w:left="796" w:right="421"/>
              <w:jc w:val="center"/>
              <w:rPr>
                <w:sz w:val="16"/>
              </w:rPr>
            </w:pPr>
            <w:r>
              <w:rPr>
                <w:sz w:val="16"/>
              </w:rPr>
              <w:t>65</w:t>
            </w:r>
          </w:p>
        </w:tc>
        <w:tc>
          <w:tcPr>
            <w:tcW w:w="1833" w:type="dxa"/>
          </w:tcPr>
          <w:p>
            <w:pPr>
              <w:pStyle w:val="TableParagraph"/>
              <w:spacing w:before="69"/>
              <w:ind w:left="164" w:right="144"/>
              <w:jc w:val="center"/>
              <w:rPr>
                <w:sz w:val="16"/>
              </w:rPr>
            </w:pPr>
            <w:r>
              <w:rPr>
                <w:sz w:val="16"/>
              </w:rPr>
              <w:t>30</w:t>
            </w:r>
          </w:p>
        </w:tc>
        <w:tc>
          <w:tcPr>
            <w:tcW w:w="1490" w:type="dxa"/>
          </w:tcPr>
          <w:p>
            <w:pPr>
              <w:pStyle w:val="TableParagraph"/>
              <w:spacing w:before="69"/>
              <w:ind w:left="542"/>
              <w:rPr>
                <w:i/>
                <w:sz w:val="16"/>
              </w:rPr>
            </w:pPr>
            <w:r>
              <w:rPr>
                <w:i/>
                <w:color w:val="808080"/>
                <w:sz w:val="16"/>
              </w:rPr>
              <w:t>17</w:t>
            </w:r>
          </w:p>
        </w:tc>
        <w:tc>
          <w:tcPr>
            <w:tcW w:w="1741" w:type="dxa"/>
          </w:tcPr>
          <w:p>
            <w:pPr>
              <w:pStyle w:val="TableParagraph"/>
              <w:spacing w:before="69"/>
              <w:ind w:left="405"/>
              <w:rPr>
                <w:i/>
                <w:sz w:val="16"/>
              </w:rPr>
            </w:pPr>
            <w:r>
              <w:rPr>
                <w:i/>
                <w:color w:val="808080"/>
                <w:sz w:val="16"/>
              </w:rPr>
              <w:t>1997-1999</w:t>
            </w:r>
          </w:p>
        </w:tc>
      </w:tr>
      <w:tr>
        <w:trPr>
          <w:trHeight w:val="304" w:hRule="atLeast"/>
        </w:trPr>
        <w:tc>
          <w:tcPr>
            <w:tcW w:w="1976" w:type="dxa"/>
          </w:tcPr>
          <w:p>
            <w:pPr>
              <w:pStyle w:val="TableParagraph"/>
              <w:spacing w:before="70"/>
              <w:ind w:left="115"/>
              <w:rPr>
                <w:sz w:val="16"/>
              </w:rPr>
            </w:pPr>
            <w:r>
              <w:rPr>
                <w:sz w:val="16"/>
              </w:rPr>
              <w:t>John Vickers</w:t>
            </w:r>
          </w:p>
        </w:tc>
        <w:tc>
          <w:tcPr>
            <w:tcW w:w="1713" w:type="dxa"/>
          </w:tcPr>
          <w:p>
            <w:pPr>
              <w:pStyle w:val="TableParagraph"/>
              <w:spacing w:before="70"/>
              <w:ind w:left="796" w:right="422"/>
              <w:jc w:val="center"/>
              <w:rPr>
                <w:sz w:val="16"/>
              </w:rPr>
            </w:pPr>
            <w:r>
              <w:rPr>
                <w:sz w:val="16"/>
              </w:rPr>
              <w:t>61</w:t>
            </w:r>
          </w:p>
        </w:tc>
        <w:tc>
          <w:tcPr>
            <w:tcW w:w="1833" w:type="dxa"/>
          </w:tcPr>
          <w:p>
            <w:pPr>
              <w:pStyle w:val="TableParagraph"/>
              <w:spacing w:before="70"/>
              <w:ind w:left="164" w:right="145"/>
              <w:jc w:val="center"/>
              <w:rPr>
                <w:sz w:val="16"/>
              </w:rPr>
            </w:pPr>
            <w:r>
              <w:rPr>
                <w:sz w:val="16"/>
              </w:rPr>
              <w:t>29</w:t>
            </w:r>
          </w:p>
        </w:tc>
        <w:tc>
          <w:tcPr>
            <w:tcW w:w="1490" w:type="dxa"/>
          </w:tcPr>
          <w:p>
            <w:pPr>
              <w:pStyle w:val="TableParagraph"/>
              <w:spacing w:before="70"/>
              <w:ind w:left="542"/>
              <w:rPr>
                <w:i/>
                <w:sz w:val="16"/>
              </w:rPr>
            </w:pPr>
            <w:r>
              <w:rPr>
                <w:i/>
                <w:color w:val="808080"/>
                <w:sz w:val="16"/>
              </w:rPr>
              <w:t>28</w:t>
            </w:r>
          </w:p>
        </w:tc>
        <w:tc>
          <w:tcPr>
            <w:tcW w:w="1741" w:type="dxa"/>
          </w:tcPr>
          <w:p>
            <w:pPr>
              <w:pStyle w:val="TableParagraph"/>
              <w:spacing w:before="70"/>
              <w:ind w:left="405"/>
              <w:rPr>
                <w:i/>
                <w:sz w:val="16"/>
              </w:rPr>
            </w:pPr>
            <w:r>
              <w:rPr>
                <w:i/>
                <w:color w:val="808080"/>
                <w:sz w:val="16"/>
              </w:rPr>
              <w:t>1998-2000</w:t>
            </w:r>
          </w:p>
        </w:tc>
      </w:tr>
      <w:tr>
        <w:trPr>
          <w:trHeight w:val="303" w:hRule="atLeast"/>
        </w:trPr>
        <w:tc>
          <w:tcPr>
            <w:tcW w:w="1976" w:type="dxa"/>
          </w:tcPr>
          <w:p>
            <w:pPr>
              <w:pStyle w:val="TableParagraph"/>
              <w:spacing w:before="69"/>
              <w:ind w:left="115"/>
              <w:rPr>
                <w:sz w:val="16"/>
              </w:rPr>
            </w:pPr>
            <w:r>
              <w:rPr>
                <w:sz w:val="16"/>
              </w:rPr>
              <w:t>Charles Goodhart</w:t>
            </w:r>
          </w:p>
        </w:tc>
        <w:tc>
          <w:tcPr>
            <w:tcW w:w="1713" w:type="dxa"/>
          </w:tcPr>
          <w:p>
            <w:pPr>
              <w:pStyle w:val="TableParagraph"/>
              <w:spacing w:before="69"/>
              <w:ind w:left="796" w:right="422"/>
              <w:jc w:val="center"/>
              <w:rPr>
                <w:sz w:val="16"/>
              </w:rPr>
            </w:pPr>
            <w:r>
              <w:rPr>
                <w:sz w:val="16"/>
              </w:rPr>
              <w:t>52</w:t>
            </w:r>
          </w:p>
        </w:tc>
        <w:tc>
          <w:tcPr>
            <w:tcW w:w="1833" w:type="dxa"/>
          </w:tcPr>
          <w:p>
            <w:pPr>
              <w:pStyle w:val="TableParagraph"/>
              <w:spacing w:before="69"/>
              <w:ind w:left="164" w:right="145"/>
              <w:jc w:val="center"/>
              <w:rPr>
                <w:sz w:val="16"/>
              </w:rPr>
            </w:pPr>
            <w:r>
              <w:rPr>
                <w:sz w:val="16"/>
              </w:rPr>
              <w:t>36</w:t>
            </w:r>
          </w:p>
        </w:tc>
        <w:tc>
          <w:tcPr>
            <w:tcW w:w="1490" w:type="dxa"/>
          </w:tcPr>
          <w:p>
            <w:pPr>
              <w:pStyle w:val="TableParagraph"/>
              <w:spacing w:before="69"/>
              <w:ind w:left="542"/>
              <w:rPr>
                <w:i/>
                <w:sz w:val="16"/>
              </w:rPr>
            </w:pPr>
            <w:r>
              <w:rPr>
                <w:i/>
                <w:color w:val="808080"/>
                <w:sz w:val="16"/>
              </w:rPr>
              <w:t>29</w:t>
            </w:r>
          </w:p>
        </w:tc>
        <w:tc>
          <w:tcPr>
            <w:tcW w:w="1741" w:type="dxa"/>
          </w:tcPr>
          <w:p>
            <w:pPr>
              <w:pStyle w:val="TableParagraph"/>
              <w:spacing w:before="69"/>
              <w:ind w:left="405"/>
              <w:rPr>
                <w:i/>
                <w:sz w:val="16"/>
              </w:rPr>
            </w:pPr>
            <w:r>
              <w:rPr>
                <w:i/>
                <w:color w:val="808080"/>
                <w:sz w:val="16"/>
              </w:rPr>
              <w:t>1997-2000</w:t>
            </w:r>
          </w:p>
        </w:tc>
      </w:tr>
      <w:tr>
        <w:trPr>
          <w:trHeight w:val="304" w:hRule="atLeast"/>
        </w:trPr>
        <w:tc>
          <w:tcPr>
            <w:tcW w:w="1976" w:type="dxa"/>
          </w:tcPr>
          <w:p>
            <w:pPr>
              <w:pStyle w:val="TableParagraph"/>
              <w:spacing w:before="69"/>
              <w:ind w:left="115"/>
              <w:rPr>
                <w:sz w:val="16"/>
              </w:rPr>
            </w:pPr>
            <w:r>
              <w:rPr>
                <w:sz w:val="16"/>
              </w:rPr>
              <w:t>Sushil Wadhwani</w:t>
            </w:r>
          </w:p>
        </w:tc>
        <w:tc>
          <w:tcPr>
            <w:tcW w:w="1713" w:type="dxa"/>
          </w:tcPr>
          <w:p>
            <w:pPr>
              <w:pStyle w:val="TableParagraph"/>
              <w:spacing w:before="69"/>
              <w:ind w:left="796" w:right="422"/>
              <w:jc w:val="center"/>
              <w:rPr>
                <w:sz w:val="16"/>
              </w:rPr>
            </w:pPr>
            <w:r>
              <w:rPr>
                <w:sz w:val="16"/>
              </w:rPr>
              <w:t>51</w:t>
            </w:r>
          </w:p>
        </w:tc>
        <w:tc>
          <w:tcPr>
            <w:tcW w:w="1833" w:type="dxa"/>
          </w:tcPr>
          <w:p>
            <w:pPr>
              <w:pStyle w:val="TableParagraph"/>
              <w:spacing w:before="69"/>
              <w:ind w:left="164" w:right="145"/>
              <w:jc w:val="center"/>
              <w:rPr>
                <w:sz w:val="16"/>
              </w:rPr>
            </w:pPr>
            <w:r>
              <w:rPr>
                <w:sz w:val="16"/>
              </w:rPr>
              <w:t>37</w:t>
            </w:r>
          </w:p>
        </w:tc>
        <w:tc>
          <w:tcPr>
            <w:tcW w:w="1490" w:type="dxa"/>
          </w:tcPr>
          <w:p>
            <w:pPr>
              <w:pStyle w:val="TableParagraph"/>
              <w:spacing w:before="69"/>
              <w:ind w:left="542"/>
              <w:rPr>
                <w:i/>
                <w:sz w:val="16"/>
              </w:rPr>
            </w:pPr>
            <w:r>
              <w:rPr>
                <w:i/>
                <w:color w:val="808080"/>
                <w:sz w:val="16"/>
              </w:rPr>
              <w:t>37</w:t>
            </w:r>
          </w:p>
        </w:tc>
        <w:tc>
          <w:tcPr>
            <w:tcW w:w="1741" w:type="dxa"/>
          </w:tcPr>
          <w:p>
            <w:pPr>
              <w:pStyle w:val="TableParagraph"/>
              <w:spacing w:before="69"/>
              <w:ind w:left="405"/>
              <w:rPr>
                <w:i/>
                <w:sz w:val="16"/>
              </w:rPr>
            </w:pPr>
            <w:r>
              <w:rPr>
                <w:i/>
                <w:color w:val="808080"/>
                <w:sz w:val="16"/>
              </w:rPr>
              <w:t>1999-2002</w:t>
            </w:r>
          </w:p>
        </w:tc>
      </w:tr>
      <w:tr>
        <w:trPr>
          <w:trHeight w:val="304" w:hRule="atLeast"/>
        </w:trPr>
        <w:tc>
          <w:tcPr>
            <w:tcW w:w="1976" w:type="dxa"/>
          </w:tcPr>
          <w:p>
            <w:pPr>
              <w:pStyle w:val="TableParagraph"/>
              <w:spacing w:before="70"/>
              <w:ind w:left="115"/>
              <w:rPr>
                <w:sz w:val="16"/>
              </w:rPr>
            </w:pPr>
            <w:r>
              <w:rPr>
                <w:sz w:val="16"/>
              </w:rPr>
              <w:t>Christopher Allsopp</w:t>
            </w:r>
          </w:p>
        </w:tc>
        <w:tc>
          <w:tcPr>
            <w:tcW w:w="1713" w:type="dxa"/>
          </w:tcPr>
          <w:p>
            <w:pPr>
              <w:pStyle w:val="TableParagraph"/>
              <w:spacing w:before="70"/>
              <w:ind w:left="796" w:right="421"/>
              <w:jc w:val="center"/>
              <w:rPr>
                <w:sz w:val="16"/>
              </w:rPr>
            </w:pPr>
            <w:r>
              <w:rPr>
                <w:sz w:val="16"/>
              </w:rPr>
              <w:t>49</w:t>
            </w:r>
          </w:p>
        </w:tc>
        <w:tc>
          <w:tcPr>
            <w:tcW w:w="1833" w:type="dxa"/>
          </w:tcPr>
          <w:p>
            <w:pPr>
              <w:pStyle w:val="TableParagraph"/>
              <w:spacing w:before="70"/>
              <w:ind w:left="164" w:right="144"/>
              <w:jc w:val="center"/>
              <w:rPr>
                <w:sz w:val="16"/>
              </w:rPr>
            </w:pPr>
            <w:r>
              <w:rPr>
                <w:sz w:val="16"/>
              </w:rPr>
              <w:t>44</w:t>
            </w:r>
          </w:p>
        </w:tc>
        <w:tc>
          <w:tcPr>
            <w:tcW w:w="1490" w:type="dxa"/>
          </w:tcPr>
          <w:p>
            <w:pPr>
              <w:pStyle w:val="TableParagraph"/>
              <w:spacing w:before="70"/>
              <w:ind w:left="542"/>
              <w:rPr>
                <w:i/>
                <w:sz w:val="16"/>
              </w:rPr>
            </w:pPr>
            <w:r>
              <w:rPr>
                <w:i/>
                <w:color w:val="808080"/>
                <w:sz w:val="16"/>
              </w:rPr>
              <w:t>37</w:t>
            </w:r>
          </w:p>
        </w:tc>
        <w:tc>
          <w:tcPr>
            <w:tcW w:w="1741" w:type="dxa"/>
          </w:tcPr>
          <w:p>
            <w:pPr>
              <w:pStyle w:val="TableParagraph"/>
              <w:spacing w:before="70"/>
              <w:ind w:left="405"/>
              <w:rPr>
                <w:i/>
                <w:sz w:val="16"/>
              </w:rPr>
            </w:pPr>
            <w:r>
              <w:rPr>
                <w:i/>
                <w:color w:val="808080"/>
                <w:sz w:val="16"/>
              </w:rPr>
              <w:t>2000-2003</w:t>
            </w:r>
          </w:p>
        </w:tc>
      </w:tr>
      <w:tr>
        <w:trPr>
          <w:trHeight w:val="303" w:hRule="atLeast"/>
        </w:trPr>
        <w:tc>
          <w:tcPr>
            <w:tcW w:w="1976" w:type="dxa"/>
          </w:tcPr>
          <w:p>
            <w:pPr>
              <w:pStyle w:val="TableParagraph"/>
              <w:spacing w:before="69"/>
              <w:ind w:left="115"/>
              <w:rPr>
                <w:sz w:val="16"/>
              </w:rPr>
            </w:pPr>
            <w:r>
              <w:rPr>
                <w:sz w:val="16"/>
              </w:rPr>
              <w:t>DeAnne Julius</w:t>
            </w:r>
          </w:p>
        </w:tc>
        <w:tc>
          <w:tcPr>
            <w:tcW w:w="1713" w:type="dxa"/>
          </w:tcPr>
          <w:p>
            <w:pPr>
              <w:pStyle w:val="TableParagraph"/>
              <w:spacing w:before="69"/>
              <w:ind w:left="796" w:right="422"/>
              <w:jc w:val="center"/>
              <w:rPr>
                <w:sz w:val="16"/>
              </w:rPr>
            </w:pPr>
            <w:r>
              <w:rPr>
                <w:sz w:val="16"/>
              </w:rPr>
              <w:t>46</w:t>
            </w:r>
          </w:p>
        </w:tc>
        <w:tc>
          <w:tcPr>
            <w:tcW w:w="1833" w:type="dxa"/>
          </w:tcPr>
          <w:p>
            <w:pPr>
              <w:pStyle w:val="TableParagraph"/>
              <w:spacing w:before="69"/>
              <w:ind w:left="164" w:right="145"/>
              <w:jc w:val="center"/>
              <w:rPr>
                <w:sz w:val="16"/>
              </w:rPr>
            </w:pPr>
            <w:r>
              <w:rPr>
                <w:sz w:val="16"/>
              </w:rPr>
              <w:t>47</w:t>
            </w:r>
          </w:p>
        </w:tc>
        <w:tc>
          <w:tcPr>
            <w:tcW w:w="1490" w:type="dxa"/>
          </w:tcPr>
          <w:p>
            <w:pPr>
              <w:pStyle w:val="TableParagraph"/>
              <w:spacing w:before="69"/>
              <w:ind w:left="542"/>
              <w:rPr>
                <w:i/>
                <w:sz w:val="16"/>
              </w:rPr>
            </w:pPr>
            <w:r>
              <w:rPr>
                <w:i/>
                <w:color w:val="808080"/>
                <w:sz w:val="16"/>
              </w:rPr>
              <w:t>41</w:t>
            </w:r>
          </w:p>
        </w:tc>
        <w:tc>
          <w:tcPr>
            <w:tcW w:w="1741" w:type="dxa"/>
          </w:tcPr>
          <w:p>
            <w:pPr>
              <w:pStyle w:val="TableParagraph"/>
              <w:spacing w:before="69"/>
              <w:ind w:left="405"/>
              <w:rPr>
                <w:i/>
                <w:sz w:val="16"/>
              </w:rPr>
            </w:pPr>
            <w:r>
              <w:rPr>
                <w:i/>
                <w:color w:val="808080"/>
                <w:sz w:val="16"/>
              </w:rPr>
              <w:t>1997-2001</w:t>
            </w:r>
          </w:p>
        </w:tc>
      </w:tr>
      <w:tr>
        <w:trPr>
          <w:trHeight w:val="304" w:hRule="atLeast"/>
        </w:trPr>
        <w:tc>
          <w:tcPr>
            <w:tcW w:w="1976" w:type="dxa"/>
          </w:tcPr>
          <w:p>
            <w:pPr>
              <w:pStyle w:val="TableParagraph"/>
              <w:spacing w:before="69"/>
              <w:ind w:left="115"/>
              <w:rPr>
                <w:sz w:val="16"/>
              </w:rPr>
            </w:pPr>
            <w:r>
              <w:rPr>
                <w:color w:val="FF0000"/>
                <w:sz w:val="16"/>
              </w:rPr>
              <w:t>Stephen Nickell</w:t>
            </w:r>
          </w:p>
        </w:tc>
        <w:tc>
          <w:tcPr>
            <w:tcW w:w="1713" w:type="dxa"/>
          </w:tcPr>
          <w:p>
            <w:pPr>
              <w:pStyle w:val="TableParagraph"/>
              <w:spacing w:before="69"/>
              <w:ind w:left="796" w:right="422"/>
              <w:jc w:val="center"/>
              <w:rPr>
                <w:sz w:val="16"/>
              </w:rPr>
            </w:pPr>
            <w:r>
              <w:rPr>
                <w:color w:val="FF0000"/>
                <w:sz w:val="16"/>
              </w:rPr>
              <w:t>41</w:t>
            </w:r>
          </w:p>
        </w:tc>
        <w:tc>
          <w:tcPr>
            <w:tcW w:w="1833" w:type="dxa"/>
          </w:tcPr>
          <w:p>
            <w:pPr>
              <w:pStyle w:val="TableParagraph"/>
              <w:spacing w:before="69"/>
              <w:ind w:left="164" w:right="145"/>
              <w:jc w:val="center"/>
              <w:rPr>
                <w:sz w:val="16"/>
              </w:rPr>
            </w:pPr>
            <w:r>
              <w:rPr>
                <w:color w:val="FF0000"/>
                <w:sz w:val="16"/>
              </w:rPr>
              <w:t>50</w:t>
            </w:r>
          </w:p>
        </w:tc>
        <w:tc>
          <w:tcPr>
            <w:tcW w:w="1490" w:type="dxa"/>
          </w:tcPr>
          <w:p>
            <w:pPr>
              <w:pStyle w:val="TableParagraph"/>
              <w:spacing w:before="69"/>
              <w:ind w:left="542"/>
              <w:rPr>
                <w:i/>
                <w:sz w:val="16"/>
              </w:rPr>
            </w:pPr>
            <w:r>
              <w:rPr>
                <w:i/>
                <w:color w:val="808080"/>
                <w:sz w:val="16"/>
              </w:rPr>
              <w:t>58</w:t>
            </w:r>
          </w:p>
        </w:tc>
        <w:tc>
          <w:tcPr>
            <w:tcW w:w="1741" w:type="dxa"/>
          </w:tcPr>
          <w:p>
            <w:pPr>
              <w:pStyle w:val="TableParagraph"/>
              <w:spacing w:before="69"/>
              <w:ind w:left="427"/>
              <w:rPr>
                <w:i/>
                <w:sz w:val="16"/>
              </w:rPr>
            </w:pPr>
            <w:r>
              <w:rPr>
                <w:i/>
                <w:color w:val="808080"/>
                <w:sz w:val="16"/>
              </w:rPr>
              <w:t>2000-date</w:t>
            </w:r>
          </w:p>
        </w:tc>
      </w:tr>
      <w:tr>
        <w:trPr>
          <w:trHeight w:val="304" w:hRule="atLeast"/>
        </w:trPr>
        <w:tc>
          <w:tcPr>
            <w:tcW w:w="1976" w:type="dxa"/>
          </w:tcPr>
          <w:p>
            <w:pPr>
              <w:pStyle w:val="TableParagraph"/>
              <w:spacing w:before="70"/>
              <w:ind w:left="115"/>
              <w:rPr>
                <w:sz w:val="16"/>
              </w:rPr>
            </w:pPr>
            <w:r>
              <w:rPr>
                <w:color w:val="FF0000"/>
                <w:sz w:val="16"/>
              </w:rPr>
              <w:t>Mervyn King</w:t>
            </w:r>
          </w:p>
        </w:tc>
        <w:tc>
          <w:tcPr>
            <w:tcW w:w="1713" w:type="dxa"/>
          </w:tcPr>
          <w:p>
            <w:pPr>
              <w:pStyle w:val="TableParagraph"/>
              <w:spacing w:before="70"/>
              <w:ind w:left="796" w:right="422"/>
              <w:jc w:val="center"/>
              <w:rPr>
                <w:sz w:val="16"/>
              </w:rPr>
            </w:pPr>
            <w:r>
              <w:rPr>
                <w:color w:val="FF0000"/>
                <w:sz w:val="16"/>
              </w:rPr>
              <w:t>39</w:t>
            </w:r>
          </w:p>
        </w:tc>
        <w:tc>
          <w:tcPr>
            <w:tcW w:w="1833" w:type="dxa"/>
          </w:tcPr>
          <w:p>
            <w:pPr>
              <w:pStyle w:val="TableParagraph"/>
              <w:spacing w:before="70"/>
              <w:ind w:left="164" w:right="144"/>
              <w:jc w:val="center"/>
              <w:rPr>
                <w:sz w:val="16"/>
              </w:rPr>
            </w:pPr>
            <w:r>
              <w:rPr>
                <w:color w:val="FF0000"/>
                <w:sz w:val="16"/>
              </w:rPr>
              <w:t>41</w:t>
            </w:r>
          </w:p>
        </w:tc>
        <w:tc>
          <w:tcPr>
            <w:tcW w:w="1490" w:type="dxa"/>
          </w:tcPr>
          <w:p>
            <w:pPr>
              <w:pStyle w:val="TableParagraph"/>
              <w:spacing w:before="70"/>
              <w:ind w:left="542"/>
              <w:rPr>
                <w:i/>
                <w:sz w:val="16"/>
              </w:rPr>
            </w:pPr>
            <w:r>
              <w:rPr>
                <w:i/>
                <w:color w:val="808080"/>
                <w:sz w:val="16"/>
              </w:rPr>
              <w:t>87</w:t>
            </w:r>
          </w:p>
        </w:tc>
        <w:tc>
          <w:tcPr>
            <w:tcW w:w="1741" w:type="dxa"/>
          </w:tcPr>
          <w:p>
            <w:pPr>
              <w:pStyle w:val="TableParagraph"/>
              <w:spacing w:before="70"/>
              <w:ind w:left="427"/>
              <w:rPr>
                <w:i/>
                <w:sz w:val="16"/>
              </w:rPr>
            </w:pPr>
            <w:r>
              <w:rPr>
                <w:i/>
                <w:color w:val="808080"/>
                <w:sz w:val="16"/>
              </w:rPr>
              <w:t>1997-date</w:t>
            </w:r>
          </w:p>
        </w:tc>
      </w:tr>
      <w:tr>
        <w:trPr>
          <w:trHeight w:val="303" w:hRule="atLeast"/>
        </w:trPr>
        <w:tc>
          <w:tcPr>
            <w:tcW w:w="1976" w:type="dxa"/>
          </w:tcPr>
          <w:p>
            <w:pPr>
              <w:pStyle w:val="TableParagraph"/>
              <w:spacing w:before="69"/>
              <w:ind w:left="115"/>
              <w:rPr>
                <w:sz w:val="16"/>
              </w:rPr>
            </w:pPr>
            <w:r>
              <w:rPr>
                <w:sz w:val="16"/>
              </w:rPr>
              <w:t>David Clementi</w:t>
            </w:r>
          </w:p>
        </w:tc>
        <w:tc>
          <w:tcPr>
            <w:tcW w:w="1713" w:type="dxa"/>
          </w:tcPr>
          <w:p>
            <w:pPr>
              <w:pStyle w:val="TableParagraph"/>
              <w:spacing w:before="69"/>
              <w:ind w:left="796" w:right="420"/>
              <w:jc w:val="center"/>
              <w:rPr>
                <w:sz w:val="16"/>
              </w:rPr>
            </w:pPr>
            <w:r>
              <w:rPr>
                <w:sz w:val="16"/>
              </w:rPr>
              <w:t>37</w:t>
            </w:r>
          </w:p>
        </w:tc>
        <w:tc>
          <w:tcPr>
            <w:tcW w:w="1833" w:type="dxa"/>
          </w:tcPr>
          <w:p>
            <w:pPr>
              <w:pStyle w:val="TableParagraph"/>
              <w:spacing w:before="69"/>
              <w:ind w:left="164" w:right="143"/>
              <w:jc w:val="center"/>
              <w:rPr>
                <w:sz w:val="16"/>
              </w:rPr>
            </w:pPr>
            <w:r>
              <w:rPr>
                <w:sz w:val="16"/>
              </w:rPr>
              <w:t>43</w:t>
            </w:r>
          </w:p>
        </w:tc>
        <w:tc>
          <w:tcPr>
            <w:tcW w:w="1490" w:type="dxa"/>
          </w:tcPr>
          <w:p>
            <w:pPr>
              <w:pStyle w:val="TableParagraph"/>
              <w:spacing w:before="69"/>
              <w:ind w:left="542"/>
              <w:rPr>
                <w:i/>
                <w:sz w:val="16"/>
              </w:rPr>
            </w:pPr>
            <w:r>
              <w:rPr>
                <w:i/>
                <w:color w:val="808080"/>
                <w:sz w:val="16"/>
              </w:rPr>
              <w:t>57</w:t>
            </w:r>
          </w:p>
        </w:tc>
        <w:tc>
          <w:tcPr>
            <w:tcW w:w="1741" w:type="dxa"/>
          </w:tcPr>
          <w:p>
            <w:pPr>
              <w:pStyle w:val="TableParagraph"/>
              <w:spacing w:before="69"/>
              <w:ind w:left="405"/>
              <w:rPr>
                <w:i/>
                <w:sz w:val="16"/>
              </w:rPr>
            </w:pPr>
            <w:r>
              <w:rPr>
                <w:i/>
                <w:color w:val="808080"/>
                <w:sz w:val="16"/>
              </w:rPr>
              <w:t>1997-2002</w:t>
            </w:r>
          </w:p>
        </w:tc>
      </w:tr>
      <w:tr>
        <w:trPr>
          <w:trHeight w:val="304" w:hRule="atLeast"/>
        </w:trPr>
        <w:tc>
          <w:tcPr>
            <w:tcW w:w="1976" w:type="dxa"/>
          </w:tcPr>
          <w:p>
            <w:pPr>
              <w:pStyle w:val="TableParagraph"/>
              <w:spacing w:before="69"/>
              <w:ind w:left="115"/>
              <w:rPr>
                <w:sz w:val="16"/>
              </w:rPr>
            </w:pPr>
            <w:r>
              <w:rPr>
                <w:sz w:val="16"/>
              </w:rPr>
              <w:t>Ian Plenderleith</w:t>
            </w:r>
          </w:p>
        </w:tc>
        <w:tc>
          <w:tcPr>
            <w:tcW w:w="1713" w:type="dxa"/>
          </w:tcPr>
          <w:p>
            <w:pPr>
              <w:pStyle w:val="TableParagraph"/>
              <w:spacing w:before="69"/>
              <w:ind w:left="796" w:right="420"/>
              <w:jc w:val="center"/>
              <w:rPr>
                <w:sz w:val="16"/>
              </w:rPr>
            </w:pPr>
            <w:r>
              <w:rPr>
                <w:sz w:val="16"/>
              </w:rPr>
              <w:t>33</w:t>
            </w:r>
          </w:p>
        </w:tc>
        <w:tc>
          <w:tcPr>
            <w:tcW w:w="1833" w:type="dxa"/>
          </w:tcPr>
          <w:p>
            <w:pPr>
              <w:pStyle w:val="TableParagraph"/>
              <w:spacing w:before="69"/>
              <w:ind w:left="164" w:right="143"/>
              <w:jc w:val="center"/>
              <w:rPr>
                <w:sz w:val="16"/>
              </w:rPr>
            </w:pPr>
            <w:r>
              <w:rPr>
                <w:sz w:val="16"/>
              </w:rPr>
              <w:t>44</w:t>
            </w:r>
          </w:p>
        </w:tc>
        <w:tc>
          <w:tcPr>
            <w:tcW w:w="1490" w:type="dxa"/>
          </w:tcPr>
          <w:p>
            <w:pPr>
              <w:pStyle w:val="TableParagraph"/>
              <w:spacing w:before="69"/>
              <w:ind w:left="542"/>
              <w:rPr>
                <w:i/>
                <w:sz w:val="16"/>
              </w:rPr>
            </w:pPr>
            <w:r>
              <w:rPr>
                <w:i/>
                <w:color w:val="808080"/>
                <w:sz w:val="16"/>
              </w:rPr>
              <w:t>54</w:t>
            </w:r>
          </w:p>
        </w:tc>
        <w:tc>
          <w:tcPr>
            <w:tcW w:w="1741" w:type="dxa"/>
          </w:tcPr>
          <w:p>
            <w:pPr>
              <w:pStyle w:val="TableParagraph"/>
              <w:spacing w:before="69"/>
              <w:ind w:left="405"/>
              <w:rPr>
                <w:i/>
                <w:sz w:val="16"/>
              </w:rPr>
            </w:pPr>
            <w:r>
              <w:rPr>
                <w:i/>
                <w:color w:val="808080"/>
                <w:sz w:val="16"/>
              </w:rPr>
              <w:t>1997-2002</w:t>
            </w:r>
          </w:p>
        </w:tc>
      </w:tr>
      <w:tr>
        <w:trPr>
          <w:trHeight w:val="304" w:hRule="atLeast"/>
        </w:trPr>
        <w:tc>
          <w:tcPr>
            <w:tcW w:w="1976" w:type="dxa"/>
          </w:tcPr>
          <w:p>
            <w:pPr>
              <w:pStyle w:val="TableParagraph"/>
              <w:spacing w:before="70"/>
              <w:ind w:left="115"/>
              <w:rPr>
                <w:sz w:val="16"/>
              </w:rPr>
            </w:pPr>
            <w:r>
              <w:rPr>
                <w:color w:val="FF0000"/>
                <w:sz w:val="16"/>
              </w:rPr>
              <w:t>Sir Andrew Large</w:t>
            </w:r>
          </w:p>
        </w:tc>
        <w:tc>
          <w:tcPr>
            <w:tcW w:w="1713" w:type="dxa"/>
          </w:tcPr>
          <w:p>
            <w:pPr>
              <w:pStyle w:val="TableParagraph"/>
              <w:spacing w:before="70"/>
              <w:ind w:left="796" w:right="421"/>
              <w:jc w:val="center"/>
              <w:rPr>
                <w:sz w:val="16"/>
              </w:rPr>
            </w:pPr>
            <w:r>
              <w:rPr>
                <w:color w:val="FF0000"/>
                <w:sz w:val="16"/>
              </w:rPr>
              <w:t>34</w:t>
            </w:r>
          </w:p>
        </w:tc>
        <w:tc>
          <w:tcPr>
            <w:tcW w:w="1833" w:type="dxa"/>
          </w:tcPr>
          <w:p>
            <w:pPr>
              <w:pStyle w:val="TableParagraph"/>
              <w:spacing w:before="70"/>
              <w:ind w:left="164" w:right="143"/>
              <w:jc w:val="center"/>
              <w:rPr>
                <w:sz w:val="16"/>
              </w:rPr>
            </w:pPr>
            <w:r>
              <w:rPr>
                <w:color w:val="FF0000"/>
                <w:sz w:val="16"/>
              </w:rPr>
              <w:t>40</w:t>
            </w:r>
          </w:p>
        </w:tc>
        <w:tc>
          <w:tcPr>
            <w:tcW w:w="1490" w:type="dxa"/>
          </w:tcPr>
          <w:p>
            <w:pPr>
              <w:pStyle w:val="TableParagraph"/>
              <w:spacing w:before="70"/>
              <w:ind w:left="542"/>
              <w:rPr>
                <w:i/>
                <w:sz w:val="16"/>
              </w:rPr>
            </w:pPr>
            <w:r>
              <w:rPr>
                <w:i/>
                <w:color w:val="808080"/>
                <w:sz w:val="16"/>
              </w:rPr>
              <w:t>29</w:t>
            </w:r>
          </w:p>
        </w:tc>
        <w:tc>
          <w:tcPr>
            <w:tcW w:w="1741" w:type="dxa"/>
          </w:tcPr>
          <w:p>
            <w:pPr>
              <w:pStyle w:val="TableParagraph"/>
              <w:spacing w:before="70"/>
              <w:ind w:left="427"/>
              <w:rPr>
                <w:i/>
                <w:sz w:val="16"/>
              </w:rPr>
            </w:pPr>
            <w:r>
              <w:rPr>
                <w:i/>
                <w:color w:val="808080"/>
                <w:sz w:val="16"/>
              </w:rPr>
              <w:t>2002-date</w:t>
            </w:r>
          </w:p>
        </w:tc>
      </w:tr>
      <w:tr>
        <w:trPr>
          <w:trHeight w:val="303" w:hRule="atLeast"/>
        </w:trPr>
        <w:tc>
          <w:tcPr>
            <w:tcW w:w="1976" w:type="dxa"/>
          </w:tcPr>
          <w:p>
            <w:pPr>
              <w:pStyle w:val="TableParagraph"/>
              <w:spacing w:before="69"/>
              <w:ind w:left="115"/>
              <w:rPr>
                <w:sz w:val="16"/>
              </w:rPr>
            </w:pPr>
            <w:r>
              <w:rPr>
                <w:color w:val="FF0000"/>
                <w:sz w:val="16"/>
              </w:rPr>
              <w:t>Kate Barker</w:t>
            </w:r>
          </w:p>
        </w:tc>
        <w:tc>
          <w:tcPr>
            <w:tcW w:w="1713" w:type="dxa"/>
          </w:tcPr>
          <w:p>
            <w:pPr>
              <w:pStyle w:val="TableParagraph"/>
              <w:spacing w:before="69"/>
              <w:ind w:left="796" w:right="422"/>
              <w:jc w:val="center"/>
              <w:rPr>
                <w:sz w:val="16"/>
              </w:rPr>
            </w:pPr>
            <w:r>
              <w:rPr>
                <w:color w:val="FF0000"/>
                <w:sz w:val="16"/>
              </w:rPr>
              <w:t>33</w:t>
            </w:r>
          </w:p>
        </w:tc>
        <w:tc>
          <w:tcPr>
            <w:tcW w:w="1833" w:type="dxa"/>
          </w:tcPr>
          <w:p>
            <w:pPr>
              <w:pStyle w:val="TableParagraph"/>
              <w:spacing w:before="69"/>
              <w:ind w:left="164" w:right="144"/>
              <w:jc w:val="center"/>
              <w:rPr>
                <w:sz w:val="16"/>
              </w:rPr>
            </w:pPr>
            <w:r>
              <w:rPr>
                <w:color w:val="FF0000"/>
                <w:sz w:val="16"/>
              </w:rPr>
              <w:t>53</w:t>
            </w:r>
          </w:p>
        </w:tc>
        <w:tc>
          <w:tcPr>
            <w:tcW w:w="1490" w:type="dxa"/>
          </w:tcPr>
          <w:p>
            <w:pPr>
              <w:pStyle w:val="TableParagraph"/>
              <w:spacing w:before="69"/>
              <w:ind w:left="542"/>
              <w:rPr>
                <w:i/>
                <w:sz w:val="16"/>
              </w:rPr>
            </w:pPr>
            <w:r>
              <w:rPr>
                <w:i/>
                <w:color w:val="808080"/>
                <w:sz w:val="16"/>
              </w:rPr>
              <w:t>46</w:t>
            </w:r>
          </w:p>
        </w:tc>
        <w:tc>
          <w:tcPr>
            <w:tcW w:w="1741" w:type="dxa"/>
          </w:tcPr>
          <w:p>
            <w:pPr>
              <w:pStyle w:val="TableParagraph"/>
              <w:spacing w:before="69"/>
              <w:ind w:left="427"/>
              <w:rPr>
                <w:i/>
                <w:sz w:val="16"/>
              </w:rPr>
            </w:pPr>
            <w:r>
              <w:rPr>
                <w:i/>
                <w:color w:val="808080"/>
                <w:sz w:val="16"/>
              </w:rPr>
              <w:t>2001-date</w:t>
            </w:r>
          </w:p>
        </w:tc>
      </w:tr>
      <w:tr>
        <w:trPr>
          <w:trHeight w:val="303" w:hRule="atLeast"/>
        </w:trPr>
        <w:tc>
          <w:tcPr>
            <w:tcW w:w="1976" w:type="dxa"/>
          </w:tcPr>
          <w:p>
            <w:pPr>
              <w:pStyle w:val="TableParagraph"/>
              <w:spacing w:before="69"/>
              <w:ind w:left="115"/>
              <w:rPr>
                <w:sz w:val="16"/>
              </w:rPr>
            </w:pPr>
            <w:r>
              <w:rPr>
                <w:sz w:val="16"/>
              </w:rPr>
              <w:t>Sir Edward George</w:t>
            </w:r>
          </w:p>
        </w:tc>
        <w:tc>
          <w:tcPr>
            <w:tcW w:w="1713" w:type="dxa"/>
          </w:tcPr>
          <w:p>
            <w:pPr>
              <w:pStyle w:val="TableParagraph"/>
              <w:spacing w:before="69"/>
              <w:ind w:left="796" w:right="421"/>
              <w:jc w:val="center"/>
              <w:rPr>
                <w:sz w:val="16"/>
              </w:rPr>
            </w:pPr>
            <w:r>
              <w:rPr>
                <w:sz w:val="16"/>
              </w:rPr>
              <w:t>30</w:t>
            </w:r>
          </w:p>
        </w:tc>
        <w:tc>
          <w:tcPr>
            <w:tcW w:w="1833" w:type="dxa"/>
          </w:tcPr>
          <w:p>
            <w:pPr>
              <w:pStyle w:val="TableParagraph"/>
              <w:spacing w:before="69"/>
              <w:ind w:left="164" w:right="144"/>
              <w:jc w:val="center"/>
              <w:rPr>
                <w:sz w:val="16"/>
              </w:rPr>
            </w:pPr>
            <w:r>
              <w:rPr>
                <w:sz w:val="16"/>
              </w:rPr>
              <w:t>45</w:t>
            </w:r>
          </w:p>
        </w:tc>
        <w:tc>
          <w:tcPr>
            <w:tcW w:w="1490" w:type="dxa"/>
          </w:tcPr>
          <w:p>
            <w:pPr>
              <w:pStyle w:val="TableParagraph"/>
              <w:spacing w:before="69"/>
              <w:ind w:left="542"/>
              <w:rPr>
                <w:i/>
                <w:sz w:val="16"/>
              </w:rPr>
            </w:pPr>
            <w:r>
              <w:rPr>
                <w:i/>
                <w:color w:val="808080"/>
                <w:sz w:val="16"/>
              </w:rPr>
              <w:t>67</w:t>
            </w:r>
          </w:p>
        </w:tc>
        <w:tc>
          <w:tcPr>
            <w:tcW w:w="1741" w:type="dxa"/>
          </w:tcPr>
          <w:p>
            <w:pPr>
              <w:pStyle w:val="TableParagraph"/>
              <w:spacing w:before="69"/>
              <w:ind w:left="405"/>
              <w:rPr>
                <w:i/>
                <w:sz w:val="16"/>
              </w:rPr>
            </w:pPr>
            <w:r>
              <w:rPr>
                <w:i/>
                <w:color w:val="808080"/>
                <w:sz w:val="16"/>
              </w:rPr>
              <w:t>1997-2003</w:t>
            </w:r>
          </w:p>
        </w:tc>
      </w:tr>
      <w:tr>
        <w:trPr>
          <w:trHeight w:val="304" w:hRule="atLeast"/>
        </w:trPr>
        <w:tc>
          <w:tcPr>
            <w:tcW w:w="1976" w:type="dxa"/>
          </w:tcPr>
          <w:p>
            <w:pPr>
              <w:pStyle w:val="TableParagraph"/>
              <w:spacing w:before="69"/>
              <w:ind w:left="115"/>
              <w:rPr>
                <w:sz w:val="16"/>
              </w:rPr>
            </w:pPr>
            <w:r>
              <w:rPr>
                <w:color w:val="FF0000"/>
                <w:sz w:val="16"/>
              </w:rPr>
              <w:t>Richard Lambert</w:t>
            </w:r>
          </w:p>
        </w:tc>
        <w:tc>
          <w:tcPr>
            <w:tcW w:w="1713" w:type="dxa"/>
          </w:tcPr>
          <w:p>
            <w:pPr>
              <w:pStyle w:val="TableParagraph"/>
              <w:spacing w:before="69"/>
              <w:ind w:left="796" w:right="421"/>
              <w:jc w:val="center"/>
              <w:rPr>
                <w:sz w:val="16"/>
              </w:rPr>
            </w:pPr>
            <w:r>
              <w:rPr>
                <w:color w:val="FF0000"/>
                <w:sz w:val="16"/>
              </w:rPr>
              <w:t>29</w:t>
            </w:r>
          </w:p>
        </w:tc>
        <w:tc>
          <w:tcPr>
            <w:tcW w:w="1833" w:type="dxa"/>
          </w:tcPr>
          <w:p>
            <w:pPr>
              <w:pStyle w:val="TableParagraph"/>
              <w:spacing w:before="69"/>
              <w:ind w:left="164" w:right="144"/>
              <w:jc w:val="center"/>
              <w:rPr>
                <w:sz w:val="16"/>
              </w:rPr>
            </w:pPr>
            <w:r>
              <w:rPr>
                <w:color w:val="FF0000"/>
                <w:sz w:val="16"/>
              </w:rPr>
              <w:t>67</w:t>
            </w:r>
          </w:p>
        </w:tc>
        <w:tc>
          <w:tcPr>
            <w:tcW w:w="1490" w:type="dxa"/>
          </w:tcPr>
          <w:p>
            <w:pPr>
              <w:pStyle w:val="TableParagraph"/>
              <w:spacing w:before="69"/>
              <w:ind w:left="542"/>
              <w:rPr>
                <w:i/>
                <w:sz w:val="16"/>
              </w:rPr>
            </w:pPr>
            <w:r>
              <w:rPr>
                <w:i/>
                <w:color w:val="808080"/>
                <w:sz w:val="16"/>
              </w:rPr>
              <w:t>21</w:t>
            </w:r>
          </w:p>
        </w:tc>
        <w:tc>
          <w:tcPr>
            <w:tcW w:w="1741" w:type="dxa"/>
          </w:tcPr>
          <w:p>
            <w:pPr>
              <w:pStyle w:val="TableParagraph"/>
              <w:spacing w:before="69"/>
              <w:ind w:left="427"/>
              <w:rPr>
                <w:i/>
                <w:sz w:val="16"/>
              </w:rPr>
            </w:pPr>
            <w:r>
              <w:rPr>
                <w:i/>
                <w:color w:val="808080"/>
                <w:sz w:val="16"/>
              </w:rPr>
              <w:t>2003-date</w:t>
            </w:r>
          </w:p>
        </w:tc>
      </w:tr>
      <w:tr>
        <w:trPr>
          <w:trHeight w:val="304" w:hRule="atLeast"/>
        </w:trPr>
        <w:tc>
          <w:tcPr>
            <w:tcW w:w="1976" w:type="dxa"/>
          </w:tcPr>
          <w:p>
            <w:pPr>
              <w:pStyle w:val="TableParagraph"/>
              <w:spacing w:before="70"/>
              <w:ind w:left="115"/>
              <w:rPr>
                <w:sz w:val="16"/>
              </w:rPr>
            </w:pPr>
            <w:r>
              <w:rPr>
                <w:color w:val="FF0000"/>
                <w:sz w:val="16"/>
              </w:rPr>
              <w:t>Marian Bell</w:t>
            </w:r>
          </w:p>
        </w:tc>
        <w:tc>
          <w:tcPr>
            <w:tcW w:w="1713" w:type="dxa"/>
          </w:tcPr>
          <w:p>
            <w:pPr>
              <w:pStyle w:val="TableParagraph"/>
              <w:spacing w:before="70"/>
              <w:ind w:left="796" w:right="421"/>
              <w:jc w:val="center"/>
              <w:rPr>
                <w:sz w:val="16"/>
              </w:rPr>
            </w:pPr>
            <w:r>
              <w:rPr>
                <w:color w:val="FF0000"/>
                <w:sz w:val="16"/>
              </w:rPr>
              <w:t>28</w:t>
            </w:r>
          </w:p>
        </w:tc>
        <w:tc>
          <w:tcPr>
            <w:tcW w:w="1833" w:type="dxa"/>
          </w:tcPr>
          <w:p>
            <w:pPr>
              <w:pStyle w:val="TableParagraph"/>
              <w:spacing w:before="70"/>
              <w:ind w:left="164" w:right="144"/>
              <w:jc w:val="center"/>
              <w:rPr>
                <w:sz w:val="16"/>
              </w:rPr>
            </w:pPr>
            <w:r>
              <w:rPr>
                <w:color w:val="FF0000"/>
                <w:sz w:val="16"/>
              </w:rPr>
              <w:t>56</w:t>
            </w:r>
          </w:p>
        </w:tc>
        <w:tc>
          <w:tcPr>
            <w:tcW w:w="1490" w:type="dxa"/>
          </w:tcPr>
          <w:p>
            <w:pPr>
              <w:pStyle w:val="TableParagraph"/>
              <w:spacing w:before="70"/>
              <w:ind w:left="542"/>
              <w:rPr>
                <w:i/>
                <w:sz w:val="16"/>
              </w:rPr>
            </w:pPr>
            <w:r>
              <w:rPr>
                <w:i/>
                <w:color w:val="808080"/>
                <w:sz w:val="16"/>
              </w:rPr>
              <w:t>32</w:t>
            </w:r>
          </w:p>
        </w:tc>
        <w:tc>
          <w:tcPr>
            <w:tcW w:w="1741" w:type="dxa"/>
          </w:tcPr>
          <w:p>
            <w:pPr>
              <w:pStyle w:val="TableParagraph"/>
              <w:spacing w:before="70"/>
              <w:ind w:left="427"/>
              <w:rPr>
                <w:i/>
                <w:sz w:val="16"/>
              </w:rPr>
            </w:pPr>
            <w:r>
              <w:rPr>
                <w:i/>
                <w:color w:val="808080"/>
                <w:sz w:val="16"/>
              </w:rPr>
              <w:t>2002-date</w:t>
            </w:r>
          </w:p>
        </w:tc>
      </w:tr>
      <w:tr>
        <w:trPr>
          <w:trHeight w:val="303" w:hRule="atLeast"/>
        </w:trPr>
        <w:tc>
          <w:tcPr>
            <w:tcW w:w="1976" w:type="dxa"/>
          </w:tcPr>
          <w:p>
            <w:pPr>
              <w:pStyle w:val="TableParagraph"/>
              <w:spacing w:before="69"/>
              <w:ind w:left="115"/>
              <w:rPr>
                <w:sz w:val="16"/>
              </w:rPr>
            </w:pPr>
            <w:r>
              <w:rPr>
                <w:color w:val="FF0000"/>
                <w:sz w:val="16"/>
              </w:rPr>
              <w:t>Charles Bean</w:t>
            </w:r>
          </w:p>
        </w:tc>
        <w:tc>
          <w:tcPr>
            <w:tcW w:w="1713" w:type="dxa"/>
          </w:tcPr>
          <w:p>
            <w:pPr>
              <w:pStyle w:val="TableParagraph"/>
              <w:spacing w:before="69"/>
              <w:ind w:left="796" w:right="421"/>
              <w:jc w:val="center"/>
              <w:rPr>
                <w:sz w:val="16"/>
              </w:rPr>
            </w:pPr>
            <w:r>
              <w:rPr>
                <w:color w:val="FF0000"/>
                <w:sz w:val="16"/>
              </w:rPr>
              <w:t>28</w:t>
            </w:r>
          </w:p>
        </w:tc>
        <w:tc>
          <w:tcPr>
            <w:tcW w:w="1833" w:type="dxa"/>
          </w:tcPr>
          <w:p>
            <w:pPr>
              <w:pStyle w:val="TableParagraph"/>
              <w:spacing w:before="69"/>
              <w:ind w:left="164" w:right="144"/>
              <w:jc w:val="center"/>
              <w:rPr>
                <w:sz w:val="16"/>
              </w:rPr>
            </w:pPr>
            <w:r>
              <w:rPr>
                <w:color w:val="FF0000"/>
                <w:sz w:val="16"/>
              </w:rPr>
              <w:t>60</w:t>
            </w:r>
          </w:p>
        </w:tc>
        <w:tc>
          <w:tcPr>
            <w:tcW w:w="1490" w:type="dxa"/>
          </w:tcPr>
          <w:p>
            <w:pPr>
              <w:pStyle w:val="TableParagraph"/>
              <w:spacing w:before="69"/>
              <w:ind w:left="542"/>
              <w:rPr>
                <w:i/>
                <w:sz w:val="16"/>
              </w:rPr>
            </w:pPr>
            <w:r>
              <w:rPr>
                <w:i/>
                <w:color w:val="808080"/>
                <w:sz w:val="16"/>
              </w:rPr>
              <w:t>54</w:t>
            </w:r>
          </w:p>
        </w:tc>
        <w:tc>
          <w:tcPr>
            <w:tcW w:w="1741" w:type="dxa"/>
          </w:tcPr>
          <w:p>
            <w:pPr>
              <w:pStyle w:val="TableParagraph"/>
              <w:spacing w:before="69"/>
              <w:ind w:left="427"/>
              <w:rPr>
                <w:i/>
                <w:sz w:val="16"/>
              </w:rPr>
            </w:pPr>
            <w:r>
              <w:rPr>
                <w:i/>
                <w:color w:val="808080"/>
                <w:sz w:val="16"/>
              </w:rPr>
              <w:t>2000-date</w:t>
            </w:r>
          </w:p>
        </w:tc>
      </w:tr>
      <w:tr>
        <w:trPr>
          <w:trHeight w:val="304" w:hRule="atLeast"/>
        </w:trPr>
        <w:tc>
          <w:tcPr>
            <w:tcW w:w="1976" w:type="dxa"/>
          </w:tcPr>
          <w:p>
            <w:pPr>
              <w:pStyle w:val="TableParagraph"/>
              <w:spacing w:before="69"/>
              <w:ind w:left="115"/>
              <w:rPr>
                <w:sz w:val="16"/>
              </w:rPr>
            </w:pPr>
            <w:r>
              <w:rPr>
                <w:color w:val="FF0000"/>
                <w:sz w:val="16"/>
              </w:rPr>
              <w:t>Rachel Lomax</w:t>
            </w:r>
          </w:p>
        </w:tc>
        <w:tc>
          <w:tcPr>
            <w:tcW w:w="1713" w:type="dxa"/>
          </w:tcPr>
          <w:p>
            <w:pPr>
              <w:pStyle w:val="TableParagraph"/>
              <w:spacing w:before="69"/>
              <w:ind w:left="796" w:right="420"/>
              <w:jc w:val="center"/>
              <w:rPr>
                <w:sz w:val="16"/>
              </w:rPr>
            </w:pPr>
            <w:r>
              <w:rPr>
                <w:color w:val="FF0000"/>
                <w:sz w:val="16"/>
              </w:rPr>
              <w:t>25</w:t>
            </w:r>
          </w:p>
        </w:tc>
        <w:tc>
          <w:tcPr>
            <w:tcW w:w="1833" w:type="dxa"/>
          </w:tcPr>
          <w:p>
            <w:pPr>
              <w:pStyle w:val="TableParagraph"/>
              <w:spacing w:before="69"/>
              <w:ind w:left="164" w:right="143"/>
              <w:jc w:val="center"/>
              <w:rPr>
                <w:sz w:val="16"/>
              </w:rPr>
            </w:pPr>
            <w:r>
              <w:rPr>
                <w:color w:val="FF0000"/>
                <w:sz w:val="16"/>
              </w:rPr>
              <w:t>80</w:t>
            </w:r>
          </w:p>
        </w:tc>
        <w:tc>
          <w:tcPr>
            <w:tcW w:w="1490" w:type="dxa"/>
          </w:tcPr>
          <w:p>
            <w:pPr>
              <w:pStyle w:val="TableParagraph"/>
              <w:spacing w:before="69"/>
              <w:ind w:left="542"/>
              <w:rPr>
                <w:i/>
                <w:sz w:val="16"/>
              </w:rPr>
            </w:pPr>
            <w:r>
              <w:rPr>
                <w:i/>
                <w:color w:val="808080"/>
                <w:sz w:val="16"/>
              </w:rPr>
              <w:t>20</w:t>
            </w:r>
          </w:p>
        </w:tc>
        <w:tc>
          <w:tcPr>
            <w:tcW w:w="1741" w:type="dxa"/>
          </w:tcPr>
          <w:p>
            <w:pPr>
              <w:pStyle w:val="TableParagraph"/>
              <w:spacing w:before="69"/>
              <w:ind w:left="427"/>
              <w:rPr>
                <w:i/>
                <w:sz w:val="16"/>
              </w:rPr>
            </w:pPr>
            <w:r>
              <w:rPr>
                <w:i/>
                <w:color w:val="808080"/>
                <w:sz w:val="16"/>
              </w:rPr>
              <w:t>2003-date</w:t>
            </w:r>
          </w:p>
        </w:tc>
      </w:tr>
      <w:tr>
        <w:trPr>
          <w:trHeight w:val="364" w:hRule="atLeast"/>
        </w:trPr>
        <w:tc>
          <w:tcPr>
            <w:tcW w:w="1976" w:type="dxa"/>
            <w:tcBorders>
              <w:bottom w:val="single" w:sz="12" w:space="0" w:color="0000FF"/>
            </w:tcBorders>
          </w:tcPr>
          <w:p>
            <w:pPr>
              <w:pStyle w:val="TableParagraph"/>
              <w:spacing w:before="70"/>
              <w:ind w:left="115"/>
              <w:rPr>
                <w:sz w:val="16"/>
              </w:rPr>
            </w:pPr>
            <w:r>
              <w:rPr>
                <w:color w:val="FF0000"/>
                <w:sz w:val="16"/>
              </w:rPr>
              <w:t>Paul Tucker</w:t>
            </w:r>
          </w:p>
        </w:tc>
        <w:tc>
          <w:tcPr>
            <w:tcW w:w="1713" w:type="dxa"/>
            <w:tcBorders>
              <w:bottom w:val="single" w:sz="12" w:space="0" w:color="0000FF"/>
            </w:tcBorders>
          </w:tcPr>
          <w:p>
            <w:pPr>
              <w:pStyle w:val="TableParagraph"/>
              <w:spacing w:before="70"/>
              <w:ind w:left="796" w:right="421"/>
              <w:jc w:val="center"/>
              <w:rPr>
                <w:sz w:val="16"/>
              </w:rPr>
            </w:pPr>
            <w:r>
              <w:rPr>
                <w:color w:val="FF0000"/>
                <w:sz w:val="16"/>
              </w:rPr>
              <w:t>24</w:t>
            </w:r>
          </w:p>
        </w:tc>
        <w:tc>
          <w:tcPr>
            <w:tcW w:w="1833" w:type="dxa"/>
            <w:tcBorders>
              <w:bottom w:val="single" w:sz="12" w:space="0" w:color="0000FF"/>
            </w:tcBorders>
          </w:tcPr>
          <w:p>
            <w:pPr>
              <w:pStyle w:val="TableParagraph"/>
              <w:spacing w:before="70"/>
              <w:ind w:left="164" w:right="144"/>
              <w:jc w:val="center"/>
              <w:rPr>
                <w:sz w:val="16"/>
              </w:rPr>
            </w:pPr>
            <w:r>
              <w:rPr>
                <w:color w:val="FF0000"/>
                <w:sz w:val="16"/>
              </w:rPr>
              <w:t>63</w:t>
            </w:r>
          </w:p>
        </w:tc>
        <w:tc>
          <w:tcPr>
            <w:tcW w:w="1490" w:type="dxa"/>
            <w:tcBorders>
              <w:bottom w:val="single" w:sz="12" w:space="0" w:color="0000FF"/>
            </w:tcBorders>
          </w:tcPr>
          <w:p>
            <w:pPr>
              <w:pStyle w:val="TableParagraph"/>
              <w:spacing w:before="70"/>
              <w:ind w:left="542"/>
              <w:rPr>
                <w:i/>
                <w:sz w:val="16"/>
              </w:rPr>
            </w:pPr>
            <w:r>
              <w:rPr>
                <w:i/>
                <w:color w:val="808080"/>
                <w:sz w:val="16"/>
              </w:rPr>
              <w:t>33</w:t>
            </w:r>
          </w:p>
        </w:tc>
        <w:tc>
          <w:tcPr>
            <w:tcW w:w="1741" w:type="dxa"/>
            <w:tcBorders>
              <w:bottom w:val="single" w:sz="12" w:space="0" w:color="0000FF"/>
            </w:tcBorders>
          </w:tcPr>
          <w:p>
            <w:pPr>
              <w:pStyle w:val="TableParagraph"/>
              <w:spacing w:before="70"/>
              <w:ind w:left="427"/>
              <w:rPr>
                <w:i/>
                <w:sz w:val="16"/>
              </w:rPr>
            </w:pPr>
            <w:r>
              <w:rPr>
                <w:i/>
                <w:color w:val="808080"/>
                <w:sz w:val="16"/>
              </w:rPr>
              <w:t>2002-date</w:t>
            </w:r>
          </w:p>
        </w:tc>
      </w:tr>
    </w:tbl>
    <w:p>
      <w:pPr>
        <w:spacing w:before="0"/>
        <w:ind w:left="1280" w:right="0" w:firstLine="0"/>
        <w:jc w:val="left"/>
        <w:rPr>
          <w:sz w:val="16"/>
        </w:rPr>
      </w:pPr>
      <w:r>
        <w:rPr>
          <w:position w:val="7"/>
          <w:sz w:val="10"/>
        </w:rPr>
        <w:t>1 </w:t>
      </w:r>
      <w:r>
        <w:rPr>
          <w:sz w:val="16"/>
        </w:rPr>
        <w:t>Up to and including the February 2005 MPC meeting.</w:t>
      </w:r>
    </w:p>
    <w:p>
      <w:pPr>
        <w:pStyle w:val="BodyText"/>
        <w:rPr>
          <w:sz w:val="18"/>
        </w:rPr>
      </w:pPr>
    </w:p>
    <w:p>
      <w:pPr>
        <w:pStyle w:val="BodyText"/>
        <w:rPr>
          <w:sz w:val="18"/>
        </w:rPr>
      </w:pPr>
    </w:p>
    <w:p>
      <w:pPr>
        <w:pStyle w:val="BodyText"/>
        <w:spacing w:before="1"/>
        <w:rPr>
          <w:sz w:val="16"/>
        </w:rPr>
      </w:pPr>
    </w:p>
    <w:p>
      <w:pPr>
        <w:pStyle w:val="BodyText"/>
        <w:spacing w:line="312" w:lineRule="auto"/>
        <w:ind w:left="1280" w:right="1516"/>
      </w:pPr>
      <w:r>
        <w:rPr/>
        <w:t>Has the publication of regular forecasts, which are seen to bear a close relationship to the decision taking process, helped to make the policy decisions themselves more</w:t>
      </w:r>
    </w:p>
    <w:p>
      <w:pPr>
        <w:pStyle w:val="BodyText"/>
        <w:rPr>
          <w:sz w:val="20"/>
        </w:rPr>
      </w:pPr>
    </w:p>
    <w:p>
      <w:pPr>
        <w:pStyle w:val="BodyText"/>
        <w:spacing w:before="2"/>
        <w:rPr>
          <w:sz w:val="10"/>
        </w:rPr>
      </w:pPr>
      <w:r>
        <w:rPr/>
        <w:pict>
          <v:shape style="position:absolute;margin-left:90pt;margin-top:8.126396pt;width:144pt;height:.1pt;mso-position-horizontal-relative:page;mso-position-vertical-relative:paragraph;z-index:-251642880;mso-wrap-distance-left:0;mso-wrap-distance-right:0" coordorigin="1800,163" coordsize="2880,0" path="m1800,163l4680,163e" filled="false" stroked="true" strokeweight=".6pt" strokecolor="#000000">
            <v:path arrowok="t"/>
            <v:stroke dashstyle="solid"/>
            <w10:wrap type="topAndBottom"/>
          </v:shape>
        </w:pict>
      </w:r>
    </w:p>
    <w:p>
      <w:pPr>
        <w:spacing w:before="49"/>
        <w:ind w:left="1279" w:right="1577" w:firstLine="0"/>
        <w:jc w:val="both"/>
        <w:rPr>
          <w:sz w:val="20"/>
        </w:rPr>
      </w:pPr>
      <w:r>
        <w:rPr>
          <w:position w:val="9"/>
          <w:sz w:val="13"/>
        </w:rPr>
        <w:t>9 </w:t>
      </w:r>
      <w:r>
        <w:rPr>
          <w:sz w:val="20"/>
        </w:rPr>
        <w:t>We have excluded the first 7 months of the MPC’s existence to allow for the possibility that the first rate changes were reflecting necessary adjustments to reach what the MPC thought was the right level of interest rates.</w:t>
      </w:r>
    </w:p>
    <w:p>
      <w:pPr>
        <w:spacing w:line="230" w:lineRule="exact" w:before="0"/>
        <w:ind w:left="1280" w:right="0" w:firstLine="0"/>
        <w:jc w:val="left"/>
        <w:rPr>
          <w:sz w:val="20"/>
        </w:rPr>
      </w:pPr>
      <w:r>
        <w:rPr>
          <w:position w:val="9"/>
          <w:sz w:val="13"/>
        </w:rPr>
        <w:t>10 </w:t>
      </w:r>
      <w:r>
        <w:rPr>
          <w:sz w:val="20"/>
        </w:rPr>
        <w:t>There are, of course, also other possible explanations, e.g. if a member has views which are</w:t>
      </w:r>
    </w:p>
    <w:p>
      <w:pPr>
        <w:spacing w:before="0"/>
        <w:ind w:left="1280" w:right="1472" w:firstLine="0"/>
        <w:jc w:val="left"/>
        <w:rPr>
          <w:sz w:val="20"/>
        </w:rPr>
      </w:pPr>
      <w:r>
        <w:rPr>
          <w:sz w:val="20"/>
        </w:rPr>
        <w:t>consistently adrift of the rest of the Committee, leading them to believe that rates are significantly too low/high, then they may repeatedly – and unsuccessfully – vote for a change without being ‘activist’ in the sense of wanting to change rates frequently in response to news.</w:t>
      </w:r>
    </w:p>
    <w:p>
      <w:pPr>
        <w:spacing w:after="0"/>
        <w:jc w:val="left"/>
        <w:rPr>
          <w:sz w:val="20"/>
        </w:rPr>
        <w:sectPr>
          <w:pgSz w:w="11900" w:h="16840"/>
          <w:pgMar w:header="716" w:footer="0" w:top="1300" w:bottom="280" w:left="520" w:right="360"/>
        </w:sectPr>
      </w:pPr>
    </w:p>
    <w:p>
      <w:pPr>
        <w:pStyle w:val="BodyText"/>
        <w:spacing w:line="312" w:lineRule="auto" w:before="118"/>
        <w:ind w:left="1280" w:right="1509"/>
      </w:pPr>
      <w:r>
        <w:rPr/>
        <w:t>predictable? The test is whether markets are less likely to be surprised by interest rate changes, given full knowledge of all the relevant economic news.</w:t>
      </w:r>
    </w:p>
    <w:p>
      <w:pPr>
        <w:pStyle w:val="BodyText"/>
        <w:spacing w:before="10"/>
        <w:rPr>
          <w:sz w:val="20"/>
        </w:rPr>
      </w:pPr>
    </w:p>
    <w:p>
      <w:pPr>
        <w:pStyle w:val="BodyText"/>
        <w:spacing w:line="312" w:lineRule="auto"/>
        <w:ind w:left="1280" w:right="1529"/>
      </w:pPr>
      <w:r>
        <w:rPr/>
        <w:t>We ran some simple statistical tests on two measures of ‘market surprises’. One is based on the Reuters poll of economists. The surprise measure is the difference between the actual repo rate change and the mean expected repo rate change. The other surprise measure is a bit further out along the yield curve: changes in the implied three-month forward LIBOR rate.</w:t>
      </w:r>
      <w:r>
        <w:rPr>
          <w:vertAlign w:val="superscript"/>
        </w:rPr>
        <w:t>11</w:t>
      </w:r>
    </w:p>
    <w:p>
      <w:pPr>
        <w:pStyle w:val="BodyText"/>
        <w:spacing w:line="312" w:lineRule="auto" w:before="240"/>
        <w:ind w:left="1280" w:right="1634"/>
      </w:pPr>
      <w:r>
        <w:rPr/>
        <w:t>Both measures suggest that interest rate surprises have become significantly smaller in the post-2001 period than previously (Table 2 Panel C), consistent with improved policy predictability. But, intriguingly, there is also some tentative evidence that surprises in </w:t>
      </w:r>
      <w:r>
        <w:rPr>
          <w:i/>
        </w:rPr>
        <w:t>Inflation Report </w:t>
      </w:r>
      <w:r>
        <w:rPr/>
        <w:t>months tend to be relatively large.</w:t>
      </w:r>
      <w:r>
        <w:rPr>
          <w:vertAlign w:val="superscript"/>
        </w:rPr>
        <w:t>12</w:t>
      </w:r>
      <w:r>
        <w:rPr>
          <w:vertAlign w:val="baseline"/>
        </w:rPr>
        <w:t> What are we to make of that?</w:t>
      </w:r>
    </w:p>
    <w:p>
      <w:pPr>
        <w:pStyle w:val="BodyText"/>
        <w:spacing w:before="10"/>
        <w:rPr>
          <w:sz w:val="20"/>
        </w:rPr>
      </w:pPr>
    </w:p>
    <w:p>
      <w:pPr>
        <w:pStyle w:val="BodyText"/>
        <w:spacing w:line="312" w:lineRule="auto" w:before="1"/>
        <w:ind w:left="1280" w:right="1436"/>
      </w:pPr>
      <w:r>
        <w:rPr/>
        <w:t>On closer inspection, this finding seems to relate to the decision in </w:t>
      </w:r>
      <w:r>
        <w:rPr>
          <w:i/>
        </w:rPr>
        <w:t>Inflation Report </w:t>
      </w:r>
      <w:r>
        <w:rPr/>
        <w:t>months – not the publication of the </w:t>
      </w:r>
      <w:r>
        <w:rPr>
          <w:i/>
        </w:rPr>
        <w:t>Report </w:t>
      </w:r>
      <w:r>
        <w:rPr/>
        <w:t>itself a week later, or the minutes the week after that (Panel E shows that the market reaction to the policy decision is, on average, significantly bigger than the reaction to the </w:t>
      </w:r>
      <w:r>
        <w:rPr>
          <w:i/>
        </w:rPr>
        <w:t>Report </w:t>
      </w:r>
      <w:r>
        <w:rPr/>
        <w:t>and the minutes).  This might imply that it is the rethink during the preparation of the </w:t>
      </w:r>
      <w:r>
        <w:rPr>
          <w:i/>
        </w:rPr>
        <w:t>Inflation Report </w:t>
      </w:r>
      <w:r>
        <w:rPr/>
        <w:t>that</w:t>
      </w:r>
      <w:r>
        <w:rPr>
          <w:spacing w:val="-11"/>
        </w:rPr>
        <w:t> </w:t>
      </w:r>
      <w:r>
        <w:rPr/>
        <w:t>counts.</w:t>
      </w:r>
    </w:p>
    <w:p>
      <w:pPr>
        <w:pStyle w:val="BodyText"/>
        <w:spacing w:line="312" w:lineRule="auto"/>
        <w:ind w:left="1280" w:right="1609"/>
      </w:pPr>
      <w:r>
        <w:rPr/>
        <w:t>But, once announced, the decision itself (and the accompanying press notice, if rates have changed) provides most of the information the market needs to understand the Committee’s approach. This would be consistent with a fairly high degree of policy predictability.</w:t>
      </w:r>
    </w:p>
    <w:p>
      <w:pPr>
        <w:pStyle w:val="BodyText"/>
        <w:spacing w:before="9"/>
        <w:rPr>
          <w:sz w:val="20"/>
        </w:rPr>
      </w:pPr>
    </w:p>
    <w:p>
      <w:pPr>
        <w:pStyle w:val="BodyText"/>
        <w:spacing w:line="312" w:lineRule="auto"/>
        <w:ind w:left="1279" w:right="1457"/>
      </w:pPr>
      <w:r>
        <w:rPr/>
        <w:t>It is worth emphasising that the observed tendency for interest rate changes to coincide with the publication of an </w:t>
      </w:r>
      <w:r>
        <w:rPr>
          <w:i/>
        </w:rPr>
        <w:t>Inflation Report </w:t>
      </w:r>
      <w:r>
        <w:rPr/>
        <w:t>does </w:t>
      </w:r>
      <w:r>
        <w:rPr>
          <w:b/>
        </w:rPr>
        <w:t>not </w:t>
      </w:r>
      <w:r>
        <w:rPr/>
        <w:t>imply that interest rate changes are tied in any mechanical way to the central projection for inflation. The assessment of risks is always a material factor in determining policy, as well as an important aspect of the presentation of the forecast. For example in our latest </w:t>
      </w:r>
      <w:r>
        <w:rPr>
          <w:i/>
        </w:rPr>
        <w:t>Inflation </w:t>
      </w:r>
      <w:r>
        <w:rPr>
          <w:i/>
        </w:rPr>
        <w:t>Report </w:t>
      </w:r>
      <w:r>
        <w:rPr/>
        <w:t>we published a central projection which showed inflation rising gently but steadily above the 2% target, assuming a nearly flat profile of interest rates out to three years. But the </w:t>
      </w:r>
      <w:r>
        <w:rPr>
          <w:i/>
        </w:rPr>
        <w:t>Report </w:t>
      </w:r>
      <w:r>
        <w:rPr/>
        <w:t>noted that the balance of risks was to the downside and singled out some key near term risk areas, such as the household sector. This</w:t>
      </w:r>
    </w:p>
    <w:p>
      <w:pPr>
        <w:pStyle w:val="BodyText"/>
        <w:spacing w:before="8"/>
        <w:rPr>
          <w:sz w:val="20"/>
        </w:rPr>
      </w:pPr>
      <w:r>
        <w:rPr/>
        <w:pict>
          <v:shape style="position:absolute;margin-left:90pt;margin-top:14.160017pt;width:144pt;height:.1pt;mso-position-horizontal-relative:page;mso-position-vertical-relative:paragraph;z-index:-251641856;mso-wrap-distance-left:0;mso-wrap-distance-right:0" coordorigin="1800,283" coordsize="2880,0" path="m1800,283l4680,283e" filled="false" stroked="true" strokeweight=".6pt" strokecolor="#000000">
            <v:path arrowok="t"/>
            <v:stroke dashstyle="solid"/>
            <w10:wrap type="topAndBottom"/>
          </v:shape>
        </w:pict>
      </w:r>
    </w:p>
    <w:p>
      <w:pPr>
        <w:spacing w:before="49"/>
        <w:ind w:left="1280" w:right="1529" w:firstLine="0"/>
        <w:jc w:val="left"/>
        <w:rPr>
          <w:sz w:val="20"/>
        </w:rPr>
      </w:pPr>
      <w:r>
        <w:rPr>
          <w:position w:val="9"/>
          <w:sz w:val="13"/>
        </w:rPr>
        <w:t>11 </w:t>
      </w:r>
      <w:r>
        <w:rPr>
          <w:sz w:val="20"/>
        </w:rPr>
        <w:t>More precisely, this is an implied 3-month Libor forward rate at a constant horizon of 3-months, where the constant horizon is calculated by linear interpolation of adjacent futures contracts. The results are largely invariant to using six or twelve month horizons.</w:t>
      </w:r>
    </w:p>
    <w:p>
      <w:pPr>
        <w:spacing w:line="230" w:lineRule="exact" w:before="0"/>
        <w:ind w:left="1280" w:right="0" w:firstLine="0"/>
        <w:jc w:val="left"/>
        <w:rPr>
          <w:sz w:val="20"/>
        </w:rPr>
      </w:pPr>
      <w:r>
        <w:rPr>
          <w:position w:val="9"/>
          <w:sz w:val="13"/>
        </w:rPr>
        <w:t>12 </w:t>
      </w:r>
      <w:r>
        <w:rPr>
          <w:sz w:val="20"/>
        </w:rPr>
        <w:t>This could, of course, be entirely driven by the expectation that there would be no move in non-</w:t>
      </w:r>
    </w:p>
    <w:p>
      <w:pPr>
        <w:spacing w:before="0"/>
        <w:ind w:left="1280" w:right="1427" w:firstLine="0"/>
        <w:jc w:val="left"/>
        <w:rPr>
          <w:sz w:val="20"/>
        </w:rPr>
      </w:pPr>
      <w:r>
        <w:rPr>
          <w:i/>
          <w:sz w:val="20"/>
        </w:rPr>
        <w:t>Inflation Report </w:t>
      </w:r>
      <w:r>
        <w:rPr>
          <w:sz w:val="20"/>
        </w:rPr>
        <w:t>months: in the extreme, if the distribution of surprises in those months is degenerate (i.e. so that no one expected a change in rate and this was what actually happened) then the statement that surprises are bigger in </w:t>
      </w:r>
      <w:r>
        <w:rPr>
          <w:i/>
          <w:sz w:val="20"/>
        </w:rPr>
        <w:t>Inflation Report </w:t>
      </w:r>
      <w:r>
        <w:rPr>
          <w:sz w:val="20"/>
        </w:rPr>
        <w:t>months is no different from the statement that rates are only expected to change in these months. The closer the distribution comes to being degenerate, the more weight should be attached to that interpretation. But both the average surprise and its variance are significant.</w:t>
      </w:r>
    </w:p>
    <w:p>
      <w:pPr>
        <w:spacing w:after="0"/>
        <w:jc w:val="left"/>
        <w:rPr>
          <w:sz w:val="20"/>
        </w:rPr>
        <w:sectPr>
          <w:pgSz w:w="11900" w:h="16840"/>
          <w:pgMar w:header="716" w:footer="0" w:top="1300" w:bottom="280" w:left="520" w:right="360"/>
        </w:sectPr>
      </w:pPr>
    </w:p>
    <w:p>
      <w:pPr>
        <w:pStyle w:val="BodyText"/>
        <w:spacing w:line="312" w:lineRule="auto" w:before="118"/>
        <w:ind w:left="1280" w:right="2275"/>
      </w:pPr>
      <w:r>
        <w:rPr/>
        <w:t>provided a nuanced background to the MPC’s February decision to hold rates unchanged.</w:t>
      </w:r>
    </w:p>
    <w:p>
      <w:pPr>
        <w:pStyle w:val="BodyText"/>
        <w:spacing w:before="1"/>
        <w:rPr>
          <w:sz w:val="21"/>
        </w:rPr>
      </w:pPr>
    </w:p>
    <w:p>
      <w:pPr>
        <w:pStyle w:val="Heading1"/>
      </w:pPr>
      <w:r>
        <w:rPr/>
        <w:t>Forecasts and public communication</w:t>
      </w:r>
    </w:p>
    <w:p>
      <w:pPr>
        <w:pStyle w:val="BodyText"/>
        <w:spacing w:before="10"/>
        <w:rPr>
          <w:b/>
          <w:sz w:val="27"/>
        </w:rPr>
      </w:pPr>
    </w:p>
    <w:p>
      <w:pPr>
        <w:pStyle w:val="BodyText"/>
        <w:spacing w:line="312" w:lineRule="auto"/>
        <w:ind w:left="1280" w:right="1429"/>
      </w:pPr>
      <w:r>
        <w:rPr/>
        <w:t>All inflation targeting central banks use their forecasts as a communication tool. They provide a coherent statement of policymakers’ thinking about the economic outlook and the policy stance. Together with the minutes of the policy meetings (in our case published with individual votes after two weeks), this helps to discharge the Committee’s democratic duty to explain itself, as well as supporting its credibility and helping to anchor inflation expectations.</w:t>
      </w:r>
      <w:r>
        <w:rPr>
          <w:vertAlign w:val="superscript"/>
        </w:rPr>
        <w:t>13</w:t>
      </w:r>
      <w:r>
        <w:rPr>
          <w:vertAlign w:val="baseline"/>
        </w:rPr>
        <w:t> The </w:t>
      </w:r>
      <w:r>
        <w:rPr>
          <w:i/>
          <w:vertAlign w:val="baseline"/>
        </w:rPr>
        <w:t>Inflation Report </w:t>
      </w:r>
      <w:r>
        <w:rPr>
          <w:vertAlign w:val="baseline"/>
        </w:rPr>
        <w:t>plays a central role in the Committee’s communication. Since August 2003 the Governor has fronted the regular </w:t>
      </w:r>
      <w:r>
        <w:rPr>
          <w:i/>
          <w:vertAlign w:val="baseline"/>
        </w:rPr>
        <w:t>Inflation Report </w:t>
      </w:r>
      <w:r>
        <w:rPr>
          <w:vertAlign w:val="baseline"/>
        </w:rPr>
        <w:t>press conference, and the MPC’s appearances in front of the Treasury Select Committee has been (loosely) linked to the </w:t>
      </w:r>
      <w:r>
        <w:rPr>
          <w:i/>
          <w:vertAlign w:val="baseline"/>
        </w:rPr>
        <w:t>Inflation Report </w:t>
      </w:r>
      <w:r>
        <w:rPr>
          <w:vertAlign w:val="baseline"/>
        </w:rPr>
        <w:t>cycle.</w:t>
      </w:r>
    </w:p>
    <w:p>
      <w:pPr>
        <w:pStyle w:val="BodyText"/>
        <w:spacing w:before="10"/>
        <w:rPr>
          <w:sz w:val="20"/>
        </w:rPr>
      </w:pPr>
    </w:p>
    <w:p>
      <w:pPr>
        <w:pStyle w:val="BodyText"/>
        <w:spacing w:line="312" w:lineRule="auto"/>
        <w:ind w:left="1280" w:right="1509"/>
      </w:pPr>
      <w:r>
        <w:rPr/>
        <w:t>This brings me to a much debated question: how much information should a central bank provide? Academics have tended to press the case for more transparency, while practicing central bankers have been more cautious, (though much more predisposed to openness than they would have been twenty years ago). Don Kohn</w:t>
      </w:r>
      <w:r>
        <w:rPr>
          <w:vertAlign w:val="superscript"/>
        </w:rPr>
        <w:t>14</w:t>
      </w:r>
      <w:r>
        <w:rPr>
          <w:vertAlign w:val="baseline"/>
        </w:rPr>
        <w:t> argues that “more is not necessarily always better, and at each step of the way central banks have needed to take account of the potential costs as well as the benefits of greater transparency”. In particular it is argued that the publication of some kinds of information could make it more difficult for policymakers to do their job, with discussions of the possible path of future interest rates being seen as particularly hazardous, if they appear “as a firmer pre commitment than they were intended to be”.</w:t>
      </w:r>
      <w:r>
        <w:rPr>
          <w:vertAlign w:val="superscript"/>
        </w:rPr>
        <w:t>15</w:t>
      </w:r>
    </w:p>
    <w:p>
      <w:pPr>
        <w:pStyle w:val="BodyText"/>
        <w:spacing w:line="312" w:lineRule="auto" w:before="240"/>
        <w:ind w:left="1280" w:right="1530"/>
      </w:pPr>
      <w:r>
        <w:rPr/>
        <w:t>Arguably these should not be a first order issues for central banks with a transparent inflation targeting framework. The objectives of policy are clear, and outside commentators should have access to enough information to work out the future direction of rates for themselves. Nevertheless there has been a closely related debate</w:t>
      </w:r>
    </w:p>
    <w:p>
      <w:pPr>
        <w:pStyle w:val="BodyText"/>
        <w:rPr>
          <w:sz w:val="19"/>
        </w:rPr>
      </w:pPr>
      <w:r>
        <w:rPr/>
        <w:pict>
          <v:shape style="position:absolute;margin-left:90pt;margin-top:13.185486pt;width:144pt;height:.1pt;mso-position-horizontal-relative:page;mso-position-vertical-relative:paragraph;z-index:-251640832;mso-wrap-distance-left:0;mso-wrap-distance-right:0" coordorigin="1800,264" coordsize="2880,0" path="m1800,264l4680,264e" filled="false" stroked="true" strokeweight=".6pt" strokecolor="#000000">
            <v:path arrowok="t"/>
            <v:stroke dashstyle="solid"/>
            <w10:wrap type="topAndBottom"/>
          </v:shape>
        </w:pict>
      </w:r>
    </w:p>
    <w:p>
      <w:pPr>
        <w:spacing w:before="49"/>
        <w:ind w:left="1280" w:right="1584" w:firstLine="0"/>
        <w:jc w:val="left"/>
        <w:rPr>
          <w:sz w:val="20"/>
        </w:rPr>
      </w:pPr>
      <w:r>
        <w:rPr>
          <w:position w:val="9"/>
          <w:sz w:val="13"/>
        </w:rPr>
        <w:t>13 </w:t>
      </w:r>
      <w:r>
        <w:rPr>
          <w:sz w:val="20"/>
        </w:rPr>
        <w:t>As Mishkin puts it ‘.[H]aving secretive central banks is inherently undemocratic…[B]asic democratic principles require that the central bank be accountable for its actions: this requires that the public understands what the central bank is doing. In addition, democratic principles indicate that the preferences of policymakers need to be aligned with those of the society at large.’ </w:t>
      </w:r>
      <w:r>
        <w:rPr>
          <w:b/>
          <w:sz w:val="20"/>
        </w:rPr>
        <w:t>Mishkin, F (2004) </w:t>
      </w:r>
      <w:r>
        <w:rPr>
          <w:sz w:val="20"/>
        </w:rPr>
        <w:t>‘Can central bank transparency go too far?’ in </w:t>
      </w:r>
      <w:r>
        <w:rPr>
          <w:b/>
          <w:sz w:val="20"/>
        </w:rPr>
        <w:t>Kent, C and Guttman, S </w:t>
      </w:r>
      <w:r>
        <w:rPr>
          <w:sz w:val="20"/>
        </w:rPr>
        <w:t>(eds.) </w:t>
      </w:r>
      <w:r>
        <w:rPr>
          <w:i/>
          <w:sz w:val="20"/>
        </w:rPr>
        <w:t>The future of inflation </w:t>
      </w:r>
      <w:r>
        <w:rPr>
          <w:i/>
          <w:sz w:val="20"/>
        </w:rPr>
        <w:t>targeting </w:t>
      </w:r>
      <w:r>
        <w:rPr>
          <w:sz w:val="20"/>
        </w:rPr>
        <w:t>Reserve Bank of</w:t>
      </w:r>
      <w:r>
        <w:rPr>
          <w:spacing w:val="-3"/>
          <w:sz w:val="20"/>
        </w:rPr>
        <w:t> </w:t>
      </w:r>
      <w:r>
        <w:rPr>
          <w:sz w:val="20"/>
        </w:rPr>
        <w:t>Australia.</w:t>
      </w:r>
    </w:p>
    <w:p>
      <w:pPr>
        <w:spacing w:line="230" w:lineRule="exact" w:before="2"/>
        <w:ind w:left="1280" w:right="1529" w:firstLine="0"/>
        <w:jc w:val="left"/>
        <w:rPr>
          <w:sz w:val="20"/>
        </w:rPr>
      </w:pPr>
      <w:r>
        <w:rPr>
          <w:position w:val="9"/>
          <w:sz w:val="13"/>
        </w:rPr>
        <w:t>14 </w:t>
      </w:r>
      <w:r>
        <w:rPr>
          <w:b/>
          <w:sz w:val="20"/>
        </w:rPr>
        <w:t>Kohn, D (2005) </w:t>
      </w:r>
      <w:r>
        <w:rPr>
          <w:sz w:val="20"/>
        </w:rPr>
        <w:t>‘Central Bank Communication’. Remarks at the Annual Meeting of the American Economic Association January</w:t>
      </w:r>
      <w:r>
        <w:rPr>
          <w:spacing w:val="-2"/>
          <w:sz w:val="20"/>
        </w:rPr>
        <w:t> </w:t>
      </w:r>
      <w:r>
        <w:rPr>
          <w:sz w:val="20"/>
        </w:rPr>
        <w:t>2005.</w:t>
      </w:r>
    </w:p>
    <w:p>
      <w:pPr>
        <w:spacing w:line="264" w:lineRule="exact" w:before="0"/>
        <w:ind w:left="1280" w:right="0" w:firstLine="0"/>
        <w:jc w:val="left"/>
        <w:rPr>
          <w:sz w:val="20"/>
        </w:rPr>
      </w:pPr>
      <w:r>
        <w:rPr>
          <w:position w:val="11"/>
          <w:sz w:val="16"/>
        </w:rPr>
        <w:t>15 </w:t>
      </w:r>
      <w:r>
        <w:rPr>
          <w:sz w:val="20"/>
        </w:rPr>
        <w:t>Mishkin has sympathy for this view, noting that “[w]hen new information comes in and the central</w:t>
      </w:r>
    </w:p>
    <w:p>
      <w:pPr>
        <w:spacing w:before="9"/>
        <w:ind w:left="1279" w:right="1704" w:firstLine="0"/>
        <w:jc w:val="left"/>
        <w:rPr>
          <w:sz w:val="20"/>
        </w:rPr>
      </w:pPr>
      <w:r>
        <w:rPr>
          <w:sz w:val="20"/>
        </w:rPr>
        <w:t>bank changes the policy rate from its projected path, the public may see this as reneging on its announced policy or an indication that the central bank's previous policy settings were a mistake. Thus, even when the central bank is conducting its policy in an optimal manner, deviations from its projected path may be viewed as a central bank failure and could hurt the central bank's credibility.”</w:t>
      </w:r>
    </w:p>
    <w:p>
      <w:pPr>
        <w:spacing w:after="0"/>
        <w:jc w:val="left"/>
        <w:rPr>
          <w:sz w:val="20"/>
        </w:rPr>
        <w:sectPr>
          <w:pgSz w:w="11900" w:h="16840"/>
          <w:pgMar w:header="716" w:footer="0" w:top="1300" w:bottom="280" w:left="520" w:right="360"/>
        </w:sectPr>
      </w:pPr>
    </w:p>
    <w:p>
      <w:pPr>
        <w:pStyle w:val="BodyText"/>
        <w:spacing w:line="312" w:lineRule="auto" w:before="118"/>
        <w:ind w:left="1280" w:right="1575"/>
      </w:pPr>
      <w:r>
        <w:rPr/>
        <w:t>about how transparent an inflation targeting central bank should be about the interest rates on which its forecasts are based. An obvious reason for wanting more direct information about the ‘preferred’ path is to get direct evidence on the interest rate strategy. (How quickly will rates rise? What are the advantages of a ‘wait-and-see’ approach?)</w:t>
      </w:r>
    </w:p>
    <w:p>
      <w:pPr>
        <w:pStyle w:val="BodyText"/>
        <w:spacing w:before="10"/>
        <w:rPr>
          <w:sz w:val="20"/>
        </w:rPr>
      </w:pPr>
    </w:p>
    <w:p>
      <w:pPr>
        <w:pStyle w:val="BodyText"/>
        <w:spacing w:line="312" w:lineRule="auto"/>
        <w:ind w:left="1280" w:right="1495"/>
      </w:pPr>
      <w:r>
        <w:rPr/>
        <w:t>The MPC has long published forecasts on two different interest rate assumptions. On one – the constant rate assumption – interest rates are held constant over the entire forecast horizon. On the other, interest rates evolve in line with rates expected by financial markets. Until August 2004, the presentation emphasised the forecast based on constant rates. Since last August we have reversed the presentation, to emphasise the market rate assumption.</w:t>
      </w:r>
      <w:r>
        <w:rPr>
          <w:vertAlign w:val="superscript"/>
        </w:rPr>
        <w:t>16</w:t>
      </w:r>
    </w:p>
    <w:p>
      <w:pPr>
        <w:pStyle w:val="BodyText"/>
        <w:spacing w:line="312" w:lineRule="auto" w:before="241"/>
        <w:ind w:left="1279" w:right="1536"/>
      </w:pPr>
      <w:r>
        <w:rPr/>
        <w:t>The constant interest rate path is obviously a stylised assumption, which conveys limited information about future policy intentions. The message is that the MPC makes interest rate decisions one at a time, and that it has not made up its mind about what future path of rates will be consistent with the inflation target. The market interest rate path too is a conditioning assumption, not the MPC’s prediction about future rates. The difference is that, to the extent that the market rate curve embodies the market’s guess about where the MPC will take rates, forecasts predicated on the market rate are more easily interpreted as a comment on that view.</w:t>
      </w:r>
    </w:p>
    <w:p>
      <w:pPr>
        <w:pStyle w:val="BodyText"/>
        <w:spacing w:before="10"/>
        <w:rPr>
          <w:sz w:val="20"/>
        </w:rPr>
      </w:pPr>
    </w:p>
    <w:p>
      <w:pPr>
        <w:pStyle w:val="BodyText"/>
        <w:spacing w:line="312" w:lineRule="auto"/>
        <w:ind w:left="1279" w:right="2316"/>
      </w:pPr>
      <w:r>
        <w:rPr/>
        <w:t>So how much significance should be read into our change of conditioning assumption? Did the switch to market rates represent a tentative step towards providing more guidance on the future direction of policy?</w:t>
      </w:r>
    </w:p>
    <w:p>
      <w:pPr>
        <w:pStyle w:val="BodyText"/>
        <w:spacing w:before="9"/>
        <w:rPr>
          <w:sz w:val="20"/>
        </w:rPr>
      </w:pPr>
    </w:p>
    <w:p>
      <w:pPr>
        <w:pStyle w:val="BodyText"/>
        <w:spacing w:line="312" w:lineRule="auto"/>
        <w:ind w:left="1279" w:right="1437"/>
      </w:pPr>
      <w:r>
        <w:rPr/>
        <w:t>The fact that interest rates were historically very low in 2003 and early 2004 has some bearing on the matter. Many academics, notably Lars Svensson, have argued persuasively that the use of an unrealistic conditioning assumption makes it more difficult for the public to interpret the MPC’s reading of the economic outlook. As Charlie Bean has pointed out,</w:t>
      </w:r>
      <w:r>
        <w:rPr>
          <w:vertAlign w:val="superscript"/>
        </w:rPr>
        <w:t>17</w:t>
      </w:r>
      <w:r>
        <w:rPr>
          <w:vertAlign w:val="baseline"/>
        </w:rPr>
        <w:t> this is certainly true if interest rates are some way off ‘normal’ levels or if for other reasons, they are expected to increase or decrease substantially over the forecast horizon – and the longer the time horizon of the forecast, the more force this argument has.</w:t>
      </w:r>
    </w:p>
    <w:p>
      <w:pPr>
        <w:pStyle w:val="BodyText"/>
        <w:spacing w:before="10"/>
        <w:rPr>
          <w:sz w:val="20"/>
        </w:rPr>
      </w:pPr>
    </w:p>
    <w:p>
      <w:pPr>
        <w:pStyle w:val="BodyText"/>
        <w:spacing w:line="312" w:lineRule="auto"/>
        <w:ind w:left="1280" w:right="1483"/>
      </w:pPr>
      <w:r>
        <w:rPr/>
        <w:t>Our decision to shift the focus of the presentation to market rates was coupled with a decision to publish forecasts for three years, rather than two, as was previously the case. This did not reflect a change in policy horizon – we are required to meet our 2% target ‘at all times’. But it did provide useful context for interpreting the gradient of</w:t>
      </w:r>
    </w:p>
    <w:p>
      <w:pPr>
        <w:pStyle w:val="BodyText"/>
        <w:spacing w:before="1"/>
        <w:rPr>
          <w:sz w:val="15"/>
        </w:rPr>
      </w:pPr>
      <w:r>
        <w:rPr/>
        <w:pict>
          <v:shape style="position:absolute;margin-left:90pt;margin-top:10.927087pt;width:144pt;height:.1pt;mso-position-horizontal-relative:page;mso-position-vertical-relative:paragraph;z-index:-251639808;mso-wrap-distance-left:0;mso-wrap-distance-right:0" coordorigin="1800,219" coordsize="2880,0" path="m1800,219l4680,219e" filled="false" stroked="true" strokeweight=".6pt" strokecolor="#000000">
            <v:path arrowok="t"/>
            <v:stroke dashstyle="solid"/>
            <w10:wrap type="topAndBottom"/>
          </v:shape>
        </w:pict>
      </w:r>
    </w:p>
    <w:p>
      <w:pPr>
        <w:spacing w:line="242" w:lineRule="exact" w:before="49"/>
        <w:ind w:left="1280" w:right="0" w:firstLine="0"/>
        <w:jc w:val="left"/>
        <w:rPr>
          <w:sz w:val="20"/>
        </w:rPr>
      </w:pPr>
      <w:r>
        <w:rPr>
          <w:position w:val="9"/>
          <w:sz w:val="13"/>
        </w:rPr>
        <w:t>16 </w:t>
      </w:r>
      <w:r>
        <w:rPr>
          <w:sz w:val="20"/>
        </w:rPr>
        <w:t>See </w:t>
      </w:r>
      <w:r>
        <w:rPr>
          <w:i/>
          <w:sz w:val="20"/>
        </w:rPr>
        <w:t>Inflation Report </w:t>
      </w:r>
      <w:r>
        <w:rPr>
          <w:sz w:val="20"/>
        </w:rPr>
        <w:t>August 2004 pp 42-43.</w:t>
      </w:r>
    </w:p>
    <w:p>
      <w:pPr>
        <w:spacing w:line="230" w:lineRule="exact" w:before="14"/>
        <w:ind w:left="1279" w:right="1529" w:firstLine="0"/>
        <w:jc w:val="left"/>
        <w:rPr>
          <w:i/>
          <w:sz w:val="20"/>
        </w:rPr>
      </w:pPr>
      <w:r>
        <w:rPr>
          <w:position w:val="9"/>
          <w:sz w:val="13"/>
        </w:rPr>
        <w:t>17 </w:t>
      </w:r>
      <w:r>
        <w:rPr>
          <w:sz w:val="20"/>
        </w:rPr>
        <w:t>Bean, C (2004) ‘Some current issues in UK Monetary Policy’ </w:t>
      </w:r>
      <w:r>
        <w:rPr>
          <w:i/>
          <w:sz w:val="20"/>
        </w:rPr>
        <w:t>Bank of England Quarterly Bulletin </w:t>
      </w:r>
      <w:r>
        <w:rPr>
          <w:i/>
          <w:sz w:val="20"/>
        </w:rPr>
        <w:t>Autumn 2004.</w:t>
      </w:r>
    </w:p>
    <w:p>
      <w:pPr>
        <w:spacing w:after="0" w:line="230" w:lineRule="exact"/>
        <w:jc w:val="left"/>
        <w:rPr>
          <w:sz w:val="20"/>
        </w:rPr>
        <w:sectPr>
          <w:pgSz w:w="11900" w:h="16840"/>
          <w:pgMar w:header="716" w:footer="0" w:top="1300" w:bottom="280" w:left="520" w:right="360"/>
        </w:sectPr>
      </w:pPr>
    </w:p>
    <w:p>
      <w:pPr>
        <w:pStyle w:val="BodyText"/>
        <w:spacing w:line="312" w:lineRule="auto" w:before="118"/>
        <w:ind w:left="1280" w:right="1843"/>
      </w:pPr>
      <w:r>
        <w:rPr/>
        <w:t>inflation forecasts at the two year horizon, and hence a clearer indication of future policy, if the economy evolves in line with the central projection.</w:t>
      </w:r>
    </w:p>
    <w:p>
      <w:pPr>
        <w:pStyle w:val="BodyText"/>
        <w:spacing w:before="10"/>
        <w:rPr>
          <w:sz w:val="20"/>
        </w:rPr>
      </w:pPr>
    </w:p>
    <w:p>
      <w:pPr>
        <w:pStyle w:val="BodyText"/>
        <w:spacing w:line="312" w:lineRule="auto"/>
        <w:ind w:left="1280" w:right="1529"/>
      </w:pPr>
      <w:r>
        <w:rPr/>
        <w:t>The shift to using a market rate assumption was a very modest step towards greater transparency. At a technical level, it is a non trivial task to translate any market rate yield curve into a conventional forecasting assumption which is a genuine reflection of market expectations of future official interest rates.</w:t>
      </w:r>
      <w:r>
        <w:rPr>
          <w:vertAlign w:val="superscript"/>
        </w:rPr>
        <w:t>18</w:t>
      </w:r>
      <w:r>
        <w:rPr>
          <w:vertAlign w:val="baseline"/>
        </w:rPr>
        <w:t> And markets are themselves uncertain about the path of future rates so we publish a fan chart for market interest rate to help quantify that uncertainty, based on options prices.</w:t>
      </w:r>
    </w:p>
    <w:p>
      <w:pPr>
        <w:pStyle w:val="BodyText"/>
        <w:spacing w:before="1"/>
        <w:rPr>
          <w:sz w:val="21"/>
        </w:rPr>
      </w:pPr>
    </w:p>
    <w:p>
      <w:pPr>
        <w:spacing w:line="312" w:lineRule="auto" w:before="0"/>
        <w:ind w:left="1280" w:right="4674" w:firstLine="0"/>
        <w:jc w:val="left"/>
        <w:rPr>
          <w:b/>
          <w:sz w:val="24"/>
        </w:rPr>
      </w:pPr>
      <w:r>
        <w:rPr>
          <w:b/>
          <w:color w:val="0000FF"/>
          <w:sz w:val="24"/>
        </w:rPr>
        <w:t>Chart 4. Market beliefs about future interest rates – </w:t>
      </w:r>
      <w:r>
        <w:rPr>
          <w:b/>
          <w:i/>
          <w:color w:val="0000FF"/>
          <w:sz w:val="24"/>
        </w:rPr>
        <w:t>Inflation Report </w:t>
      </w:r>
      <w:r>
        <w:rPr>
          <w:b/>
          <w:color w:val="0000FF"/>
          <w:sz w:val="24"/>
        </w:rPr>
        <w:t>February 2005</w:t>
      </w:r>
    </w:p>
    <w:p>
      <w:pPr>
        <w:pStyle w:val="BodyText"/>
        <w:spacing w:before="3"/>
        <w:rPr>
          <w:b/>
          <w:sz w:val="19"/>
        </w:rPr>
      </w:pPr>
      <w:r>
        <w:rPr/>
        <w:drawing>
          <wp:anchor distT="0" distB="0" distL="0" distR="0" allowOverlap="1" layoutInCell="1" locked="0" behindDoc="0" simplePos="0" relativeHeight="19">
            <wp:simplePos x="0" y="0"/>
            <wp:positionH relativeFrom="page">
              <wp:posOffset>1143000</wp:posOffset>
            </wp:positionH>
            <wp:positionV relativeFrom="paragraph">
              <wp:posOffset>165629</wp:posOffset>
            </wp:positionV>
            <wp:extent cx="2635869" cy="2328672"/>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2635869" cy="2328672"/>
                    </a:xfrm>
                    <a:prstGeom prst="rect">
                      <a:avLst/>
                    </a:prstGeom>
                  </pic:spPr>
                </pic:pic>
              </a:graphicData>
            </a:graphic>
          </wp:anchor>
        </w:drawing>
      </w:r>
    </w:p>
    <w:p>
      <w:pPr>
        <w:pStyle w:val="BodyText"/>
        <w:spacing w:before="4"/>
        <w:rPr>
          <w:b/>
          <w:sz w:val="26"/>
        </w:rPr>
      </w:pPr>
    </w:p>
    <w:p>
      <w:pPr>
        <w:pStyle w:val="BodyText"/>
        <w:spacing w:line="312" w:lineRule="auto"/>
        <w:ind w:left="1279" w:right="1436"/>
      </w:pPr>
      <w:r>
        <w:rPr/>
        <w:t>There is a big difference between a conditioning assumption and a commitment, not least because there is a big gap between anyone’s current guess at where rates might need to go to meet the inflation target, conditional on the data available at any point in time, and where the MPC will actually take rates given the information it may have in the future. But the MPC was conscious of the risk of misinterpretation, so the transition was made gradually – with the Governor reflecting on the market curve in his remarks at the February and May </w:t>
      </w:r>
      <w:r>
        <w:rPr>
          <w:i/>
        </w:rPr>
        <w:t>Inflation Report </w:t>
      </w:r>
      <w:r>
        <w:rPr/>
        <w:t>press conferences, and the MPC referring to the market curve in the minutes during the spring. By the time the switch was introduced in the August </w:t>
      </w:r>
      <w:r>
        <w:rPr>
          <w:i/>
        </w:rPr>
        <w:t>Inflation Report</w:t>
      </w:r>
      <w:r>
        <w:rPr/>
        <w:t>, MPC and markets understood the nature of the conditioning assumption, and the change itself was seen as the marginal improvement that it is.</w:t>
      </w:r>
    </w:p>
    <w:p>
      <w:pPr>
        <w:pStyle w:val="BodyText"/>
        <w:spacing w:before="11"/>
        <w:rPr>
          <w:sz w:val="20"/>
        </w:rPr>
      </w:pPr>
    </w:p>
    <w:p>
      <w:pPr>
        <w:pStyle w:val="BodyText"/>
        <w:spacing w:line="312" w:lineRule="auto"/>
        <w:ind w:left="1280" w:right="1529"/>
      </w:pPr>
      <w:r>
        <w:rPr/>
        <w:t>Different inflation targeting central banks have evolved their own ways of communicating. At one extreme, the Governor of the Reserve Bank of New Zealand</w:t>
      </w:r>
    </w:p>
    <w:p>
      <w:pPr>
        <w:pStyle w:val="BodyText"/>
        <w:spacing w:before="3"/>
        <w:rPr>
          <w:sz w:val="29"/>
        </w:rPr>
      </w:pPr>
      <w:r>
        <w:rPr/>
        <w:pict>
          <v:shape style="position:absolute;margin-left:90pt;margin-top:19.074005pt;width:144pt;height:.1pt;mso-position-horizontal-relative:page;mso-position-vertical-relative:paragraph;z-index:-251637760;mso-wrap-distance-left:0;mso-wrap-distance-right:0" coordorigin="1800,381" coordsize="2880,0" path="m1800,381l4680,381e" filled="false" stroked="true" strokeweight=".6pt" strokecolor="#000000">
            <v:path arrowok="t"/>
            <v:stroke dashstyle="solid"/>
            <w10:wrap type="topAndBottom"/>
          </v:shape>
        </w:pict>
      </w:r>
    </w:p>
    <w:p>
      <w:pPr>
        <w:spacing w:before="49"/>
        <w:ind w:left="1280" w:right="1446" w:firstLine="0"/>
        <w:jc w:val="left"/>
        <w:rPr>
          <w:sz w:val="20"/>
        </w:rPr>
      </w:pPr>
      <w:r>
        <w:rPr>
          <w:position w:val="9"/>
          <w:sz w:val="13"/>
        </w:rPr>
        <w:t>18 </w:t>
      </w:r>
      <w:r>
        <w:rPr>
          <w:sz w:val="20"/>
        </w:rPr>
        <w:t>For further details on this issue see </w:t>
      </w:r>
      <w:r>
        <w:rPr>
          <w:b/>
          <w:sz w:val="20"/>
        </w:rPr>
        <w:t>Brooke, M, Cooper, N and Scholtes, C (2000) </w:t>
      </w:r>
      <w:r>
        <w:rPr>
          <w:sz w:val="20"/>
        </w:rPr>
        <w:t>‘Inferring market interest rates from money market rates’ </w:t>
      </w:r>
      <w:r>
        <w:rPr>
          <w:i/>
          <w:sz w:val="20"/>
        </w:rPr>
        <w:t>Bank of England Quarterly Bulletin November 2000. </w:t>
      </w:r>
      <w:r>
        <w:rPr>
          <w:sz w:val="20"/>
        </w:rPr>
        <w:t>For further information and data, please see the Bank of England website </w:t>
      </w:r>
      <w:hyperlink r:id="rId11">
        <w:r>
          <w:rPr>
            <w:color w:val="0000FF"/>
            <w:sz w:val="20"/>
            <w:u w:val="single" w:color="0000FF"/>
          </w:rPr>
          <w:t>www.bankofengland.co.uk</w:t>
        </w:r>
        <w:r>
          <w:rPr>
            <w:sz w:val="20"/>
          </w:rPr>
          <w:t>.</w:t>
        </w:r>
      </w:hyperlink>
    </w:p>
    <w:p>
      <w:pPr>
        <w:spacing w:after="0"/>
        <w:jc w:val="left"/>
        <w:rPr>
          <w:sz w:val="20"/>
        </w:rPr>
        <w:sectPr>
          <w:pgSz w:w="11900" w:h="16840"/>
          <w:pgMar w:header="716" w:footer="0" w:top="1300" w:bottom="280" w:left="520" w:right="360"/>
        </w:sectPr>
      </w:pPr>
    </w:p>
    <w:p>
      <w:pPr>
        <w:pStyle w:val="BodyText"/>
        <w:spacing w:line="312" w:lineRule="auto" w:before="118"/>
        <w:ind w:left="1279" w:right="1516"/>
      </w:pPr>
      <w:r>
        <w:rPr/>
        <w:t>publishes his own forecast of future interest rates – though he is the sole decision taker in that regime. And at the Norges Bank, staff produce material that explicitly sets out possible strategies for interest rate decisions in the form of a range of interest rates for the next 3-4 months, and invite the interest rate setting committee to endorse them, and provide a commentary on market expectations of future interest rates. As Charles Goodhart has argued, it is difficult, as a practical matter, to imagine a committee of nine individually accountable experts doing that.</w:t>
      </w:r>
    </w:p>
    <w:p>
      <w:pPr>
        <w:pStyle w:val="BodyText"/>
        <w:spacing w:before="10"/>
        <w:rPr>
          <w:sz w:val="20"/>
        </w:rPr>
      </w:pPr>
    </w:p>
    <w:p>
      <w:pPr>
        <w:pStyle w:val="BodyText"/>
        <w:spacing w:line="312" w:lineRule="auto"/>
        <w:ind w:left="1279" w:right="1417"/>
      </w:pPr>
      <w:r>
        <w:rPr/>
        <w:t>Institutional and political arrangements matter. What works in one environment may not work elsewhere. And central banks need to employ consistent modes of communication and language if they are to be well understood. Abrupt changes in what is communicated, and how, always carry risks of confusion. But even the best designed system needs to evolve. Greater transparency involves learning both by policymakers and by those who seek to interpret their actions. The degree of monetary policy transparency in the UK now would have been regarded as quite unthinkable fifteen years ago. I see no reason to suppose that we have reached the end of the road yet.</w:t>
      </w:r>
    </w:p>
    <w:p>
      <w:pPr>
        <w:pStyle w:val="BodyText"/>
        <w:spacing w:before="1"/>
        <w:rPr>
          <w:sz w:val="21"/>
        </w:rPr>
      </w:pPr>
    </w:p>
    <w:p>
      <w:pPr>
        <w:pStyle w:val="Heading1"/>
        <w:spacing w:before="1"/>
        <w:ind w:left="1279"/>
      </w:pPr>
      <w:r>
        <w:rPr/>
        <w:t>Conclusions</w:t>
      </w:r>
    </w:p>
    <w:p>
      <w:pPr>
        <w:pStyle w:val="BodyText"/>
        <w:spacing w:before="9"/>
        <w:rPr>
          <w:b/>
          <w:sz w:val="27"/>
        </w:rPr>
      </w:pPr>
    </w:p>
    <w:p>
      <w:pPr>
        <w:pStyle w:val="BodyText"/>
        <w:spacing w:line="312" w:lineRule="auto" w:before="1"/>
        <w:ind w:left="1279" w:right="1430"/>
      </w:pPr>
      <w:r>
        <w:rPr/>
        <w:t>Published forecasts have come to play a key role in formulating and communicating interest rate decisions within the UK approach to inflation targeting. The strength of this approach is that – flawed and inadequate as all projections inevitably are – a good forecast paints a picture that is worth a thousand words. And that counts, both when it comes to organising the debate between nine experts, and when it comes to explaining the basis of policy to a non expert public.</w:t>
      </w:r>
    </w:p>
    <w:p>
      <w:pPr>
        <w:pStyle w:val="BodyText"/>
        <w:spacing w:before="8"/>
        <w:rPr>
          <w:sz w:val="20"/>
        </w:rPr>
      </w:pPr>
    </w:p>
    <w:p>
      <w:pPr>
        <w:pStyle w:val="BodyText"/>
        <w:spacing w:line="312" w:lineRule="auto" w:before="1"/>
        <w:ind w:left="1279" w:right="1424"/>
      </w:pPr>
      <w:r>
        <w:rPr/>
        <w:t>But forecasts are highly fallible, so our forecast centred approach to inflation targeting has gone hand in hand with a determined effort to illustrate the wide range of uncertainties around any central projection and a systematic attempt to factor the Committee’s own judgements about the risks into decision taking. That, for me, is a key reason for resisting recent calls by the IMF and others for the Bank to ‘publish numerical projections for a broader range of key variables’. Detail is seductive – but it can also be highly misleading, and a committee that spent its time debating the details of the forecast rather than using it as a tool to address big picture issues would be at risk of losing its way.</w:t>
      </w:r>
    </w:p>
    <w:p>
      <w:pPr>
        <w:pStyle w:val="BodyText"/>
        <w:spacing w:before="10"/>
        <w:rPr>
          <w:sz w:val="20"/>
        </w:rPr>
      </w:pPr>
    </w:p>
    <w:p>
      <w:pPr>
        <w:pStyle w:val="BodyText"/>
        <w:ind w:left="1280"/>
      </w:pPr>
      <w:r>
        <w:rPr/>
        <w:t>Forecasts are indispensable – but they should be handled with care.</w:t>
      </w:r>
    </w:p>
    <w:p>
      <w:pPr>
        <w:spacing w:after="0"/>
        <w:sectPr>
          <w:pgSz w:w="11900" w:h="16840"/>
          <w:pgMar w:header="716" w:footer="0" w:top="1300" w:bottom="280" w:left="520" w:right="360"/>
        </w:sectPr>
      </w:pPr>
    </w:p>
    <w:p>
      <w:pPr>
        <w:spacing w:before="141"/>
        <w:ind w:left="4101" w:right="4208" w:firstLine="0"/>
        <w:jc w:val="center"/>
        <w:rPr>
          <w:b/>
          <w:sz w:val="19"/>
        </w:rPr>
      </w:pPr>
      <w:r>
        <w:rPr>
          <w:b/>
          <w:w w:val="105"/>
          <w:sz w:val="19"/>
        </w:rPr>
        <w:t>Table 2.  Interest rate surprises</w:t>
      </w:r>
    </w:p>
    <w:p>
      <w:pPr>
        <w:pStyle w:val="BodyText"/>
        <w:rPr>
          <w:b/>
          <w:sz w:val="20"/>
        </w:rPr>
      </w:pPr>
    </w:p>
    <w:p>
      <w:pPr>
        <w:pStyle w:val="BodyText"/>
        <w:rPr>
          <w:b/>
          <w:sz w:val="20"/>
        </w:rPr>
      </w:pPr>
    </w:p>
    <w:p>
      <w:pPr>
        <w:pStyle w:val="BodyText"/>
        <w:spacing w:before="5"/>
        <w:rPr>
          <w:b/>
        </w:rPr>
      </w:pPr>
    </w:p>
    <w:p>
      <w:pPr>
        <w:spacing w:after="0"/>
        <w:sectPr>
          <w:pgSz w:w="11900" w:h="16840"/>
          <w:pgMar w:header="716" w:footer="0" w:top="1300" w:bottom="280" w:left="520" w:right="360"/>
        </w:sectPr>
      </w:pPr>
    </w:p>
    <w:p>
      <w:pPr>
        <w:pStyle w:val="ListParagraph"/>
        <w:numPr>
          <w:ilvl w:val="0"/>
          <w:numId w:val="2"/>
        </w:numPr>
        <w:tabs>
          <w:tab w:pos="368" w:val="left" w:leader="none"/>
        </w:tabs>
        <w:spacing w:line="240" w:lineRule="auto" w:before="91" w:after="0"/>
        <w:ind w:left="367" w:right="0" w:hanging="206"/>
        <w:jc w:val="left"/>
        <w:rPr>
          <w:b/>
          <w:sz w:val="17"/>
        </w:rPr>
      </w:pPr>
      <w:r>
        <w:rPr>
          <w:b/>
          <w:sz w:val="17"/>
        </w:rPr>
        <w:t>Are</w:t>
      </w:r>
      <w:r>
        <w:rPr>
          <w:b/>
          <w:spacing w:val="-9"/>
          <w:sz w:val="17"/>
        </w:rPr>
        <w:t> </w:t>
      </w:r>
      <w:r>
        <w:rPr>
          <w:b/>
          <w:sz w:val="17"/>
        </w:rPr>
        <w:t>rates</w:t>
      </w:r>
      <w:r>
        <w:rPr>
          <w:b/>
          <w:spacing w:val="-8"/>
          <w:sz w:val="17"/>
        </w:rPr>
        <w:t> </w:t>
      </w:r>
      <w:r>
        <w:rPr>
          <w:b/>
          <w:sz w:val="17"/>
        </w:rPr>
        <w:t>changes</w:t>
      </w:r>
      <w:r>
        <w:rPr>
          <w:b/>
          <w:spacing w:val="-9"/>
          <w:sz w:val="17"/>
        </w:rPr>
        <w:t> </w:t>
      </w:r>
      <w:r>
        <w:rPr>
          <w:b/>
          <w:sz w:val="17"/>
        </w:rPr>
        <w:t>evenly</w:t>
      </w:r>
      <w:r>
        <w:rPr>
          <w:b/>
          <w:spacing w:val="-9"/>
          <w:sz w:val="17"/>
        </w:rPr>
        <w:t> </w:t>
      </w:r>
      <w:r>
        <w:rPr>
          <w:b/>
          <w:sz w:val="17"/>
        </w:rPr>
        <w:t>spread</w:t>
      </w:r>
      <w:r>
        <w:rPr>
          <w:b/>
          <w:spacing w:val="-8"/>
          <w:sz w:val="17"/>
        </w:rPr>
        <w:t> </w:t>
      </w:r>
      <w:r>
        <w:rPr>
          <w:b/>
          <w:sz w:val="17"/>
        </w:rPr>
        <w:t>over</w:t>
      </w:r>
      <w:r>
        <w:rPr>
          <w:b/>
          <w:spacing w:val="-9"/>
          <w:sz w:val="17"/>
        </w:rPr>
        <w:t> </w:t>
      </w:r>
      <w:r>
        <w:rPr>
          <w:b/>
          <w:sz w:val="17"/>
        </w:rPr>
        <w:t>the</w:t>
      </w:r>
      <w:r>
        <w:rPr>
          <w:b/>
          <w:spacing w:val="-10"/>
          <w:sz w:val="17"/>
        </w:rPr>
        <w:t> </w:t>
      </w:r>
      <w:r>
        <w:rPr>
          <w:b/>
          <w:sz w:val="17"/>
        </w:rPr>
        <w:t>months</w:t>
      </w:r>
      <w:r>
        <w:rPr>
          <w:b/>
          <w:spacing w:val="-8"/>
          <w:sz w:val="17"/>
        </w:rPr>
        <w:t> </w:t>
      </w:r>
      <w:r>
        <w:rPr>
          <w:b/>
          <w:sz w:val="17"/>
        </w:rPr>
        <w:t>of</w:t>
      </w:r>
      <w:r>
        <w:rPr>
          <w:b/>
          <w:spacing w:val="-8"/>
          <w:sz w:val="17"/>
        </w:rPr>
        <w:t> </w:t>
      </w:r>
      <w:r>
        <w:rPr>
          <w:b/>
          <w:sz w:val="17"/>
        </w:rPr>
        <w:t>the</w:t>
      </w:r>
      <w:r>
        <w:rPr>
          <w:b/>
          <w:spacing w:val="-10"/>
          <w:sz w:val="17"/>
        </w:rPr>
        <w:t> </w:t>
      </w:r>
      <w:r>
        <w:rPr>
          <w:b/>
          <w:sz w:val="17"/>
        </w:rPr>
        <w:t>year?</w:t>
      </w:r>
    </w:p>
    <w:p>
      <w:pPr>
        <w:pStyle w:val="ListParagraph"/>
        <w:numPr>
          <w:ilvl w:val="0"/>
          <w:numId w:val="2"/>
        </w:numPr>
        <w:tabs>
          <w:tab w:pos="359" w:val="left" w:leader="none"/>
        </w:tabs>
        <w:spacing w:line="261" w:lineRule="auto" w:before="91" w:after="0"/>
        <w:ind w:left="371" w:right="1881" w:hanging="209"/>
        <w:jc w:val="left"/>
        <w:rPr>
          <w:b/>
          <w:sz w:val="17"/>
        </w:rPr>
      </w:pPr>
      <w:r>
        <w:rPr>
          <w:b/>
          <w:spacing w:val="-1"/>
          <w:w w:val="98"/>
          <w:sz w:val="17"/>
        </w:rPr>
        <w:br w:type="column"/>
      </w:r>
      <w:r>
        <w:rPr>
          <w:b/>
          <w:sz w:val="17"/>
        </w:rPr>
        <w:t>Are</w:t>
      </w:r>
      <w:r>
        <w:rPr>
          <w:b/>
          <w:spacing w:val="-11"/>
          <w:sz w:val="17"/>
        </w:rPr>
        <w:t> </w:t>
      </w:r>
      <w:r>
        <w:rPr>
          <w:b/>
          <w:sz w:val="17"/>
        </w:rPr>
        <w:t>rates</w:t>
      </w:r>
      <w:r>
        <w:rPr>
          <w:b/>
          <w:spacing w:val="-10"/>
          <w:sz w:val="17"/>
        </w:rPr>
        <w:t> </w:t>
      </w:r>
      <w:r>
        <w:rPr>
          <w:b/>
          <w:sz w:val="17"/>
        </w:rPr>
        <w:t>changes</w:t>
      </w:r>
      <w:r>
        <w:rPr>
          <w:b/>
          <w:spacing w:val="-10"/>
          <w:sz w:val="17"/>
        </w:rPr>
        <w:t> </w:t>
      </w:r>
      <w:r>
        <w:rPr>
          <w:b/>
          <w:sz w:val="17"/>
        </w:rPr>
        <w:t>expected</w:t>
      </w:r>
      <w:r>
        <w:rPr>
          <w:b/>
          <w:spacing w:val="-10"/>
          <w:sz w:val="17"/>
        </w:rPr>
        <w:t> </w:t>
      </w:r>
      <w:r>
        <w:rPr>
          <w:b/>
          <w:sz w:val="17"/>
        </w:rPr>
        <w:t>to</w:t>
      </w:r>
      <w:r>
        <w:rPr>
          <w:b/>
          <w:spacing w:val="-10"/>
          <w:sz w:val="17"/>
        </w:rPr>
        <w:t> </w:t>
      </w:r>
      <w:r>
        <w:rPr>
          <w:b/>
          <w:sz w:val="17"/>
        </w:rPr>
        <w:t>be</w:t>
      </w:r>
      <w:r>
        <w:rPr>
          <w:b/>
          <w:spacing w:val="-10"/>
          <w:sz w:val="17"/>
        </w:rPr>
        <w:t> </w:t>
      </w:r>
      <w:r>
        <w:rPr>
          <w:b/>
          <w:sz w:val="17"/>
        </w:rPr>
        <w:t>spread evenly over the months of the</w:t>
      </w:r>
      <w:r>
        <w:rPr>
          <w:b/>
          <w:spacing w:val="-30"/>
          <w:sz w:val="17"/>
        </w:rPr>
        <w:t> </w:t>
      </w:r>
      <w:r>
        <w:rPr>
          <w:b/>
          <w:sz w:val="17"/>
        </w:rPr>
        <w:t>year?</w:t>
      </w:r>
    </w:p>
    <w:p>
      <w:pPr>
        <w:spacing w:after="0" w:line="261" w:lineRule="auto"/>
        <w:jc w:val="left"/>
        <w:rPr>
          <w:sz w:val="17"/>
        </w:rPr>
        <w:sectPr>
          <w:type w:val="continuous"/>
          <w:pgSz w:w="11900" w:h="16840"/>
          <w:pgMar w:top="1180" w:bottom="280" w:left="520" w:right="360"/>
          <w:cols w:num="2" w:equalWidth="0">
            <w:col w:w="4790" w:space="1132"/>
            <w:col w:w="5098"/>
          </w:cols>
        </w:sectPr>
      </w:pPr>
    </w:p>
    <w:p>
      <w:pPr>
        <w:pStyle w:val="BodyText"/>
        <w:spacing w:before="9"/>
        <w:rPr>
          <w:b/>
          <w:sz w:val="15"/>
        </w:rPr>
      </w:pPr>
    </w:p>
    <w:p>
      <w:pPr>
        <w:tabs>
          <w:tab w:pos="7255" w:val="left" w:leader="none"/>
        </w:tabs>
        <w:spacing w:line="28" w:lineRule="exact"/>
        <w:ind w:left="1189" w:right="0" w:firstLine="0"/>
        <w:rPr>
          <w:sz w:val="2"/>
        </w:rPr>
      </w:pPr>
      <w:r>
        <w:rPr>
          <w:position w:val="0"/>
          <w:sz w:val="2"/>
        </w:rPr>
        <w:pict>
          <v:group style="width:182.05pt;height:1.35pt;mso-position-horizontal-relative:char;mso-position-vertical-relative:line" coordorigin="0,0" coordsize="3641,27">
            <v:line style="position:absolute" from="0,13" to="3641,13" stroked="true" strokeweight="1.32pt" strokecolor="#000000">
              <v:stroke dashstyle="solid"/>
            </v:line>
          </v:group>
        </w:pict>
      </w:r>
      <w:r>
        <w:rPr>
          <w:position w:val="0"/>
          <w:sz w:val="2"/>
        </w:rPr>
      </w:r>
      <w:r>
        <w:rPr>
          <w:position w:val="0"/>
          <w:sz w:val="2"/>
        </w:rPr>
        <w:tab/>
      </w:r>
      <w:r>
        <w:rPr>
          <w:position w:val="0"/>
          <w:sz w:val="2"/>
        </w:rPr>
        <w:pict>
          <v:group style="width:182.05pt;height:1.35pt;mso-position-horizontal-relative:char;mso-position-vertical-relative:line" coordorigin="0,0" coordsize="3641,27">
            <v:line style="position:absolute" from="0,13" to="3641,13" stroked="true" strokeweight="1.32pt" strokecolor="#000000">
              <v:stroke dashstyle="solid"/>
            </v:line>
          </v:group>
        </w:pict>
      </w:r>
      <w:r>
        <w:rPr>
          <w:position w:val="0"/>
          <w:sz w:val="2"/>
        </w:rPr>
      </w:r>
    </w:p>
    <w:p>
      <w:pPr>
        <w:spacing w:after="0" w:line="28" w:lineRule="exact"/>
        <w:rPr>
          <w:sz w:val="2"/>
        </w:rPr>
        <w:sectPr>
          <w:type w:val="continuous"/>
          <w:pgSz w:w="11900" w:h="16840"/>
          <w:pgMar w:top="1180" w:bottom="280" w:left="520" w:right="360"/>
        </w:sectPr>
      </w:pPr>
    </w:p>
    <w:p>
      <w:pPr>
        <w:spacing w:before="24"/>
        <w:ind w:left="0" w:right="0" w:firstLine="0"/>
        <w:jc w:val="right"/>
        <w:rPr>
          <w:sz w:val="14"/>
        </w:rPr>
      </w:pPr>
      <w:r>
        <w:rPr>
          <w:sz w:val="14"/>
        </w:rPr>
        <w:t>Rate changes</w:t>
      </w:r>
    </w:p>
    <w:p>
      <w:pPr>
        <w:spacing w:before="11"/>
        <w:ind w:left="1127" w:right="0" w:firstLine="0"/>
        <w:jc w:val="left"/>
        <w:rPr>
          <w:sz w:val="14"/>
        </w:rPr>
      </w:pPr>
      <w:r>
        <w:rPr/>
        <w:br w:type="column"/>
      </w:r>
      <w:r>
        <w:rPr>
          <w:sz w:val="14"/>
        </w:rPr>
        <w:t>χ</w:t>
      </w:r>
      <w:r>
        <w:rPr>
          <w:sz w:val="14"/>
          <w:vertAlign w:val="superscript"/>
        </w:rPr>
        <w:t>2</w:t>
      </w:r>
      <w:r>
        <w:rPr>
          <w:sz w:val="14"/>
          <w:vertAlign w:val="baseline"/>
        </w:rPr>
        <w:t> statistic</w:t>
      </w:r>
    </w:p>
    <w:p>
      <w:pPr>
        <w:spacing w:before="24"/>
        <w:ind w:left="2053" w:right="0" w:firstLine="0"/>
        <w:jc w:val="left"/>
        <w:rPr>
          <w:sz w:val="14"/>
        </w:rPr>
      </w:pPr>
      <w:r>
        <w:rPr/>
        <w:br w:type="column"/>
      </w:r>
      <w:r>
        <w:rPr>
          <w:sz w:val="14"/>
        </w:rPr>
        <w:t>Expected rate</w:t>
      </w:r>
      <w:r>
        <w:rPr>
          <w:spacing w:val="-3"/>
          <w:sz w:val="14"/>
        </w:rPr>
        <w:t> changes</w:t>
      </w:r>
    </w:p>
    <w:p>
      <w:pPr>
        <w:spacing w:before="11"/>
        <w:ind w:left="873" w:right="0" w:firstLine="0"/>
        <w:jc w:val="left"/>
        <w:rPr>
          <w:sz w:val="14"/>
        </w:rPr>
      </w:pPr>
      <w:r>
        <w:rPr/>
        <w:br w:type="column"/>
      </w:r>
      <w:r>
        <w:rPr>
          <w:sz w:val="14"/>
        </w:rPr>
        <w:t>χ</w:t>
      </w:r>
      <w:r>
        <w:rPr>
          <w:sz w:val="14"/>
          <w:vertAlign w:val="superscript"/>
        </w:rPr>
        <w:t>2</w:t>
      </w:r>
      <w:r>
        <w:rPr>
          <w:sz w:val="14"/>
          <w:vertAlign w:val="baseline"/>
        </w:rPr>
        <w:t> statistic</w:t>
      </w:r>
    </w:p>
    <w:p>
      <w:pPr>
        <w:spacing w:after="0"/>
        <w:jc w:val="left"/>
        <w:rPr>
          <w:sz w:val="14"/>
        </w:rPr>
        <w:sectPr>
          <w:type w:val="continuous"/>
          <w:pgSz w:w="11900" w:h="16840"/>
          <w:pgMar w:top="1180" w:bottom="280" w:left="520" w:right="360"/>
          <w:cols w:num="4" w:equalWidth="0">
            <w:col w:w="2791" w:space="40"/>
            <w:col w:w="1736" w:space="1243"/>
            <w:col w:w="3301" w:space="40"/>
            <w:col w:w="1869"/>
          </w:cols>
        </w:sectPr>
      </w:pPr>
    </w:p>
    <w:p>
      <w:pPr>
        <w:pStyle w:val="BodyText"/>
        <w:spacing w:before="1"/>
        <w:rPr>
          <w:sz w:val="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3"/>
        <w:gridCol w:w="1157"/>
        <w:gridCol w:w="1271"/>
        <w:gridCol w:w="1214"/>
        <w:gridCol w:w="2426"/>
        <w:gridCol w:w="1157"/>
        <w:gridCol w:w="1272"/>
        <w:gridCol w:w="1214"/>
      </w:tblGrid>
      <w:tr>
        <w:trPr>
          <w:trHeight w:val="153" w:hRule="atLeast"/>
        </w:trPr>
        <w:tc>
          <w:tcPr>
            <w:tcW w:w="1093" w:type="dxa"/>
          </w:tcPr>
          <w:p>
            <w:pPr>
              <w:pStyle w:val="TableParagraph"/>
              <w:rPr>
                <w:sz w:val="8"/>
              </w:rPr>
            </w:pPr>
          </w:p>
        </w:tc>
        <w:tc>
          <w:tcPr>
            <w:tcW w:w="1157" w:type="dxa"/>
            <w:tcBorders>
              <w:top w:val="single" w:sz="12" w:space="0" w:color="000000"/>
              <w:bottom w:val="single" w:sz="12" w:space="0" w:color="000000"/>
            </w:tcBorders>
          </w:tcPr>
          <w:p>
            <w:pPr>
              <w:pStyle w:val="TableParagraph"/>
              <w:spacing w:line="134" w:lineRule="exact"/>
              <w:ind w:left="296" w:right="227"/>
              <w:jc w:val="center"/>
              <w:rPr>
                <w:sz w:val="14"/>
              </w:rPr>
            </w:pPr>
            <w:r>
              <w:rPr>
                <w:sz w:val="14"/>
              </w:rPr>
              <w:t>IR months</w:t>
            </w:r>
          </w:p>
        </w:tc>
        <w:tc>
          <w:tcPr>
            <w:tcW w:w="1271" w:type="dxa"/>
            <w:tcBorders>
              <w:top w:val="single" w:sz="12" w:space="0" w:color="000000"/>
              <w:bottom w:val="single" w:sz="12" w:space="0" w:color="000000"/>
            </w:tcBorders>
          </w:tcPr>
          <w:p>
            <w:pPr>
              <w:pStyle w:val="TableParagraph"/>
              <w:spacing w:line="134" w:lineRule="exact"/>
              <w:ind w:left="228" w:right="159"/>
              <w:jc w:val="center"/>
              <w:rPr>
                <w:sz w:val="14"/>
              </w:rPr>
            </w:pPr>
            <w:r>
              <w:rPr>
                <w:sz w:val="14"/>
              </w:rPr>
              <w:t>non-IR months</w:t>
            </w:r>
          </w:p>
        </w:tc>
        <w:tc>
          <w:tcPr>
            <w:tcW w:w="1214" w:type="dxa"/>
            <w:tcBorders>
              <w:top w:val="single" w:sz="12" w:space="0" w:color="000000"/>
            </w:tcBorders>
          </w:tcPr>
          <w:p>
            <w:pPr>
              <w:pStyle w:val="TableParagraph"/>
              <w:rPr>
                <w:sz w:val="8"/>
              </w:rPr>
            </w:pPr>
          </w:p>
        </w:tc>
        <w:tc>
          <w:tcPr>
            <w:tcW w:w="2426" w:type="dxa"/>
          </w:tcPr>
          <w:p>
            <w:pPr>
              <w:pStyle w:val="TableParagraph"/>
              <w:rPr>
                <w:sz w:val="8"/>
              </w:rPr>
            </w:pPr>
          </w:p>
        </w:tc>
        <w:tc>
          <w:tcPr>
            <w:tcW w:w="1157" w:type="dxa"/>
            <w:tcBorders>
              <w:top w:val="single" w:sz="12" w:space="0" w:color="000000"/>
              <w:bottom w:val="single" w:sz="12" w:space="0" w:color="000000"/>
            </w:tcBorders>
          </w:tcPr>
          <w:p>
            <w:pPr>
              <w:pStyle w:val="TableParagraph"/>
              <w:spacing w:line="134" w:lineRule="exact"/>
              <w:ind w:left="293" w:right="230"/>
              <w:jc w:val="center"/>
              <w:rPr>
                <w:sz w:val="14"/>
              </w:rPr>
            </w:pPr>
            <w:r>
              <w:rPr>
                <w:sz w:val="14"/>
              </w:rPr>
              <w:t>IR months</w:t>
            </w:r>
          </w:p>
        </w:tc>
        <w:tc>
          <w:tcPr>
            <w:tcW w:w="1272" w:type="dxa"/>
            <w:tcBorders>
              <w:top w:val="single" w:sz="12" w:space="0" w:color="000000"/>
              <w:bottom w:val="single" w:sz="12" w:space="0" w:color="000000"/>
            </w:tcBorders>
          </w:tcPr>
          <w:p>
            <w:pPr>
              <w:pStyle w:val="TableParagraph"/>
              <w:spacing w:line="134" w:lineRule="exact"/>
              <w:ind w:left="225" w:right="163"/>
              <w:jc w:val="center"/>
              <w:rPr>
                <w:sz w:val="14"/>
              </w:rPr>
            </w:pPr>
            <w:r>
              <w:rPr>
                <w:sz w:val="14"/>
              </w:rPr>
              <w:t>non-IR months</w:t>
            </w:r>
          </w:p>
        </w:tc>
        <w:tc>
          <w:tcPr>
            <w:tcW w:w="1214" w:type="dxa"/>
            <w:tcBorders>
              <w:top w:val="single" w:sz="12" w:space="0" w:color="000000"/>
            </w:tcBorders>
          </w:tcPr>
          <w:p>
            <w:pPr>
              <w:pStyle w:val="TableParagraph"/>
              <w:rPr>
                <w:sz w:val="8"/>
              </w:rPr>
            </w:pPr>
          </w:p>
        </w:tc>
      </w:tr>
      <w:tr>
        <w:trPr>
          <w:trHeight w:val="329" w:hRule="atLeast"/>
        </w:trPr>
        <w:tc>
          <w:tcPr>
            <w:tcW w:w="1093" w:type="dxa"/>
          </w:tcPr>
          <w:p>
            <w:pPr>
              <w:pStyle w:val="TableParagraph"/>
              <w:spacing w:before="9"/>
              <w:rPr>
                <w:sz w:val="13"/>
              </w:rPr>
            </w:pPr>
          </w:p>
          <w:p>
            <w:pPr>
              <w:pStyle w:val="TableParagraph"/>
              <w:spacing w:line="150" w:lineRule="exact"/>
              <w:ind w:left="50"/>
              <w:rPr>
                <w:sz w:val="14"/>
              </w:rPr>
            </w:pPr>
            <w:r>
              <w:rPr>
                <w:sz w:val="14"/>
              </w:rPr>
              <w:t>Whole period</w:t>
            </w:r>
          </w:p>
        </w:tc>
        <w:tc>
          <w:tcPr>
            <w:tcW w:w="1157" w:type="dxa"/>
            <w:tcBorders>
              <w:top w:val="single" w:sz="12" w:space="0" w:color="000000"/>
            </w:tcBorders>
          </w:tcPr>
          <w:p>
            <w:pPr>
              <w:pStyle w:val="TableParagraph"/>
              <w:spacing w:before="9"/>
              <w:rPr>
                <w:sz w:val="13"/>
              </w:rPr>
            </w:pPr>
          </w:p>
          <w:p>
            <w:pPr>
              <w:pStyle w:val="TableParagraph"/>
              <w:spacing w:line="150" w:lineRule="exact"/>
              <w:ind w:left="296" w:right="227"/>
              <w:jc w:val="center"/>
              <w:rPr>
                <w:sz w:val="14"/>
              </w:rPr>
            </w:pPr>
            <w:r>
              <w:rPr>
                <w:sz w:val="14"/>
              </w:rPr>
              <w:t>15</w:t>
            </w:r>
          </w:p>
        </w:tc>
        <w:tc>
          <w:tcPr>
            <w:tcW w:w="1271" w:type="dxa"/>
            <w:tcBorders>
              <w:top w:val="single" w:sz="12" w:space="0" w:color="000000"/>
            </w:tcBorders>
          </w:tcPr>
          <w:p>
            <w:pPr>
              <w:pStyle w:val="TableParagraph"/>
              <w:spacing w:before="9"/>
              <w:rPr>
                <w:sz w:val="13"/>
              </w:rPr>
            </w:pPr>
          </w:p>
          <w:p>
            <w:pPr>
              <w:pStyle w:val="TableParagraph"/>
              <w:spacing w:line="150" w:lineRule="exact"/>
              <w:ind w:left="227" w:right="159"/>
              <w:jc w:val="center"/>
              <w:rPr>
                <w:sz w:val="14"/>
              </w:rPr>
            </w:pPr>
            <w:r>
              <w:rPr>
                <w:sz w:val="14"/>
              </w:rPr>
              <w:t>14</w:t>
            </w:r>
          </w:p>
        </w:tc>
        <w:tc>
          <w:tcPr>
            <w:tcW w:w="1214" w:type="dxa"/>
          </w:tcPr>
          <w:p>
            <w:pPr>
              <w:pStyle w:val="TableParagraph"/>
              <w:spacing w:before="9"/>
              <w:rPr>
                <w:sz w:val="13"/>
              </w:rPr>
            </w:pPr>
          </w:p>
          <w:p>
            <w:pPr>
              <w:pStyle w:val="TableParagraph"/>
              <w:spacing w:line="150" w:lineRule="exact"/>
              <w:ind w:left="361" w:right="350"/>
              <w:jc w:val="center"/>
              <w:rPr>
                <w:sz w:val="14"/>
              </w:rPr>
            </w:pPr>
            <w:r>
              <w:rPr>
                <w:sz w:val="14"/>
              </w:rPr>
              <w:t>4.41**</w:t>
            </w:r>
          </w:p>
        </w:tc>
        <w:tc>
          <w:tcPr>
            <w:tcW w:w="2426" w:type="dxa"/>
          </w:tcPr>
          <w:p>
            <w:pPr>
              <w:pStyle w:val="TableParagraph"/>
              <w:spacing w:before="9"/>
              <w:rPr>
                <w:sz w:val="13"/>
              </w:rPr>
            </w:pPr>
          </w:p>
          <w:p>
            <w:pPr>
              <w:pStyle w:val="TableParagraph"/>
              <w:spacing w:line="150" w:lineRule="exact"/>
              <w:ind w:left="1235"/>
              <w:rPr>
                <w:sz w:val="14"/>
              </w:rPr>
            </w:pPr>
            <w:r>
              <w:rPr>
                <w:sz w:val="14"/>
              </w:rPr>
              <w:t>Whole period</w:t>
            </w:r>
          </w:p>
        </w:tc>
        <w:tc>
          <w:tcPr>
            <w:tcW w:w="1157" w:type="dxa"/>
            <w:tcBorders>
              <w:top w:val="single" w:sz="12" w:space="0" w:color="000000"/>
            </w:tcBorders>
          </w:tcPr>
          <w:p>
            <w:pPr>
              <w:pStyle w:val="TableParagraph"/>
              <w:spacing w:before="9"/>
              <w:rPr>
                <w:sz w:val="13"/>
              </w:rPr>
            </w:pPr>
          </w:p>
          <w:p>
            <w:pPr>
              <w:pStyle w:val="TableParagraph"/>
              <w:spacing w:line="150" w:lineRule="exact"/>
              <w:ind w:left="293" w:right="230"/>
              <w:jc w:val="center"/>
              <w:rPr>
                <w:sz w:val="14"/>
              </w:rPr>
            </w:pPr>
            <w:r>
              <w:rPr>
                <w:sz w:val="14"/>
              </w:rPr>
              <w:t>14</w:t>
            </w:r>
          </w:p>
        </w:tc>
        <w:tc>
          <w:tcPr>
            <w:tcW w:w="1272" w:type="dxa"/>
            <w:tcBorders>
              <w:top w:val="single" w:sz="12" w:space="0" w:color="000000"/>
            </w:tcBorders>
          </w:tcPr>
          <w:p>
            <w:pPr>
              <w:pStyle w:val="TableParagraph"/>
              <w:spacing w:before="9"/>
              <w:rPr>
                <w:sz w:val="13"/>
              </w:rPr>
            </w:pPr>
          </w:p>
          <w:p>
            <w:pPr>
              <w:pStyle w:val="TableParagraph"/>
              <w:spacing w:line="150" w:lineRule="exact"/>
              <w:ind w:left="60"/>
              <w:jc w:val="center"/>
              <w:rPr>
                <w:sz w:val="14"/>
              </w:rPr>
            </w:pPr>
            <w:r>
              <w:rPr>
                <w:w w:val="99"/>
                <w:sz w:val="14"/>
              </w:rPr>
              <w:t>8</w:t>
            </w:r>
          </w:p>
        </w:tc>
        <w:tc>
          <w:tcPr>
            <w:tcW w:w="1214" w:type="dxa"/>
          </w:tcPr>
          <w:p>
            <w:pPr>
              <w:pStyle w:val="TableParagraph"/>
              <w:spacing w:before="9"/>
              <w:rPr>
                <w:sz w:val="13"/>
              </w:rPr>
            </w:pPr>
          </w:p>
          <w:p>
            <w:pPr>
              <w:pStyle w:val="TableParagraph"/>
              <w:spacing w:line="150" w:lineRule="exact"/>
              <w:ind w:left="358" w:right="354"/>
              <w:jc w:val="center"/>
              <w:rPr>
                <w:sz w:val="14"/>
              </w:rPr>
            </w:pPr>
            <w:r>
              <w:rPr>
                <w:sz w:val="14"/>
              </w:rPr>
              <w:t>9.09***</w:t>
            </w:r>
          </w:p>
        </w:tc>
      </w:tr>
      <w:tr>
        <w:trPr>
          <w:trHeight w:val="173" w:hRule="atLeast"/>
        </w:trPr>
        <w:tc>
          <w:tcPr>
            <w:tcW w:w="1093" w:type="dxa"/>
          </w:tcPr>
          <w:p>
            <w:pPr>
              <w:pStyle w:val="TableParagraph"/>
              <w:spacing w:line="151" w:lineRule="exact" w:before="2"/>
              <w:ind w:left="50"/>
              <w:rPr>
                <w:sz w:val="14"/>
              </w:rPr>
            </w:pPr>
            <w:r>
              <w:rPr>
                <w:sz w:val="14"/>
              </w:rPr>
              <w:t>1997-2000</w:t>
            </w:r>
          </w:p>
        </w:tc>
        <w:tc>
          <w:tcPr>
            <w:tcW w:w="1157" w:type="dxa"/>
          </w:tcPr>
          <w:p>
            <w:pPr>
              <w:pStyle w:val="TableParagraph"/>
              <w:spacing w:line="151" w:lineRule="exact" w:before="2"/>
              <w:ind w:left="66"/>
              <w:jc w:val="center"/>
              <w:rPr>
                <w:sz w:val="14"/>
              </w:rPr>
            </w:pPr>
            <w:r>
              <w:rPr>
                <w:w w:val="99"/>
                <w:sz w:val="14"/>
              </w:rPr>
              <w:t>6</w:t>
            </w:r>
          </w:p>
        </w:tc>
        <w:tc>
          <w:tcPr>
            <w:tcW w:w="1271" w:type="dxa"/>
          </w:tcPr>
          <w:p>
            <w:pPr>
              <w:pStyle w:val="TableParagraph"/>
              <w:spacing w:line="151" w:lineRule="exact" w:before="2"/>
              <w:ind w:left="226" w:right="159"/>
              <w:jc w:val="center"/>
              <w:rPr>
                <w:sz w:val="14"/>
              </w:rPr>
            </w:pPr>
            <w:r>
              <w:rPr>
                <w:sz w:val="14"/>
              </w:rPr>
              <w:t>10</w:t>
            </w:r>
          </w:p>
        </w:tc>
        <w:tc>
          <w:tcPr>
            <w:tcW w:w="1214" w:type="dxa"/>
          </w:tcPr>
          <w:p>
            <w:pPr>
              <w:pStyle w:val="TableParagraph"/>
              <w:spacing w:line="151" w:lineRule="exact" w:before="2"/>
              <w:ind w:left="361" w:right="353"/>
              <w:jc w:val="center"/>
              <w:rPr>
                <w:sz w:val="14"/>
              </w:rPr>
            </w:pPr>
            <w:r>
              <w:rPr>
                <w:sz w:val="14"/>
              </w:rPr>
              <w:t>0.13</w:t>
            </w:r>
          </w:p>
        </w:tc>
        <w:tc>
          <w:tcPr>
            <w:tcW w:w="2426" w:type="dxa"/>
          </w:tcPr>
          <w:p>
            <w:pPr>
              <w:pStyle w:val="TableParagraph"/>
              <w:spacing w:line="151" w:lineRule="exact" w:before="2"/>
              <w:ind w:left="1235"/>
              <w:rPr>
                <w:sz w:val="14"/>
              </w:rPr>
            </w:pPr>
            <w:r>
              <w:rPr>
                <w:sz w:val="14"/>
              </w:rPr>
              <w:t>1997-2000</w:t>
            </w:r>
          </w:p>
        </w:tc>
        <w:tc>
          <w:tcPr>
            <w:tcW w:w="1157" w:type="dxa"/>
          </w:tcPr>
          <w:p>
            <w:pPr>
              <w:pStyle w:val="TableParagraph"/>
              <w:spacing w:line="151" w:lineRule="exact" w:before="2"/>
              <w:ind w:left="62"/>
              <w:jc w:val="center"/>
              <w:rPr>
                <w:sz w:val="14"/>
              </w:rPr>
            </w:pPr>
            <w:r>
              <w:rPr>
                <w:w w:val="99"/>
                <w:sz w:val="14"/>
              </w:rPr>
              <w:t>6</w:t>
            </w:r>
          </w:p>
        </w:tc>
        <w:tc>
          <w:tcPr>
            <w:tcW w:w="1272" w:type="dxa"/>
          </w:tcPr>
          <w:p>
            <w:pPr>
              <w:pStyle w:val="TableParagraph"/>
              <w:spacing w:line="151" w:lineRule="exact" w:before="2"/>
              <w:ind w:left="60"/>
              <w:jc w:val="center"/>
              <w:rPr>
                <w:sz w:val="14"/>
              </w:rPr>
            </w:pPr>
            <w:r>
              <w:rPr>
                <w:w w:val="99"/>
                <w:sz w:val="14"/>
              </w:rPr>
              <w:t>5</w:t>
            </w:r>
          </w:p>
        </w:tc>
        <w:tc>
          <w:tcPr>
            <w:tcW w:w="1214" w:type="dxa"/>
          </w:tcPr>
          <w:p>
            <w:pPr>
              <w:pStyle w:val="TableParagraph"/>
              <w:spacing w:line="151" w:lineRule="exact" w:before="2"/>
              <w:ind w:left="356" w:right="354"/>
              <w:jc w:val="center"/>
              <w:rPr>
                <w:sz w:val="14"/>
              </w:rPr>
            </w:pPr>
            <w:r>
              <w:rPr>
                <w:sz w:val="14"/>
              </w:rPr>
              <w:t>2.23</w:t>
            </w:r>
          </w:p>
        </w:tc>
      </w:tr>
      <w:tr>
        <w:trPr>
          <w:trHeight w:val="164" w:hRule="atLeast"/>
        </w:trPr>
        <w:tc>
          <w:tcPr>
            <w:tcW w:w="1093" w:type="dxa"/>
          </w:tcPr>
          <w:p>
            <w:pPr>
              <w:pStyle w:val="TableParagraph"/>
              <w:spacing w:line="141" w:lineRule="exact" w:before="3"/>
              <w:ind w:left="50"/>
              <w:rPr>
                <w:sz w:val="14"/>
              </w:rPr>
            </w:pPr>
            <w:r>
              <w:rPr>
                <w:sz w:val="14"/>
              </w:rPr>
              <w:t>2001-present</w:t>
            </w:r>
          </w:p>
        </w:tc>
        <w:tc>
          <w:tcPr>
            <w:tcW w:w="1157" w:type="dxa"/>
          </w:tcPr>
          <w:p>
            <w:pPr>
              <w:pStyle w:val="TableParagraph"/>
              <w:spacing w:line="141" w:lineRule="exact" w:before="3"/>
              <w:ind w:left="66"/>
              <w:jc w:val="center"/>
              <w:rPr>
                <w:sz w:val="14"/>
              </w:rPr>
            </w:pPr>
            <w:r>
              <w:rPr>
                <w:w w:val="99"/>
                <w:sz w:val="14"/>
              </w:rPr>
              <w:t>9</w:t>
            </w:r>
          </w:p>
        </w:tc>
        <w:tc>
          <w:tcPr>
            <w:tcW w:w="1271" w:type="dxa"/>
          </w:tcPr>
          <w:p>
            <w:pPr>
              <w:pStyle w:val="TableParagraph"/>
              <w:spacing w:line="141" w:lineRule="exact" w:before="3"/>
              <w:ind w:left="64"/>
              <w:jc w:val="center"/>
              <w:rPr>
                <w:sz w:val="14"/>
              </w:rPr>
            </w:pPr>
            <w:r>
              <w:rPr>
                <w:w w:val="99"/>
                <w:sz w:val="14"/>
              </w:rPr>
              <w:t>4</w:t>
            </w:r>
          </w:p>
        </w:tc>
        <w:tc>
          <w:tcPr>
            <w:tcW w:w="1214" w:type="dxa"/>
          </w:tcPr>
          <w:p>
            <w:pPr>
              <w:pStyle w:val="TableParagraph"/>
              <w:spacing w:line="141" w:lineRule="exact" w:before="3"/>
              <w:ind w:left="361" w:right="351"/>
              <w:jc w:val="center"/>
              <w:rPr>
                <w:sz w:val="14"/>
              </w:rPr>
            </w:pPr>
            <w:r>
              <w:rPr>
                <w:sz w:val="14"/>
              </w:rPr>
              <w:t>7.54***</w:t>
            </w:r>
          </w:p>
        </w:tc>
        <w:tc>
          <w:tcPr>
            <w:tcW w:w="2426" w:type="dxa"/>
          </w:tcPr>
          <w:p>
            <w:pPr>
              <w:pStyle w:val="TableParagraph"/>
              <w:spacing w:line="141" w:lineRule="exact" w:before="3"/>
              <w:ind w:left="1235"/>
              <w:rPr>
                <w:sz w:val="14"/>
              </w:rPr>
            </w:pPr>
            <w:r>
              <w:rPr>
                <w:sz w:val="14"/>
              </w:rPr>
              <w:t>2001-present</w:t>
            </w:r>
          </w:p>
        </w:tc>
        <w:tc>
          <w:tcPr>
            <w:tcW w:w="1157" w:type="dxa"/>
          </w:tcPr>
          <w:p>
            <w:pPr>
              <w:pStyle w:val="TableParagraph"/>
              <w:spacing w:line="141" w:lineRule="exact" w:before="3"/>
              <w:ind w:left="62"/>
              <w:jc w:val="center"/>
              <w:rPr>
                <w:sz w:val="14"/>
              </w:rPr>
            </w:pPr>
            <w:r>
              <w:rPr>
                <w:w w:val="99"/>
                <w:sz w:val="14"/>
              </w:rPr>
              <w:t>8</w:t>
            </w:r>
          </w:p>
        </w:tc>
        <w:tc>
          <w:tcPr>
            <w:tcW w:w="1272" w:type="dxa"/>
          </w:tcPr>
          <w:p>
            <w:pPr>
              <w:pStyle w:val="TableParagraph"/>
              <w:spacing w:line="141" w:lineRule="exact" w:before="3"/>
              <w:ind w:left="60"/>
              <w:jc w:val="center"/>
              <w:rPr>
                <w:sz w:val="14"/>
              </w:rPr>
            </w:pPr>
            <w:r>
              <w:rPr>
                <w:w w:val="99"/>
                <w:sz w:val="14"/>
              </w:rPr>
              <w:t>3</w:t>
            </w:r>
          </w:p>
        </w:tc>
        <w:tc>
          <w:tcPr>
            <w:tcW w:w="1214" w:type="dxa"/>
          </w:tcPr>
          <w:p>
            <w:pPr>
              <w:pStyle w:val="TableParagraph"/>
              <w:spacing w:line="141" w:lineRule="exact" w:before="3"/>
              <w:ind w:left="358" w:right="354"/>
              <w:jc w:val="center"/>
              <w:rPr>
                <w:sz w:val="14"/>
              </w:rPr>
            </w:pPr>
            <w:r>
              <w:rPr>
                <w:sz w:val="14"/>
              </w:rPr>
              <w:t>7.68***</w:t>
            </w:r>
          </w:p>
        </w:tc>
      </w:tr>
    </w:tbl>
    <w:p>
      <w:pPr>
        <w:pStyle w:val="BodyText"/>
        <w:rPr>
          <w:sz w:val="20"/>
        </w:rPr>
      </w:pPr>
    </w:p>
    <w:p>
      <w:pPr>
        <w:pStyle w:val="BodyText"/>
        <w:spacing w:before="10"/>
        <w:rPr>
          <w:sz w:val="17"/>
        </w:rPr>
      </w:pPr>
    </w:p>
    <w:p>
      <w:pPr>
        <w:pStyle w:val="ListParagraph"/>
        <w:numPr>
          <w:ilvl w:val="0"/>
          <w:numId w:val="2"/>
        </w:numPr>
        <w:tabs>
          <w:tab w:pos="368" w:val="left" w:leader="none"/>
          <w:tab w:pos="6084" w:val="left" w:leader="none"/>
        </w:tabs>
        <w:spacing w:line="240" w:lineRule="auto" w:before="88" w:after="0"/>
        <w:ind w:left="367" w:right="0" w:hanging="206"/>
        <w:jc w:val="left"/>
        <w:rPr>
          <w:b/>
          <w:sz w:val="17"/>
        </w:rPr>
      </w:pPr>
      <w:r>
        <w:rPr>
          <w:b/>
          <w:sz w:val="17"/>
        </w:rPr>
        <w:t>Are</w:t>
      </w:r>
      <w:r>
        <w:rPr>
          <w:b/>
          <w:spacing w:val="-11"/>
          <w:sz w:val="17"/>
        </w:rPr>
        <w:t> </w:t>
      </w:r>
      <w:r>
        <w:rPr>
          <w:b/>
          <w:sz w:val="17"/>
        </w:rPr>
        <w:t>interest</w:t>
      </w:r>
      <w:r>
        <w:rPr>
          <w:b/>
          <w:spacing w:val="-10"/>
          <w:sz w:val="17"/>
        </w:rPr>
        <w:t> </w:t>
      </w:r>
      <w:r>
        <w:rPr>
          <w:b/>
          <w:sz w:val="17"/>
        </w:rPr>
        <w:t>rate</w:t>
      </w:r>
      <w:r>
        <w:rPr>
          <w:b/>
          <w:spacing w:val="-11"/>
          <w:sz w:val="17"/>
        </w:rPr>
        <w:t> </w:t>
      </w:r>
      <w:r>
        <w:rPr>
          <w:b/>
          <w:sz w:val="17"/>
        </w:rPr>
        <w:t>surprises</w:t>
      </w:r>
      <w:r>
        <w:rPr>
          <w:b/>
          <w:spacing w:val="-11"/>
          <w:sz w:val="17"/>
        </w:rPr>
        <w:t> </w:t>
      </w:r>
      <w:r>
        <w:rPr>
          <w:b/>
          <w:sz w:val="17"/>
        </w:rPr>
        <w:t>getting</w:t>
      </w:r>
      <w:r>
        <w:rPr>
          <w:b/>
          <w:spacing w:val="-10"/>
          <w:sz w:val="17"/>
        </w:rPr>
        <w:t> </w:t>
      </w:r>
      <w:r>
        <w:rPr>
          <w:b/>
          <w:sz w:val="17"/>
        </w:rPr>
        <w:t>smaller?</w:t>
        <w:tab/>
      </w:r>
      <w:r>
        <w:rPr>
          <w:b/>
          <w:position w:val="1"/>
          <w:sz w:val="17"/>
        </w:rPr>
        <w:t>D. Are interest rate surprises larger in </w:t>
      </w:r>
      <w:r>
        <w:rPr>
          <w:b/>
          <w:i/>
          <w:sz w:val="17"/>
        </w:rPr>
        <w:t>Inflation Report</w:t>
      </w:r>
      <w:r>
        <w:rPr>
          <w:b/>
          <w:i/>
          <w:spacing w:val="-22"/>
          <w:sz w:val="17"/>
        </w:rPr>
        <w:t> </w:t>
      </w:r>
      <w:r>
        <w:rPr>
          <w:b/>
          <w:position w:val="1"/>
          <w:sz w:val="17"/>
        </w:rPr>
        <w:t>months?</w:t>
      </w:r>
    </w:p>
    <w:p>
      <w:pPr>
        <w:pStyle w:val="BodyText"/>
        <w:spacing w:before="5"/>
        <w:rPr>
          <w:b/>
          <w:sz w:val="19"/>
        </w:rPr>
      </w:pPr>
    </w:p>
    <w:p>
      <w:pPr>
        <w:tabs>
          <w:tab w:pos="7255" w:val="left" w:leader="none"/>
        </w:tabs>
        <w:spacing w:line="28" w:lineRule="exact"/>
        <w:ind w:left="1189" w:right="0" w:firstLine="0"/>
        <w:rPr>
          <w:sz w:val="2"/>
        </w:rPr>
      </w:pPr>
      <w:r>
        <w:rPr>
          <w:position w:val="0"/>
          <w:sz w:val="2"/>
        </w:rPr>
        <w:pict>
          <v:group style="width:121.4pt;height:1.4pt;mso-position-horizontal-relative:char;mso-position-vertical-relative:line" coordorigin="0,0" coordsize="2428,28">
            <v:line style="position:absolute" from="0,14" to="2428,14" stroked="true" strokeweight="1.38pt" strokecolor="#000000">
              <v:stroke dashstyle="solid"/>
            </v:line>
          </v:group>
        </w:pict>
      </w:r>
      <w:r>
        <w:rPr>
          <w:position w:val="0"/>
          <w:sz w:val="2"/>
        </w:rPr>
      </w:r>
      <w:r>
        <w:rPr>
          <w:position w:val="0"/>
          <w:sz w:val="2"/>
        </w:rPr>
        <w:tab/>
      </w:r>
      <w:r>
        <w:rPr>
          <w:position w:val="0"/>
          <w:sz w:val="2"/>
        </w:rPr>
        <w:pict>
          <v:group style="width:182.05pt;height:1.4pt;mso-position-horizontal-relative:char;mso-position-vertical-relative:line" coordorigin="0,0" coordsize="3641,28">
            <v:line style="position:absolute" from="0,14" to="3641,14" stroked="true" strokeweight="1.38pt" strokecolor="#000000">
              <v:stroke dashstyle="solid"/>
            </v:line>
          </v:group>
        </w:pict>
      </w:r>
      <w:r>
        <w:rPr>
          <w:position w:val="0"/>
          <w:sz w:val="2"/>
        </w:rPr>
      </w:r>
    </w:p>
    <w:p>
      <w:pPr>
        <w:spacing w:after="0" w:line="28" w:lineRule="exact"/>
        <w:rPr>
          <w:sz w:val="2"/>
        </w:rPr>
        <w:sectPr>
          <w:type w:val="continuous"/>
          <w:pgSz w:w="11900" w:h="16840"/>
          <w:pgMar w:top="1180" w:bottom="280" w:left="520" w:right="360"/>
        </w:sectPr>
      </w:pPr>
    </w:p>
    <w:p>
      <w:pPr>
        <w:pStyle w:val="BodyText"/>
        <w:rPr>
          <w:b/>
          <w:sz w:val="15"/>
        </w:rPr>
      </w:pPr>
    </w:p>
    <w:p>
      <w:pPr>
        <w:spacing w:before="0"/>
        <w:ind w:left="1448" w:right="0" w:firstLine="0"/>
        <w:jc w:val="left"/>
        <w:rPr>
          <w:sz w:val="14"/>
        </w:rPr>
      </w:pPr>
      <w:r>
        <w:rPr>
          <w:spacing w:val="-1"/>
          <w:sz w:val="14"/>
        </w:rPr>
        <w:t>Observations</w:t>
      </w:r>
    </w:p>
    <w:p>
      <w:pPr>
        <w:spacing w:line="266" w:lineRule="auto" w:before="0"/>
        <w:ind w:left="249" w:right="28" w:firstLine="0"/>
        <w:jc w:val="center"/>
        <w:rPr>
          <w:sz w:val="14"/>
        </w:rPr>
      </w:pPr>
      <w:r>
        <w:rPr/>
        <w:br w:type="column"/>
      </w:r>
      <w:r>
        <w:rPr>
          <w:sz w:val="14"/>
        </w:rPr>
        <w:t>Average magnitude of rate 'surprise' (bp)</w:t>
      </w:r>
    </w:p>
    <w:p>
      <w:pPr>
        <w:pStyle w:val="BodyText"/>
        <w:rPr>
          <w:sz w:val="14"/>
        </w:rPr>
      </w:pPr>
      <w:r>
        <w:rPr/>
        <w:br w:type="column"/>
      </w:r>
      <w:r>
        <w:rPr>
          <w:sz w:val="14"/>
        </w:rPr>
      </w:r>
    </w:p>
    <w:p>
      <w:pPr>
        <w:pStyle w:val="BodyText"/>
        <w:spacing w:before="7"/>
        <w:rPr>
          <w:sz w:val="15"/>
        </w:rPr>
      </w:pPr>
    </w:p>
    <w:p>
      <w:pPr>
        <w:spacing w:before="0"/>
        <w:ind w:left="1448" w:right="0" w:firstLine="0"/>
        <w:jc w:val="left"/>
        <w:rPr>
          <w:sz w:val="14"/>
        </w:rPr>
      </w:pPr>
      <w:r>
        <w:rPr>
          <w:sz w:val="14"/>
        </w:rPr>
        <w:t>Average of 'surprise' variable (bp)</w:t>
      </w:r>
    </w:p>
    <w:p>
      <w:pPr>
        <w:spacing w:after="0"/>
        <w:jc w:val="left"/>
        <w:rPr>
          <w:sz w:val="14"/>
        </w:rPr>
        <w:sectPr>
          <w:type w:val="continuous"/>
          <w:pgSz w:w="11900" w:h="16840"/>
          <w:pgMar w:top="1180" w:bottom="280" w:left="520" w:right="360"/>
          <w:cols w:num="3" w:equalWidth="0">
            <w:col w:w="2185" w:space="40"/>
            <w:col w:w="1390" w:space="3082"/>
            <w:col w:w="4323"/>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3"/>
        <w:gridCol w:w="1159"/>
        <w:gridCol w:w="1269"/>
        <w:gridCol w:w="3638"/>
        <w:gridCol w:w="1174"/>
        <w:gridCol w:w="1293"/>
        <w:gridCol w:w="1171"/>
      </w:tblGrid>
      <w:tr>
        <w:trPr>
          <w:trHeight w:val="330" w:hRule="atLeast"/>
        </w:trPr>
        <w:tc>
          <w:tcPr>
            <w:tcW w:w="1093" w:type="dxa"/>
          </w:tcPr>
          <w:p>
            <w:pPr>
              <w:pStyle w:val="TableParagraph"/>
              <w:spacing w:before="1"/>
              <w:rPr>
                <w:sz w:val="13"/>
              </w:rPr>
            </w:pPr>
          </w:p>
          <w:p>
            <w:pPr>
              <w:pStyle w:val="TableParagraph"/>
              <w:spacing w:line="160" w:lineRule="exact"/>
              <w:ind w:left="50"/>
              <w:rPr>
                <w:i/>
                <w:sz w:val="14"/>
              </w:rPr>
            </w:pPr>
            <w:r>
              <w:rPr>
                <w:i/>
                <w:sz w:val="14"/>
              </w:rPr>
              <w:t>Reuters measure:</w:t>
            </w:r>
          </w:p>
        </w:tc>
        <w:tc>
          <w:tcPr>
            <w:tcW w:w="1159" w:type="dxa"/>
            <w:tcBorders>
              <w:top w:val="single" w:sz="12" w:space="0" w:color="000000"/>
            </w:tcBorders>
          </w:tcPr>
          <w:p>
            <w:pPr>
              <w:pStyle w:val="TableParagraph"/>
              <w:rPr>
                <w:sz w:val="14"/>
              </w:rPr>
            </w:pPr>
          </w:p>
        </w:tc>
        <w:tc>
          <w:tcPr>
            <w:tcW w:w="1269" w:type="dxa"/>
            <w:tcBorders>
              <w:top w:val="single" w:sz="12" w:space="0" w:color="000000"/>
            </w:tcBorders>
          </w:tcPr>
          <w:p>
            <w:pPr>
              <w:pStyle w:val="TableParagraph"/>
              <w:rPr>
                <w:sz w:val="14"/>
              </w:rPr>
            </w:pPr>
          </w:p>
        </w:tc>
        <w:tc>
          <w:tcPr>
            <w:tcW w:w="3638" w:type="dxa"/>
          </w:tcPr>
          <w:p>
            <w:pPr>
              <w:pStyle w:val="TableParagraph"/>
              <w:rPr>
                <w:sz w:val="14"/>
              </w:rPr>
            </w:pPr>
          </w:p>
        </w:tc>
        <w:tc>
          <w:tcPr>
            <w:tcW w:w="1174" w:type="dxa"/>
            <w:tcBorders>
              <w:top w:val="single" w:sz="12" w:space="0" w:color="000000"/>
            </w:tcBorders>
          </w:tcPr>
          <w:p>
            <w:pPr>
              <w:pStyle w:val="TableParagraph"/>
              <w:spacing w:line="141" w:lineRule="exact"/>
              <w:ind w:left="298" w:right="248"/>
              <w:jc w:val="center"/>
              <w:rPr>
                <w:sz w:val="14"/>
              </w:rPr>
            </w:pPr>
            <w:r>
              <w:rPr>
                <w:sz w:val="14"/>
              </w:rPr>
              <w:t>IR months</w:t>
            </w:r>
          </w:p>
        </w:tc>
        <w:tc>
          <w:tcPr>
            <w:tcW w:w="1293" w:type="dxa"/>
            <w:tcBorders>
              <w:top w:val="single" w:sz="12" w:space="0" w:color="000000"/>
            </w:tcBorders>
          </w:tcPr>
          <w:p>
            <w:pPr>
              <w:pStyle w:val="TableParagraph"/>
              <w:spacing w:line="141" w:lineRule="exact"/>
              <w:ind w:left="248" w:right="238"/>
              <w:jc w:val="center"/>
              <w:rPr>
                <w:sz w:val="14"/>
              </w:rPr>
            </w:pPr>
            <w:r>
              <w:rPr>
                <w:sz w:val="14"/>
              </w:rPr>
              <w:t>Other months</w:t>
            </w:r>
          </w:p>
        </w:tc>
        <w:tc>
          <w:tcPr>
            <w:tcW w:w="1171" w:type="dxa"/>
            <w:tcBorders>
              <w:top w:val="single" w:sz="12" w:space="0" w:color="000000"/>
            </w:tcBorders>
          </w:tcPr>
          <w:p>
            <w:pPr>
              <w:pStyle w:val="TableParagraph"/>
              <w:spacing w:line="137" w:lineRule="exact"/>
              <w:ind w:left="245" w:right="295"/>
              <w:jc w:val="center"/>
              <w:rPr>
                <w:i/>
                <w:sz w:val="14"/>
              </w:rPr>
            </w:pPr>
            <w:r>
              <w:rPr>
                <w:i/>
                <w:sz w:val="14"/>
              </w:rPr>
              <w:t>Difference</w:t>
            </w:r>
          </w:p>
        </w:tc>
      </w:tr>
      <w:tr>
        <w:trPr>
          <w:trHeight w:val="173" w:hRule="atLeast"/>
        </w:trPr>
        <w:tc>
          <w:tcPr>
            <w:tcW w:w="1093" w:type="dxa"/>
          </w:tcPr>
          <w:p>
            <w:pPr>
              <w:pStyle w:val="TableParagraph"/>
              <w:spacing w:line="152" w:lineRule="exact"/>
              <w:ind w:right="22"/>
              <w:jc w:val="right"/>
              <w:rPr>
                <w:sz w:val="14"/>
              </w:rPr>
            </w:pPr>
            <w:r>
              <w:rPr>
                <w:sz w:val="14"/>
              </w:rPr>
              <w:t>1998-2000</w:t>
            </w:r>
          </w:p>
        </w:tc>
        <w:tc>
          <w:tcPr>
            <w:tcW w:w="1159" w:type="dxa"/>
          </w:tcPr>
          <w:p>
            <w:pPr>
              <w:pStyle w:val="TableParagraph"/>
              <w:spacing w:line="152" w:lineRule="exact"/>
              <w:ind w:left="522" w:right="455"/>
              <w:jc w:val="center"/>
              <w:rPr>
                <w:sz w:val="14"/>
              </w:rPr>
            </w:pPr>
            <w:r>
              <w:rPr>
                <w:sz w:val="14"/>
              </w:rPr>
              <w:t>30</w:t>
            </w:r>
          </w:p>
        </w:tc>
        <w:tc>
          <w:tcPr>
            <w:tcW w:w="1269" w:type="dxa"/>
          </w:tcPr>
          <w:p>
            <w:pPr>
              <w:pStyle w:val="TableParagraph"/>
              <w:spacing w:line="152" w:lineRule="exact"/>
              <w:ind w:left="454" w:right="389"/>
              <w:jc w:val="center"/>
              <w:rPr>
                <w:sz w:val="14"/>
              </w:rPr>
            </w:pPr>
            <w:r>
              <w:rPr>
                <w:sz w:val="14"/>
              </w:rPr>
              <w:t>11</w:t>
            </w:r>
          </w:p>
        </w:tc>
        <w:tc>
          <w:tcPr>
            <w:tcW w:w="3638" w:type="dxa"/>
          </w:tcPr>
          <w:p>
            <w:pPr>
              <w:pStyle w:val="TableParagraph"/>
              <w:spacing w:line="153" w:lineRule="exact"/>
              <w:ind w:right="251"/>
              <w:jc w:val="right"/>
              <w:rPr>
                <w:i/>
                <w:sz w:val="14"/>
              </w:rPr>
            </w:pPr>
            <w:r>
              <w:rPr>
                <w:i/>
                <w:sz w:val="14"/>
              </w:rPr>
              <w:t>Reuters measure</w:t>
            </w:r>
          </w:p>
        </w:tc>
        <w:tc>
          <w:tcPr>
            <w:tcW w:w="1174" w:type="dxa"/>
          </w:tcPr>
          <w:p>
            <w:pPr>
              <w:pStyle w:val="TableParagraph"/>
              <w:rPr>
                <w:sz w:val="10"/>
              </w:rPr>
            </w:pPr>
          </w:p>
        </w:tc>
        <w:tc>
          <w:tcPr>
            <w:tcW w:w="1293" w:type="dxa"/>
          </w:tcPr>
          <w:p>
            <w:pPr>
              <w:pStyle w:val="TableParagraph"/>
              <w:rPr>
                <w:sz w:val="10"/>
              </w:rPr>
            </w:pPr>
          </w:p>
        </w:tc>
        <w:tc>
          <w:tcPr>
            <w:tcW w:w="1171" w:type="dxa"/>
          </w:tcPr>
          <w:p>
            <w:pPr>
              <w:pStyle w:val="TableParagraph"/>
              <w:rPr>
                <w:sz w:val="10"/>
              </w:rPr>
            </w:pPr>
          </w:p>
        </w:tc>
      </w:tr>
      <w:tr>
        <w:trPr>
          <w:trHeight w:val="173" w:hRule="atLeast"/>
        </w:trPr>
        <w:tc>
          <w:tcPr>
            <w:tcW w:w="1093" w:type="dxa"/>
          </w:tcPr>
          <w:p>
            <w:pPr>
              <w:pStyle w:val="TableParagraph"/>
              <w:spacing w:line="152" w:lineRule="exact"/>
              <w:ind w:right="23"/>
              <w:jc w:val="right"/>
              <w:rPr>
                <w:sz w:val="14"/>
              </w:rPr>
            </w:pPr>
            <w:r>
              <w:rPr>
                <w:sz w:val="14"/>
              </w:rPr>
              <w:t>2001-present</w:t>
            </w:r>
          </w:p>
        </w:tc>
        <w:tc>
          <w:tcPr>
            <w:tcW w:w="1159" w:type="dxa"/>
          </w:tcPr>
          <w:p>
            <w:pPr>
              <w:pStyle w:val="TableParagraph"/>
              <w:spacing w:line="152" w:lineRule="exact"/>
              <w:ind w:left="521" w:right="456"/>
              <w:jc w:val="center"/>
              <w:rPr>
                <w:sz w:val="14"/>
              </w:rPr>
            </w:pPr>
            <w:r>
              <w:rPr>
                <w:sz w:val="14"/>
              </w:rPr>
              <w:t>50</w:t>
            </w:r>
          </w:p>
        </w:tc>
        <w:tc>
          <w:tcPr>
            <w:tcW w:w="1269" w:type="dxa"/>
          </w:tcPr>
          <w:p>
            <w:pPr>
              <w:pStyle w:val="TableParagraph"/>
              <w:spacing w:line="152" w:lineRule="exact"/>
              <w:ind w:left="454" w:right="389"/>
              <w:jc w:val="center"/>
              <w:rPr>
                <w:sz w:val="14"/>
              </w:rPr>
            </w:pPr>
            <w:r>
              <w:rPr>
                <w:sz w:val="14"/>
              </w:rPr>
              <w:t>7.6</w:t>
            </w:r>
          </w:p>
        </w:tc>
        <w:tc>
          <w:tcPr>
            <w:tcW w:w="3638" w:type="dxa"/>
          </w:tcPr>
          <w:p>
            <w:pPr>
              <w:pStyle w:val="TableParagraph"/>
              <w:spacing w:line="154" w:lineRule="exact"/>
              <w:ind w:right="12"/>
              <w:jc w:val="right"/>
              <w:rPr>
                <w:sz w:val="14"/>
              </w:rPr>
            </w:pPr>
            <w:r>
              <w:rPr>
                <w:sz w:val="14"/>
              </w:rPr>
              <w:t>Whole period</w:t>
            </w:r>
          </w:p>
        </w:tc>
        <w:tc>
          <w:tcPr>
            <w:tcW w:w="1174" w:type="dxa"/>
          </w:tcPr>
          <w:p>
            <w:pPr>
              <w:pStyle w:val="TableParagraph"/>
              <w:spacing w:line="154" w:lineRule="exact"/>
              <w:ind w:left="296" w:right="248"/>
              <w:jc w:val="center"/>
              <w:rPr>
                <w:sz w:val="14"/>
              </w:rPr>
            </w:pPr>
            <w:r>
              <w:rPr>
                <w:sz w:val="14"/>
              </w:rPr>
              <w:t>10.6</w:t>
            </w:r>
          </w:p>
        </w:tc>
        <w:tc>
          <w:tcPr>
            <w:tcW w:w="1293" w:type="dxa"/>
          </w:tcPr>
          <w:p>
            <w:pPr>
              <w:pStyle w:val="TableParagraph"/>
              <w:spacing w:line="152" w:lineRule="exact"/>
              <w:ind w:left="247" w:right="238"/>
              <w:jc w:val="center"/>
              <w:rPr>
                <w:sz w:val="14"/>
              </w:rPr>
            </w:pPr>
            <w:r>
              <w:rPr>
                <w:sz w:val="14"/>
              </w:rPr>
              <w:t>7.9</w:t>
            </w:r>
          </w:p>
        </w:tc>
        <w:tc>
          <w:tcPr>
            <w:tcW w:w="1171" w:type="dxa"/>
          </w:tcPr>
          <w:p>
            <w:pPr>
              <w:pStyle w:val="TableParagraph"/>
              <w:spacing w:line="154" w:lineRule="exact"/>
              <w:ind w:left="243" w:right="295"/>
              <w:jc w:val="center"/>
              <w:rPr>
                <w:i/>
                <w:sz w:val="14"/>
              </w:rPr>
            </w:pPr>
            <w:r>
              <w:rPr>
                <w:i/>
                <w:sz w:val="14"/>
              </w:rPr>
              <w:t>+2.7*</w:t>
            </w:r>
          </w:p>
        </w:tc>
      </w:tr>
      <w:tr>
        <w:trPr>
          <w:trHeight w:val="172" w:hRule="atLeast"/>
        </w:trPr>
        <w:tc>
          <w:tcPr>
            <w:tcW w:w="1093" w:type="dxa"/>
          </w:tcPr>
          <w:p>
            <w:pPr>
              <w:pStyle w:val="TableParagraph"/>
              <w:spacing w:line="151" w:lineRule="exact"/>
              <w:ind w:right="46"/>
              <w:jc w:val="right"/>
              <w:rPr>
                <w:i/>
                <w:sz w:val="14"/>
              </w:rPr>
            </w:pPr>
            <w:r>
              <w:rPr>
                <w:i/>
                <w:sz w:val="14"/>
              </w:rPr>
              <w:t>Difference</w:t>
            </w:r>
          </w:p>
        </w:tc>
        <w:tc>
          <w:tcPr>
            <w:tcW w:w="1159" w:type="dxa"/>
          </w:tcPr>
          <w:p>
            <w:pPr>
              <w:pStyle w:val="TableParagraph"/>
              <w:rPr>
                <w:sz w:val="10"/>
              </w:rPr>
            </w:pPr>
          </w:p>
        </w:tc>
        <w:tc>
          <w:tcPr>
            <w:tcW w:w="1269" w:type="dxa"/>
          </w:tcPr>
          <w:p>
            <w:pPr>
              <w:pStyle w:val="TableParagraph"/>
              <w:spacing w:line="151" w:lineRule="exact"/>
              <w:ind w:left="454" w:right="413"/>
              <w:jc w:val="center"/>
              <w:rPr>
                <w:i/>
                <w:sz w:val="14"/>
              </w:rPr>
            </w:pPr>
            <w:r>
              <w:rPr>
                <w:i/>
                <w:sz w:val="14"/>
              </w:rPr>
              <w:t>-3.3**</w:t>
            </w:r>
          </w:p>
        </w:tc>
        <w:tc>
          <w:tcPr>
            <w:tcW w:w="3638" w:type="dxa"/>
          </w:tcPr>
          <w:p>
            <w:pPr>
              <w:pStyle w:val="TableParagraph"/>
              <w:spacing w:line="153" w:lineRule="exact"/>
              <w:ind w:right="11"/>
              <w:jc w:val="right"/>
              <w:rPr>
                <w:sz w:val="14"/>
              </w:rPr>
            </w:pPr>
            <w:r>
              <w:rPr>
                <w:sz w:val="14"/>
              </w:rPr>
              <w:t>1998-2000</w:t>
            </w:r>
          </w:p>
        </w:tc>
        <w:tc>
          <w:tcPr>
            <w:tcW w:w="1174" w:type="dxa"/>
          </w:tcPr>
          <w:p>
            <w:pPr>
              <w:pStyle w:val="TableParagraph"/>
              <w:spacing w:line="151" w:lineRule="exact"/>
              <w:ind w:left="298" w:right="246"/>
              <w:jc w:val="center"/>
              <w:rPr>
                <w:sz w:val="14"/>
              </w:rPr>
            </w:pPr>
            <w:r>
              <w:rPr>
                <w:sz w:val="14"/>
              </w:rPr>
              <w:t>12.6</w:t>
            </w:r>
          </w:p>
        </w:tc>
        <w:tc>
          <w:tcPr>
            <w:tcW w:w="1293" w:type="dxa"/>
          </w:tcPr>
          <w:p>
            <w:pPr>
              <w:pStyle w:val="TableParagraph"/>
              <w:spacing w:line="151" w:lineRule="exact"/>
              <w:ind w:left="248" w:right="237"/>
              <w:jc w:val="center"/>
              <w:rPr>
                <w:sz w:val="14"/>
              </w:rPr>
            </w:pPr>
            <w:r>
              <w:rPr>
                <w:sz w:val="14"/>
              </w:rPr>
              <w:t>10.0</w:t>
            </w:r>
          </w:p>
        </w:tc>
        <w:tc>
          <w:tcPr>
            <w:tcW w:w="1171" w:type="dxa"/>
          </w:tcPr>
          <w:p>
            <w:pPr>
              <w:pStyle w:val="TableParagraph"/>
              <w:spacing w:line="153" w:lineRule="exact"/>
              <w:ind w:left="242" w:right="295"/>
              <w:jc w:val="center"/>
              <w:rPr>
                <w:i/>
                <w:sz w:val="14"/>
              </w:rPr>
            </w:pPr>
            <w:r>
              <w:rPr>
                <w:i/>
                <w:sz w:val="14"/>
              </w:rPr>
              <w:t>+2.6</w:t>
            </w:r>
          </w:p>
        </w:tc>
      </w:tr>
      <w:tr>
        <w:trPr>
          <w:trHeight w:val="188" w:hRule="atLeast"/>
        </w:trPr>
        <w:tc>
          <w:tcPr>
            <w:tcW w:w="1093" w:type="dxa"/>
          </w:tcPr>
          <w:p>
            <w:pPr>
              <w:pStyle w:val="TableParagraph"/>
              <w:rPr>
                <w:sz w:val="12"/>
              </w:rPr>
            </w:pPr>
          </w:p>
        </w:tc>
        <w:tc>
          <w:tcPr>
            <w:tcW w:w="1159" w:type="dxa"/>
          </w:tcPr>
          <w:p>
            <w:pPr>
              <w:pStyle w:val="TableParagraph"/>
              <w:rPr>
                <w:sz w:val="12"/>
              </w:rPr>
            </w:pPr>
          </w:p>
        </w:tc>
        <w:tc>
          <w:tcPr>
            <w:tcW w:w="1269" w:type="dxa"/>
          </w:tcPr>
          <w:p>
            <w:pPr>
              <w:pStyle w:val="TableParagraph"/>
              <w:rPr>
                <w:sz w:val="12"/>
              </w:rPr>
            </w:pPr>
          </w:p>
        </w:tc>
        <w:tc>
          <w:tcPr>
            <w:tcW w:w="3638" w:type="dxa"/>
          </w:tcPr>
          <w:p>
            <w:pPr>
              <w:pStyle w:val="TableParagraph"/>
              <w:spacing w:line="155" w:lineRule="exact"/>
              <w:ind w:right="12"/>
              <w:jc w:val="right"/>
              <w:rPr>
                <w:sz w:val="14"/>
              </w:rPr>
            </w:pPr>
            <w:r>
              <w:rPr>
                <w:sz w:val="14"/>
              </w:rPr>
              <w:t>2001-present</w:t>
            </w:r>
          </w:p>
        </w:tc>
        <w:tc>
          <w:tcPr>
            <w:tcW w:w="1174" w:type="dxa"/>
          </w:tcPr>
          <w:p>
            <w:pPr>
              <w:pStyle w:val="TableParagraph"/>
              <w:spacing w:line="155" w:lineRule="exact"/>
              <w:ind w:left="295" w:right="248"/>
              <w:jc w:val="center"/>
              <w:rPr>
                <w:sz w:val="14"/>
              </w:rPr>
            </w:pPr>
            <w:r>
              <w:rPr>
                <w:sz w:val="14"/>
              </w:rPr>
              <w:t>9.5</w:t>
            </w:r>
          </w:p>
        </w:tc>
        <w:tc>
          <w:tcPr>
            <w:tcW w:w="1293" w:type="dxa"/>
          </w:tcPr>
          <w:p>
            <w:pPr>
              <w:pStyle w:val="TableParagraph"/>
              <w:spacing w:line="151" w:lineRule="exact"/>
              <w:ind w:left="247" w:right="238"/>
              <w:jc w:val="center"/>
              <w:rPr>
                <w:sz w:val="14"/>
              </w:rPr>
            </w:pPr>
            <w:r>
              <w:rPr>
                <w:sz w:val="14"/>
              </w:rPr>
              <w:t>6.6</w:t>
            </w:r>
          </w:p>
        </w:tc>
        <w:tc>
          <w:tcPr>
            <w:tcW w:w="1171" w:type="dxa"/>
          </w:tcPr>
          <w:p>
            <w:pPr>
              <w:pStyle w:val="TableParagraph"/>
              <w:spacing w:line="155" w:lineRule="exact"/>
              <w:ind w:left="242" w:right="295"/>
              <w:jc w:val="center"/>
              <w:rPr>
                <w:i/>
                <w:sz w:val="14"/>
              </w:rPr>
            </w:pPr>
            <w:r>
              <w:rPr>
                <w:i/>
                <w:sz w:val="14"/>
              </w:rPr>
              <w:t>+2.8</w:t>
            </w:r>
          </w:p>
        </w:tc>
      </w:tr>
      <w:tr>
        <w:trPr>
          <w:trHeight w:val="177" w:hRule="atLeast"/>
        </w:trPr>
        <w:tc>
          <w:tcPr>
            <w:tcW w:w="1093" w:type="dxa"/>
          </w:tcPr>
          <w:p>
            <w:pPr>
              <w:pStyle w:val="TableParagraph"/>
              <w:spacing w:line="152" w:lineRule="exact" w:before="6"/>
              <w:ind w:left="50"/>
              <w:rPr>
                <w:i/>
                <w:sz w:val="14"/>
              </w:rPr>
            </w:pPr>
            <w:r>
              <w:rPr>
                <w:i/>
                <w:sz w:val="14"/>
              </w:rPr>
              <w:t>LIBOR measure:</w:t>
            </w:r>
          </w:p>
        </w:tc>
        <w:tc>
          <w:tcPr>
            <w:tcW w:w="1159" w:type="dxa"/>
          </w:tcPr>
          <w:p>
            <w:pPr>
              <w:pStyle w:val="TableParagraph"/>
              <w:rPr>
                <w:sz w:val="10"/>
              </w:rPr>
            </w:pPr>
          </w:p>
        </w:tc>
        <w:tc>
          <w:tcPr>
            <w:tcW w:w="1269" w:type="dxa"/>
          </w:tcPr>
          <w:p>
            <w:pPr>
              <w:pStyle w:val="TableParagraph"/>
              <w:rPr>
                <w:sz w:val="10"/>
              </w:rPr>
            </w:pPr>
          </w:p>
        </w:tc>
        <w:tc>
          <w:tcPr>
            <w:tcW w:w="3638" w:type="dxa"/>
          </w:tcPr>
          <w:p>
            <w:pPr>
              <w:pStyle w:val="TableParagraph"/>
              <w:rPr>
                <w:sz w:val="10"/>
              </w:rPr>
            </w:pPr>
          </w:p>
        </w:tc>
        <w:tc>
          <w:tcPr>
            <w:tcW w:w="1174" w:type="dxa"/>
          </w:tcPr>
          <w:p>
            <w:pPr>
              <w:pStyle w:val="TableParagraph"/>
              <w:rPr>
                <w:sz w:val="10"/>
              </w:rPr>
            </w:pPr>
          </w:p>
        </w:tc>
        <w:tc>
          <w:tcPr>
            <w:tcW w:w="1293" w:type="dxa"/>
          </w:tcPr>
          <w:p>
            <w:pPr>
              <w:pStyle w:val="TableParagraph"/>
              <w:rPr>
                <w:sz w:val="10"/>
              </w:rPr>
            </w:pPr>
          </w:p>
        </w:tc>
        <w:tc>
          <w:tcPr>
            <w:tcW w:w="1171" w:type="dxa"/>
          </w:tcPr>
          <w:p>
            <w:pPr>
              <w:pStyle w:val="TableParagraph"/>
              <w:rPr>
                <w:sz w:val="10"/>
              </w:rPr>
            </w:pPr>
          </w:p>
        </w:tc>
      </w:tr>
      <w:tr>
        <w:trPr>
          <w:trHeight w:val="201" w:hRule="atLeast"/>
        </w:trPr>
        <w:tc>
          <w:tcPr>
            <w:tcW w:w="1093" w:type="dxa"/>
          </w:tcPr>
          <w:p>
            <w:pPr>
              <w:pStyle w:val="TableParagraph"/>
              <w:spacing w:line="152" w:lineRule="exact" w:before="30"/>
              <w:ind w:right="22"/>
              <w:jc w:val="right"/>
              <w:rPr>
                <w:sz w:val="14"/>
              </w:rPr>
            </w:pPr>
            <w:r>
              <w:rPr>
                <w:sz w:val="14"/>
              </w:rPr>
              <w:t>1997-2000</w:t>
            </w:r>
          </w:p>
        </w:tc>
        <w:tc>
          <w:tcPr>
            <w:tcW w:w="1159" w:type="dxa"/>
          </w:tcPr>
          <w:p>
            <w:pPr>
              <w:pStyle w:val="TableParagraph"/>
              <w:spacing w:line="152" w:lineRule="exact" w:before="30"/>
              <w:ind w:left="522" w:right="455"/>
              <w:jc w:val="center"/>
              <w:rPr>
                <w:sz w:val="14"/>
              </w:rPr>
            </w:pPr>
            <w:r>
              <w:rPr>
                <w:sz w:val="14"/>
              </w:rPr>
              <w:t>43</w:t>
            </w:r>
          </w:p>
        </w:tc>
        <w:tc>
          <w:tcPr>
            <w:tcW w:w="8545" w:type="dxa"/>
            <w:gridSpan w:val="5"/>
          </w:tcPr>
          <w:p>
            <w:pPr>
              <w:pStyle w:val="TableParagraph"/>
              <w:tabs>
                <w:tab w:pos="3718" w:val="left" w:leader="none"/>
              </w:tabs>
              <w:spacing w:line="148" w:lineRule="exact" w:before="33"/>
              <w:ind w:left="579"/>
              <w:rPr>
                <w:i/>
                <w:sz w:val="14"/>
              </w:rPr>
            </w:pPr>
            <w:r>
              <w:rPr>
                <w:sz w:val="14"/>
              </w:rPr>
              <w:t>5.4</w:t>
              <w:tab/>
            </w:r>
            <w:r>
              <w:rPr>
                <w:i/>
                <w:sz w:val="14"/>
              </w:rPr>
              <w:t>LIBOR measure</w:t>
            </w:r>
          </w:p>
        </w:tc>
      </w:tr>
      <w:tr>
        <w:trPr>
          <w:trHeight w:val="184" w:hRule="atLeast"/>
        </w:trPr>
        <w:tc>
          <w:tcPr>
            <w:tcW w:w="1093" w:type="dxa"/>
          </w:tcPr>
          <w:p>
            <w:pPr>
              <w:pStyle w:val="TableParagraph"/>
              <w:spacing w:line="144" w:lineRule="exact"/>
              <w:ind w:right="23"/>
              <w:jc w:val="right"/>
              <w:rPr>
                <w:sz w:val="14"/>
              </w:rPr>
            </w:pPr>
            <w:r>
              <w:rPr>
                <w:sz w:val="14"/>
              </w:rPr>
              <w:t>2001-present</w:t>
            </w:r>
          </w:p>
        </w:tc>
        <w:tc>
          <w:tcPr>
            <w:tcW w:w="1159" w:type="dxa"/>
          </w:tcPr>
          <w:p>
            <w:pPr>
              <w:pStyle w:val="TableParagraph"/>
              <w:spacing w:line="144" w:lineRule="exact"/>
              <w:ind w:left="522" w:right="456"/>
              <w:jc w:val="center"/>
              <w:rPr>
                <w:sz w:val="14"/>
              </w:rPr>
            </w:pPr>
            <w:r>
              <w:rPr>
                <w:sz w:val="14"/>
              </w:rPr>
              <w:t>50</w:t>
            </w:r>
          </w:p>
        </w:tc>
        <w:tc>
          <w:tcPr>
            <w:tcW w:w="1269" w:type="dxa"/>
          </w:tcPr>
          <w:p>
            <w:pPr>
              <w:pStyle w:val="TableParagraph"/>
              <w:spacing w:line="144" w:lineRule="exact"/>
              <w:ind w:left="454" w:right="389"/>
              <w:jc w:val="center"/>
              <w:rPr>
                <w:sz w:val="14"/>
              </w:rPr>
            </w:pPr>
            <w:r>
              <w:rPr>
                <w:sz w:val="14"/>
              </w:rPr>
              <w:t>3.6</w:t>
            </w:r>
          </w:p>
        </w:tc>
        <w:tc>
          <w:tcPr>
            <w:tcW w:w="3638" w:type="dxa"/>
          </w:tcPr>
          <w:p>
            <w:pPr>
              <w:pStyle w:val="TableParagraph"/>
              <w:spacing w:line="147" w:lineRule="exact"/>
              <w:ind w:right="11"/>
              <w:jc w:val="right"/>
              <w:rPr>
                <w:sz w:val="14"/>
              </w:rPr>
            </w:pPr>
            <w:r>
              <w:rPr>
                <w:sz w:val="14"/>
              </w:rPr>
              <w:t>Whole period</w:t>
            </w:r>
          </w:p>
        </w:tc>
        <w:tc>
          <w:tcPr>
            <w:tcW w:w="1174" w:type="dxa"/>
          </w:tcPr>
          <w:p>
            <w:pPr>
              <w:pStyle w:val="TableParagraph"/>
              <w:spacing w:line="144" w:lineRule="exact"/>
              <w:ind w:left="297" w:right="248"/>
              <w:jc w:val="center"/>
              <w:rPr>
                <w:sz w:val="14"/>
              </w:rPr>
            </w:pPr>
            <w:r>
              <w:rPr>
                <w:sz w:val="14"/>
              </w:rPr>
              <w:t>5.9</w:t>
            </w:r>
          </w:p>
        </w:tc>
        <w:tc>
          <w:tcPr>
            <w:tcW w:w="1293" w:type="dxa"/>
          </w:tcPr>
          <w:p>
            <w:pPr>
              <w:pStyle w:val="TableParagraph"/>
              <w:spacing w:line="144" w:lineRule="exact"/>
              <w:ind w:left="247" w:right="238"/>
              <w:jc w:val="center"/>
              <w:rPr>
                <w:sz w:val="14"/>
              </w:rPr>
            </w:pPr>
            <w:r>
              <w:rPr>
                <w:sz w:val="14"/>
              </w:rPr>
              <w:t>3.7</w:t>
            </w:r>
          </w:p>
        </w:tc>
        <w:tc>
          <w:tcPr>
            <w:tcW w:w="1171" w:type="dxa"/>
          </w:tcPr>
          <w:p>
            <w:pPr>
              <w:pStyle w:val="TableParagraph"/>
              <w:spacing w:line="147" w:lineRule="exact"/>
              <w:ind w:left="244" w:right="295"/>
              <w:jc w:val="center"/>
              <w:rPr>
                <w:i/>
                <w:sz w:val="14"/>
              </w:rPr>
            </w:pPr>
            <w:r>
              <w:rPr>
                <w:i/>
                <w:sz w:val="14"/>
              </w:rPr>
              <w:t>+2.3**</w:t>
            </w:r>
          </w:p>
        </w:tc>
      </w:tr>
      <w:tr>
        <w:trPr>
          <w:trHeight w:val="173" w:hRule="atLeast"/>
        </w:trPr>
        <w:tc>
          <w:tcPr>
            <w:tcW w:w="1093" w:type="dxa"/>
          </w:tcPr>
          <w:p>
            <w:pPr>
              <w:pStyle w:val="TableParagraph"/>
              <w:spacing w:line="151" w:lineRule="exact"/>
              <w:ind w:right="46"/>
              <w:jc w:val="right"/>
              <w:rPr>
                <w:i/>
                <w:sz w:val="14"/>
              </w:rPr>
            </w:pPr>
            <w:r>
              <w:rPr>
                <w:i/>
                <w:sz w:val="14"/>
              </w:rPr>
              <w:t>Difference</w:t>
            </w:r>
          </w:p>
        </w:tc>
        <w:tc>
          <w:tcPr>
            <w:tcW w:w="1159" w:type="dxa"/>
          </w:tcPr>
          <w:p>
            <w:pPr>
              <w:pStyle w:val="TableParagraph"/>
              <w:rPr>
                <w:sz w:val="10"/>
              </w:rPr>
            </w:pPr>
          </w:p>
        </w:tc>
        <w:tc>
          <w:tcPr>
            <w:tcW w:w="1269" w:type="dxa"/>
          </w:tcPr>
          <w:p>
            <w:pPr>
              <w:pStyle w:val="TableParagraph"/>
              <w:spacing w:line="151" w:lineRule="exact"/>
              <w:ind w:left="454" w:right="413"/>
              <w:jc w:val="center"/>
              <w:rPr>
                <w:i/>
                <w:sz w:val="14"/>
              </w:rPr>
            </w:pPr>
            <w:r>
              <w:rPr>
                <w:i/>
                <w:sz w:val="14"/>
              </w:rPr>
              <w:t>-1.8*</w:t>
            </w:r>
          </w:p>
        </w:tc>
        <w:tc>
          <w:tcPr>
            <w:tcW w:w="3638" w:type="dxa"/>
          </w:tcPr>
          <w:p>
            <w:pPr>
              <w:pStyle w:val="TableParagraph"/>
              <w:spacing w:line="153" w:lineRule="exact"/>
              <w:ind w:right="11"/>
              <w:jc w:val="right"/>
              <w:rPr>
                <w:sz w:val="14"/>
              </w:rPr>
            </w:pPr>
            <w:r>
              <w:rPr>
                <w:sz w:val="14"/>
              </w:rPr>
              <w:t>1997-2000</w:t>
            </w:r>
          </w:p>
        </w:tc>
        <w:tc>
          <w:tcPr>
            <w:tcW w:w="1174" w:type="dxa"/>
          </w:tcPr>
          <w:p>
            <w:pPr>
              <w:pStyle w:val="TableParagraph"/>
              <w:spacing w:line="151" w:lineRule="exact"/>
              <w:ind w:left="297" w:right="248"/>
              <w:jc w:val="center"/>
              <w:rPr>
                <w:sz w:val="14"/>
              </w:rPr>
            </w:pPr>
            <w:r>
              <w:rPr>
                <w:sz w:val="14"/>
              </w:rPr>
              <w:t>5.5</w:t>
            </w:r>
          </w:p>
        </w:tc>
        <w:tc>
          <w:tcPr>
            <w:tcW w:w="1293" w:type="dxa"/>
          </w:tcPr>
          <w:p>
            <w:pPr>
              <w:pStyle w:val="TableParagraph"/>
              <w:spacing w:line="151" w:lineRule="exact"/>
              <w:ind w:left="247" w:right="238"/>
              <w:jc w:val="center"/>
              <w:rPr>
                <w:sz w:val="14"/>
              </w:rPr>
            </w:pPr>
            <w:r>
              <w:rPr>
                <w:sz w:val="14"/>
              </w:rPr>
              <w:t>5.3</w:t>
            </w:r>
          </w:p>
        </w:tc>
        <w:tc>
          <w:tcPr>
            <w:tcW w:w="1171" w:type="dxa"/>
          </w:tcPr>
          <w:p>
            <w:pPr>
              <w:pStyle w:val="TableParagraph"/>
              <w:spacing w:line="153" w:lineRule="exact"/>
              <w:ind w:left="242" w:right="295"/>
              <w:jc w:val="center"/>
              <w:rPr>
                <w:i/>
                <w:sz w:val="14"/>
              </w:rPr>
            </w:pPr>
            <w:r>
              <w:rPr>
                <w:i/>
                <w:sz w:val="14"/>
              </w:rPr>
              <w:t>+0.2</w:t>
            </w:r>
          </w:p>
        </w:tc>
      </w:tr>
      <w:tr>
        <w:trPr>
          <w:trHeight w:val="166" w:hRule="atLeast"/>
        </w:trPr>
        <w:tc>
          <w:tcPr>
            <w:tcW w:w="1093" w:type="dxa"/>
          </w:tcPr>
          <w:p>
            <w:pPr>
              <w:pStyle w:val="TableParagraph"/>
              <w:rPr>
                <w:sz w:val="10"/>
              </w:rPr>
            </w:pPr>
          </w:p>
        </w:tc>
        <w:tc>
          <w:tcPr>
            <w:tcW w:w="1159" w:type="dxa"/>
          </w:tcPr>
          <w:p>
            <w:pPr>
              <w:pStyle w:val="TableParagraph"/>
              <w:rPr>
                <w:sz w:val="10"/>
              </w:rPr>
            </w:pPr>
          </w:p>
        </w:tc>
        <w:tc>
          <w:tcPr>
            <w:tcW w:w="1269" w:type="dxa"/>
          </w:tcPr>
          <w:p>
            <w:pPr>
              <w:pStyle w:val="TableParagraph"/>
              <w:rPr>
                <w:sz w:val="10"/>
              </w:rPr>
            </w:pPr>
          </w:p>
        </w:tc>
        <w:tc>
          <w:tcPr>
            <w:tcW w:w="3638" w:type="dxa"/>
          </w:tcPr>
          <w:p>
            <w:pPr>
              <w:pStyle w:val="TableParagraph"/>
              <w:spacing w:line="146" w:lineRule="exact"/>
              <w:ind w:right="12"/>
              <w:jc w:val="right"/>
              <w:rPr>
                <w:sz w:val="14"/>
              </w:rPr>
            </w:pPr>
            <w:r>
              <w:rPr>
                <w:sz w:val="14"/>
              </w:rPr>
              <w:t>2001-present</w:t>
            </w:r>
          </w:p>
        </w:tc>
        <w:tc>
          <w:tcPr>
            <w:tcW w:w="1174" w:type="dxa"/>
          </w:tcPr>
          <w:p>
            <w:pPr>
              <w:pStyle w:val="TableParagraph"/>
              <w:spacing w:line="146" w:lineRule="exact"/>
              <w:ind w:left="297" w:right="248"/>
              <w:jc w:val="center"/>
              <w:rPr>
                <w:sz w:val="14"/>
              </w:rPr>
            </w:pPr>
            <w:r>
              <w:rPr>
                <w:sz w:val="14"/>
              </w:rPr>
              <w:t>6.3</w:t>
            </w:r>
          </w:p>
        </w:tc>
        <w:tc>
          <w:tcPr>
            <w:tcW w:w="1293" w:type="dxa"/>
          </w:tcPr>
          <w:p>
            <w:pPr>
              <w:pStyle w:val="TableParagraph"/>
              <w:spacing w:line="146" w:lineRule="exact"/>
              <w:ind w:left="247" w:right="238"/>
              <w:jc w:val="center"/>
              <w:rPr>
                <w:sz w:val="14"/>
              </w:rPr>
            </w:pPr>
            <w:r>
              <w:rPr>
                <w:sz w:val="14"/>
              </w:rPr>
              <w:t>2.2</w:t>
            </w:r>
          </w:p>
        </w:tc>
        <w:tc>
          <w:tcPr>
            <w:tcW w:w="1171" w:type="dxa"/>
          </w:tcPr>
          <w:p>
            <w:pPr>
              <w:pStyle w:val="TableParagraph"/>
              <w:spacing w:line="146" w:lineRule="exact"/>
              <w:ind w:left="244" w:right="295"/>
              <w:jc w:val="center"/>
              <w:rPr>
                <w:i/>
                <w:sz w:val="14"/>
              </w:rPr>
            </w:pPr>
            <w:r>
              <w:rPr>
                <w:i/>
                <w:sz w:val="14"/>
              </w:rPr>
              <w:t>+4.0**</w:t>
            </w:r>
          </w:p>
        </w:tc>
      </w:tr>
    </w:tbl>
    <w:p>
      <w:pPr>
        <w:pStyle w:val="BodyText"/>
        <w:spacing w:before="5"/>
        <w:rPr>
          <w:sz w:val="21"/>
        </w:rPr>
      </w:pPr>
    </w:p>
    <w:p>
      <w:pPr>
        <w:spacing w:before="94"/>
        <w:ind w:left="162" w:right="0" w:firstLine="0"/>
        <w:jc w:val="left"/>
        <w:rPr>
          <w:b/>
          <w:sz w:val="17"/>
        </w:rPr>
      </w:pPr>
      <w:r>
        <w:rPr>
          <w:b/>
          <w:sz w:val="17"/>
        </w:rPr>
        <w:t>E. Market reactions in </w:t>
      </w:r>
      <w:r>
        <w:rPr>
          <w:b/>
          <w:i/>
          <w:sz w:val="17"/>
        </w:rPr>
        <w:t>Inflation Report </w:t>
      </w:r>
      <w:r>
        <w:rPr>
          <w:b/>
          <w:sz w:val="17"/>
        </w:rPr>
        <w:t>months</w:t>
      </w:r>
    </w:p>
    <w:p>
      <w:pPr>
        <w:pStyle w:val="BodyText"/>
        <w:spacing w:before="4"/>
        <w:rPr>
          <w:b/>
          <w:sz w:val="16"/>
        </w:rPr>
      </w:pPr>
    </w:p>
    <w:p>
      <w:pPr>
        <w:pStyle w:val="BodyText"/>
        <w:spacing w:line="28" w:lineRule="exact"/>
        <w:ind w:left="1189"/>
        <w:rPr>
          <w:sz w:val="2"/>
        </w:rPr>
      </w:pPr>
      <w:r>
        <w:rPr>
          <w:position w:val="0"/>
          <w:sz w:val="2"/>
        </w:rPr>
        <w:pict>
          <v:group style="width:364.05pt;height:1.35pt;mso-position-horizontal-relative:char;mso-position-vertical-relative:line" coordorigin="0,0" coordsize="7281,27">
            <v:line style="position:absolute" from="0,13" to="7280,13" stroked="true" strokeweight="1.32pt" strokecolor="#000000">
              <v:stroke dashstyle="solid"/>
            </v:line>
          </v:group>
        </w:pict>
      </w:r>
      <w:r>
        <w:rPr>
          <w:position w:val="0"/>
          <w:sz w:val="2"/>
        </w:rPr>
      </w:r>
    </w:p>
    <w:p>
      <w:pPr>
        <w:spacing w:after="0" w:line="28" w:lineRule="exact"/>
        <w:rPr>
          <w:sz w:val="2"/>
        </w:rPr>
        <w:sectPr>
          <w:type w:val="continuous"/>
          <w:pgSz w:w="11900" w:h="16840"/>
          <w:pgMar w:top="1180" w:bottom="280" w:left="520" w:right="360"/>
        </w:sectPr>
      </w:pPr>
    </w:p>
    <w:p>
      <w:pPr>
        <w:pStyle w:val="BodyText"/>
        <w:rPr>
          <w:b/>
          <w:sz w:val="14"/>
        </w:rPr>
      </w:pPr>
    </w:p>
    <w:p>
      <w:pPr>
        <w:pStyle w:val="BodyText"/>
        <w:spacing w:before="3"/>
        <w:rPr>
          <w:b/>
          <w:sz w:val="11"/>
        </w:rPr>
      </w:pPr>
    </w:p>
    <w:p>
      <w:pPr>
        <w:spacing w:before="0"/>
        <w:ind w:left="1522" w:right="0" w:firstLine="0"/>
        <w:jc w:val="left"/>
        <w:rPr>
          <w:sz w:val="14"/>
        </w:rPr>
      </w:pPr>
      <w:r>
        <w:rPr>
          <w:sz w:val="14"/>
        </w:rPr>
        <w:t>Average</w:t>
      </w:r>
      <w:r>
        <w:rPr>
          <w:spacing w:val="-5"/>
          <w:sz w:val="14"/>
        </w:rPr>
        <w:t> </w:t>
      </w:r>
      <w:r>
        <w:rPr>
          <w:sz w:val="14"/>
        </w:rPr>
        <w:t>magnitude</w:t>
      </w:r>
      <w:r>
        <w:rPr>
          <w:spacing w:val="-5"/>
          <w:sz w:val="14"/>
        </w:rPr>
        <w:t> </w:t>
      </w:r>
      <w:r>
        <w:rPr>
          <w:sz w:val="14"/>
        </w:rPr>
        <w:t>of</w:t>
      </w:r>
      <w:r>
        <w:rPr>
          <w:spacing w:val="-5"/>
          <w:sz w:val="14"/>
        </w:rPr>
        <w:t> </w:t>
      </w:r>
      <w:r>
        <w:rPr>
          <w:sz w:val="14"/>
        </w:rPr>
        <w:t>'surprise'</w:t>
      </w:r>
      <w:r>
        <w:rPr>
          <w:spacing w:val="-6"/>
          <w:sz w:val="14"/>
        </w:rPr>
        <w:t> </w:t>
      </w:r>
      <w:r>
        <w:rPr>
          <w:sz w:val="14"/>
        </w:rPr>
        <w:t>/</w:t>
      </w:r>
      <w:r>
        <w:rPr>
          <w:spacing w:val="-6"/>
          <w:sz w:val="14"/>
        </w:rPr>
        <w:t> </w:t>
      </w:r>
      <w:r>
        <w:rPr>
          <w:sz w:val="14"/>
        </w:rPr>
        <w:t>market</w:t>
      </w:r>
      <w:r>
        <w:rPr>
          <w:spacing w:val="-5"/>
          <w:sz w:val="14"/>
        </w:rPr>
        <w:t> </w:t>
      </w:r>
      <w:r>
        <w:rPr>
          <w:sz w:val="14"/>
        </w:rPr>
        <w:t>reaction</w:t>
      </w:r>
      <w:r>
        <w:rPr>
          <w:spacing w:val="-5"/>
          <w:sz w:val="14"/>
        </w:rPr>
        <w:t> </w:t>
      </w:r>
      <w:r>
        <w:rPr>
          <w:sz w:val="14"/>
        </w:rPr>
        <w:t>(bp)</w:t>
      </w:r>
    </w:p>
    <w:p>
      <w:pPr>
        <w:spacing w:line="266" w:lineRule="auto" w:before="55"/>
        <w:ind w:left="335" w:right="0" w:firstLine="0"/>
        <w:jc w:val="center"/>
        <w:rPr>
          <w:sz w:val="14"/>
        </w:rPr>
      </w:pPr>
      <w:r>
        <w:rPr/>
        <w:br w:type="column"/>
      </w:r>
      <w:r>
        <w:rPr>
          <w:sz w:val="14"/>
        </w:rPr>
        <w:t>Difference </w:t>
      </w:r>
      <w:r>
        <w:rPr>
          <w:spacing w:val="-3"/>
          <w:sz w:val="14"/>
        </w:rPr>
        <w:t>between </w:t>
      </w:r>
      <w:r>
        <w:rPr>
          <w:sz w:val="14"/>
        </w:rPr>
        <w:t>reaction to policy decision and IR publication</w:t>
      </w:r>
    </w:p>
    <w:p>
      <w:pPr>
        <w:spacing w:line="266" w:lineRule="auto" w:before="55"/>
        <w:ind w:left="78" w:right="0" w:hanging="1"/>
        <w:jc w:val="center"/>
        <w:rPr>
          <w:sz w:val="14"/>
        </w:rPr>
      </w:pPr>
      <w:r>
        <w:rPr/>
        <w:br w:type="column"/>
      </w:r>
      <w:r>
        <w:rPr>
          <w:sz w:val="14"/>
        </w:rPr>
        <w:t>Difference</w:t>
      </w:r>
      <w:r>
        <w:rPr>
          <w:spacing w:val="-14"/>
          <w:sz w:val="14"/>
        </w:rPr>
        <w:t> </w:t>
      </w:r>
      <w:r>
        <w:rPr>
          <w:sz w:val="14"/>
        </w:rPr>
        <w:t>between reaction to policy decision and MPC minutes</w:t>
      </w:r>
      <w:r>
        <w:rPr>
          <w:spacing w:val="-17"/>
          <w:sz w:val="14"/>
        </w:rPr>
        <w:t> </w:t>
      </w:r>
      <w:r>
        <w:rPr>
          <w:sz w:val="14"/>
        </w:rPr>
        <w:t>publication</w:t>
      </w:r>
    </w:p>
    <w:p>
      <w:pPr>
        <w:pStyle w:val="BodyText"/>
        <w:rPr>
          <w:sz w:val="14"/>
        </w:rPr>
      </w:pPr>
      <w:r>
        <w:rPr/>
        <w:br w:type="column"/>
      </w:r>
      <w:r>
        <w:rPr>
          <w:sz w:val="14"/>
        </w:rPr>
      </w:r>
    </w:p>
    <w:p>
      <w:pPr>
        <w:pStyle w:val="BodyText"/>
        <w:spacing w:before="6"/>
        <w:rPr>
          <w:sz w:val="12"/>
        </w:rPr>
      </w:pPr>
    </w:p>
    <w:p>
      <w:pPr>
        <w:spacing w:before="0"/>
        <w:ind w:left="255" w:right="0" w:firstLine="0"/>
        <w:jc w:val="left"/>
        <w:rPr>
          <w:sz w:val="14"/>
        </w:rPr>
      </w:pPr>
      <w:r>
        <w:rPr>
          <w:sz w:val="14"/>
        </w:rPr>
        <w:t>Observations</w:t>
      </w:r>
    </w:p>
    <w:p>
      <w:pPr>
        <w:spacing w:after="0"/>
        <w:jc w:val="left"/>
        <w:rPr>
          <w:sz w:val="14"/>
        </w:rPr>
        <w:sectPr>
          <w:type w:val="continuous"/>
          <w:pgSz w:w="11900" w:h="16840"/>
          <w:pgMar w:top="1180" w:bottom="280" w:left="520" w:right="360"/>
          <w:cols w:num="4" w:equalWidth="0">
            <w:col w:w="4535" w:space="40"/>
            <w:col w:w="1426" w:space="39"/>
            <w:col w:w="1179" w:space="40"/>
            <w:col w:w="3761"/>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3"/>
        <w:gridCol w:w="1204"/>
        <w:gridCol w:w="1256"/>
        <w:gridCol w:w="1182"/>
        <w:gridCol w:w="1220"/>
        <w:gridCol w:w="1275"/>
        <w:gridCol w:w="1146"/>
      </w:tblGrid>
      <w:tr>
        <w:trPr>
          <w:trHeight w:val="326" w:hRule="atLeast"/>
        </w:trPr>
        <w:tc>
          <w:tcPr>
            <w:tcW w:w="1093" w:type="dxa"/>
          </w:tcPr>
          <w:p>
            <w:pPr>
              <w:pStyle w:val="TableParagraph"/>
              <w:rPr>
                <w:sz w:val="14"/>
              </w:rPr>
            </w:pPr>
          </w:p>
        </w:tc>
        <w:tc>
          <w:tcPr>
            <w:tcW w:w="1204" w:type="dxa"/>
            <w:tcBorders>
              <w:top w:val="single" w:sz="12" w:space="0" w:color="000000"/>
              <w:bottom w:val="single" w:sz="12" w:space="0" w:color="000000"/>
            </w:tcBorders>
          </w:tcPr>
          <w:p>
            <w:pPr>
              <w:pStyle w:val="TableParagraph"/>
              <w:spacing w:before="7"/>
              <w:rPr>
                <w:sz w:val="13"/>
              </w:rPr>
            </w:pPr>
          </w:p>
          <w:p>
            <w:pPr>
              <w:pStyle w:val="TableParagraph"/>
              <w:spacing w:line="150" w:lineRule="exact"/>
              <w:ind w:left="163" w:right="141"/>
              <w:jc w:val="center"/>
              <w:rPr>
                <w:sz w:val="14"/>
              </w:rPr>
            </w:pPr>
            <w:r>
              <w:rPr>
                <w:sz w:val="14"/>
              </w:rPr>
              <w:t>Policy decision</w:t>
            </w:r>
          </w:p>
        </w:tc>
        <w:tc>
          <w:tcPr>
            <w:tcW w:w="1256" w:type="dxa"/>
            <w:tcBorders>
              <w:top w:val="single" w:sz="12" w:space="0" w:color="000000"/>
              <w:bottom w:val="single" w:sz="12" w:space="0" w:color="000000"/>
            </w:tcBorders>
          </w:tcPr>
          <w:p>
            <w:pPr>
              <w:pStyle w:val="TableParagraph"/>
              <w:spacing w:line="126" w:lineRule="exact"/>
              <w:ind w:left="141" w:right="175"/>
              <w:jc w:val="center"/>
              <w:rPr>
                <w:i/>
                <w:sz w:val="14"/>
              </w:rPr>
            </w:pPr>
            <w:r>
              <w:rPr>
                <w:i/>
                <w:sz w:val="14"/>
              </w:rPr>
              <w:t>Inflation Report</w:t>
            </w:r>
          </w:p>
          <w:p>
            <w:pPr>
              <w:pStyle w:val="TableParagraph"/>
              <w:spacing w:before="16"/>
              <w:ind w:left="141" w:right="150"/>
              <w:jc w:val="center"/>
              <w:rPr>
                <w:sz w:val="14"/>
              </w:rPr>
            </w:pPr>
            <w:r>
              <w:rPr>
                <w:sz w:val="14"/>
              </w:rPr>
              <w:t>publication</w:t>
            </w:r>
          </w:p>
        </w:tc>
        <w:tc>
          <w:tcPr>
            <w:tcW w:w="1182" w:type="dxa"/>
            <w:tcBorders>
              <w:top w:val="single" w:sz="12" w:space="0" w:color="000000"/>
              <w:bottom w:val="single" w:sz="12" w:space="0" w:color="000000"/>
            </w:tcBorders>
          </w:tcPr>
          <w:p>
            <w:pPr>
              <w:pStyle w:val="TableParagraph"/>
              <w:spacing w:line="126" w:lineRule="exact"/>
              <w:ind w:left="194"/>
              <w:rPr>
                <w:sz w:val="14"/>
              </w:rPr>
            </w:pPr>
            <w:r>
              <w:rPr>
                <w:sz w:val="14"/>
              </w:rPr>
              <w:t>MPC minutes</w:t>
            </w:r>
          </w:p>
          <w:p>
            <w:pPr>
              <w:pStyle w:val="TableParagraph"/>
              <w:spacing w:before="16"/>
              <w:ind w:left="264"/>
              <w:rPr>
                <w:sz w:val="14"/>
              </w:rPr>
            </w:pPr>
            <w:r>
              <w:rPr>
                <w:sz w:val="14"/>
              </w:rPr>
              <w:t>publication</w:t>
            </w:r>
          </w:p>
        </w:tc>
        <w:tc>
          <w:tcPr>
            <w:tcW w:w="3641" w:type="dxa"/>
            <w:gridSpan w:val="3"/>
            <w:vMerge w:val="restart"/>
            <w:tcBorders>
              <w:top w:val="single" w:sz="12" w:space="0" w:color="000000"/>
            </w:tcBorders>
          </w:tcPr>
          <w:p>
            <w:pPr>
              <w:pStyle w:val="TableParagraph"/>
              <w:rPr>
                <w:sz w:val="14"/>
              </w:rPr>
            </w:pPr>
          </w:p>
        </w:tc>
      </w:tr>
      <w:tr>
        <w:trPr>
          <w:trHeight w:val="375" w:hRule="atLeast"/>
        </w:trPr>
        <w:tc>
          <w:tcPr>
            <w:tcW w:w="1093" w:type="dxa"/>
          </w:tcPr>
          <w:p>
            <w:pPr>
              <w:pStyle w:val="TableParagraph"/>
              <w:spacing w:before="7"/>
              <w:rPr>
                <w:sz w:val="16"/>
              </w:rPr>
            </w:pPr>
          </w:p>
          <w:p>
            <w:pPr>
              <w:pStyle w:val="TableParagraph"/>
              <w:ind w:left="50"/>
              <w:rPr>
                <w:i/>
                <w:sz w:val="14"/>
              </w:rPr>
            </w:pPr>
            <w:r>
              <w:rPr>
                <w:i/>
                <w:sz w:val="14"/>
              </w:rPr>
              <w:t>LIBOR measure:</w:t>
            </w:r>
          </w:p>
        </w:tc>
        <w:tc>
          <w:tcPr>
            <w:tcW w:w="1204" w:type="dxa"/>
            <w:tcBorders>
              <w:top w:val="single" w:sz="12" w:space="0" w:color="000000"/>
            </w:tcBorders>
          </w:tcPr>
          <w:p>
            <w:pPr>
              <w:pStyle w:val="TableParagraph"/>
              <w:rPr>
                <w:sz w:val="14"/>
              </w:rPr>
            </w:pPr>
          </w:p>
        </w:tc>
        <w:tc>
          <w:tcPr>
            <w:tcW w:w="1256" w:type="dxa"/>
            <w:tcBorders>
              <w:top w:val="single" w:sz="12" w:space="0" w:color="000000"/>
            </w:tcBorders>
          </w:tcPr>
          <w:p>
            <w:pPr>
              <w:pStyle w:val="TableParagraph"/>
              <w:rPr>
                <w:sz w:val="14"/>
              </w:rPr>
            </w:pPr>
          </w:p>
        </w:tc>
        <w:tc>
          <w:tcPr>
            <w:tcW w:w="1182" w:type="dxa"/>
            <w:tcBorders>
              <w:top w:val="single" w:sz="12" w:space="0" w:color="000000"/>
            </w:tcBorders>
          </w:tcPr>
          <w:p>
            <w:pPr>
              <w:pStyle w:val="TableParagraph"/>
              <w:rPr>
                <w:sz w:val="14"/>
              </w:rPr>
            </w:pPr>
          </w:p>
        </w:tc>
        <w:tc>
          <w:tcPr>
            <w:tcW w:w="3641" w:type="dxa"/>
            <w:gridSpan w:val="3"/>
            <w:vMerge/>
            <w:tcBorders>
              <w:top w:val="nil"/>
            </w:tcBorders>
          </w:tcPr>
          <w:p>
            <w:pPr>
              <w:rPr>
                <w:sz w:val="2"/>
                <w:szCs w:val="2"/>
              </w:rPr>
            </w:pPr>
          </w:p>
        </w:tc>
      </w:tr>
      <w:tr>
        <w:trPr>
          <w:trHeight w:val="187" w:hRule="atLeast"/>
        </w:trPr>
        <w:tc>
          <w:tcPr>
            <w:tcW w:w="1093" w:type="dxa"/>
          </w:tcPr>
          <w:p>
            <w:pPr>
              <w:pStyle w:val="TableParagraph"/>
              <w:spacing w:line="150" w:lineRule="exact" w:before="17"/>
              <w:ind w:right="21"/>
              <w:jc w:val="right"/>
              <w:rPr>
                <w:sz w:val="14"/>
              </w:rPr>
            </w:pPr>
            <w:r>
              <w:rPr>
                <w:sz w:val="14"/>
              </w:rPr>
              <w:t>Whole period</w:t>
            </w:r>
          </w:p>
        </w:tc>
        <w:tc>
          <w:tcPr>
            <w:tcW w:w="1204" w:type="dxa"/>
          </w:tcPr>
          <w:p>
            <w:pPr>
              <w:pStyle w:val="TableParagraph"/>
              <w:spacing w:line="150" w:lineRule="exact" w:before="17"/>
              <w:ind w:left="163" w:right="140"/>
              <w:jc w:val="center"/>
              <w:rPr>
                <w:sz w:val="14"/>
              </w:rPr>
            </w:pPr>
            <w:r>
              <w:rPr>
                <w:sz w:val="14"/>
              </w:rPr>
              <w:t>5.9</w:t>
            </w:r>
          </w:p>
        </w:tc>
        <w:tc>
          <w:tcPr>
            <w:tcW w:w="1256" w:type="dxa"/>
          </w:tcPr>
          <w:p>
            <w:pPr>
              <w:pStyle w:val="TableParagraph"/>
              <w:spacing w:line="150" w:lineRule="exact" w:before="17"/>
              <w:ind w:left="535"/>
              <w:rPr>
                <w:sz w:val="14"/>
              </w:rPr>
            </w:pPr>
            <w:r>
              <w:rPr>
                <w:sz w:val="14"/>
              </w:rPr>
              <w:t>3.0</w:t>
            </w:r>
          </w:p>
        </w:tc>
        <w:tc>
          <w:tcPr>
            <w:tcW w:w="1182" w:type="dxa"/>
          </w:tcPr>
          <w:p>
            <w:pPr>
              <w:pStyle w:val="TableParagraph"/>
              <w:spacing w:line="150" w:lineRule="exact" w:before="17"/>
              <w:ind w:left="492"/>
              <w:rPr>
                <w:sz w:val="14"/>
              </w:rPr>
            </w:pPr>
            <w:r>
              <w:rPr>
                <w:sz w:val="14"/>
              </w:rPr>
              <w:t>2.8</w:t>
            </w:r>
          </w:p>
        </w:tc>
        <w:tc>
          <w:tcPr>
            <w:tcW w:w="1220" w:type="dxa"/>
          </w:tcPr>
          <w:p>
            <w:pPr>
              <w:pStyle w:val="TableParagraph"/>
              <w:spacing w:line="150" w:lineRule="exact" w:before="17"/>
              <w:ind w:left="394" w:right="391"/>
              <w:jc w:val="center"/>
              <w:rPr>
                <w:sz w:val="14"/>
              </w:rPr>
            </w:pPr>
            <w:r>
              <w:rPr>
                <w:sz w:val="14"/>
              </w:rPr>
              <w:t>+2.9**</w:t>
            </w:r>
          </w:p>
        </w:tc>
        <w:tc>
          <w:tcPr>
            <w:tcW w:w="1275" w:type="dxa"/>
          </w:tcPr>
          <w:p>
            <w:pPr>
              <w:pStyle w:val="TableParagraph"/>
              <w:spacing w:line="150" w:lineRule="exact" w:before="17"/>
              <w:ind w:left="408"/>
              <w:rPr>
                <w:sz w:val="14"/>
              </w:rPr>
            </w:pPr>
            <w:r>
              <w:rPr>
                <w:sz w:val="14"/>
              </w:rPr>
              <w:t>+3.1**</w:t>
            </w:r>
          </w:p>
        </w:tc>
        <w:tc>
          <w:tcPr>
            <w:tcW w:w="1146" w:type="dxa"/>
          </w:tcPr>
          <w:p>
            <w:pPr>
              <w:pStyle w:val="TableParagraph"/>
              <w:spacing w:line="150" w:lineRule="exact" w:before="17"/>
              <w:ind w:left="470"/>
              <w:rPr>
                <w:sz w:val="14"/>
              </w:rPr>
            </w:pPr>
            <w:r>
              <w:rPr>
                <w:sz w:val="14"/>
              </w:rPr>
              <w:t>31</w:t>
            </w:r>
          </w:p>
        </w:tc>
      </w:tr>
      <w:tr>
        <w:trPr>
          <w:trHeight w:val="172" w:hRule="atLeast"/>
        </w:trPr>
        <w:tc>
          <w:tcPr>
            <w:tcW w:w="1093" w:type="dxa"/>
          </w:tcPr>
          <w:p>
            <w:pPr>
              <w:pStyle w:val="TableParagraph"/>
              <w:spacing w:line="150" w:lineRule="exact" w:before="2"/>
              <w:ind w:right="22"/>
              <w:jc w:val="right"/>
              <w:rPr>
                <w:sz w:val="14"/>
              </w:rPr>
            </w:pPr>
            <w:r>
              <w:rPr>
                <w:sz w:val="14"/>
              </w:rPr>
              <w:t>1997-2000</w:t>
            </w:r>
          </w:p>
        </w:tc>
        <w:tc>
          <w:tcPr>
            <w:tcW w:w="1204" w:type="dxa"/>
          </w:tcPr>
          <w:p>
            <w:pPr>
              <w:pStyle w:val="TableParagraph"/>
              <w:spacing w:line="150" w:lineRule="exact" w:before="2"/>
              <w:ind w:left="163" w:right="141"/>
              <w:jc w:val="center"/>
              <w:rPr>
                <w:sz w:val="14"/>
              </w:rPr>
            </w:pPr>
            <w:r>
              <w:rPr>
                <w:sz w:val="14"/>
              </w:rPr>
              <w:t>5.5</w:t>
            </w:r>
          </w:p>
        </w:tc>
        <w:tc>
          <w:tcPr>
            <w:tcW w:w="1256" w:type="dxa"/>
          </w:tcPr>
          <w:p>
            <w:pPr>
              <w:pStyle w:val="TableParagraph"/>
              <w:spacing w:line="150" w:lineRule="exact" w:before="2"/>
              <w:ind w:left="534"/>
              <w:rPr>
                <w:sz w:val="14"/>
              </w:rPr>
            </w:pPr>
            <w:r>
              <w:rPr>
                <w:sz w:val="14"/>
              </w:rPr>
              <w:t>3.4</w:t>
            </w:r>
          </w:p>
        </w:tc>
        <w:tc>
          <w:tcPr>
            <w:tcW w:w="1182" w:type="dxa"/>
          </w:tcPr>
          <w:p>
            <w:pPr>
              <w:pStyle w:val="TableParagraph"/>
              <w:spacing w:line="150" w:lineRule="exact" w:before="2"/>
              <w:ind w:left="491"/>
              <w:rPr>
                <w:sz w:val="14"/>
              </w:rPr>
            </w:pPr>
            <w:r>
              <w:rPr>
                <w:sz w:val="14"/>
              </w:rPr>
              <w:t>2.4</w:t>
            </w:r>
          </w:p>
        </w:tc>
        <w:tc>
          <w:tcPr>
            <w:tcW w:w="1220" w:type="dxa"/>
          </w:tcPr>
          <w:p>
            <w:pPr>
              <w:pStyle w:val="TableParagraph"/>
              <w:spacing w:line="150" w:lineRule="exact" w:before="2"/>
              <w:ind w:left="390" w:right="391"/>
              <w:jc w:val="center"/>
              <w:rPr>
                <w:sz w:val="14"/>
              </w:rPr>
            </w:pPr>
            <w:r>
              <w:rPr>
                <w:sz w:val="14"/>
              </w:rPr>
              <w:t>+2.1</w:t>
            </w:r>
          </w:p>
        </w:tc>
        <w:tc>
          <w:tcPr>
            <w:tcW w:w="1275" w:type="dxa"/>
          </w:tcPr>
          <w:p>
            <w:pPr>
              <w:pStyle w:val="TableParagraph"/>
              <w:spacing w:line="150" w:lineRule="exact" w:before="2"/>
              <w:ind w:left="408"/>
              <w:rPr>
                <w:sz w:val="14"/>
              </w:rPr>
            </w:pPr>
            <w:r>
              <w:rPr>
                <w:sz w:val="14"/>
              </w:rPr>
              <w:t>+3.1**</w:t>
            </w:r>
          </w:p>
        </w:tc>
        <w:tc>
          <w:tcPr>
            <w:tcW w:w="1146" w:type="dxa"/>
          </w:tcPr>
          <w:p>
            <w:pPr>
              <w:pStyle w:val="TableParagraph"/>
              <w:spacing w:line="150" w:lineRule="exact" w:before="2"/>
              <w:ind w:left="470"/>
              <w:rPr>
                <w:sz w:val="14"/>
              </w:rPr>
            </w:pPr>
            <w:r>
              <w:rPr>
                <w:sz w:val="14"/>
              </w:rPr>
              <w:t>14</w:t>
            </w:r>
          </w:p>
        </w:tc>
      </w:tr>
      <w:tr>
        <w:trPr>
          <w:trHeight w:val="173" w:hRule="atLeast"/>
        </w:trPr>
        <w:tc>
          <w:tcPr>
            <w:tcW w:w="1093" w:type="dxa"/>
          </w:tcPr>
          <w:p>
            <w:pPr>
              <w:pStyle w:val="TableParagraph"/>
              <w:spacing w:line="151" w:lineRule="exact" w:before="2"/>
              <w:ind w:right="22"/>
              <w:jc w:val="right"/>
              <w:rPr>
                <w:sz w:val="14"/>
              </w:rPr>
            </w:pPr>
            <w:r>
              <w:rPr>
                <w:sz w:val="14"/>
              </w:rPr>
              <w:t>2001-present</w:t>
            </w:r>
          </w:p>
        </w:tc>
        <w:tc>
          <w:tcPr>
            <w:tcW w:w="1204" w:type="dxa"/>
          </w:tcPr>
          <w:p>
            <w:pPr>
              <w:pStyle w:val="TableParagraph"/>
              <w:spacing w:line="151" w:lineRule="exact" w:before="2"/>
              <w:ind w:left="163" w:right="141"/>
              <w:jc w:val="center"/>
              <w:rPr>
                <w:sz w:val="14"/>
              </w:rPr>
            </w:pPr>
            <w:r>
              <w:rPr>
                <w:sz w:val="14"/>
              </w:rPr>
              <w:t>6.3</w:t>
            </w:r>
          </w:p>
        </w:tc>
        <w:tc>
          <w:tcPr>
            <w:tcW w:w="1256" w:type="dxa"/>
          </w:tcPr>
          <w:p>
            <w:pPr>
              <w:pStyle w:val="TableParagraph"/>
              <w:spacing w:line="151" w:lineRule="exact" w:before="2"/>
              <w:ind w:left="534"/>
              <w:rPr>
                <w:sz w:val="14"/>
              </w:rPr>
            </w:pPr>
            <w:r>
              <w:rPr>
                <w:sz w:val="14"/>
              </w:rPr>
              <w:t>2.7</w:t>
            </w:r>
          </w:p>
        </w:tc>
        <w:tc>
          <w:tcPr>
            <w:tcW w:w="1182" w:type="dxa"/>
          </w:tcPr>
          <w:p>
            <w:pPr>
              <w:pStyle w:val="TableParagraph"/>
              <w:spacing w:line="151" w:lineRule="exact" w:before="2"/>
              <w:ind w:left="491"/>
              <w:rPr>
                <w:sz w:val="14"/>
              </w:rPr>
            </w:pPr>
            <w:r>
              <w:rPr>
                <w:sz w:val="14"/>
              </w:rPr>
              <w:t>3.1</w:t>
            </w:r>
          </w:p>
        </w:tc>
        <w:tc>
          <w:tcPr>
            <w:tcW w:w="1220" w:type="dxa"/>
          </w:tcPr>
          <w:p>
            <w:pPr>
              <w:pStyle w:val="TableParagraph"/>
              <w:spacing w:line="151" w:lineRule="exact" w:before="2"/>
              <w:ind w:left="393" w:right="391"/>
              <w:jc w:val="center"/>
              <w:rPr>
                <w:sz w:val="14"/>
              </w:rPr>
            </w:pPr>
            <w:r>
              <w:rPr>
                <w:sz w:val="14"/>
              </w:rPr>
              <w:t>+3.6**</w:t>
            </w:r>
          </w:p>
        </w:tc>
        <w:tc>
          <w:tcPr>
            <w:tcW w:w="1275" w:type="dxa"/>
          </w:tcPr>
          <w:p>
            <w:pPr>
              <w:pStyle w:val="TableParagraph"/>
              <w:spacing w:line="151" w:lineRule="exact" w:before="2"/>
              <w:ind w:left="408"/>
              <w:rPr>
                <w:sz w:val="14"/>
              </w:rPr>
            </w:pPr>
            <w:r>
              <w:rPr>
                <w:sz w:val="14"/>
              </w:rPr>
              <w:t>+3.2**</w:t>
            </w:r>
          </w:p>
        </w:tc>
        <w:tc>
          <w:tcPr>
            <w:tcW w:w="1146" w:type="dxa"/>
          </w:tcPr>
          <w:p>
            <w:pPr>
              <w:pStyle w:val="TableParagraph"/>
              <w:spacing w:line="151" w:lineRule="exact" w:before="2"/>
              <w:ind w:left="470"/>
              <w:rPr>
                <w:sz w:val="14"/>
              </w:rPr>
            </w:pPr>
            <w:r>
              <w:rPr>
                <w:sz w:val="14"/>
              </w:rPr>
              <w:t>17</w:t>
            </w:r>
          </w:p>
        </w:tc>
      </w:tr>
      <w:tr>
        <w:trPr>
          <w:trHeight w:val="164" w:hRule="atLeast"/>
        </w:trPr>
        <w:tc>
          <w:tcPr>
            <w:tcW w:w="1093" w:type="dxa"/>
          </w:tcPr>
          <w:p>
            <w:pPr>
              <w:pStyle w:val="TableParagraph"/>
              <w:spacing w:line="141" w:lineRule="exact" w:before="3"/>
              <w:ind w:right="46"/>
              <w:jc w:val="right"/>
              <w:rPr>
                <w:i/>
                <w:sz w:val="14"/>
              </w:rPr>
            </w:pPr>
            <w:r>
              <w:rPr>
                <w:i/>
                <w:sz w:val="14"/>
              </w:rPr>
              <w:t>Difference</w:t>
            </w:r>
          </w:p>
        </w:tc>
        <w:tc>
          <w:tcPr>
            <w:tcW w:w="1204" w:type="dxa"/>
          </w:tcPr>
          <w:p>
            <w:pPr>
              <w:pStyle w:val="TableParagraph"/>
              <w:spacing w:line="141" w:lineRule="exact" w:before="3"/>
              <w:ind w:left="141" w:right="141"/>
              <w:jc w:val="center"/>
              <w:rPr>
                <w:i/>
                <w:sz w:val="14"/>
              </w:rPr>
            </w:pPr>
            <w:r>
              <w:rPr>
                <w:i/>
                <w:sz w:val="14"/>
              </w:rPr>
              <w:t>0.7</w:t>
            </w:r>
          </w:p>
        </w:tc>
        <w:tc>
          <w:tcPr>
            <w:tcW w:w="1256" w:type="dxa"/>
          </w:tcPr>
          <w:p>
            <w:pPr>
              <w:pStyle w:val="TableParagraph"/>
              <w:spacing w:line="141" w:lineRule="exact" w:before="3"/>
              <w:ind w:left="498"/>
              <w:rPr>
                <w:i/>
                <w:sz w:val="14"/>
              </w:rPr>
            </w:pPr>
            <w:r>
              <w:rPr>
                <w:i/>
                <w:sz w:val="14"/>
              </w:rPr>
              <w:t>-0.8</w:t>
            </w:r>
          </w:p>
        </w:tc>
        <w:tc>
          <w:tcPr>
            <w:tcW w:w="1182" w:type="dxa"/>
          </w:tcPr>
          <w:p>
            <w:pPr>
              <w:pStyle w:val="TableParagraph"/>
              <w:spacing w:line="141" w:lineRule="exact" w:before="3"/>
              <w:ind w:left="479"/>
              <w:rPr>
                <w:i/>
                <w:sz w:val="14"/>
              </w:rPr>
            </w:pPr>
            <w:r>
              <w:rPr>
                <w:i/>
                <w:sz w:val="14"/>
              </w:rPr>
              <w:t>0.7</w:t>
            </w:r>
          </w:p>
        </w:tc>
        <w:tc>
          <w:tcPr>
            <w:tcW w:w="1220" w:type="dxa"/>
          </w:tcPr>
          <w:p>
            <w:pPr>
              <w:pStyle w:val="TableParagraph"/>
              <w:rPr>
                <w:sz w:val="10"/>
              </w:rPr>
            </w:pPr>
          </w:p>
        </w:tc>
        <w:tc>
          <w:tcPr>
            <w:tcW w:w="1275" w:type="dxa"/>
          </w:tcPr>
          <w:p>
            <w:pPr>
              <w:pStyle w:val="TableParagraph"/>
              <w:rPr>
                <w:sz w:val="10"/>
              </w:rPr>
            </w:pPr>
          </w:p>
        </w:tc>
        <w:tc>
          <w:tcPr>
            <w:tcW w:w="1146" w:type="dxa"/>
          </w:tcPr>
          <w:p>
            <w:pPr>
              <w:pStyle w:val="TableParagraph"/>
              <w:rPr>
                <w:sz w:val="10"/>
              </w:rPr>
            </w:pPr>
          </w:p>
        </w:tc>
      </w:tr>
    </w:tbl>
    <w:p>
      <w:pPr>
        <w:pStyle w:val="BodyText"/>
        <w:spacing w:before="7"/>
      </w:pPr>
    </w:p>
    <w:p>
      <w:pPr>
        <w:spacing w:before="93"/>
        <w:ind w:left="160" w:right="0" w:firstLine="0"/>
        <w:jc w:val="left"/>
        <w:rPr>
          <w:sz w:val="14"/>
        </w:rPr>
      </w:pPr>
      <w:r>
        <w:rPr>
          <w:sz w:val="14"/>
        </w:rPr>
        <w:t>Notes:</w:t>
      </w:r>
    </w:p>
    <w:p>
      <w:pPr>
        <w:spacing w:before="12"/>
        <w:ind w:left="160" w:right="0" w:firstLine="0"/>
        <w:jc w:val="left"/>
        <w:rPr>
          <w:sz w:val="14"/>
        </w:rPr>
      </w:pPr>
      <w:r>
        <w:rPr>
          <w:sz w:val="14"/>
        </w:rPr>
        <w:t>Tests are for significance based on t-test for difference between two sample means, except for Panel (A) and (B), which is a test for whether</w:t>
      </w:r>
    </w:p>
    <w:p>
      <w:pPr>
        <w:spacing w:line="256" w:lineRule="auto" w:before="13"/>
        <w:ind w:left="160" w:right="2018" w:firstLine="0"/>
        <w:jc w:val="left"/>
        <w:rPr>
          <w:sz w:val="14"/>
        </w:rPr>
      </w:pPr>
      <w:r>
        <w:rPr>
          <w:sz w:val="14"/>
        </w:rPr>
        <w:t>rate changes are distributed 1/3 in IR months and 2/3 in other months. The critical values for Panel (A) and (B) are derived from on Monte Carlo simulations. Excludes the special MPC meeting following 11 September 2001.</w:t>
      </w:r>
    </w:p>
    <w:p>
      <w:pPr>
        <w:spacing w:before="1"/>
        <w:ind w:left="160" w:right="0" w:firstLine="0"/>
        <w:jc w:val="left"/>
        <w:rPr>
          <w:sz w:val="14"/>
        </w:rPr>
      </w:pPr>
      <w:r>
        <w:rPr>
          <w:sz w:val="14"/>
        </w:rPr>
        <w:t>*** significantly higher/lower than zero at 1% level, ** 5% level, * 10% level (one-tailed tests)</w:t>
      </w:r>
    </w:p>
    <w:p>
      <w:pPr>
        <w:spacing w:line="259" w:lineRule="auto" w:before="12"/>
        <w:ind w:left="160" w:right="2275" w:firstLine="0"/>
        <w:jc w:val="left"/>
        <w:rPr>
          <w:sz w:val="14"/>
        </w:rPr>
      </w:pPr>
      <w:r>
        <w:rPr>
          <w:sz w:val="14"/>
        </w:rPr>
        <w:t>Libor measure: based on the change in implied 3-month Libor forward rate derived by linear interpolation of adjecent short sterling futures contracts. Changes in implied forward rates normally taken from: 11:30am to 12:30pm for interest rate announcements;</w:t>
      </w:r>
    </w:p>
    <w:p>
      <w:pPr>
        <w:spacing w:line="160" w:lineRule="exact" w:before="0"/>
        <w:ind w:left="160" w:right="0" w:firstLine="0"/>
        <w:jc w:val="left"/>
        <w:rPr>
          <w:sz w:val="14"/>
        </w:rPr>
      </w:pPr>
      <w:r>
        <w:rPr>
          <w:sz w:val="14"/>
        </w:rPr>
        <w:t>10:00am to 12:00pm for IR publication; and 9:00am to 10:30am for minutes publication.</w:t>
      </w:r>
    </w:p>
    <w:p>
      <w:pPr>
        <w:spacing w:before="12"/>
        <w:ind w:left="160" w:right="0" w:firstLine="0"/>
        <w:jc w:val="left"/>
        <w:rPr>
          <w:sz w:val="14"/>
        </w:rPr>
      </w:pPr>
      <w:r>
        <w:rPr>
          <w:sz w:val="14"/>
        </w:rPr>
        <w:t>Reuters measure: difference between the actual repo rate change and the mean expectation of the economists</w:t>
      </w:r>
    </w:p>
    <w:sectPr>
      <w:type w:val="continuous"/>
      <w:pgSz w:w="11900" w:h="16840"/>
      <w:pgMar w:top="1180" w:bottom="280" w:left="5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6001pt;margin-top:34.806339pt;width:18pt;height:15.3pt;mso-position-horizontal-relative:page;mso-position-vertical-relative:page;z-index:-2529648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3155" w:hanging="394"/>
        <w:jc w:val="left"/>
      </w:pPr>
      <w:rPr>
        <w:rFonts w:hint="default" w:ascii="Times New Roman" w:hAnsi="Times New Roman" w:eastAsia="Times New Roman" w:cs="Times New Roman"/>
        <w:w w:val="100"/>
        <w:sz w:val="24"/>
        <w:szCs w:val="24"/>
      </w:rPr>
    </w:lvl>
    <w:lvl w:ilvl="1">
      <w:start w:val="0"/>
      <w:numFmt w:val="bullet"/>
      <w:lvlText w:val="•"/>
      <w:lvlJc w:val="left"/>
      <w:pPr>
        <w:ind w:left="3946" w:hanging="394"/>
      </w:pPr>
      <w:rPr>
        <w:rFonts w:hint="default"/>
      </w:rPr>
    </w:lvl>
    <w:lvl w:ilvl="2">
      <w:start w:val="0"/>
      <w:numFmt w:val="bullet"/>
      <w:lvlText w:val="•"/>
      <w:lvlJc w:val="left"/>
      <w:pPr>
        <w:ind w:left="4732" w:hanging="394"/>
      </w:pPr>
      <w:rPr>
        <w:rFonts w:hint="default"/>
      </w:rPr>
    </w:lvl>
    <w:lvl w:ilvl="3">
      <w:start w:val="0"/>
      <w:numFmt w:val="bullet"/>
      <w:lvlText w:val="•"/>
      <w:lvlJc w:val="left"/>
      <w:pPr>
        <w:ind w:left="5518" w:hanging="394"/>
      </w:pPr>
      <w:rPr>
        <w:rFonts w:hint="default"/>
      </w:rPr>
    </w:lvl>
    <w:lvl w:ilvl="4">
      <w:start w:val="0"/>
      <w:numFmt w:val="bullet"/>
      <w:lvlText w:val="•"/>
      <w:lvlJc w:val="left"/>
      <w:pPr>
        <w:ind w:left="6304" w:hanging="394"/>
      </w:pPr>
      <w:rPr>
        <w:rFonts w:hint="default"/>
      </w:rPr>
    </w:lvl>
    <w:lvl w:ilvl="5">
      <w:start w:val="0"/>
      <w:numFmt w:val="bullet"/>
      <w:lvlText w:val="•"/>
      <w:lvlJc w:val="left"/>
      <w:pPr>
        <w:ind w:left="7090" w:hanging="394"/>
      </w:pPr>
      <w:rPr>
        <w:rFonts w:hint="default"/>
      </w:rPr>
    </w:lvl>
    <w:lvl w:ilvl="6">
      <w:start w:val="0"/>
      <w:numFmt w:val="bullet"/>
      <w:lvlText w:val="•"/>
      <w:lvlJc w:val="left"/>
      <w:pPr>
        <w:ind w:left="7876" w:hanging="394"/>
      </w:pPr>
      <w:rPr>
        <w:rFonts w:hint="default"/>
      </w:rPr>
    </w:lvl>
    <w:lvl w:ilvl="7">
      <w:start w:val="0"/>
      <w:numFmt w:val="bullet"/>
      <w:lvlText w:val="•"/>
      <w:lvlJc w:val="left"/>
      <w:pPr>
        <w:ind w:left="8662" w:hanging="394"/>
      </w:pPr>
      <w:rPr>
        <w:rFonts w:hint="default"/>
      </w:rPr>
    </w:lvl>
    <w:lvl w:ilvl="8">
      <w:start w:val="0"/>
      <w:numFmt w:val="bullet"/>
      <w:lvlText w:val="•"/>
      <w:lvlJc w:val="left"/>
      <w:pPr>
        <w:ind w:left="9448" w:hanging="394"/>
      </w:pPr>
      <w:rPr>
        <w:rFonts w:hint="default"/>
      </w:rPr>
    </w:lvl>
  </w:abstractNum>
  <w:abstractNum w:abstractNumId="1">
    <w:multiLevelType w:val="hybridMultilevel"/>
    <w:lvl w:ilvl="0">
      <w:start w:val="1"/>
      <w:numFmt w:val="upperLetter"/>
      <w:lvlText w:val="%1."/>
      <w:lvlJc w:val="left"/>
      <w:pPr>
        <w:ind w:left="367" w:hanging="206"/>
        <w:jc w:val="left"/>
      </w:pPr>
      <w:rPr>
        <w:rFonts w:hint="default" w:ascii="Times New Roman" w:hAnsi="Times New Roman" w:eastAsia="Times New Roman" w:cs="Times New Roman"/>
        <w:b/>
        <w:bCs/>
        <w:spacing w:val="-1"/>
        <w:w w:val="98"/>
        <w:sz w:val="17"/>
        <w:szCs w:val="17"/>
      </w:rPr>
    </w:lvl>
    <w:lvl w:ilvl="1">
      <w:start w:val="0"/>
      <w:numFmt w:val="bullet"/>
      <w:lvlText w:val="•"/>
      <w:lvlJc w:val="left"/>
      <w:pPr>
        <w:ind w:left="802" w:hanging="206"/>
      </w:pPr>
      <w:rPr>
        <w:rFonts w:hint="default"/>
      </w:rPr>
    </w:lvl>
    <w:lvl w:ilvl="2">
      <w:start w:val="0"/>
      <w:numFmt w:val="bullet"/>
      <w:lvlText w:val="•"/>
      <w:lvlJc w:val="left"/>
      <w:pPr>
        <w:ind w:left="1245" w:hanging="206"/>
      </w:pPr>
      <w:rPr>
        <w:rFonts w:hint="default"/>
      </w:rPr>
    </w:lvl>
    <w:lvl w:ilvl="3">
      <w:start w:val="0"/>
      <w:numFmt w:val="bullet"/>
      <w:lvlText w:val="•"/>
      <w:lvlJc w:val="left"/>
      <w:pPr>
        <w:ind w:left="1688" w:hanging="206"/>
      </w:pPr>
      <w:rPr>
        <w:rFonts w:hint="default"/>
      </w:rPr>
    </w:lvl>
    <w:lvl w:ilvl="4">
      <w:start w:val="0"/>
      <w:numFmt w:val="bullet"/>
      <w:lvlText w:val="•"/>
      <w:lvlJc w:val="left"/>
      <w:pPr>
        <w:ind w:left="2131" w:hanging="206"/>
      </w:pPr>
      <w:rPr>
        <w:rFonts w:hint="default"/>
      </w:rPr>
    </w:lvl>
    <w:lvl w:ilvl="5">
      <w:start w:val="0"/>
      <w:numFmt w:val="bullet"/>
      <w:lvlText w:val="•"/>
      <w:lvlJc w:val="left"/>
      <w:pPr>
        <w:ind w:left="2574" w:hanging="206"/>
      </w:pPr>
      <w:rPr>
        <w:rFonts w:hint="default"/>
      </w:rPr>
    </w:lvl>
    <w:lvl w:ilvl="6">
      <w:start w:val="0"/>
      <w:numFmt w:val="bullet"/>
      <w:lvlText w:val="•"/>
      <w:lvlJc w:val="left"/>
      <w:pPr>
        <w:ind w:left="3017" w:hanging="206"/>
      </w:pPr>
      <w:rPr>
        <w:rFonts w:hint="default"/>
      </w:rPr>
    </w:lvl>
    <w:lvl w:ilvl="7">
      <w:start w:val="0"/>
      <w:numFmt w:val="bullet"/>
      <w:lvlText w:val="•"/>
      <w:lvlJc w:val="left"/>
      <w:pPr>
        <w:ind w:left="3460" w:hanging="206"/>
      </w:pPr>
      <w:rPr>
        <w:rFonts w:hint="default"/>
      </w:rPr>
    </w:lvl>
    <w:lvl w:ilvl="8">
      <w:start w:val="0"/>
      <w:numFmt w:val="bullet"/>
      <w:lvlText w:val="•"/>
      <w:lvlJc w:val="left"/>
      <w:pPr>
        <w:ind w:left="3903" w:hanging="206"/>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8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91"/>
      <w:ind w:left="367" w:hanging="206"/>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www.bankofengland.co.uk/"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INFLATION TARGETING IN PRACTICE: MODELS, FORECASTS AND HUNCHES</dc:subject>
  <dc:title>Speech by Rachel Lomax to the 59th International Atlantic Economic Conference in London on 12 March 2005</dc:title>
  <dcterms:created xsi:type="dcterms:W3CDTF">2020-06-02T17:45:59Z</dcterms:created>
  <dcterms:modified xsi:type="dcterms:W3CDTF">2020-06-02T17:45:59Z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2005-03-11T00:00:00Z</vt:filetime>
  </property>
  <property fmtid="{D5CDD505-2E9C-101B-9397-08002B2CF9AE}" pid="3" name="Creator">
    <vt:lpwstr>PScript5.dll Version 5.2</vt:lpwstr>
  </property>
  <property fmtid="{D5CDD505-2E9C-101B-9397-08002B2CF9AE}" pid="4" name="LastSaved">
    <vt:filetime>2020-06-02T00:00:00Z</vt:filetime>
  </property>
</Properties>
</file>