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pStyle w:val="BodyText"/>
        <w:spacing w:before="92"/>
        <w:ind w:left="352"/>
        <w:rPr>
          <w:rFonts w:ascii="Arial"/>
        </w:rPr>
      </w:pPr>
      <w:r>
        <w:rPr/>
        <w:pict>
          <v:group style="position:absolute;margin-left:50.52pt;margin-top:-21.944147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rPr>
        <w:t>Speech given by</w:t>
      </w:r>
    </w:p>
    <w:p>
      <w:pPr>
        <w:pStyle w:val="BodyText"/>
        <w:spacing w:before="139"/>
        <w:ind w:left="352"/>
        <w:rPr>
          <w:rFonts w:ascii="Arial"/>
        </w:rPr>
      </w:pPr>
      <w:r>
        <w:rPr>
          <w:rFonts w:ascii="Arial"/>
        </w:rPr>
        <w:t>Mervyn King, Governor of the Bank of England</w:t>
      </w:r>
    </w:p>
    <w:p>
      <w:pPr>
        <w:pStyle w:val="BodyText"/>
        <w:rPr>
          <w:rFonts w:ascii="Arial"/>
          <w:sz w:val="26"/>
        </w:rPr>
      </w:pPr>
    </w:p>
    <w:p>
      <w:pPr>
        <w:pStyle w:val="BodyText"/>
        <w:rPr>
          <w:rFonts w:ascii="Arial"/>
          <w:sz w:val="22"/>
        </w:rPr>
      </w:pPr>
    </w:p>
    <w:p>
      <w:pPr>
        <w:pStyle w:val="BodyText"/>
        <w:spacing w:line="360" w:lineRule="auto"/>
        <w:ind w:left="352" w:right="787"/>
        <w:rPr>
          <w:rFonts w:ascii="Arial" w:hAnsi="Arial"/>
        </w:rPr>
      </w:pPr>
      <w:r>
        <w:rPr>
          <w:rFonts w:ascii="Arial" w:hAnsi="Arial"/>
        </w:rPr>
        <w:t>To the Central Bank Governors’ Panel, Jackson Hole conference, Wyoming, USA. 27 August 2005</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7"/>
        <w:rPr>
          <w:rFonts w:ascii="Arial"/>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rPr>
          <w:rFonts w:ascii="Arial"/>
          <w:sz w:val="20"/>
        </w:rPr>
      </w:pPr>
    </w:p>
    <w:p>
      <w:pPr>
        <w:pStyle w:val="BodyText"/>
        <w:spacing w:before="1"/>
        <w:rPr>
          <w:rFonts w:ascii="Arial"/>
          <w:sz w:val="27"/>
        </w:rPr>
      </w:pPr>
    </w:p>
    <w:p>
      <w:pPr>
        <w:pStyle w:val="BodyText"/>
        <w:spacing w:line="360" w:lineRule="auto" w:before="90"/>
        <w:ind w:left="117" w:right="292"/>
      </w:pPr>
      <w:r>
        <w:rPr/>
        <w:t>Jackson Hole speakers normally draw out the lessons of economic theory for one specific area of policy. But this year we are trying to distil lessons from the practice of monetary policy in the United States - over an extraordinarily successful quarter century under the leadership of Alan Greenspan – for the theory of monetary policy.</w:t>
      </w:r>
    </w:p>
    <w:p>
      <w:pPr>
        <w:pStyle w:val="BodyText"/>
        <w:rPr>
          <w:sz w:val="36"/>
        </w:rPr>
      </w:pPr>
    </w:p>
    <w:p>
      <w:pPr>
        <w:pStyle w:val="BodyText"/>
        <w:spacing w:line="360" w:lineRule="auto"/>
        <w:ind w:left="117" w:right="135"/>
      </w:pPr>
      <w:r>
        <w:rPr/>
        <w:t>At most celebrations of a long and successful career, invited speakers talk at length and the great man himself is allowed a few minutes at the end. It is a remarkable tribute to Alan that on this occasion the tradition has been turned on its head. We all remain intrigued by what he has to say. In the few minutes I am allowed, I want to describe the three important lessons that I have learnt from Alan during my time at the Bank of England.</w:t>
      </w:r>
    </w:p>
    <w:p>
      <w:pPr>
        <w:pStyle w:val="BodyText"/>
        <w:rPr>
          <w:sz w:val="36"/>
        </w:rPr>
      </w:pPr>
    </w:p>
    <w:p>
      <w:pPr>
        <w:pStyle w:val="BodyText"/>
        <w:tabs>
          <w:tab w:pos="8057" w:val="left" w:leader="none"/>
        </w:tabs>
        <w:spacing w:line="360" w:lineRule="auto"/>
        <w:ind w:left="117" w:right="226"/>
      </w:pPr>
      <w:r>
        <w:rPr>
          <w:b/>
        </w:rPr>
        <w:t>First</w:t>
      </w:r>
      <w:r>
        <w:rPr/>
        <w:t>, to be a successful central banker requires an extraordinary degree of objectivity. The key is to recognise that economics tells you how to think, not what</w:t>
      </w:r>
      <w:r>
        <w:rPr>
          <w:spacing w:val="-11"/>
        </w:rPr>
        <w:t> </w:t>
      </w:r>
      <w:r>
        <w:rPr/>
        <w:t>to think.</w:t>
        <w:tab/>
        <w:t>It is </w:t>
      </w:r>
      <w:r>
        <w:rPr>
          <w:spacing w:val="-6"/>
        </w:rPr>
        <w:t>not </w:t>
      </w:r>
      <w:r>
        <w:rPr/>
        <w:t>a set of settled conclusions about issues. Above all, it is vital never to confuse the world with a model. The whole point of a model is to abstract from a wide range of factors in order to think clearly about one particular</w:t>
      </w:r>
      <w:r>
        <w:rPr>
          <w:spacing w:val="-7"/>
        </w:rPr>
        <w:t> </w:t>
      </w:r>
      <w:r>
        <w:rPr/>
        <w:t>issue.</w:t>
      </w:r>
    </w:p>
    <w:p>
      <w:pPr>
        <w:pStyle w:val="BodyText"/>
        <w:spacing w:before="11"/>
        <w:rPr>
          <w:sz w:val="35"/>
        </w:rPr>
      </w:pPr>
    </w:p>
    <w:p>
      <w:pPr>
        <w:pStyle w:val="BodyText"/>
        <w:spacing w:line="360" w:lineRule="auto"/>
        <w:ind w:left="117" w:right="107"/>
      </w:pPr>
      <w:r>
        <w:rPr/>
        <w:t>Let me describe an example of what I shall call “the Greenspan approach to economics”. It concerns the ‘Lucas critique’. Robert Lucas’ 1976 paper encouraged economists to construct models which incorporated explicit optimising behaviour by households and firms. Unfortunately, some of them urged policy-makers to apply the lessons from their models as literally as the enthusiasts of the engineering approach to macroeconomic policy had done so in the 1950s and 1960s. The Greenspan approach to economics would advise great caution. The insight of the Lucas critique is that we need to think about the responses of rational households and firms when analysing the consequences of alternative policies. But the likelihood that any particular model captures how the real economy would respond to a given change in policy is vanishingly small. Lucas did not pretend that there existed a single “true” model from which could be drawn unequivocal predictions about the impact of policy changes.</w:t>
      </w:r>
    </w:p>
    <w:p>
      <w:pPr>
        <w:pStyle w:val="BodyText"/>
        <w:rPr>
          <w:sz w:val="36"/>
        </w:rPr>
      </w:pPr>
    </w:p>
    <w:p>
      <w:pPr>
        <w:pStyle w:val="BodyText"/>
        <w:spacing w:line="360" w:lineRule="auto"/>
        <w:ind w:left="117" w:right="185" w:firstLine="60"/>
      </w:pPr>
      <w:r>
        <w:rPr/>
        <w:t>The </w:t>
      </w:r>
      <w:r>
        <w:rPr>
          <w:b/>
        </w:rPr>
        <w:t>second </w:t>
      </w:r>
      <w:r>
        <w:rPr/>
        <w:t>lesson from Alan’s time at the Federal Reserve is that empirical knowledge is not confined to the econometric analysis of official statistics. There are other and often</w:t>
      </w:r>
    </w:p>
    <w:p>
      <w:pPr>
        <w:spacing w:after="0" w:line="360" w:lineRule="auto"/>
        <w:sectPr>
          <w:headerReference w:type="default" r:id="rId7"/>
          <w:pgSz w:w="11900" w:h="16840"/>
          <w:pgMar w:header="717" w:footer="0" w:top="1340" w:bottom="280" w:left="1680" w:right="1200"/>
          <w:pgNumType w:start="2"/>
        </w:sectPr>
      </w:pPr>
    </w:p>
    <w:p>
      <w:pPr>
        <w:pStyle w:val="BodyText"/>
        <w:spacing w:line="360" w:lineRule="auto" w:before="80"/>
        <w:ind w:left="117" w:right="292"/>
      </w:pPr>
      <w:r>
        <w:rPr/>
        <w:t>crucially important pieces of information that come to us in more qualitative form. These include information from businesses about what they see happening in the economy.</w:t>
      </w:r>
    </w:p>
    <w:p>
      <w:pPr>
        <w:pStyle w:val="BodyText"/>
        <w:spacing w:line="360" w:lineRule="auto"/>
        <w:ind w:left="117" w:right="152"/>
      </w:pPr>
      <w:r>
        <w:rPr/>
        <w:t>Perhaps the most famous example of this in recent years is the productivity acceleration in the US in the mid-1990s. The extensively revised official US data </w:t>
      </w:r>
      <w:r>
        <w:rPr>
          <w:b/>
        </w:rPr>
        <w:t>now </w:t>
      </w:r>
      <w:r>
        <w:rPr/>
        <w:t>show that productivity began accelerating in 1995. However, that was not visible until the vintages released in 1998. But as Alan Blinder and Ricardo Reiss have reminded us at this conference, Chairman Greenspan did not wait until 1998 to conclude that the underlying rate of productivity growth might be increasing. The key reason was that he talked with and listened to people who work in business. Already in May 1996, when the Fed’s model was forecasting increasing inflationary pressures going forward, Alan said “it is very difficult to take the existing structure of the NAIRUs, capacity limits, and the usual potential analysis that we do and square it in any measurable way with what we sense from anecdotal reports”.</w:t>
      </w:r>
      <w:r>
        <w:rPr>
          <w:vertAlign w:val="superscript"/>
        </w:rPr>
        <w:t>1</w:t>
      </w:r>
      <w:r>
        <w:rPr>
          <w:vertAlign w:val="baseline"/>
        </w:rPr>
        <w:t> In the UK, there does not seem to have been a productivity miracle.</w:t>
      </w:r>
    </w:p>
    <w:p>
      <w:pPr>
        <w:pStyle w:val="BodyText"/>
        <w:spacing w:line="360" w:lineRule="auto"/>
        <w:ind w:left="117" w:right="212"/>
      </w:pPr>
      <w:r>
        <w:rPr/>
        <w:t>But we have had many examples of the importance of qualitative data in making judgements. For instance, there have been significant flows of migration that have expanded the potential labour force. By their nature, such flows are not accurately reflected in official data. But the Bank of England’s business contacts were able to tell us that the ability to recruit new migrant workers was a growing and significant response to a tight labour market.</w:t>
      </w:r>
    </w:p>
    <w:p>
      <w:pPr>
        <w:pStyle w:val="BodyText"/>
        <w:rPr>
          <w:sz w:val="26"/>
        </w:rPr>
      </w:pPr>
    </w:p>
    <w:p>
      <w:pPr>
        <w:pStyle w:val="BodyText"/>
        <w:spacing w:before="4"/>
        <w:rPr>
          <w:sz w:val="27"/>
        </w:rPr>
      </w:pPr>
    </w:p>
    <w:p>
      <w:pPr>
        <w:pStyle w:val="BodyText"/>
        <w:spacing w:line="360" w:lineRule="auto"/>
        <w:ind w:left="117" w:right="152"/>
      </w:pPr>
      <w:r>
        <w:rPr/>
        <w:pict>
          <v:shape style="position:absolute;margin-left:89.879997pt;margin-top:211.003433pt;width:144pt;height:.1pt;mso-position-horizontal-relative:page;mso-position-vertical-relative:paragraph;z-index:-251656192;mso-wrap-distance-left:0;mso-wrap-distance-right:0" coordorigin="1798,4220" coordsize="2880,0" path="m1798,4220l4678,4220e" filled="false" stroked="true" strokeweight=".6pt" strokecolor="#000000">
            <v:path arrowok="t"/>
            <v:stroke dashstyle="solid"/>
            <w10:wrap type="topAndBottom"/>
          </v:shape>
        </w:pict>
      </w:r>
      <w:r>
        <w:rPr/>
        <w:t>The third lesson that Alan has taught us is that it is the consistency over time of a policy framework that sustains a market economy, as the achievements of the United States over the last 200 years show very clearly. Alan, of course, has stressed this in the context of price stability. But it applies equally well to the system of taxes, property rights and public goods provision on which prosperity in a market economy relies. Alan famously defined price stability in the following terms: “price stability is best thought of as an environment in which inflation is so low and stable over time that it does not materially enter into the decisions of households and firms.” </w:t>
      </w:r>
      <w:r>
        <w:rPr>
          <w:vertAlign w:val="superscript"/>
        </w:rPr>
        <w:t>2</w:t>
      </w:r>
      <w:r>
        <w:rPr>
          <w:vertAlign w:val="baseline"/>
        </w:rPr>
        <w:t> I would suggest that implicit in this is a prescription that Alan might write for all economic policies, not just monetary policy: namely, that economic policy stability is best thought of as an environment in which the decisions of</w:t>
      </w:r>
    </w:p>
    <w:p>
      <w:pPr>
        <w:spacing w:line="243" w:lineRule="exact" w:before="49"/>
        <w:ind w:left="117" w:right="0" w:firstLine="0"/>
        <w:jc w:val="left"/>
        <w:rPr>
          <w:sz w:val="20"/>
        </w:rPr>
      </w:pPr>
      <w:r>
        <w:rPr>
          <w:position w:val="9"/>
          <w:sz w:val="13"/>
        </w:rPr>
        <w:t>1 </w:t>
      </w:r>
      <w:r>
        <w:rPr>
          <w:sz w:val="20"/>
        </w:rPr>
        <w:t>Transcript of FOMC meeting 21/05/1996.</w:t>
      </w:r>
    </w:p>
    <w:p>
      <w:pPr>
        <w:spacing w:line="243" w:lineRule="exact" w:before="0"/>
        <w:ind w:left="117" w:right="0" w:firstLine="0"/>
        <w:jc w:val="left"/>
        <w:rPr>
          <w:sz w:val="20"/>
        </w:rPr>
      </w:pPr>
      <w:r>
        <w:rPr>
          <w:position w:val="9"/>
          <w:sz w:val="13"/>
        </w:rPr>
        <w:t>2 </w:t>
      </w:r>
      <w:r>
        <w:rPr>
          <w:i/>
          <w:sz w:val="20"/>
        </w:rPr>
        <w:t>Transparency in monetary policy</w:t>
      </w:r>
      <w:r>
        <w:rPr>
          <w:sz w:val="20"/>
        </w:rPr>
        <w:t>. At the Federal Reserve Bank of St. Louis, Economic Policy Conference,</w:t>
      </w:r>
    </w:p>
    <w:p>
      <w:pPr>
        <w:spacing w:before="0"/>
        <w:ind w:left="117" w:right="324" w:firstLine="0"/>
        <w:jc w:val="left"/>
        <w:rPr>
          <w:sz w:val="20"/>
        </w:rPr>
      </w:pPr>
      <w:r>
        <w:rPr>
          <w:sz w:val="20"/>
        </w:rPr>
        <w:t>St. Louis, Missouri, October 11, 2001. This definition was set out much earlier, in similar terms, in Alan Greenspan’s statement before the Committee on Ways and Means, U.S. House of Representatives, January 25, 1990.</w:t>
      </w:r>
    </w:p>
    <w:p>
      <w:pPr>
        <w:spacing w:after="0"/>
        <w:jc w:val="left"/>
        <w:rPr>
          <w:sz w:val="20"/>
        </w:rPr>
        <w:sectPr>
          <w:pgSz w:w="11900" w:h="16840"/>
          <w:pgMar w:header="717" w:footer="0" w:top="1340" w:bottom="280" w:left="1680" w:right="1200"/>
        </w:sectPr>
      </w:pPr>
    </w:p>
    <w:p>
      <w:pPr>
        <w:pStyle w:val="BodyText"/>
        <w:spacing w:line="360" w:lineRule="auto" w:before="80"/>
        <w:ind w:left="117" w:right="151"/>
      </w:pPr>
      <w:r>
        <w:rPr/>
        <w:t>households and firms are not materially affected by the need to insure against future arbitrary or mischievous changes in government policy. Just as Alan would define a good monetary policy as one which leads people to stop talking about inflation, I think he would call a good tax policy one under which people stop talking about the tax system.</w:t>
      </w:r>
    </w:p>
    <w:p>
      <w:pPr>
        <w:pStyle w:val="BodyText"/>
        <w:spacing w:before="11"/>
        <w:rPr>
          <w:sz w:val="35"/>
        </w:rPr>
      </w:pPr>
    </w:p>
    <w:p>
      <w:pPr>
        <w:pStyle w:val="BodyText"/>
        <w:spacing w:line="360" w:lineRule="auto"/>
        <w:ind w:left="117" w:right="132"/>
      </w:pPr>
      <w:r>
        <w:rPr/>
        <w:t>In the last decade we have had a debate about whether such stability should be implemented by quantitative targets or not. In monetary policy we have seen the spread of ‘inflation targets’, and targets have begun to permeate other areas of economic policy too. You will not be surprised to learn that I think that such numerical targets have a role. But whether they are appropriate or not is a subsidiary question, and it is one that is related to the political economy of how to ensure the transparency of policy, the accountability of those responsible for it, and the way in which households and firms form expectations of policy: monetary, fiscal or other. Since the political economy varies from one country to another, so will the appropriate method of achieving price stability in particular, and economic policy stability in general. The crucial and overriding point is that a market economy cannot flourish if policymakers behave in ways that lead private agents to expect future economic policies – be those future monetary, fiscal, or legal policies – to be subject to arbitrary or capricious changes.</w:t>
      </w:r>
    </w:p>
    <w:p>
      <w:pPr>
        <w:pStyle w:val="BodyText"/>
        <w:spacing w:before="11"/>
        <w:rPr>
          <w:sz w:val="35"/>
        </w:rPr>
      </w:pPr>
    </w:p>
    <w:p>
      <w:pPr>
        <w:pStyle w:val="BodyText"/>
        <w:tabs>
          <w:tab w:pos="8027" w:val="left" w:leader="none"/>
        </w:tabs>
        <w:spacing w:line="360" w:lineRule="auto"/>
        <w:ind w:left="117" w:right="247"/>
      </w:pPr>
      <w:r>
        <w:rPr/>
        <w:t>Of course, an expectation of a stable regime will rarely translate into stable outcomes, and it would be irresponsible of policymakers to let such a misconception</w:t>
      </w:r>
      <w:r>
        <w:rPr>
          <w:spacing w:val="-18"/>
        </w:rPr>
        <w:t> </w:t>
      </w:r>
      <w:r>
        <w:rPr/>
        <w:t>take</w:t>
      </w:r>
      <w:r>
        <w:rPr>
          <w:spacing w:val="-1"/>
        </w:rPr>
        <w:t> </w:t>
      </w:r>
      <w:r>
        <w:rPr/>
        <w:t>hold.</w:t>
        <w:tab/>
        <w:t>A well designed set of institutions will lead to responses being predictable, but cannot guarantee that outcomes will</w:t>
      </w:r>
      <w:r>
        <w:rPr>
          <w:spacing w:val="-1"/>
        </w:rPr>
        <w:t> </w:t>
      </w:r>
      <w:r>
        <w:rPr/>
        <w:t>be.</w:t>
      </w:r>
    </w:p>
    <w:p>
      <w:pPr>
        <w:pStyle w:val="BodyText"/>
        <w:spacing w:before="9"/>
        <w:rPr>
          <w:sz w:val="32"/>
        </w:rPr>
      </w:pPr>
    </w:p>
    <w:p>
      <w:pPr>
        <w:pStyle w:val="BodyText"/>
        <w:spacing w:line="360" w:lineRule="auto"/>
        <w:ind w:left="117" w:right="171"/>
      </w:pPr>
      <w:r>
        <w:rPr/>
        <w:t>And there is a pressing issue here. In the US, inflation has been both low and rather stable. Over the past decade it has varied between 1.0% and 3.8%, so we can with some justification say that inflation no longer “materially enter[s] into the decisions of households and firms.” In the UK inflation has, if anything, been even more stable. But this success carries a risk for the future. Inflation expectations may be sensitive to a large but temporary shock that moved inflation outside the range within which it has remained for some years. With their belief in stability jolted, households’ inflation expectations might move by much more than was justified by the temporary nature of the shock. That would make it more difficult for the central bank to bring inflation back to target. The moral of this particular story is that it may be risky to infer from the observation</w:t>
      </w:r>
      <w:r>
        <w:rPr>
          <w:spacing w:val="-13"/>
        </w:rPr>
        <w:t> </w:t>
      </w:r>
      <w:r>
        <w:rPr/>
        <w:t>that</w:t>
      </w:r>
    </w:p>
    <w:p>
      <w:pPr>
        <w:spacing w:after="0" w:line="360" w:lineRule="auto"/>
        <w:sectPr>
          <w:pgSz w:w="11900" w:h="16840"/>
          <w:pgMar w:header="717" w:footer="0" w:top="1340" w:bottom="280" w:left="1680" w:right="1200"/>
        </w:sectPr>
      </w:pPr>
    </w:p>
    <w:p>
      <w:pPr>
        <w:pStyle w:val="BodyText"/>
        <w:spacing w:line="360" w:lineRule="auto" w:before="80"/>
        <w:ind w:left="117" w:right="252"/>
      </w:pPr>
      <w:r>
        <w:rPr/>
        <w:t>inflation expectations are stable that all is well. There will be times when large and persistent shocks occur, and it would be unwise to count on inflation expectations remaining stable when actual inflation starts to deviate substantially from its recent range.</w:t>
      </w:r>
    </w:p>
    <w:p>
      <w:pPr>
        <w:pStyle w:val="BodyText"/>
        <w:rPr>
          <w:sz w:val="26"/>
        </w:rPr>
      </w:pPr>
    </w:p>
    <w:p>
      <w:pPr>
        <w:pStyle w:val="BodyText"/>
        <w:spacing w:line="360" w:lineRule="auto" w:before="214"/>
        <w:ind w:left="117" w:right="106"/>
      </w:pPr>
      <w:r>
        <w:rPr/>
        <w:t>So those are the three lessons that I have learnt from Alan: (i) a recognition that economics is not a set of doctrines but a way of thinking; (ii) the importance of using qualitative and quantitative information from a range of sources; (iii) there are a small number of fundamental objectives that are crucial and which we can judge by the Greenspan yardstick of whether we have freed businesses and households from the burden of expending resources to deal with unnecessary policy volatility.</w:t>
      </w:r>
    </w:p>
    <w:p>
      <w:pPr>
        <w:pStyle w:val="BodyText"/>
        <w:rPr>
          <w:sz w:val="36"/>
        </w:rPr>
      </w:pPr>
    </w:p>
    <w:p>
      <w:pPr>
        <w:pStyle w:val="BodyText"/>
        <w:spacing w:line="360" w:lineRule="auto"/>
        <w:ind w:left="117" w:right="298"/>
      </w:pPr>
      <w:r>
        <w:rPr/>
        <w:t>Alan’s departure from the central banking scene will deprive us of a source of wisdom, inspiration and leadership. To be sure, Alan’s words, whether spoken or written, will surely still reach us from the sidelines. To use a tennis analogy, I see Alan as the central banking equivalent of the non-playing captain of a Davis Cup team, encouraging the younger and less talented members, and stressing the importance of footwork, timing and getting into position early.</w:t>
      </w:r>
    </w:p>
    <w:p>
      <w:pPr>
        <w:pStyle w:val="BodyText"/>
        <w:spacing w:before="1"/>
        <w:rPr>
          <w:sz w:val="36"/>
        </w:rPr>
      </w:pPr>
    </w:p>
    <w:p>
      <w:pPr>
        <w:pStyle w:val="BodyText"/>
        <w:spacing w:line="360" w:lineRule="auto"/>
        <w:ind w:left="117" w:right="465"/>
      </w:pPr>
      <w:r>
        <w:rPr/>
        <w:t>Alan, thank you for raising the respect which others give to our discipline of economics and our profession of central banking.</w:t>
      </w:r>
    </w:p>
    <w:sectPr>
      <w:pgSz w:w="11900" w:h="16840"/>
      <w:pgMar w:header="717" w:footer="0" w:top="1340" w:bottom="280" w:left="1680" w:right="1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22pt;margin-top:34.866341pt;width:12pt;height:15.3pt;mso-position-horizontal-relative:page;mso-position-vertical-relative:page;z-index:-251810816"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Remarks to the Central Bank Governors’ Panel on 27 August 2005</dc:subject>
  <dc:title>Speech by Mervyn King, Governor, at the Jackson Hole Symposium</dc:title>
  <dcterms:created xsi:type="dcterms:W3CDTF">2020-06-02T17:48:21Z</dcterms:created>
  <dcterms:modified xsi:type="dcterms:W3CDTF">2020-06-02T17:48:21Z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2005-08-26T00:00:00Z</vt:filetime>
  </property>
  <property fmtid="{D5CDD505-2E9C-101B-9397-08002B2CF9AE}" pid="3" name="Creator">
    <vt:lpwstr>PScript5.dll Version 5.2</vt:lpwstr>
  </property>
  <property fmtid="{D5CDD505-2E9C-101B-9397-08002B2CF9AE}" pid="4" name="LastSaved">
    <vt:filetime>2020-06-02T00:00:00Z</vt:filetime>
  </property>
</Properties>
</file>